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2FF91">
      <w:pPr>
        <w:rPr>
          <w:rFonts w:ascii="仿宋_GB2312" w:hAnsi="仿宋_GB2312" w:eastAsia="仿宋_GB2312" w:cs="仿宋_GB2312"/>
          <w:color w:val="000000" w:themeColor="text1"/>
          <w:sz w:val="36"/>
          <w:szCs w:val="36"/>
          <w14:textFill>
            <w14:solidFill>
              <w14:schemeClr w14:val="tx1"/>
            </w14:solidFill>
          </w14:textFill>
        </w:rPr>
      </w:pPr>
    </w:p>
    <w:p w14:paraId="0328D81E">
      <w:pPr>
        <w:rPr>
          <w:rFonts w:hint="eastAsia" w:ascii="仿宋_GB2312" w:hAnsi="仿宋_GB2312" w:eastAsia="仿宋_GB2312" w:cs="仿宋_GB2312"/>
          <w:color w:val="000000" w:themeColor="text1"/>
          <w:sz w:val="36"/>
          <w:szCs w:val="36"/>
          <w14:textFill>
            <w14:solidFill>
              <w14:schemeClr w14:val="tx1"/>
            </w14:solidFill>
          </w14:textFill>
        </w:rPr>
      </w:pPr>
    </w:p>
    <w:p w14:paraId="425D3F57">
      <w:pPr>
        <w:jc w:val="center"/>
        <w:rPr>
          <w:color w:val="000000" w:themeColor="text1"/>
          <w:sz w:val="72"/>
          <w:szCs w:val="72"/>
          <w14:textFill>
            <w14:solidFill>
              <w14:schemeClr w14:val="tx1"/>
            </w14:solidFill>
          </w14:textFill>
        </w:rPr>
      </w:pPr>
      <w:bookmarkStart w:id="0" w:name="_Toc8083"/>
      <w:r>
        <w:rPr>
          <w:color w:val="000000" w:themeColor="text1"/>
          <w:sz w:val="72"/>
          <w:szCs w:val="72"/>
          <w14:textFill>
            <w14:solidFill>
              <w14:schemeClr w14:val="tx1"/>
            </w14:solidFill>
          </w14:textFill>
        </w:rPr>
        <w:t>建设项目环境影响报告表</w:t>
      </w:r>
      <w:bookmarkEnd w:id="0"/>
    </w:p>
    <w:p w14:paraId="3B593649">
      <w:pPr>
        <w:adjustRightInd w:val="0"/>
        <w:snapToGrid w:val="0"/>
        <w:spacing w:before="192" w:beforeLines="80"/>
        <w:jc w:val="center"/>
        <w:rPr>
          <w:bCs/>
          <w:color w:val="000000" w:themeColor="text1"/>
          <w:sz w:val="48"/>
          <w:szCs w:val="48"/>
          <w14:textFill>
            <w14:solidFill>
              <w14:schemeClr w14:val="tx1"/>
            </w14:solidFill>
          </w14:textFill>
        </w:rPr>
      </w:pPr>
      <w:r>
        <w:rPr>
          <w:bCs/>
          <w:color w:val="000000" w:themeColor="text1"/>
          <w:sz w:val="48"/>
          <w:szCs w:val="48"/>
          <w14:textFill>
            <w14:solidFill>
              <w14:schemeClr w14:val="tx1"/>
            </w14:solidFill>
          </w14:textFill>
        </w:rPr>
        <w:t>（</w:t>
      </w:r>
      <w:r>
        <w:rPr>
          <w:rFonts w:hint="eastAsia"/>
          <w:bCs/>
          <w:color w:val="000000" w:themeColor="text1"/>
          <w:sz w:val="48"/>
          <w:szCs w:val="48"/>
          <w14:textFill>
            <w14:solidFill>
              <w14:schemeClr w14:val="tx1"/>
            </w14:solidFill>
          </w14:textFill>
        </w:rPr>
        <w:t>污染影响类</w:t>
      </w:r>
      <w:r>
        <w:rPr>
          <w:bCs/>
          <w:color w:val="000000" w:themeColor="text1"/>
          <w:sz w:val="48"/>
          <w:szCs w:val="48"/>
          <w14:textFill>
            <w14:solidFill>
              <w14:schemeClr w14:val="tx1"/>
            </w14:solidFill>
          </w14:textFill>
        </w:rPr>
        <w:t>）</w:t>
      </w:r>
    </w:p>
    <w:p w14:paraId="5D0A9FD3">
      <w:pPr>
        <w:adjustRightInd w:val="0"/>
        <w:snapToGrid w:val="0"/>
        <w:spacing w:line="288" w:lineRule="auto"/>
        <w:jc w:val="center"/>
        <w:rPr>
          <w:rFonts w:hint="eastAsia"/>
          <w:color w:val="000000" w:themeColor="text1"/>
          <w:kern w:val="44"/>
          <w:sz w:val="44"/>
          <w:szCs w:val="44"/>
          <w:lang w:eastAsia="zh-CN"/>
          <w14:textFill>
            <w14:solidFill>
              <w14:schemeClr w14:val="tx1"/>
            </w14:solidFill>
          </w14:textFill>
        </w:rPr>
      </w:pPr>
    </w:p>
    <w:p w14:paraId="56B040B6">
      <w:pPr>
        <w:adjustRightInd w:val="0"/>
        <w:snapToGrid w:val="0"/>
        <w:spacing w:line="288" w:lineRule="auto"/>
        <w:jc w:val="center"/>
        <w:rPr>
          <w:rFonts w:hint="eastAsia" w:eastAsia="宋体"/>
          <w:color w:val="000000" w:themeColor="text1"/>
          <w:kern w:val="44"/>
          <w:sz w:val="44"/>
          <w:szCs w:val="44"/>
          <w:lang w:eastAsia="zh-CN"/>
          <w14:textFill>
            <w14:solidFill>
              <w14:schemeClr w14:val="tx1"/>
            </w14:solidFill>
          </w14:textFill>
        </w:rPr>
      </w:pPr>
      <w:r>
        <w:rPr>
          <w:rFonts w:hint="eastAsia"/>
          <w:color w:val="000000" w:themeColor="text1"/>
          <w:kern w:val="44"/>
          <w:sz w:val="44"/>
          <w:szCs w:val="44"/>
          <w:lang w:eastAsia="zh-CN"/>
          <w14:textFill>
            <w14:solidFill>
              <w14:schemeClr w14:val="tx1"/>
            </w14:solidFill>
          </w14:textFill>
        </w:rPr>
        <w:t>（</w:t>
      </w:r>
      <w:r>
        <w:rPr>
          <w:rFonts w:hint="eastAsia"/>
          <w:color w:val="000000" w:themeColor="text1"/>
          <w:kern w:val="44"/>
          <w:sz w:val="44"/>
          <w:szCs w:val="44"/>
          <w:lang w:val="en-US" w:eastAsia="zh-CN"/>
          <w14:textFill>
            <w14:solidFill>
              <w14:schemeClr w14:val="tx1"/>
            </w14:solidFill>
          </w14:textFill>
        </w:rPr>
        <w:t>报批稿</w:t>
      </w:r>
      <w:r>
        <w:rPr>
          <w:rFonts w:hint="eastAsia"/>
          <w:color w:val="000000" w:themeColor="text1"/>
          <w:kern w:val="44"/>
          <w:sz w:val="44"/>
          <w:szCs w:val="44"/>
          <w:lang w:eastAsia="zh-CN"/>
          <w14:textFill>
            <w14:solidFill>
              <w14:schemeClr w14:val="tx1"/>
            </w14:solidFill>
          </w14:textFill>
        </w:rPr>
        <w:t>）</w:t>
      </w:r>
    </w:p>
    <w:p w14:paraId="497B6408">
      <w:pPr>
        <w:rPr>
          <w:color w:val="000000" w:themeColor="text1"/>
          <w:sz w:val="44"/>
          <w:szCs w:val="44"/>
          <w14:textFill>
            <w14:solidFill>
              <w14:schemeClr w14:val="tx1"/>
            </w14:solidFill>
          </w14:textFill>
        </w:rPr>
      </w:pPr>
    </w:p>
    <w:p w14:paraId="1ED1A696">
      <w:pPr>
        <w:ind w:firstLine="1040"/>
        <w:rPr>
          <w:color w:val="000000" w:themeColor="text1"/>
          <w:sz w:val="44"/>
          <w:szCs w:val="44"/>
          <w14:textFill>
            <w14:solidFill>
              <w14:schemeClr w14:val="tx1"/>
            </w14:solidFill>
          </w14:textFill>
        </w:rPr>
      </w:pPr>
    </w:p>
    <w:p w14:paraId="03AB64AB">
      <w:pPr>
        <w:rPr>
          <w:color w:val="000000" w:themeColor="text1"/>
          <w:sz w:val="44"/>
          <w:szCs w:val="44"/>
          <w14:textFill>
            <w14:solidFill>
              <w14:schemeClr w14:val="tx1"/>
            </w14:solidFill>
          </w14:textFill>
        </w:rPr>
      </w:pPr>
    </w:p>
    <w:p w14:paraId="6190DBE6">
      <w:pPr>
        <w:pStyle w:val="6"/>
        <w:rPr>
          <w:color w:val="000000" w:themeColor="text1"/>
          <w14:textFill>
            <w14:solidFill>
              <w14:schemeClr w14:val="tx1"/>
            </w14:solidFill>
          </w14:textFill>
        </w:rPr>
      </w:pPr>
    </w:p>
    <w:p w14:paraId="2555CE66">
      <w:pPr>
        <w:rPr>
          <w:color w:val="000000" w:themeColor="text1"/>
          <w14:textFill>
            <w14:solidFill>
              <w14:schemeClr w14:val="tx1"/>
            </w14:solidFill>
          </w14:textFill>
        </w:rPr>
      </w:pPr>
    </w:p>
    <w:p w14:paraId="60B52294">
      <w:pPr>
        <w:rPr>
          <w:color w:val="000000" w:themeColor="text1"/>
          <w14:textFill>
            <w14:solidFill>
              <w14:schemeClr w14:val="tx1"/>
            </w14:solidFill>
          </w14:textFill>
        </w:rPr>
      </w:pPr>
    </w:p>
    <w:p w14:paraId="2E2F8CA6">
      <w:pPr>
        <w:rPr>
          <w:color w:val="000000" w:themeColor="text1"/>
          <w14:textFill>
            <w14:solidFill>
              <w14:schemeClr w14:val="tx1"/>
            </w14:solidFill>
          </w14:textFill>
        </w:rPr>
      </w:pPr>
    </w:p>
    <w:p w14:paraId="090B64E8">
      <w:pPr>
        <w:pStyle w:val="6"/>
        <w:rPr>
          <w:color w:val="000000" w:themeColor="text1"/>
          <w14:textFill>
            <w14:solidFill>
              <w14:schemeClr w14:val="tx1"/>
            </w14:solidFill>
          </w14:textFill>
        </w:rPr>
      </w:pPr>
    </w:p>
    <w:p w14:paraId="1A319D36">
      <w:pPr>
        <w:rPr>
          <w:color w:val="000000" w:themeColor="text1"/>
          <w14:textFill>
            <w14:solidFill>
              <w14:schemeClr w14:val="tx1"/>
            </w14:solidFill>
          </w14:textFill>
        </w:rPr>
      </w:pPr>
    </w:p>
    <w:p w14:paraId="41F33B6F">
      <w:pPr>
        <w:rPr>
          <w:color w:val="000000" w:themeColor="text1"/>
          <w14:textFill>
            <w14:solidFill>
              <w14:schemeClr w14:val="tx1"/>
            </w14:solidFill>
          </w14:textFill>
        </w:rPr>
      </w:pPr>
    </w:p>
    <w:p w14:paraId="577837B0">
      <w:pPr>
        <w:rPr>
          <w:color w:val="000000" w:themeColor="text1"/>
          <w14:textFill>
            <w14:solidFill>
              <w14:schemeClr w14:val="tx1"/>
            </w14:solidFill>
          </w14:textFill>
        </w:rPr>
      </w:pPr>
    </w:p>
    <w:p w14:paraId="25558402">
      <w:pPr>
        <w:keepNext w:val="0"/>
        <w:keepLines w:val="0"/>
        <w:pageBreakBefore w:val="0"/>
        <w:widowControl w:val="0"/>
        <w:kinsoku/>
        <w:wordWrap/>
        <w:overflowPunct/>
        <w:topLinePunct w:val="0"/>
        <w:autoSpaceDE/>
        <w:autoSpaceDN/>
        <w:bidi w:val="0"/>
        <w:adjustRightInd w:val="0"/>
        <w:snapToGrid w:val="0"/>
        <w:spacing w:line="360" w:lineRule="auto"/>
        <w:ind w:left="2877" w:leftChars="513" w:hanging="1800" w:hangingChars="500"/>
        <w:jc w:val="center"/>
        <w:textAlignment w:val="auto"/>
        <w:rPr>
          <w:rFonts w:hint="default" w:ascii="Times New Roman" w:hAnsi="Times New Roman" w:eastAsia="宋体" w:cs="Times New Roman"/>
          <w:color w:val="000000" w:themeColor="text1"/>
          <w:sz w:val="36"/>
          <w:szCs w:val="36"/>
          <w:u w:val="single"/>
          <w:lang w:val="en-US" w:eastAsia="zh-CN"/>
          <w14:textFill>
            <w14:solidFill>
              <w14:schemeClr w14:val="tx1"/>
            </w14:solidFill>
          </w14:textFill>
        </w:rPr>
      </w:pPr>
      <w:bookmarkStart w:id="1" w:name="_Hlk57884087"/>
      <w:r>
        <w:rPr>
          <w:rFonts w:hint="eastAsia" w:ascii="Times New Roman" w:hAnsi="Times New Roman" w:eastAsia="宋体" w:cs="Times New Roman"/>
          <w:color w:val="000000" w:themeColor="text1"/>
          <w:sz w:val="36"/>
          <w:szCs w:val="36"/>
          <w:u w:val="none"/>
          <w14:textFill>
            <w14:solidFill>
              <w14:schemeClr w14:val="tx1"/>
            </w14:solidFill>
          </w14:textFill>
        </w:rPr>
        <w:t>项目名称：</w:t>
      </w:r>
      <w:r>
        <w:rPr>
          <w:rFonts w:hint="eastAsia" w:ascii="Times New Roman" w:hAnsi="Times New Roman" w:eastAsia="宋体" w:cs="Times New Roman"/>
          <w:color w:val="000000" w:themeColor="text1"/>
          <w:sz w:val="36"/>
          <w:szCs w:val="36"/>
          <w:u w:val="single"/>
          <w:lang w:eastAsia="zh-CN"/>
          <w14:textFill>
            <w14:solidFill>
              <w14:schemeClr w14:val="tx1"/>
            </w14:solidFill>
          </w14:textFill>
        </w:rPr>
        <w:t>罗平阿岗镇青瓦制作技艺改造项目（非物质文化遗产）</w:t>
      </w:r>
      <w:r>
        <w:rPr>
          <w:rFonts w:hint="eastAsia" w:ascii="Times New Roman" w:hAnsi="Times New Roman" w:eastAsia="宋体" w:cs="Times New Roman"/>
          <w:color w:val="000000" w:themeColor="text1"/>
          <w:sz w:val="36"/>
          <w:szCs w:val="36"/>
          <w:u w:val="single"/>
          <w:lang w:val="en-US" w:eastAsia="zh-CN"/>
          <w14:textFill>
            <w14:solidFill>
              <w14:schemeClr w14:val="tx1"/>
            </w14:solidFill>
          </w14:textFill>
        </w:rPr>
        <w:t xml:space="preserve"> </w:t>
      </w:r>
    </w:p>
    <w:p w14:paraId="6C48CD07">
      <w:pPr>
        <w:keepNext w:val="0"/>
        <w:keepLines w:val="0"/>
        <w:pageBreakBefore w:val="0"/>
        <w:widowControl w:val="0"/>
        <w:kinsoku/>
        <w:wordWrap/>
        <w:overflowPunct/>
        <w:topLinePunct w:val="0"/>
        <w:autoSpaceDE/>
        <w:autoSpaceDN/>
        <w:bidi w:val="0"/>
        <w:adjustRightInd w:val="0"/>
        <w:snapToGrid w:val="0"/>
        <w:spacing w:line="360" w:lineRule="auto"/>
        <w:ind w:left="3957" w:leftChars="513" w:hanging="2880" w:hangingChars="800"/>
        <w:jc w:val="left"/>
        <w:textAlignment w:val="auto"/>
        <w:rPr>
          <w:rFonts w:hint="default" w:eastAsia="宋体"/>
          <w:color w:val="000000" w:themeColor="text1"/>
          <w:sz w:val="36"/>
          <w:szCs w:val="36"/>
          <w:u w:val="single"/>
          <w:lang w:val="en-US" w:eastAsia="zh-CN"/>
          <w14:textFill>
            <w14:solidFill>
              <w14:schemeClr w14:val="tx1"/>
            </w14:solidFill>
          </w14:textFill>
        </w:rPr>
      </w:pPr>
      <w:r>
        <w:rPr>
          <w:rFonts w:hint="eastAsia" w:ascii="Times New Roman" w:hAnsi="Times New Roman" w:eastAsia="宋体" w:cs="Times New Roman"/>
          <w:color w:val="000000" w:themeColor="text1"/>
          <w:sz w:val="36"/>
          <w:szCs w:val="36"/>
          <w:u w:val="none"/>
          <w14:textFill>
            <w14:solidFill>
              <w14:schemeClr w14:val="tx1"/>
            </w14:solidFill>
          </w14:textFill>
        </w:rPr>
        <w:t>建设单位（盖章）</w:t>
      </w:r>
      <w:r>
        <w:rPr>
          <w:rFonts w:hint="eastAsia" w:ascii="Times New Roman" w:hAnsi="Times New Roman" w:eastAsia="宋体" w:cs="Times New Roman"/>
          <w:color w:val="000000" w:themeColor="text1"/>
          <w:sz w:val="36"/>
          <w:szCs w:val="36"/>
          <w:u w:val="single"/>
          <w14:textFill>
            <w14:solidFill>
              <w14:schemeClr w14:val="tx1"/>
            </w14:solidFill>
          </w14:textFill>
        </w:rPr>
        <w:t>：</w:t>
      </w:r>
      <w:r>
        <w:rPr>
          <w:rFonts w:hint="eastAsia" w:ascii="Times New Roman" w:hAnsi="Times New Roman" w:eastAsia="宋体" w:cs="Times New Roman"/>
          <w:color w:val="000000" w:themeColor="text1"/>
          <w:sz w:val="36"/>
          <w:szCs w:val="36"/>
          <w:u w:val="single"/>
          <w:lang w:val="en-US" w:eastAsia="zh-CN"/>
          <w14:textFill>
            <w14:solidFill>
              <w14:schemeClr w14:val="tx1"/>
            </w14:solidFill>
          </w14:textFill>
        </w:rPr>
        <w:t xml:space="preserve">  罗平县慧联青瓦厂  </w:t>
      </w:r>
    </w:p>
    <w:p w14:paraId="5CA706ED">
      <w:pPr>
        <w:keepNext w:val="0"/>
        <w:keepLines w:val="0"/>
        <w:pageBreakBefore w:val="0"/>
        <w:widowControl w:val="0"/>
        <w:kinsoku/>
        <w:wordWrap/>
        <w:overflowPunct/>
        <w:topLinePunct w:val="0"/>
        <w:autoSpaceDE/>
        <w:autoSpaceDN/>
        <w:bidi w:val="0"/>
        <w:adjustRightInd w:val="0"/>
        <w:snapToGrid w:val="0"/>
        <w:spacing w:line="480" w:lineRule="auto"/>
        <w:ind w:firstLine="1080" w:firstLineChars="300"/>
        <w:jc w:val="both"/>
        <w:textAlignment w:val="auto"/>
        <w:rPr>
          <w:color w:val="000000" w:themeColor="text1"/>
          <w:sz w:val="36"/>
          <w:szCs w:val="36"/>
          <w:u w:val="single"/>
          <w14:textFill>
            <w14:solidFill>
              <w14:schemeClr w14:val="tx1"/>
            </w14:solidFill>
          </w14:textFill>
        </w:rPr>
      </w:pPr>
      <w:r>
        <w:rPr>
          <w:color w:val="000000" w:themeColor="text1"/>
          <w:sz w:val="36"/>
          <w:szCs w:val="36"/>
          <w14:textFill>
            <w14:solidFill>
              <w14:schemeClr w14:val="tx1"/>
            </w14:solidFill>
          </w14:textFill>
        </w:rPr>
        <w:t>编制日期：</w:t>
      </w:r>
      <w:r>
        <w:rPr>
          <w:color w:val="000000" w:themeColor="text1"/>
          <w:sz w:val="36"/>
          <w:szCs w:val="36"/>
          <w:u w:val="single"/>
          <w14:textFill>
            <w14:solidFill>
              <w14:schemeClr w14:val="tx1"/>
            </w14:solidFill>
          </w14:textFill>
        </w:rPr>
        <w:t xml:space="preserve">     </w:t>
      </w:r>
      <w:r>
        <w:rPr>
          <w:rFonts w:hint="eastAsia"/>
          <w:color w:val="000000" w:themeColor="text1"/>
          <w:sz w:val="36"/>
          <w:szCs w:val="36"/>
          <w:u w:val="single"/>
          <w:lang w:eastAsia="zh-CN"/>
          <w14:textFill>
            <w14:solidFill>
              <w14:schemeClr w14:val="tx1"/>
            </w14:solidFill>
          </w14:textFill>
        </w:rPr>
        <w:t>二〇二六</w:t>
      </w:r>
      <w:r>
        <w:rPr>
          <w:rFonts w:hint="eastAsia"/>
          <w:color w:val="000000" w:themeColor="text1"/>
          <w:sz w:val="36"/>
          <w:szCs w:val="36"/>
          <w:u w:val="single"/>
          <w14:textFill>
            <w14:solidFill>
              <w14:schemeClr w14:val="tx1"/>
            </w14:solidFill>
          </w14:textFill>
        </w:rPr>
        <w:t>年</w:t>
      </w:r>
      <w:r>
        <w:rPr>
          <w:rFonts w:hint="eastAsia"/>
          <w:color w:val="000000" w:themeColor="text1"/>
          <w:sz w:val="36"/>
          <w:szCs w:val="36"/>
          <w:u w:val="single"/>
          <w:lang w:val="en-US" w:eastAsia="zh-CN"/>
          <w14:textFill>
            <w14:solidFill>
              <w14:schemeClr w14:val="tx1"/>
            </w14:solidFill>
          </w14:textFill>
        </w:rPr>
        <w:t>六</w:t>
      </w:r>
      <w:r>
        <w:rPr>
          <w:color w:val="000000" w:themeColor="text1"/>
          <w:sz w:val="36"/>
          <w:szCs w:val="36"/>
          <w:u w:val="single"/>
          <w14:textFill>
            <w14:solidFill>
              <w14:schemeClr w14:val="tx1"/>
            </w14:solidFill>
          </w14:textFill>
        </w:rPr>
        <w:t xml:space="preserve">月         </w:t>
      </w:r>
    </w:p>
    <w:p w14:paraId="62109245">
      <w:pPr>
        <w:adjustRightInd w:val="0"/>
        <w:snapToGrid w:val="0"/>
        <w:spacing w:line="288" w:lineRule="auto"/>
        <w:rPr>
          <w:color w:val="000000" w:themeColor="text1"/>
          <w:sz w:val="36"/>
          <w:szCs w:val="36"/>
          <w14:textFill>
            <w14:solidFill>
              <w14:schemeClr w14:val="tx1"/>
            </w14:solidFill>
          </w14:textFill>
        </w:rPr>
      </w:pPr>
    </w:p>
    <w:p w14:paraId="5C39BAF2">
      <w:pPr>
        <w:adjustRightInd w:val="0"/>
        <w:snapToGrid w:val="0"/>
        <w:spacing w:line="288" w:lineRule="auto"/>
        <w:ind w:firstLine="1040"/>
        <w:rPr>
          <w:color w:val="000000" w:themeColor="text1"/>
          <w:sz w:val="36"/>
          <w:szCs w:val="36"/>
          <w14:textFill>
            <w14:solidFill>
              <w14:schemeClr w14:val="tx1"/>
            </w14:solidFill>
          </w14:textFill>
        </w:rPr>
      </w:pPr>
    </w:p>
    <w:bookmarkEnd w:id="1"/>
    <w:p w14:paraId="4970D481">
      <w:pPr>
        <w:adjustRightInd w:val="0"/>
        <w:snapToGrid w:val="0"/>
        <w:spacing w:line="288" w:lineRule="auto"/>
        <w:jc w:val="center"/>
        <w:rPr>
          <w:rFonts w:hint="eastAsia" w:ascii="楷体_GB2312" w:eastAsia="楷体_GB2312"/>
          <w:color w:val="000000" w:themeColor="text1"/>
          <w:sz w:val="36"/>
          <w:szCs w:val="36"/>
          <w14:textFill>
            <w14:solidFill>
              <w14:schemeClr w14:val="tx1"/>
            </w14:solidFill>
          </w14:textFill>
        </w:rPr>
      </w:pPr>
      <w:r>
        <w:rPr>
          <w:color w:val="000000" w:themeColor="text1"/>
          <w:sz w:val="36"/>
          <w:szCs w:val="36"/>
          <w14:textFill>
            <w14:solidFill>
              <w14:schemeClr w14:val="tx1"/>
            </w14:solidFill>
          </w14:textFill>
        </w:rPr>
        <w:t>中华人民共和国生态环境部制</w:t>
      </w:r>
    </w:p>
    <w:p w14:paraId="0EEAD670">
      <w:pPr>
        <w:adjustRightInd w:val="0"/>
        <w:snapToGrid w:val="0"/>
        <w:spacing w:line="288" w:lineRule="auto"/>
        <w:ind w:firstLine="1040"/>
        <w:rPr>
          <w:rFonts w:ascii="仿宋_GB2312" w:eastAsia="仿宋_GB2312"/>
          <w:color w:val="000000" w:themeColor="text1"/>
          <w:sz w:val="36"/>
          <w:szCs w:val="36"/>
          <w14:textFill>
            <w14:solidFill>
              <w14:schemeClr w14:val="tx1"/>
            </w14:solidFill>
          </w14:textFill>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fmt="upperRoman" w:start="1"/>
          <w:cols w:space="720" w:num="1"/>
          <w:docGrid w:linePitch="312" w:charSpace="0"/>
        </w:sectPr>
      </w:pPr>
    </w:p>
    <w:p w14:paraId="59D324A9">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eastAsia="宋体" w:cs="Times New Roman"/>
          <w:b/>
          <w:bCs/>
          <w:color w:val="000000" w:themeColor="text1"/>
          <w:sz w:val="28"/>
          <w:szCs w:val="28"/>
          <w14:textFill>
            <w14:solidFill>
              <w14:schemeClr w14:val="tx1"/>
            </w14:solidFill>
          </w14:textFill>
        </w:rPr>
        <w:t>目</w:t>
      </w: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8"/>
          <w:szCs w:val="28"/>
          <w14:textFill>
            <w14:solidFill>
              <w14:schemeClr w14:val="tx1"/>
            </w14:solidFill>
          </w14:textFill>
        </w:rPr>
        <w:t>录</w:t>
      </w:r>
    </w:p>
    <w:p w14:paraId="5B716E45">
      <w:pPr>
        <w:pStyle w:val="20"/>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fldChar w:fldCharType="begin"/>
      </w:r>
      <w:r>
        <w:rPr>
          <w:rFonts w:hint="default" w:ascii="Times New Roman" w:hAnsi="Times New Roman" w:eastAsia="宋体" w:cs="Times New Roman"/>
          <w:color w:val="000000" w:themeColor="text1"/>
          <w:sz w:val="28"/>
          <w:szCs w:val="28"/>
          <w14:textFill>
            <w14:solidFill>
              <w14:schemeClr w14:val="tx1"/>
            </w14:solidFill>
          </w14:textFill>
        </w:rPr>
        <w:instrText xml:space="preserve">TOC \o "1-1" \h \u </w:instrText>
      </w:r>
      <w:r>
        <w:rPr>
          <w:rFonts w:hint="default" w:ascii="Times New Roman" w:hAnsi="Times New Roman" w:eastAsia="宋体" w:cs="Times New Roman"/>
          <w:color w:val="000000" w:themeColor="text1"/>
          <w:sz w:val="28"/>
          <w:szCs w:val="28"/>
          <w14:textFill>
            <w14:solidFill>
              <w14:schemeClr w14:val="tx1"/>
            </w14:solidFill>
          </w14:textFill>
        </w:rPr>
        <w:fldChar w:fldCharType="separate"/>
      </w:r>
    </w:p>
    <w:p w14:paraId="7EB3FE4D">
      <w:pPr>
        <w:pStyle w:val="20"/>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fldChar w:fldCharType="begin"/>
      </w:r>
      <w:r>
        <w:rPr>
          <w:rFonts w:hint="default" w:ascii="Times New Roman" w:hAnsi="Times New Roman" w:eastAsia="宋体" w:cs="Times New Roman"/>
          <w:color w:val="000000" w:themeColor="text1"/>
          <w:sz w:val="28"/>
          <w:szCs w:val="28"/>
          <w14:textFill>
            <w14:solidFill>
              <w14:schemeClr w14:val="tx1"/>
            </w14:solidFill>
          </w14:textFill>
        </w:rPr>
        <w:instrText xml:space="preserve"> HYPERLINK \l _Toc29635 </w:instrText>
      </w:r>
      <w:r>
        <w:rPr>
          <w:rFonts w:hint="default" w:ascii="Times New Roman" w:hAnsi="Times New Roman" w:eastAsia="宋体" w:cs="Times New Roman"/>
          <w:color w:val="000000" w:themeColor="text1"/>
          <w:sz w:val="28"/>
          <w:szCs w:val="28"/>
          <w14:textFill>
            <w14:solidFill>
              <w14:schemeClr w14:val="tx1"/>
            </w14:solidFill>
          </w14:textFill>
        </w:rPr>
        <w:fldChar w:fldCharType="separate"/>
      </w:r>
      <w:r>
        <w:rPr>
          <w:rFonts w:hint="default" w:ascii="Times New Roman" w:hAnsi="Times New Roman" w:eastAsia="宋体" w:cs="Times New Roman"/>
          <w:snapToGrid w:val="0"/>
          <w:color w:val="000000" w:themeColor="text1"/>
          <w:sz w:val="28"/>
          <w:szCs w:val="28"/>
          <w14:textFill>
            <w14:solidFill>
              <w14:schemeClr w14:val="tx1"/>
            </w14:solidFill>
          </w14:textFill>
        </w:rPr>
        <w:t>一、建设项目基本情况</w:t>
      </w:r>
      <w:r>
        <w:rPr>
          <w:rFonts w:hint="default" w:ascii="Times New Roman" w:hAnsi="Times New Roman" w:eastAsia="宋体" w:cs="Times New Roman"/>
          <w:color w:val="000000" w:themeColor="text1"/>
          <w:sz w:val="28"/>
          <w:szCs w:val="28"/>
          <w14:textFill>
            <w14:solidFill>
              <w14:schemeClr w14:val="tx1"/>
            </w14:solidFill>
          </w14:textFill>
        </w:rPr>
        <w:tab/>
      </w:r>
      <w:r>
        <w:rPr>
          <w:rFonts w:hint="default" w:ascii="Times New Roman" w:hAnsi="Times New Roman" w:eastAsia="宋体" w:cs="Times New Roman"/>
          <w:color w:val="000000" w:themeColor="text1"/>
          <w:sz w:val="28"/>
          <w:szCs w:val="28"/>
          <w14:textFill>
            <w14:solidFill>
              <w14:schemeClr w14:val="tx1"/>
            </w14:solidFill>
          </w14:textFill>
        </w:rPr>
        <w:fldChar w:fldCharType="begin"/>
      </w:r>
      <w:r>
        <w:rPr>
          <w:rFonts w:hint="default" w:ascii="Times New Roman" w:hAnsi="Times New Roman" w:eastAsia="宋体" w:cs="Times New Roman"/>
          <w:color w:val="000000" w:themeColor="text1"/>
          <w:sz w:val="28"/>
          <w:szCs w:val="28"/>
          <w14:textFill>
            <w14:solidFill>
              <w14:schemeClr w14:val="tx1"/>
            </w14:solidFill>
          </w14:textFill>
        </w:rPr>
        <w:instrText xml:space="preserve"> PAGEREF _Toc29635 \h </w:instrText>
      </w:r>
      <w:r>
        <w:rPr>
          <w:rFonts w:hint="default" w:ascii="Times New Roman" w:hAnsi="Times New Roman" w:eastAsia="宋体" w:cs="Times New Roman"/>
          <w:color w:val="000000" w:themeColor="text1"/>
          <w:sz w:val="28"/>
          <w:szCs w:val="28"/>
          <w14:textFill>
            <w14:solidFill>
              <w14:schemeClr w14:val="tx1"/>
            </w14:solidFill>
          </w14:textFill>
        </w:rPr>
        <w:fldChar w:fldCharType="separate"/>
      </w:r>
      <w:r>
        <w:rPr>
          <w:rFonts w:hint="default" w:ascii="Times New Roman" w:hAnsi="Times New Roman" w:eastAsia="宋体" w:cs="Times New Roman"/>
          <w:color w:val="000000" w:themeColor="text1"/>
          <w:sz w:val="28"/>
          <w:szCs w:val="28"/>
          <w14:textFill>
            <w14:solidFill>
              <w14:schemeClr w14:val="tx1"/>
            </w14:solidFill>
          </w14:textFill>
        </w:rPr>
        <w:t>1</w:t>
      </w:r>
      <w:r>
        <w:rPr>
          <w:rFonts w:hint="default" w:ascii="Times New Roman" w:hAnsi="Times New Roman" w:eastAsia="宋体" w:cs="Times New Roman"/>
          <w:color w:val="000000" w:themeColor="text1"/>
          <w:sz w:val="28"/>
          <w:szCs w:val="28"/>
          <w14:textFill>
            <w14:solidFill>
              <w14:schemeClr w14:val="tx1"/>
            </w14:solidFill>
          </w14:textFill>
        </w:rPr>
        <w:fldChar w:fldCharType="end"/>
      </w:r>
      <w:r>
        <w:rPr>
          <w:rFonts w:hint="default" w:ascii="Times New Roman" w:hAnsi="Times New Roman" w:eastAsia="宋体" w:cs="Times New Roman"/>
          <w:color w:val="000000" w:themeColor="text1"/>
          <w:sz w:val="28"/>
          <w:szCs w:val="28"/>
          <w14:textFill>
            <w14:solidFill>
              <w14:schemeClr w14:val="tx1"/>
            </w14:solidFill>
          </w14:textFill>
        </w:rPr>
        <w:fldChar w:fldCharType="end"/>
      </w:r>
    </w:p>
    <w:p w14:paraId="2353BEE7">
      <w:pPr>
        <w:pStyle w:val="20"/>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fldChar w:fldCharType="begin"/>
      </w:r>
      <w:r>
        <w:rPr>
          <w:rFonts w:hint="default" w:ascii="Times New Roman" w:hAnsi="Times New Roman" w:eastAsia="宋体" w:cs="Times New Roman"/>
          <w:color w:val="000000" w:themeColor="text1"/>
          <w:sz w:val="28"/>
          <w:szCs w:val="28"/>
          <w14:textFill>
            <w14:solidFill>
              <w14:schemeClr w14:val="tx1"/>
            </w14:solidFill>
          </w14:textFill>
        </w:rPr>
        <w:instrText xml:space="preserve"> HYPERLINK \l _Toc30398 </w:instrText>
      </w:r>
      <w:r>
        <w:rPr>
          <w:rFonts w:hint="default" w:ascii="Times New Roman" w:hAnsi="Times New Roman" w:eastAsia="宋体" w:cs="Times New Roman"/>
          <w:color w:val="000000" w:themeColor="text1"/>
          <w:sz w:val="28"/>
          <w:szCs w:val="28"/>
          <w14:textFill>
            <w14:solidFill>
              <w14:schemeClr w14:val="tx1"/>
            </w14:solidFill>
          </w14:textFill>
        </w:rPr>
        <w:fldChar w:fldCharType="separate"/>
      </w:r>
      <w:r>
        <w:rPr>
          <w:rFonts w:hint="default" w:ascii="Times New Roman" w:hAnsi="Times New Roman" w:eastAsia="宋体" w:cs="Times New Roman"/>
          <w:snapToGrid w:val="0"/>
          <w:color w:val="000000" w:themeColor="text1"/>
          <w:sz w:val="28"/>
          <w:szCs w:val="28"/>
          <w14:textFill>
            <w14:solidFill>
              <w14:schemeClr w14:val="tx1"/>
            </w14:solidFill>
          </w14:textFill>
        </w:rPr>
        <w:t>二、建设项目工程</w:t>
      </w:r>
      <w:r>
        <w:rPr>
          <w:rFonts w:hint="default" w:ascii="Times New Roman" w:hAnsi="Times New Roman" w:eastAsia="宋体" w:cs="Times New Roman"/>
          <w:color w:val="000000" w:themeColor="text1"/>
          <w:sz w:val="28"/>
          <w:szCs w:val="28"/>
          <w14:textFill>
            <w14:solidFill>
              <w14:schemeClr w14:val="tx1"/>
            </w14:solidFill>
          </w14:textFill>
        </w:rPr>
        <w:t>分析</w:t>
      </w:r>
      <w:r>
        <w:rPr>
          <w:rFonts w:hint="default" w:ascii="Times New Roman" w:hAnsi="Times New Roman" w:eastAsia="宋体" w:cs="Times New Roman"/>
          <w:color w:val="000000" w:themeColor="text1"/>
          <w:sz w:val="28"/>
          <w:szCs w:val="28"/>
          <w14:textFill>
            <w14:solidFill>
              <w14:schemeClr w14:val="tx1"/>
            </w14:solidFill>
          </w14:textFill>
        </w:rPr>
        <w:tab/>
      </w:r>
      <w:r>
        <w:rPr>
          <w:rFonts w:hint="default" w:ascii="Times New Roman" w:hAnsi="Times New Roman" w:eastAsia="宋体" w:cs="Times New Roman"/>
          <w:color w:val="000000" w:themeColor="text1"/>
          <w:sz w:val="28"/>
          <w:szCs w:val="28"/>
          <w14:textFill>
            <w14:solidFill>
              <w14:schemeClr w14:val="tx1"/>
            </w14:solidFill>
          </w14:textFill>
        </w:rPr>
        <w:fldChar w:fldCharType="begin"/>
      </w:r>
      <w:r>
        <w:rPr>
          <w:rFonts w:hint="default" w:ascii="Times New Roman" w:hAnsi="Times New Roman" w:eastAsia="宋体" w:cs="Times New Roman"/>
          <w:color w:val="000000" w:themeColor="text1"/>
          <w:sz w:val="28"/>
          <w:szCs w:val="28"/>
          <w14:textFill>
            <w14:solidFill>
              <w14:schemeClr w14:val="tx1"/>
            </w14:solidFill>
          </w14:textFill>
        </w:rPr>
        <w:instrText xml:space="preserve"> PAGEREF _Toc30398 \h </w:instrText>
      </w:r>
      <w:r>
        <w:rPr>
          <w:rFonts w:hint="default" w:ascii="Times New Roman" w:hAnsi="Times New Roman" w:eastAsia="宋体" w:cs="Times New Roman"/>
          <w:color w:val="000000" w:themeColor="text1"/>
          <w:sz w:val="28"/>
          <w:szCs w:val="28"/>
          <w14:textFill>
            <w14:solidFill>
              <w14:schemeClr w14:val="tx1"/>
            </w14:solidFill>
          </w14:textFill>
        </w:rPr>
        <w:fldChar w:fldCharType="separate"/>
      </w:r>
      <w:r>
        <w:rPr>
          <w:rFonts w:hint="default" w:ascii="Times New Roman" w:hAnsi="Times New Roman" w:eastAsia="宋体" w:cs="Times New Roman"/>
          <w:color w:val="000000" w:themeColor="text1"/>
          <w:sz w:val="28"/>
          <w:szCs w:val="28"/>
          <w14:textFill>
            <w14:solidFill>
              <w14:schemeClr w14:val="tx1"/>
            </w14:solidFill>
          </w14:textFill>
        </w:rPr>
        <w:t>17</w:t>
      </w:r>
      <w:r>
        <w:rPr>
          <w:rFonts w:hint="default" w:ascii="Times New Roman" w:hAnsi="Times New Roman" w:eastAsia="宋体" w:cs="Times New Roman"/>
          <w:color w:val="000000" w:themeColor="text1"/>
          <w:sz w:val="28"/>
          <w:szCs w:val="28"/>
          <w14:textFill>
            <w14:solidFill>
              <w14:schemeClr w14:val="tx1"/>
            </w14:solidFill>
          </w14:textFill>
        </w:rPr>
        <w:fldChar w:fldCharType="end"/>
      </w:r>
      <w:r>
        <w:rPr>
          <w:rFonts w:hint="default" w:ascii="Times New Roman" w:hAnsi="Times New Roman" w:eastAsia="宋体" w:cs="Times New Roman"/>
          <w:color w:val="000000" w:themeColor="text1"/>
          <w:sz w:val="28"/>
          <w:szCs w:val="28"/>
          <w14:textFill>
            <w14:solidFill>
              <w14:schemeClr w14:val="tx1"/>
            </w14:solidFill>
          </w14:textFill>
        </w:rPr>
        <w:fldChar w:fldCharType="end"/>
      </w:r>
    </w:p>
    <w:p w14:paraId="59AACF3E">
      <w:pPr>
        <w:pStyle w:val="20"/>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fldChar w:fldCharType="begin"/>
      </w:r>
      <w:r>
        <w:rPr>
          <w:rFonts w:hint="default" w:ascii="Times New Roman" w:hAnsi="Times New Roman" w:eastAsia="宋体" w:cs="Times New Roman"/>
          <w:color w:val="000000" w:themeColor="text1"/>
          <w:sz w:val="28"/>
          <w:szCs w:val="28"/>
          <w14:textFill>
            <w14:solidFill>
              <w14:schemeClr w14:val="tx1"/>
            </w14:solidFill>
          </w14:textFill>
        </w:rPr>
        <w:instrText xml:space="preserve"> HYPERLINK \l _Toc8951 </w:instrText>
      </w:r>
      <w:r>
        <w:rPr>
          <w:rFonts w:hint="default" w:ascii="Times New Roman" w:hAnsi="Times New Roman" w:eastAsia="宋体" w:cs="Times New Roman"/>
          <w:color w:val="000000" w:themeColor="text1"/>
          <w:sz w:val="28"/>
          <w:szCs w:val="28"/>
          <w14:textFill>
            <w14:solidFill>
              <w14:schemeClr w14:val="tx1"/>
            </w14:solidFill>
          </w14:textFill>
        </w:rPr>
        <w:fldChar w:fldCharType="separate"/>
      </w:r>
      <w:r>
        <w:rPr>
          <w:rFonts w:hint="default" w:ascii="Times New Roman" w:hAnsi="Times New Roman" w:eastAsia="宋体" w:cs="Times New Roman"/>
          <w:snapToGrid w:val="0"/>
          <w:color w:val="000000" w:themeColor="text1"/>
          <w:sz w:val="28"/>
          <w:szCs w:val="28"/>
          <w14:textFill>
            <w14:solidFill>
              <w14:schemeClr w14:val="tx1"/>
            </w14:solidFill>
          </w14:textFill>
        </w:rPr>
        <w:t>三、区域环境质量现状、环境保护目标及评价标准</w:t>
      </w:r>
      <w:r>
        <w:rPr>
          <w:rFonts w:hint="default" w:ascii="Times New Roman" w:hAnsi="Times New Roman" w:eastAsia="宋体" w:cs="Times New Roman"/>
          <w:color w:val="000000" w:themeColor="text1"/>
          <w:sz w:val="28"/>
          <w:szCs w:val="28"/>
          <w14:textFill>
            <w14:solidFill>
              <w14:schemeClr w14:val="tx1"/>
            </w14:solidFill>
          </w14:textFill>
        </w:rPr>
        <w:tab/>
      </w:r>
      <w:r>
        <w:rPr>
          <w:rFonts w:hint="default" w:ascii="Times New Roman" w:hAnsi="Times New Roman" w:eastAsia="宋体" w:cs="Times New Roman"/>
          <w:color w:val="000000" w:themeColor="text1"/>
          <w:sz w:val="28"/>
          <w:szCs w:val="28"/>
          <w14:textFill>
            <w14:solidFill>
              <w14:schemeClr w14:val="tx1"/>
            </w14:solidFill>
          </w14:textFill>
        </w:rPr>
        <w:fldChar w:fldCharType="begin"/>
      </w:r>
      <w:r>
        <w:rPr>
          <w:rFonts w:hint="default" w:ascii="Times New Roman" w:hAnsi="Times New Roman" w:eastAsia="宋体" w:cs="Times New Roman"/>
          <w:color w:val="000000" w:themeColor="text1"/>
          <w:sz w:val="28"/>
          <w:szCs w:val="28"/>
          <w14:textFill>
            <w14:solidFill>
              <w14:schemeClr w14:val="tx1"/>
            </w14:solidFill>
          </w14:textFill>
        </w:rPr>
        <w:instrText xml:space="preserve"> PAGEREF _Toc8951 \h </w:instrText>
      </w:r>
      <w:r>
        <w:rPr>
          <w:rFonts w:hint="default" w:ascii="Times New Roman" w:hAnsi="Times New Roman" w:eastAsia="宋体" w:cs="Times New Roman"/>
          <w:color w:val="000000" w:themeColor="text1"/>
          <w:sz w:val="28"/>
          <w:szCs w:val="28"/>
          <w14:textFill>
            <w14:solidFill>
              <w14:schemeClr w14:val="tx1"/>
            </w14:solidFill>
          </w14:textFill>
        </w:rPr>
        <w:fldChar w:fldCharType="separate"/>
      </w:r>
      <w:r>
        <w:rPr>
          <w:rFonts w:hint="default" w:ascii="Times New Roman" w:hAnsi="Times New Roman" w:eastAsia="宋体" w:cs="Times New Roman"/>
          <w:color w:val="000000" w:themeColor="text1"/>
          <w:sz w:val="28"/>
          <w:szCs w:val="28"/>
          <w14:textFill>
            <w14:solidFill>
              <w14:schemeClr w14:val="tx1"/>
            </w14:solidFill>
          </w14:textFill>
        </w:rPr>
        <w:t>54</w:t>
      </w:r>
      <w:r>
        <w:rPr>
          <w:rFonts w:hint="default" w:ascii="Times New Roman" w:hAnsi="Times New Roman" w:eastAsia="宋体" w:cs="Times New Roman"/>
          <w:color w:val="000000" w:themeColor="text1"/>
          <w:sz w:val="28"/>
          <w:szCs w:val="28"/>
          <w14:textFill>
            <w14:solidFill>
              <w14:schemeClr w14:val="tx1"/>
            </w14:solidFill>
          </w14:textFill>
        </w:rPr>
        <w:fldChar w:fldCharType="end"/>
      </w:r>
      <w:r>
        <w:rPr>
          <w:rFonts w:hint="default" w:ascii="Times New Roman" w:hAnsi="Times New Roman" w:eastAsia="宋体" w:cs="Times New Roman"/>
          <w:color w:val="000000" w:themeColor="text1"/>
          <w:sz w:val="28"/>
          <w:szCs w:val="28"/>
          <w14:textFill>
            <w14:solidFill>
              <w14:schemeClr w14:val="tx1"/>
            </w14:solidFill>
          </w14:textFill>
        </w:rPr>
        <w:fldChar w:fldCharType="end"/>
      </w:r>
    </w:p>
    <w:p w14:paraId="57A87DD0">
      <w:pPr>
        <w:pStyle w:val="20"/>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fldChar w:fldCharType="begin"/>
      </w:r>
      <w:r>
        <w:rPr>
          <w:rFonts w:hint="default" w:ascii="Times New Roman" w:hAnsi="Times New Roman" w:eastAsia="宋体" w:cs="Times New Roman"/>
          <w:color w:val="000000" w:themeColor="text1"/>
          <w:sz w:val="28"/>
          <w:szCs w:val="28"/>
          <w14:textFill>
            <w14:solidFill>
              <w14:schemeClr w14:val="tx1"/>
            </w14:solidFill>
          </w14:textFill>
        </w:rPr>
        <w:instrText xml:space="preserve"> HYPERLINK \l _Toc28669 </w:instrText>
      </w:r>
      <w:r>
        <w:rPr>
          <w:rFonts w:hint="default" w:ascii="Times New Roman" w:hAnsi="Times New Roman" w:eastAsia="宋体" w:cs="Times New Roman"/>
          <w:color w:val="000000" w:themeColor="text1"/>
          <w:sz w:val="28"/>
          <w:szCs w:val="28"/>
          <w14:textFill>
            <w14:solidFill>
              <w14:schemeClr w14:val="tx1"/>
            </w14:solidFill>
          </w14:textFill>
        </w:rPr>
        <w:fldChar w:fldCharType="separate"/>
      </w:r>
      <w:r>
        <w:rPr>
          <w:rFonts w:hint="default" w:ascii="Times New Roman" w:hAnsi="Times New Roman" w:eastAsia="宋体" w:cs="Times New Roman"/>
          <w:snapToGrid w:val="0"/>
          <w:color w:val="000000" w:themeColor="text1"/>
          <w:sz w:val="28"/>
          <w:szCs w:val="28"/>
          <w14:textFill>
            <w14:solidFill>
              <w14:schemeClr w14:val="tx1"/>
            </w14:solidFill>
          </w14:textFill>
        </w:rPr>
        <w:t>四、主要环境影响和保护措施</w:t>
      </w:r>
      <w:r>
        <w:rPr>
          <w:rFonts w:hint="default" w:ascii="Times New Roman" w:hAnsi="Times New Roman" w:eastAsia="宋体" w:cs="Times New Roman"/>
          <w:color w:val="000000" w:themeColor="text1"/>
          <w:sz w:val="28"/>
          <w:szCs w:val="28"/>
          <w14:textFill>
            <w14:solidFill>
              <w14:schemeClr w14:val="tx1"/>
            </w14:solidFill>
          </w14:textFill>
        </w:rPr>
        <w:tab/>
      </w:r>
      <w:r>
        <w:rPr>
          <w:rFonts w:hint="default" w:ascii="Times New Roman" w:hAnsi="Times New Roman" w:eastAsia="宋体" w:cs="Times New Roman"/>
          <w:color w:val="000000" w:themeColor="text1"/>
          <w:sz w:val="28"/>
          <w:szCs w:val="28"/>
          <w14:textFill>
            <w14:solidFill>
              <w14:schemeClr w14:val="tx1"/>
            </w14:solidFill>
          </w14:textFill>
        </w:rPr>
        <w:fldChar w:fldCharType="begin"/>
      </w:r>
      <w:r>
        <w:rPr>
          <w:rFonts w:hint="default" w:ascii="Times New Roman" w:hAnsi="Times New Roman" w:eastAsia="宋体" w:cs="Times New Roman"/>
          <w:color w:val="000000" w:themeColor="text1"/>
          <w:sz w:val="28"/>
          <w:szCs w:val="28"/>
          <w14:textFill>
            <w14:solidFill>
              <w14:schemeClr w14:val="tx1"/>
            </w14:solidFill>
          </w14:textFill>
        </w:rPr>
        <w:instrText xml:space="preserve"> PAGEREF _Toc28669 \h </w:instrText>
      </w:r>
      <w:r>
        <w:rPr>
          <w:rFonts w:hint="default" w:ascii="Times New Roman" w:hAnsi="Times New Roman" w:eastAsia="宋体" w:cs="Times New Roman"/>
          <w:color w:val="000000" w:themeColor="text1"/>
          <w:sz w:val="28"/>
          <w:szCs w:val="28"/>
          <w14:textFill>
            <w14:solidFill>
              <w14:schemeClr w14:val="tx1"/>
            </w14:solidFill>
          </w14:textFill>
        </w:rPr>
        <w:fldChar w:fldCharType="separate"/>
      </w:r>
      <w:r>
        <w:rPr>
          <w:rFonts w:hint="default" w:ascii="Times New Roman" w:hAnsi="Times New Roman" w:eastAsia="宋体" w:cs="Times New Roman"/>
          <w:color w:val="000000" w:themeColor="text1"/>
          <w:sz w:val="28"/>
          <w:szCs w:val="28"/>
          <w14:textFill>
            <w14:solidFill>
              <w14:schemeClr w14:val="tx1"/>
            </w14:solidFill>
          </w14:textFill>
        </w:rPr>
        <w:t>64</w:t>
      </w:r>
      <w:r>
        <w:rPr>
          <w:rFonts w:hint="default" w:ascii="Times New Roman" w:hAnsi="Times New Roman" w:eastAsia="宋体" w:cs="Times New Roman"/>
          <w:color w:val="000000" w:themeColor="text1"/>
          <w:sz w:val="28"/>
          <w:szCs w:val="28"/>
          <w14:textFill>
            <w14:solidFill>
              <w14:schemeClr w14:val="tx1"/>
            </w14:solidFill>
          </w14:textFill>
        </w:rPr>
        <w:fldChar w:fldCharType="end"/>
      </w:r>
      <w:r>
        <w:rPr>
          <w:rFonts w:hint="default" w:ascii="Times New Roman" w:hAnsi="Times New Roman" w:eastAsia="宋体" w:cs="Times New Roman"/>
          <w:color w:val="000000" w:themeColor="text1"/>
          <w:sz w:val="28"/>
          <w:szCs w:val="28"/>
          <w14:textFill>
            <w14:solidFill>
              <w14:schemeClr w14:val="tx1"/>
            </w14:solidFill>
          </w14:textFill>
        </w:rPr>
        <w:fldChar w:fldCharType="end"/>
      </w:r>
    </w:p>
    <w:p w14:paraId="421D26D9">
      <w:pPr>
        <w:pStyle w:val="20"/>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fldChar w:fldCharType="begin"/>
      </w:r>
      <w:r>
        <w:rPr>
          <w:rFonts w:hint="default" w:ascii="Times New Roman" w:hAnsi="Times New Roman" w:eastAsia="宋体" w:cs="Times New Roman"/>
          <w:color w:val="000000" w:themeColor="text1"/>
          <w:sz w:val="28"/>
          <w:szCs w:val="28"/>
          <w14:textFill>
            <w14:solidFill>
              <w14:schemeClr w14:val="tx1"/>
            </w14:solidFill>
          </w14:textFill>
        </w:rPr>
        <w:instrText xml:space="preserve"> HYPERLINK \l _Toc73 </w:instrText>
      </w:r>
      <w:r>
        <w:rPr>
          <w:rFonts w:hint="default" w:ascii="Times New Roman" w:hAnsi="Times New Roman" w:eastAsia="宋体" w:cs="Times New Roman"/>
          <w:color w:val="000000" w:themeColor="text1"/>
          <w:sz w:val="28"/>
          <w:szCs w:val="28"/>
          <w14:textFill>
            <w14:solidFill>
              <w14:schemeClr w14:val="tx1"/>
            </w14:solidFill>
          </w14:textFill>
        </w:rPr>
        <w:fldChar w:fldCharType="separate"/>
      </w:r>
      <w:r>
        <w:rPr>
          <w:rFonts w:hint="default" w:ascii="Times New Roman" w:hAnsi="Times New Roman" w:eastAsia="宋体" w:cs="Times New Roman"/>
          <w:snapToGrid w:val="0"/>
          <w:color w:val="000000" w:themeColor="text1"/>
          <w:sz w:val="28"/>
          <w:szCs w:val="28"/>
          <w14:textFill>
            <w14:solidFill>
              <w14:schemeClr w14:val="tx1"/>
            </w14:solidFill>
          </w14:textFill>
        </w:rPr>
        <w:t>五、环境保护措施监督检查清单</w:t>
      </w:r>
      <w:r>
        <w:rPr>
          <w:rFonts w:hint="default" w:ascii="Times New Roman" w:hAnsi="Times New Roman" w:eastAsia="宋体" w:cs="Times New Roman"/>
          <w:color w:val="000000" w:themeColor="text1"/>
          <w:sz w:val="28"/>
          <w:szCs w:val="28"/>
          <w14:textFill>
            <w14:solidFill>
              <w14:schemeClr w14:val="tx1"/>
            </w14:solidFill>
          </w14:textFill>
        </w:rPr>
        <w:tab/>
      </w:r>
      <w:r>
        <w:rPr>
          <w:rFonts w:hint="default" w:ascii="Times New Roman" w:hAnsi="Times New Roman" w:eastAsia="宋体" w:cs="Times New Roman"/>
          <w:color w:val="000000" w:themeColor="text1"/>
          <w:sz w:val="28"/>
          <w:szCs w:val="28"/>
          <w14:textFill>
            <w14:solidFill>
              <w14:schemeClr w14:val="tx1"/>
            </w14:solidFill>
          </w14:textFill>
        </w:rPr>
        <w:fldChar w:fldCharType="begin"/>
      </w:r>
      <w:r>
        <w:rPr>
          <w:rFonts w:hint="default" w:ascii="Times New Roman" w:hAnsi="Times New Roman" w:eastAsia="宋体" w:cs="Times New Roman"/>
          <w:color w:val="000000" w:themeColor="text1"/>
          <w:sz w:val="28"/>
          <w:szCs w:val="28"/>
          <w14:textFill>
            <w14:solidFill>
              <w14:schemeClr w14:val="tx1"/>
            </w14:solidFill>
          </w14:textFill>
        </w:rPr>
        <w:instrText xml:space="preserve"> PAGEREF _Toc73 \h </w:instrText>
      </w:r>
      <w:r>
        <w:rPr>
          <w:rFonts w:hint="default" w:ascii="Times New Roman" w:hAnsi="Times New Roman" w:eastAsia="宋体" w:cs="Times New Roman"/>
          <w:color w:val="000000" w:themeColor="text1"/>
          <w:sz w:val="28"/>
          <w:szCs w:val="28"/>
          <w14:textFill>
            <w14:solidFill>
              <w14:schemeClr w14:val="tx1"/>
            </w14:solidFill>
          </w14:textFill>
        </w:rPr>
        <w:fldChar w:fldCharType="separate"/>
      </w:r>
      <w:r>
        <w:rPr>
          <w:rFonts w:hint="default" w:ascii="Times New Roman" w:hAnsi="Times New Roman" w:eastAsia="宋体" w:cs="Times New Roman"/>
          <w:color w:val="000000" w:themeColor="text1"/>
          <w:sz w:val="28"/>
          <w:szCs w:val="28"/>
          <w14:textFill>
            <w14:solidFill>
              <w14:schemeClr w14:val="tx1"/>
            </w14:solidFill>
          </w14:textFill>
        </w:rPr>
        <w:t>96</w:t>
      </w:r>
      <w:r>
        <w:rPr>
          <w:rFonts w:hint="default" w:ascii="Times New Roman" w:hAnsi="Times New Roman" w:eastAsia="宋体" w:cs="Times New Roman"/>
          <w:color w:val="000000" w:themeColor="text1"/>
          <w:sz w:val="28"/>
          <w:szCs w:val="28"/>
          <w14:textFill>
            <w14:solidFill>
              <w14:schemeClr w14:val="tx1"/>
            </w14:solidFill>
          </w14:textFill>
        </w:rPr>
        <w:fldChar w:fldCharType="end"/>
      </w:r>
      <w:r>
        <w:rPr>
          <w:rFonts w:hint="default" w:ascii="Times New Roman" w:hAnsi="Times New Roman" w:eastAsia="宋体" w:cs="Times New Roman"/>
          <w:color w:val="000000" w:themeColor="text1"/>
          <w:sz w:val="28"/>
          <w:szCs w:val="28"/>
          <w14:textFill>
            <w14:solidFill>
              <w14:schemeClr w14:val="tx1"/>
            </w14:solidFill>
          </w14:textFill>
        </w:rPr>
        <w:fldChar w:fldCharType="end"/>
      </w:r>
    </w:p>
    <w:p w14:paraId="73F8E870">
      <w:pPr>
        <w:pStyle w:val="20"/>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fldChar w:fldCharType="begin"/>
      </w:r>
      <w:r>
        <w:rPr>
          <w:rFonts w:hint="default" w:ascii="Times New Roman" w:hAnsi="Times New Roman" w:eastAsia="宋体" w:cs="Times New Roman"/>
          <w:color w:val="000000" w:themeColor="text1"/>
          <w:sz w:val="28"/>
          <w:szCs w:val="28"/>
          <w14:textFill>
            <w14:solidFill>
              <w14:schemeClr w14:val="tx1"/>
            </w14:solidFill>
          </w14:textFill>
        </w:rPr>
        <w:instrText xml:space="preserve"> HYPERLINK \l _Toc25594 </w:instrText>
      </w:r>
      <w:r>
        <w:rPr>
          <w:rFonts w:hint="default" w:ascii="Times New Roman" w:hAnsi="Times New Roman" w:eastAsia="宋体" w:cs="Times New Roman"/>
          <w:color w:val="000000" w:themeColor="text1"/>
          <w:sz w:val="28"/>
          <w:szCs w:val="28"/>
          <w14:textFill>
            <w14:solidFill>
              <w14:schemeClr w14:val="tx1"/>
            </w14:solidFill>
          </w14:textFill>
        </w:rPr>
        <w:fldChar w:fldCharType="separate"/>
      </w:r>
      <w:r>
        <w:rPr>
          <w:rFonts w:hint="default" w:ascii="Times New Roman" w:hAnsi="Times New Roman" w:eastAsia="宋体" w:cs="Times New Roman"/>
          <w:snapToGrid w:val="0"/>
          <w:color w:val="000000" w:themeColor="text1"/>
          <w:sz w:val="28"/>
          <w:szCs w:val="28"/>
          <w14:textFill>
            <w14:solidFill>
              <w14:schemeClr w14:val="tx1"/>
            </w14:solidFill>
          </w14:textFill>
        </w:rPr>
        <w:t>六、结论</w:t>
      </w:r>
      <w:r>
        <w:rPr>
          <w:rFonts w:hint="default" w:ascii="Times New Roman" w:hAnsi="Times New Roman" w:eastAsia="宋体" w:cs="Times New Roman"/>
          <w:color w:val="000000" w:themeColor="text1"/>
          <w:sz w:val="28"/>
          <w:szCs w:val="28"/>
          <w14:textFill>
            <w14:solidFill>
              <w14:schemeClr w14:val="tx1"/>
            </w14:solidFill>
          </w14:textFill>
        </w:rPr>
        <w:tab/>
      </w:r>
      <w:r>
        <w:rPr>
          <w:rFonts w:hint="default" w:ascii="Times New Roman" w:hAnsi="Times New Roman" w:eastAsia="宋体" w:cs="Times New Roman"/>
          <w:color w:val="000000" w:themeColor="text1"/>
          <w:sz w:val="28"/>
          <w:szCs w:val="28"/>
          <w14:textFill>
            <w14:solidFill>
              <w14:schemeClr w14:val="tx1"/>
            </w14:solidFill>
          </w14:textFill>
        </w:rPr>
        <w:fldChar w:fldCharType="begin"/>
      </w:r>
      <w:r>
        <w:rPr>
          <w:rFonts w:hint="default" w:ascii="Times New Roman" w:hAnsi="Times New Roman" w:eastAsia="宋体" w:cs="Times New Roman"/>
          <w:color w:val="000000" w:themeColor="text1"/>
          <w:sz w:val="28"/>
          <w:szCs w:val="28"/>
          <w14:textFill>
            <w14:solidFill>
              <w14:schemeClr w14:val="tx1"/>
            </w14:solidFill>
          </w14:textFill>
        </w:rPr>
        <w:instrText xml:space="preserve"> PAGEREF _Toc25594 \h </w:instrText>
      </w:r>
      <w:r>
        <w:rPr>
          <w:rFonts w:hint="default" w:ascii="Times New Roman" w:hAnsi="Times New Roman" w:eastAsia="宋体" w:cs="Times New Roman"/>
          <w:color w:val="000000" w:themeColor="text1"/>
          <w:sz w:val="28"/>
          <w:szCs w:val="28"/>
          <w14:textFill>
            <w14:solidFill>
              <w14:schemeClr w14:val="tx1"/>
            </w14:solidFill>
          </w14:textFill>
        </w:rPr>
        <w:fldChar w:fldCharType="separate"/>
      </w:r>
      <w:r>
        <w:rPr>
          <w:rFonts w:hint="default" w:ascii="Times New Roman" w:hAnsi="Times New Roman" w:eastAsia="宋体" w:cs="Times New Roman"/>
          <w:color w:val="000000" w:themeColor="text1"/>
          <w:sz w:val="28"/>
          <w:szCs w:val="28"/>
          <w14:textFill>
            <w14:solidFill>
              <w14:schemeClr w14:val="tx1"/>
            </w14:solidFill>
          </w14:textFill>
        </w:rPr>
        <w:t>109</w:t>
      </w:r>
      <w:r>
        <w:rPr>
          <w:rFonts w:hint="default" w:ascii="Times New Roman" w:hAnsi="Times New Roman" w:eastAsia="宋体" w:cs="Times New Roman"/>
          <w:color w:val="000000" w:themeColor="text1"/>
          <w:sz w:val="28"/>
          <w:szCs w:val="28"/>
          <w14:textFill>
            <w14:solidFill>
              <w14:schemeClr w14:val="tx1"/>
            </w14:solidFill>
          </w14:textFill>
        </w:rPr>
        <w:fldChar w:fldCharType="end"/>
      </w:r>
      <w:r>
        <w:rPr>
          <w:rFonts w:hint="default" w:ascii="Times New Roman" w:hAnsi="Times New Roman" w:eastAsia="宋体" w:cs="Times New Roman"/>
          <w:color w:val="000000" w:themeColor="text1"/>
          <w:sz w:val="28"/>
          <w:szCs w:val="28"/>
          <w14:textFill>
            <w14:solidFill>
              <w14:schemeClr w14:val="tx1"/>
            </w14:solidFill>
          </w14:textFill>
        </w:rPr>
        <w:fldChar w:fldCharType="end"/>
      </w:r>
    </w:p>
    <w:p w14:paraId="5A2E0CF0">
      <w:pPr>
        <w:pStyle w:val="20"/>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fldChar w:fldCharType="begin"/>
      </w:r>
      <w:r>
        <w:rPr>
          <w:rFonts w:hint="default" w:ascii="Times New Roman" w:hAnsi="Times New Roman" w:eastAsia="宋体" w:cs="Times New Roman"/>
          <w:color w:val="000000" w:themeColor="text1"/>
          <w:sz w:val="28"/>
          <w:szCs w:val="28"/>
          <w14:textFill>
            <w14:solidFill>
              <w14:schemeClr w14:val="tx1"/>
            </w14:solidFill>
          </w14:textFill>
        </w:rPr>
        <w:instrText xml:space="preserve"> HYPERLINK \l _Toc19228 </w:instrText>
      </w:r>
      <w:r>
        <w:rPr>
          <w:rFonts w:hint="default" w:ascii="Times New Roman" w:hAnsi="Times New Roman" w:eastAsia="宋体" w:cs="Times New Roman"/>
          <w:color w:val="000000" w:themeColor="text1"/>
          <w:sz w:val="28"/>
          <w:szCs w:val="28"/>
          <w14:textFill>
            <w14:solidFill>
              <w14:schemeClr w14:val="tx1"/>
            </w14:solidFill>
          </w14:textFill>
        </w:rPr>
        <w:fldChar w:fldCharType="separate"/>
      </w:r>
      <w:r>
        <w:rPr>
          <w:rFonts w:hint="default" w:ascii="Times New Roman" w:hAnsi="Times New Roman" w:eastAsia="宋体" w:cs="Times New Roman"/>
          <w:snapToGrid w:val="0"/>
          <w:color w:val="000000" w:themeColor="text1"/>
          <w:sz w:val="28"/>
          <w:szCs w:val="28"/>
          <w14:textFill>
            <w14:solidFill>
              <w14:schemeClr w14:val="tx1"/>
            </w14:solidFill>
          </w14:textFill>
        </w:rPr>
        <w:t>建设项目污染物排放量汇总表</w:t>
      </w:r>
      <w:r>
        <w:rPr>
          <w:rFonts w:hint="default" w:ascii="Times New Roman" w:hAnsi="Times New Roman" w:eastAsia="宋体" w:cs="Times New Roman"/>
          <w:color w:val="000000" w:themeColor="text1"/>
          <w:sz w:val="28"/>
          <w:szCs w:val="28"/>
          <w14:textFill>
            <w14:solidFill>
              <w14:schemeClr w14:val="tx1"/>
            </w14:solidFill>
          </w14:textFill>
        </w:rPr>
        <w:tab/>
      </w:r>
      <w:r>
        <w:rPr>
          <w:rFonts w:hint="default" w:ascii="Times New Roman" w:hAnsi="Times New Roman" w:eastAsia="宋体" w:cs="Times New Roman"/>
          <w:color w:val="000000" w:themeColor="text1"/>
          <w:sz w:val="28"/>
          <w:szCs w:val="28"/>
          <w14:textFill>
            <w14:solidFill>
              <w14:schemeClr w14:val="tx1"/>
            </w14:solidFill>
          </w14:textFill>
        </w:rPr>
        <w:fldChar w:fldCharType="begin"/>
      </w:r>
      <w:r>
        <w:rPr>
          <w:rFonts w:hint="default" w:ascii="Times New Roman" w:hAnsi="Times New Roman" w:eastAsia="宋体" w:cs="Times New Roman"/>
          <w:color w:val="000000" w:themeColor="text1"/>
          <w:sz w:val="28"/>
          <w:szCs w:val="28"/>
          <w14:textFill>
            <w14:solidFill>
              <w14:schemeClr w14:val="tx1"/>
            </w14:solidFill>
          </w14:textFill>
        </w:rPr>
        <w:instrText xml:space="preserve"> PAGEREF _Toc19228 \h </w:instrText>
      </w:r>
      <w:r>
        <w:rPr>
          <w:rFonts w:hint="default" w:ascii="Times New Roman" w:hAnsi="Times New Roman" w:eastAsia="宋体" w:cs="Times New Roman"/>
          <w:color w:val="000000" w:themeColor="text1"/>
          <w:sz w:val="28"/>
          <w:szCs w:val="28"/>
          <w14:textFill>
            <w14:solidFill>
              <w14:schemeClr w14:val="tx1"/>
            </w14:solidFill>
          </w14:textFill>
        </w:rPr>
        <w:fldChar w:fldCharType="separate"/>
      </w:r>
      <w:r>
        <w:rPr>
          <w:rFonts w:hint="default" w:ascii="Times New Roman" w:hAnsi="Times New Roman" w:eastAsia="宋体" w:cs="Times New Roman"/>
          <w:color w:val="000000" w:themeColor="text1"/>
          <w:sz w:val="28"/>
          <w:szCs w:val="28"/>
          <w14:textFill>
            <w14:solidFill>
              <w14:schemeClr w14:val="tx1"/>
            </w14:solidFill>
          </w14:textFill>
        </w:rPr>
        <w:t>110</w:t>
      </w:r>
      <w:r>
        <w:rPr>
          <w:rFonts w:hint="default" w:ascii="Times New Roman" w:hAnsi="Times New Roman" w:eastAsia="宋体" w:cs="Times New Roman"/>
          <w:color w:val="000000" w:themeColor="text1"/>
          <w:sz w:val="28"/>
          <w:szCs w:val="28"/>
          <w14:textFill>
            <w14:solidFill>
              <w14:schemeClr w14:val="tx1"/>
            </w14:solidFill>
          </w14:textFill>
        </w:rPr>
        <w:fldChar w:fldCharType="end"/>
      </w:r>
      <w:r>
        <w:rPr>
          <w:rFonts w:hint="default" w:ascii="Times New Roman" w:hAnsi="Times New Roman" w:eastAsia="宋体" w:cs="Times New Roman"/>
          <w:color w:val="000000" w:themeColor="text1"/>
          <w:sz w:val="28"/>
          <w:szCs w:val="28"/>
          <w14:textFill>
            <w14:solidFill>
              <w14:schemeClr w14:val="tx1"/>
            </w14:solidFill>
          </w14:textFill>
        </w:rPr>
        <w:fldChar w:fldCharType="end"/>
      </w:r>
    </w:p>
    <w:p w14:paraId="5FDAB495">
      <w:pPr>
        <w:keepNext w:val="0"/>
        <w:keepLines w:val="0"/>
        <w:pageBreakBefore w:val="0"/>
        <w:widowControl w:val="0"/>
        <w:kinsoku/>
        <w:wordWrap/>
        <w:overflowPunct/>
        <w:topLinePunct w:val="0"/>
        <w:autoSpaceDE/>
        <w:autoSpaceDN/>
        <w:bidi w:val="0"/>
        <w:adjustRightInd/>
        <w:snapToGrid/>
        <w:spacing w:line="360" w:lineRule="auto"/>
        <w:ind w:left="0" w:leftChars="0" w:firstLine="0"/>
        <w:jc w:val="both"/>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fldChar w:fldCharType="end"/>
      </w:r>
    </w:p>
    <w:p w14:paraId="6F1624B8">
      <w:pPr>
        <w:bidi w:val="0"/>
        <w:rPr>
          <w:rFonts w:hint="default"/>
          <w:color w:val="000000" w:themeColor="text1"/>
          <w14:textFill>
            <w14:solidFill>
              <w14:schemeClr w14:val="tx1"/>
            </w14:solidFill>
          </w14:textFill>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p>
    <w:p w14:paraId="341066DC">
      <w:pPr>
        <w:pStyle w:val="2"/>
        <w:keepNext/>
        <w:keepLines w:val="0"/>
        <w:pageBreakBefore w:val="0"/>
        <w:widowControl w:val="0"/>
        <w:kinsoku/>
        <w:wordWrap/>
        <w:overflowPunct w:val="0"/>
        <w:topLinePunct w:val="0"/>
        <w:autoSpaceDE/>
        <w:autoSpaceDN/>
        <w:bidi w:val="0"/>
        <w:adjustRightInd/>
        <w:snapToGrid w:val="0"/>
        <w:spacing w:line="260" w:lineRule="auto"/>
        <w:ind w:left="0" w:firstLine="0"/>
        <w:jc w:val="center"/>
        <w:textAlignment w:val="auto"/>
        <w:rPr>
          <w:rFonts w:hint="eastAsia" w:ascii="Times New Roman" w:hAnsi="Times New Roman" w:eastAsia="宋体" w:cs="Times New Roman"/>
          <w:color w:val="000000" w:themeColor="text1"/>
          <w14:textFill>
            <w14:solidFill>
              <w14:schemeClr w14:val="tx1"/>
            </w14:solidFill>
          </w14:textFill>
        </w:rPr>
      </w:pPr>
      <w:bookmarkStart w:id="2" w:name="_Toc29635"/>
      <w:r>
        <w:rPr>
          <w:rFonts w:hint="eastAsia" w:ascii="Times New Roman" w:hAnsi="Times New Roman" w:eastAsia="宋体" w:cs="Times New Roman"/>
          <w:color w:val="000000" w:themeColor="text1"/>
          <w14:textFill>
            <w14:solidFill>
              <w14:schemeClr w14:val="tx1"/>
            </w14:solidFill>
          </w14:textFill>
        </w:rPr>
        <w:t>一、建设项目基本情况</w:t>
      </w:r>
      <w:bookmarkEnd w:id="2"/>
    </w:p>
    <w:tbl>
      <w:tblPr>
        <w:tblStyle w:val="28"/>
        <w:tblW w:w="92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723"/>
        <w:gridCol w:w="2712"/>
        <w:gridCol w:w="1900"/>
        <w:gridCol w:w="2906"/>
      </w:tblGrid>
      <w:tr w14:paraId="0DDE07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23" w:type="dxa"/>
            <w:noWrap w:val="0"/>
            <w:tcMar>
              <w:top w:w="16" w:type="dxa"/>
              <w:left w:w="16" w:type="dxa"/>
              <w:right w:w="16" w:type="dxa"/>
            </w:tcMar>
            <w:vAlign w:val="center"/>
          </w:tcPr>
          <w:p w14:paraId="5DE977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建设项目名称</w:t>
            </w:r>
          </w:p>
        </w:tc>
        <w:tc>
          <w:tcPr>
            <w:tcW w:w="7518" w:type="dxa"/>
            <w:gridSpan w:val="3"/>
            <w:noWrap w:val="0"/>
            <w:vAlign w:val="center"/>
          </w:tcPr>
          <w:p w14:paraId="3D5465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罗平阿岗镇青瓦制作技艺改造项目（非物质文化遗产）</w:t>
            </w:r>
          </w:p>
        </w:tc>
      </w:tr>
      <w:tr w14:paraId="7BB927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23" w:type="dxa"/>
            <w:noWrap w:val="0"/>
            <w:tcMar>
              <w:top w:w="16" w:type="dxa"/>
              <w:left w:w="16" w:type="dxa"/>
              <w:right w:w="16" w:type="dxa"/>
            </w:tcMar>
            <w:vAlign w:val="center"/>
          </w:tcPr>
          <w:p w14:paraId="08FDB1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项目代码</w:t>
            </w:r>
          </w:p>
        </w:tc>
        <w:tc>
          <w:tcPr>
            <w:tcW w:w="7518" w:type="dxa"/>
            <w:gridSpan w:val="3"/>
            <w:noWrap w:val="0"/>
            <w:vAlign w:val="center"/>
          </w:tcPr>
          <w:p w14:paraId="0FE29D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2408-530324-04-01-818897</w:t>
            </w:r>
          </w:p>
        </w:tc>
      </w:tr>
      <w:tr w14:paraId="36D337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23" w:type="dxa"/>
            <w:noWrap w:val="0"/>
            <w:tcMar>
              <w:top w:w="16" w:type="dxa"/>
              <w:left w:w="16" w:type="dxa"/>
              <w:right w:w="16" w:type="dxa"/>
            </w:tcMar>
            <w:vAlign w:val="center"/>
          </w:tcPr>
          <w:p w14:paraId="318A68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建设单位联系人</w:t>
            </w:r>
          </w:p>
        </w:tc>
        <w:tc>
          <w:tcPr>
            <w:tcW w:w="2712" w:type="dxa"/>
            <w:noWrap w:val="0"/>
            <w:vAlign w:val="center"/>
          </w:tcPr>
          <w:p w14:paraId="686EC3AA">
            <w:pPr>
              <w:pStyle w:val="75"/>
              <w:ind w:firstLine="0" w:firstLineChars="0"/>
              <w:rPr>
                <w:rFonts w:hint="default" w:ascii="Times New Roman" w:hAnsi="Times New Roman" w:eastAsia="宋体" w:cs="宋体"/>
                <w:color w:val="000000" w:themeColor="text1"/>
                <w:spacing w:val="0"/>
                <w:kern w:val="0"/>
                <w:sz w:val="24"/>
                <w:szCs w:val="24"/>
                <w:lang w:val="en-US" w:eastAsia="zh-CN" w:bidi="ar-SA"/>
                <w14:textFill>
                  <w14:solidFill>
                    <w14:schemeClr w14:val="tx1"/>
                  </w14:solidFill>
                </w14:textFill>
              </w:rPr>
            </w:pPr>
            <w:r>
              <w:rPr>
                <w:rFonts w:hint="eastAsia" w:cs="宋体"/>
                <w:color w:val="000000" w:themeColor="text1"/>
                <w:spacing w:val="0"/>
                <w:kern w:val="0"/>
                <w:sz w:val="24"/>
                <w:szCs w:val="24"/>
                <w:lang w:val="en-US" w:eastAsia="zh-CN" w:bidi="ar-SA"/>
                <w14:textFill>
                  <w14:solidFill>
                    <w14:schemeClr w14:val="tx1"/>
                  </w14:solidFill>
                </w14:textFill>
              </w:rPr>
              <w:t>***</w:t>
            </w:r>
          </w:p>
        </w:tc>
        <w:tc>
          <w:tcPr>
            <w:tcW w:w="1900" w:type="dxa"/>
            <w:noWrap w:val="0"/>
            <w:vAlign w:val="center"/>
          </w:tcPr>
          <w:p w14:paraId="7E21FEEA">
            <w:pPr>
              <w:pStyle w:val="75"/>
              <w:ind w:firstLine="0" w:firstLineChars="0"/>
              <w:rPr>
                <w:rFonts w:hint="eastAsia" w:ascii="Times New Roman" w:hAnsi="Times New Roman" w:eastAsia="宋体" w:cs="宋体"/>
                <w:color w:val="000000" w:themeColor="text1"/>
                <w:spacing w:val="0"/>
                <w:kern w:val="0"/>
                <w:sz w:val="24"/>
                <w:szCs w:val="24"/>
                <w:lang w:val="en-US" w:eastAsia="zh-CN" w:bidi="ar-SA"/>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bidi="ar-SA"/>
                <w14:textFill>
                  <w14:solidFill>
                    <w14:schemeClr w14:val="tx1"/>
                  </w14:solidFill>
                </w14:textFill>
              </w:rPr>
              <w:t>联系方式</w:t>
            </w:r>
          </w:p>
        </w:tc>
        <w:tc>
          <w:tcPr>
            <w:tcW w:w="2906" w:type="dxa"/>
            <w:noWrap w:val="0"/>
            <w:vAlign w:val="center"/>
          </w:tcPr>
          <w:p w14:paraId="1E69F6E9">
            <w:pPr>
              <w:pStyle w:val="75"/>
              <w:ind w:firstLine="0" w:firstLineChars="0"/>
              <w:rPr>
                <w:rFonts w:hint="default" w:ascii="Times New Roman" w:hAnsi="Times New Roman" w:eastAsia="宋体" w:cs="宋体"/>
                <w:color w:val="000000" w:themeColor="text1"/>
                <w:spacing w:val="0"/>
                <w:kern w:val="0"/>
                <w:sz w:val="24"/>
                <w:szCs w:val="24"/>
                <w:lang w:val="en-US" w:eastAsia="zh-CN" w:bidi="ar-SA"/>
                <w14:textFill>
                  <w14:solidFill>
                    <w14:schemeClr w14:val="tx1"/>
                  </w14:solidFill>
                </w14:textFill>
              </w:rPr>
            </w:pPr>
            <w:r>
              <w:rPr>
                <w:rFonts w:hint="eastAsia" w:cs="宋体"/>
                <w:color w:val="000000" w:themeColor="text1"/>
                <w:spacing w:val="0"/>
                <w:kern w:val="0"/>
                <w:sz w:val="24"/>
                <w:szCs w:val="24"/>
                <w:lang w:val="en-US" w:eastAsia="zh-CN" w:bidi="ar-SA"/>
                <w14:textFill>
                  <w14:solidFill>
                    <w14:schemeClr w14:val="tx1"/>
                  </w14:solidFill>
                </w14:textFill>
              </w:rPr>
              <w:t>*****</w:t>
            </w:r>
          </w:p>
        </w:tc>
      </w:tr>
      <w:tr w14:paraId="7B08C1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23" w:type="dxa"/>
            <w:noWrap w:val="0"/>
            <w:tcMar>
              <w:top w:w="16" w:type="dxa"/>
              <w:left w:w="16" w:type="dxa"/>
              <w:right w:w="16" w:type="dxa"/>
            </w:tcMar>
            <w:vAlign w:val="center"/>
          </w:tcPr>
          <w:p w14:paraId="2B6125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建设地点</w:t>
            </w:r>
          </w:p>
        </w:tc>
        <w:tc>
          <w:tcPr>
            <w:tcW w:w="7518" w:type="dxa"/>
            <w:gridSpan w:val="3"/>
            <w:noWrap w:val="0"/>
            <w:vAlign w:val="center"/>
          </w:tcPr>
          <w:p w14:paraId="48180C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宋体"/>
                <w:color w:val="000000" w:themeColor="text1"/>
                <w:spacing w:val="0"/>
                <w:kern w:val="0"/>
                <w:sz w:val="24"/>
                <w:szCs w:val="24"/>
                <w:lang w:val="en-US"/>
                <w14:textFill>
                  <w14:solidFill>
                    <w14:schemeClr w14:val="tx1"/>
                  </w14:solidFill>
                </w14:textFill>
              </w:rPr>
            </w:pPr>
            <w:r>
              <w:rPr>
                <w:rFonts w:hint="eastAsia" w:ascii="Times New Roman" w:hAnsi="Times New Roman" w:eastAsia="宋体" w:cs="宋体"/>
                <w:color w:val="000000" w:themeColor="text1"/>
                <w:spacing w:val="0"/>
                <w:kern w:val="0"/>
                <w:sz w:val="24"/>
                <w:szCs w:val="24"/>
                <w:u w:val="single"/>
                <w:lang w:val="en-US" w:eastAsia="zh-CN"/>
                <w14:textFill>
                  <w14:solidFill>
                    <w14:schemeClr w14:val="tx1"/>
                  </w14:solidFill>
                </w14:textFill>
              </w:rPr>
              <w:t xml:space="preserve"> </w:t>
            </w:r>
            <w:r>
              <w:rPr>
                <w:rFonts w:hint="eastAsia" w:ascii="Times New Roman" w:hAnsi="Times New Roman" w:eastAsia="宋体" w:cs="宋体"/>
                <w:color w:val="000000" w:themeColor="text1"/>
                <w:spacing w:val="0"/>
                <w:kern w:val="0"/>
                <w:sz w:val="24"/>
                <w:szCs w:val="24"/>
                <w:u w:val="single"/>
                <w:lang w:eastAsia="zh-CN"/>
                <w14:textFill>
                  <w14:solidFill>
                    <w14:schemeClr w14:val="tx1"/>
                  </w14:solidFill>
                </w14:textFill>
              </w:rPr>
              <w:t>云南</w:t>
            </w:r>
            <w:r>
              <w:rPr>
                <w:rFonts w:hint="eastAsia" w:ascii="Times New Roman" w:hAnsi="Times New Roman" w:eastAsia="宋体" w:cs="宋体"/>
                <w:color w:val="000000" w:themeColor="text1"/>
                <w:spacing w:val="0"/>
                <w:kern w:val="0"/>
                <w:sz w:val="24"/>
                <w:szCs w:val="24"/>
                <w:u w:val="single"/>
                <w:lang w:val="en-US" w:eastAsia="zh-CN"/>
                <w14:textFill>
                  <w14:solidFill>
                    <w14:schemeClr w14:val="tx1"/>
                  </w14:solidFill>
                </w14:textFill>
              </w:rPr>
              <w:t xml:space="preserve"> </w:t>
            </w:r>
            <w:r>
              <w:rPr>
                <w:rFonts w:hint="eastAsia" w:ascii="Times New Roman" w:hAnsi="Times New Roman" w:eastAsia="宋体" w:cs="宋体"/>
                <w:color w:val="000000" w:themeColor="text1"/>
                <w:spacing w:val="0"/>
                <w:kern w:val="0"/>
                <w:sz w:val="24"/>
                <w:szCs w:val="24"/>
                <w14:textFill>
                  <w14:solidFill>
                    <w14:schemeClr w14:val="tx1"/>
                  </w14:solidFill>
                </w14:textFill>
              </w:rPr>
              <w:t>省</w:t>
            </w:r>
            <w:r>
              <w:rPr>
                <w:rFonts w:hint="eastAsia" w:ascii="Times New Roman" w:hAnsi="Times New Roman" w:eastAsia="宋体" w:cs="宋体"/>
                <w:color w:val="000000" w:themeColor="text1"/>
                <w:spacing w:val="0"/>
                <w:kern w:val="0"/>
                <w:sz w:val="24"/>
                <w:szCs w:val="24"/>
                <w:lang w:eastAsia="zh-CN"/>
                <w14:textFill>
                  <w14:solidFill>
                    <w14:schemeClr w14:val="tx1"/>
                  </w14:solidFill>
                </w14:textFill>
              </w:rPr>
              <w:t>（</w:t>
            </w: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自治区</w:t>
            </w:r>
            <w:r>
              <w:rPr>
                <w:rFonts w:hint="eastAsia" w:ascii="Times New Roman" w:hAnsi="Times New Roman" w:eastAsia="宋体" w:cs="宋体"/>
                <w:color w:val="000000" w:themeColor="text1"/>
                <w:spacing w:val="0"/>
                <w:kern w:val="0"/>
                <w:sz w:val="24"/>
                <w:szCs w:val="24"/>
                <w:lang w:eastAsia="zh-CN"/>
                <w14:textFill>
                  <w14:solidFill>
                    <w14:schemeClr w14:val="tx1"/>
                  </w14:solidFill>
                </w14:textFill>
              </w:rPr>
              <w:t>）</w:t>
            </w:r>
            <w:r>
              <w:rPr>
                <w:rFonts w:hint="eastAsia" w:ascii="Times New Roman" w:hAnsi="Times New Roman" w:eastAsia="宋体" w:cs="宋体"/>
                <w:color w:val="000000" w:themeColor="text1"/>
                <w:spacing w:val="0"/>
                <w:kern w:val="0"/>
                <w:sz w:val="24"/>
                <w:szCs w:val="24"/>
                <w:u w:val="single"/>
                <w:lang w:val="en-US" w:eastAsia="zh-CN"/>
                <w14:textFill>
                  <w14:solidFill>
                    <w14:schemeClr w14:val="tx1"/>
                  </w14:solidFill>
                </w14:textFill>
              </w:rPr>
              <w:t xml:space="preserve"> </w:t>
            </w:r>
            <w:r>
              <w:rPr>
                <w:rFonts w:hint="eastAsia" w:ascii="Times New Roman" w:hAnsi="Times New Roman" w:eastAsia="宋体" w:cs="宋体"/>
                <w:color w:val="000000" w:themeColor="text1"/>
                <w:spacing w:val="0"/>
                <w:kern w:val="0"/>
                <w:sz w:val="24"/>
                <w:szCs w:val="24"/>
                <w:u w:val="single"/>
                <w:lang w:eastAsia="zh-CN"/>
                <w14:textFill>
                  <w14:solidFill>
                    <w14:schemeClr w14:val="tx1"/>
                  </w14:solidFill>
                </w14:textFill>
              </w:rPr>
              <w:t>曲靖</w:t>
            </w:r>
            <w:r>
              <w:rPr>
                <w:rFonts w:hint="eastAsia" w:ascii="Times New Roman" w:hAnsi="Times New Roman" w:eastAsia="宋体" w:cs="宋体"/>
                <w:color w:val="000000" w:themeColor="text1"/>
                <w:spacing w:val="0"/>
                <w:kern w:val="0"/>
                <w:sz w:val="24"/>
                <w:szCs w:val="24"/>
                <w:u w:val="single"/>
                <w:lang w:val="en-US" w:eastAsia="zh-CN"/>
                <w14:textFill>
                  <w14:solidFill>
                    <w14:schemeClr w14:val="tx1"/>
                  </w14:solidFill>
                </w14:textFill>
              </w:rPr>
              <w:t xml:space="preserve"> </w:t>
            </w:r>
            <w:r>
              <w:rPr>
                <w:rFonts w:hint="eastAsia" w:ascii="Times New Roman" w:hAnsi="Times New Roman" w:eastAsia="宋体" w:cs="宋体"/>
                <w:color w:val="000000" w:themeColor="text1"/>
                <w:spacing w:val="0"/>
                <w:kern w:val="0"/>
                <w:sz w:val="24"/>
                <w:szCs w:val="24"/>
                <w14:textFill>
                  <w14:solidFill>
                    <w14:schemeClr w14:val="tx1"/>
                  </w14:solidFill>
                </w14:textFill>
              </w:rPr>
              <w:t>市</w:t>
            </w:r>
            <w:r>
              <w:rPr>
                <w:rFonts w:hint="eastAsia" w:ascii="Times New Roman" w:hAnsi="Times New Roman" w:eastAsia="宋体" w:cs="宋体"/>
                <w:color w:val="000000" w:themeColor="text1"/>
                <w:spacing w:val="0"/>
                <w:kern w:val="0"/>
                <w:sz w:val="24"/>
                <w:szCs w:val="24"/>
                <w:u w:val="single"/>
                <w:lang w:val="en-US" w:eastAsia="zh-CN"/>
                <w14:textFill>
                  <w14:solidFill>
                    <w14:schemeClr w14:val="tx1"/>
                  </w14:solidFill>
                </w14:textFill>
              </w:rPr>
              <w:t xml:space="preserve"> 罗平县 </w:t>
            </w:r>
            <w:r>
              <w:rPr>
                <w:rFonts w:hint="eastAsia" w:ascii="Times New Roman" w:hAnsi="Times New Roman" w:eastAsia="宋体" w:cs="宋体"/>
                <w:color w:val="000000" w:themeColor="text1"/>
                <w:spacing w:val="0"/>
                <w:kern w:val="0"/>
                <w:sz w:val="24"/>
                <w:szCs w:val="24"/>
                <w:u w:val="none"/>
                <w:lang w:val="en-US" w:eastAsia="zh-CN"/>
                <w14:textFill>
                  <w14:solidFill>
                    <w14:schemeClr w14:val="tx1"/>
                  </w14:solidFill>
                </w14:textFill>
              </w:rPr>
              <w:t>县（区）</w:t>
            </w:r>
            <w:r>
              <w:rPr>
                <w:rFonts w:hint="eastAsia" w:ascii="Times New Roman" w:hAnsi="Times New Roman" w:eastAsia="宋体" w:cs="宋体"/>
                <w:color w:val="000000" w:themeColor="text1"/>
                <w:spacing w:val="0"/>
                <w:kern w:val="0"/>
                <w:sz w:val="24"/>
                <w:szCs w:val="24"/>
                <w:u w:val="single"/>
                <w:lang w:val="en-US" w:eastAsia="zh-CN"/>
                <w14:textFill>
                  <w14:solidFill>
                    <w14:schemeClr w14:val="tx1"/>
                  </w14:solidFill>
                </w14:textFill>
              </w:rPr>
              <w:t xml:space="preserve"> 阿岗镇</w:t>
            </w:r>
            <w:r>
              <w:rPr>
                <w:rFonts w:hint="eastAsia" w:ascii="Times New Roman" w:hAnsi="Times New Roman" w:eastAsia="宋体" w:cs="宋体"/>
                <w:color w:val="000000" w:themeColor="text1"/>
                <w:spacing w:val="0"/>
                <w:kern w:val="0"/>
                <w:sz w:val="24"/>
                <w:szCs w:val="24"/>
                <w:u w:val="none"/>
                <w:lang w:val="en-US" w:eastAsia="zh-CN"/>
                <w14:textFill>
                  <w14:solidFill>
                    <w14:schemeClr w14:val="tx1"/>
                  </w14:solidFill>
                </w14:textFill>
              </w:rPr>
              <w:t xml:space="preserve"> </w:t>
            </w: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乡（街道）</w:t>
            </w:r>
            <w:r>
              <w:rPr>
                <w:rFonts w:hint="eastAsia" w:ascii="Times New Roman" w:hAnsi="Times New Roman" w:eastAsia="宋体" w:cs="宋体"/>
                <w:color w:val="000000" w:themeColor="text1"/>
                <w:spacing w:val="0"/>
                <w:kern w:val="0"/>
                <w:sz w:val="24"/>
                <w:szCs w:val="24"/>
                <w:u w:val="single"/>
                <w:lang w:val="en-US" w:eastAsia="zh-CN"/>
                <w14:textFill>
                  <w14:solidFill>
                    <w14:schemeClr w14:val="tx1"/>
                  </w14:solidFill>
                </w14:textFill>
              </w:rPr>
              <w:t xml:space="preserve"> </w:t>
            </w:r>
            <w:r>
              <w:rPr>
                <w:rFonts w:hint="eastAsia" w:ascii="Times New Roman" w:hAnsi="Times New Roman" w:eastAsia="宋体" w:cs="宋体"/>
                <w:color w:val="000000" w:themeColor="text1"/>
                <w:spacing w:val="0"/>
                <w:kern w:val="0"/>
                <w:sz w:val="24"/>
                <w:szCs w:val="24"/>
                <w:highlight w:val="none"/>
                <w:u w:val="single"/>
                <w:lang w:val="en-US" w:eastAsia="zh-CN"/>
                <w14:textFill>
                  <w14:solidFill>
                    <w14:schemeClr w14:val="tx1"/>
                  </w14:solidFill>
                </w14:textFill>
              </w:rPr>
              <w:t>阿岗德村委会小岗德村</w:t>
            </w:r>
            <w:r>
              <w:rPr>
                <w:rFonts w:hint="eastAsia" w:ascii="Times New Roman" w:hAnsi="Times New Roman" w:eastAsia="宋体" w:cs="宋体"/>
                <w:color w:val="000000" w:themeColor="text1"/>
                <w:spacing w:val="0"/>
                <w:kern w:val="0"/>
                <w:sz w:val="24"/>
                <w:szCs w:val="24"/>
                <w:u w:val="none"/>
                <w:lang w:eastAsia="zh-CN"/>
                <w14:textFill>
                  <w14:solidFill>
                    <w14:schemeClr w14:val="tx1"/>
                  </w14:solidFill>
                </w14:textFill>
              </w:rPr>
              <w:t>（</w:t>
            </w:r>
            <w:r>
              <w:rPr>
                <w:rFonts w:hint="eastAsia" w:ascii="Times New Roman" w:hAnsi="Times New Roman" w:eastAsia="宋体" w:cs="宋体"/>
                <w:color w:val="000000" w:themeColor="text1"/>
                <w:spacing w:val="0"/>
                <w:kern w:val="0"/>
                <w:sz w:val="24"/>
                <w:szCs w:val="24"/>
                <w:u w:val="none"/>
                <w:lang w:val="en-US" w:eastAsia="zh-CN"/>
                <w14:textFill>
                  <w14:solidFill>
                    <w14:schemeClr w14:val="tx1"/>
                  </w14:solidFill>
                </w14:textFill>
              </w:rPr>
              <w:t>具体地址</w:t>
            </w:r>
            <w:r>
              <w:rPr>
                <w:rFonts w:hint="eastAsia" w:ascii="Times New Roman" w:hAnsi="Times New Roman" w:eastAsia="宋体" w:cs="宋体"/>
                <w:color w:val="000000" w:themeColor="text1"/>
                <w:spacing w:val="0"/>
                <w:kern w:val="0"/>
                <w:sz w:val="24"/>
                <w:szCs w:val="24"/>
                <w:u w:val="none"/>
                <w:lang w:eastAsia="zh-CN"/>
                <w14:textFill>
                  <w14:solidFill>
                    <w14:schemeClr w14:val="tx1"/>
                  </w14:solidFill>
                </w14:textFill>
              </w:rPr>
              <w:t>）</w:t>
            </w:r>
          </w:p>
        </w:tc>
      </w:tr>
      <w:tr w14:paraId="133E1D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23" w:type="dxa"/>
            <w:noWrap w:val="0"/>
            <w:tcMar>
              <w:top w:w="16" w:type="dxa"/>
              <w:left w:w="16" w:type="dxa"/>
              <w:right w:w="16" w:type="dxa"/>
            </w:tcMar>
            <w:vAlign w:val="center"/>
          </w:tcPr>
          <w:p w14:paraId="757938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地理坐标</w:t>
            </w:r>
          </w:p>
        </w:tc>
        <w:tc>
          <w:tcPr>
            <w:tcW w:w="7518" w:type="dxa"/>
            <w:gridSpan w:val="3"/>
            <w:noWrap w:val="0"/>
            <w:vAlign w:val="center"/>
          </w:tcPr>
          <w:p w14:paraId="3B9202B9">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w:t>
            </w:r>
            <w:r>
              <w:rPr>
                <w:rFonts w:hint="eastAsia" w:ascii="Times New Roman" w:hAnsi="Times New Roman" w:eastAsia="宋体" w:cs="宋体"/>
                <w:color w:val="000000" w:themeColor="text1"/>
                <w:spacing w:val="0"/>
                <w:kern w:val="0"/>
                <w:sz w:val="24"/>
                <w:szCs w:val="24"/>
                <w:u w:val="single"/>
                <w:lang w:val="en-US" w:eastAsia="zh-CN"/>
                <w14:textFill>
                  <w14:solidFill>
                    <w14:schemeClr w14:val="tx1"/>
                  </w14:solidFill>
                </w14:textFill>
              </w:rPr>
              <w:t>104</w:t>
            </w:r>
            <w:r>
              <w:rPr>
                <w:rFonts w:hint="eastAsia" w:ascii="Times New Roman" w:hAnsi="Times New Roman" w:eastAsia="宋体" w:cs="宋体"/>
                <w:color w:val="000000" w:themeColor="text1"/>
                <w:spacing w:val="0"/>
                <w:kern w:val="0"/>
                <w:sz w:val="24"/>
                <w:szCs w:val="24"/>
                <w14:textFill>
                  <w14:solidFill>
                    <w14:schemeClr w14:val="tx1"/>
                  </w14:solidFill>
                </w14:textFill>
              </w:rPr>
              <w:t>度</w:t>
            </w:r>
            <w:r>
              <w:rPr>
                <w:rFonts w:hint="eastAsia" w:ascii="Times New Roman" w:hAnsi="Times New Roman" w:eastAsia="宋体" w:cs="宋体"/>
                <w:color w:val="000000" w:themeColor="text1"/>
                <w:spacing w:val="0"/>
                <w:kern w:val="0"/>
                <w:sz w:val="24"/>
                <w:szCs w:val="24"/>
                <w:u w:val="single"/>
                <w:lang w:val="en-US" w:eastAsia="zh-CN"/>
                <w14:textFill>
                  <w14:solidFill>
                    <w14:schemeClr w14:val="tx1"/>
                  </w14:solidFill>
                </w14:textFill>
              </w:rPr>
              <w:t>4</w:t>
            </w:r>
            <w:r>
              <w:rPr>
                <w:rFonts w:hint="eastAsia" w:ascii="Times New Roman" w:hAnsi="Times New Roman" w:eastAsia="宋体" w:cs="宋体"/>
                <w:color w:val="000000" w:themeColor="text1"/>
                <w:spacing w:val="0"/>
                <w:kern w:val="0"/>
                <w:sz w:val="24"/>
                <w:szCs w:val="24"/>
                <w14:textFill>
                  <w14:solidFill>
                    <w14:schemeClr w14:val="tx1"/>
                  </w14:solidFill>
                </w14:textFill>
              </w:rPr>
              <w:t>分</w:t>
            </w:r>
            <w:r>
              <w:rPr>
                <w:rFonts w:hint="eastAsia" w:ascii="Times New Roman" w:hAnsi="Times New Roman" w:eastAsia="宋体" w:cs="宋体"/>
                <w:color w:val="000000" w:themeColor="text1"/>
                <w:spacing w:val="0"/>
                <w:kern w:val="0"/>
                <w:sz w:val="24"/>
                <w:szCs w:val="24"/>
                <w:u w:val="single"/>
                <w:lang w:val="en-US" w:eastAsia="zh-CN"/>
                <w14:textFill>
                  <w14:solidFill>
                    <w14:schemeClr w14:val="tx1"/>
                  </w14:solidFill>
                </w14:textFill>
              </w:rPr>
              <w:t>52.087</w:t>
            </w:r>
            <w:r>
              <w:rPr>
                <w:rFonts w:hint="eastAsia" w:ascii="Times New Roman" w:hAnsi="Times New Roman" w:eastAsia="宋体" w:cs="宋体"/>
                <w:color w:val="000000" w:themeColor="text1"/>
                <w:spacing w:val="0"/>
                <w:kern w:val="0"/>
                <w:sz w:val="24"/>
                <w:szCs w:val="24"/>
                <w14:textFill>
                  <w14:solidFill>
                    <w14:schemeClr w14:val="tx1"/>
                  </w14:solidFill>
                </w14:textFill>
              </w:rPr>
              <w:t>秒，</w:t>
            </w:r>
            <w:r>
              <w:rPr>
                <w:rFonts w:hint="eastAsia" w:ascii="Times New Roman" w:hAnsi="Times New Roman" w:eastAsia="宋体" w:cs="宋体"/>
                <w:color w:val="000000" w:themeColor="text1"/>
                <w:spacing w:val="0"/>
                <w:kern w:val="0"/>
                <w:sz w:val="24"/>
                <w:szCs w:val="24"/>
                <w:u w:val="single"/>
                <w:lang w:val="en-US" w:eastAsia="zh-CN"/>
                <w14:textFill>
                  <w14:solidFill>
                    <w14:schemeClr w14:val="tx1"/>
                  </w14:solidFill>
                </w14:textFill>
              </w:rPr>
              <w:t>25</w:t>
            </w:r>
            <w:r>
              <w:rPr>
                <w:rFonts w:hint="eastAsia" w:ascii="Times New Roman" w:hAnsi="Times New Roman" w:eastAsia="宋体" w:cs="宋体"/>
                <w:color w:val="000000" w:themeColor="text1"/>
                <w:spacing w:val="0"/>
                <w:kern w:val="0"/>
                <w:sz w:val="24"/>
                <w:szCs w:val="24"/>
                <w14:textFill>
                  <w14:solidFill>
                    <w14:schemeClr w14:val="tx1"/>
                  </w14:solidFill>
                </w14:textFill>
              </w:rPr>
              <w:t>度</w:t>
            </w:r>
            <w:r>
              <w:rPr>
                <w:rFonts w:hint="eastAsia" w:ascii="Times New Roman" w:hAnsi="Times New Roman" w:eastAsia="宋体" w:cs="宋体"/>
                <w:color w:val="000000" w:themeColor="text1"/>
                <w:spacing w:val="0"/>
                <w:kern w:val="0"/>
                <w:sz w:val="24"/>
                <w:szCs w:val="24"/>
                <w:u w:val="single"/>
                <w:lang w:val="en-US" w:eastAsia="zh-CN"/>
                <w14:textFill>
                  <w14:solidFill>
                    <w14:schemeClr w14:val="tx1"/>
                  </w14:solidFill>
                </w14:textFill>
              </w:rPr>
              <w:t>9</w:t>
            </w:r>
            <w:r>
              <w:rPr>
                <w:rFonts w:hint="eastAsia" w:ascii="Times New Roman" w:hAnsi="Times New Roman" w:eastAsia="宋体" w:cs="宋体"/>
                <w:color w:val="000000" w:themeColor="text1"/>
                <w:spacing w:val="0"/>
                <w:kern w:val="0"/>
                <w:sz w:val="24"/>
                <w:szCs w:val="24"/>
                <w14:textFill>
                  <w14:solidFill>
                    <w14:schemeClr w14:val="tx1"/>
                  </w14:solidFill>
                </w14:textFill>
              </w:rPr>
              <w:t>分</w:t>
            </w:r>
            <w:r>
              <w:rPr>
                <w:rFonts w:hint="eastAsia" w:ascii="Times New Roman" w:hAnsi="Times New Roman" w:eastAsia="宋体" w:cs="宋体"/>
                <w:color w:val="000000" w:themeColor="text1"/>
                <w:spacing w:val="0"/>
                <w:kern w:val="0"/>
                <w:sz w:val="24"/>
                <w:szCs w:val="24"/>
                <w:u w:val="single"/>
                <w:lang w:val="en-US" w:eastAsia="zh-CN"/>
                <w14:textFill>
                  <w14:solidFill>
                    <w14:schemeClr w14:val="tx1"/>
                  </w14:solidFill>
                </w14:textFill>
              </w:rPr>
              <w:t>15.149</w:t>
            </w:r>
            <w:r>
              <w:rPr>
                <w:rFonts w:hint="eastAsia" w:ascii="Times New Roman" w:hAnsi="Times New Roman" w:eastAsia="宋体" w:cs="宋体"/>
                <w:color w:val="000000" w:themeColor="text1"/>
                <w:spacing w:val="0"/>
                <w:kern w:val="0"/>
                <w:sz w:val="24"/>
                <w:szCs w:val="24"/>
                <w14:textFill>
                  <w14:solidFill>
                    <w14:schemeClr w14:val="tx1"/>
                  </w14:solidFill>
                </w14:textFill>
              </w:rPr>
              <w:t>秒）</w:t>
            </w:r>
          </w:p>
        </w:tc>
      </w:tr>
      <w:tr w14:paraId="33276B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723" w:type="dxa"/>
            <w:noWrap w:val="0"/>
            <w:tcMar>
              <w:top w:w="16" w:type="dxa"/>
              <w:left w:w="16" w:type="dxa"/>
              <w:right w:w="16" w:type="dxa"/>
            </w:tcMar>
            <w:vAlign w:val="center"/>
          </w:tcPr>
          <w:p w14:paraId="5B451E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国民经济</w:t>
            </w:r>
          </w:p>
          <w:p w14:paraId="707355D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行业类别</w:t>
            </w:r>
          </w:p>
        </w:tc>
        <w:tc>
          <w:tcPr>
            <w:tcW w:w="2712" w:type="dxa"/>
            <w:noWrap w:val="0"/>
            <w:vAlign w:val="center"/>
          </w:tcPr>
          <w:p w14:paraId="59E6D6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C3031粘土砖瓦及建筑砌块制造</w:t>
            </w:r>
          </w:p>
        </w:tc>
        <w:tc>
          <w:tcPr>
            <w:tcW w:w="1900" w:type="dxa"/>
            <w:noWrap w:val="0"/>
            <w:vAlign w:val="center"/>
          </w:tcPr>
          <w:p w14:paraId="160334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pPr>
            <w:bookmarkStart w:id="3" w:name="_Hlk49843745"/>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建设项目</w:t>
            </w:r>
          </w:p>
          <w:p w14:paraId="5CF320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行业类别</w:t>
            </w:r>
            <w:bookmarkEnd w:id="3"/>
          </w:p>
        </w:tc>
        <w:tc>
          <w:tcPr>
            <w:tcW w:w="2906" w:type="dxa"/>
            <w:noWrap w:val="0"/>
            <w:vAlign w:val="center"/>
          </w:tcPr>
          <w:p w14:paraId="4D87B9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二十七、非金属矿物制品业—粘土砖瓦及建筑砌块制造</w:t>
            </w:r>
          </w:p>
        </w:tc>
      </w:tr>
      <w:tr w14:paraId="6CF128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723" w:type="dxa"/>
            <w:noWrap w:val="0"/>
            <w:tcMar>
              <w:top w:w="16" w:type="dxa"/>
              <w:left w:w="16" w:type="dxa"/>
              <w:right w:w="16" w:type="dxa"/>
            </w:tcMar>
            <w:vAlign w:val="center"/>
          </w:tcPr>
          <w:p w14:paraId="48F718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宋体"/>
                <w:color w:val="000000" w:themeColor="text1"/>
                <w:spacing w:val="0"/>
                <w:kern w:val="0"/>
                <w:sz w:val="24"/>
                <w:szCs w:val="24"/>
                <w:highlight w:val="none"/>
                <w14:textFill>
                  <w14:solidFill>
                    <w14:schemeClr w14:val="tx1"/>
                  </w14:solidFill>
                </w14:textFill>
              </w:rPr>
            </w:pPr>
            <w:r>
              <w:rPr>
                <w:rFonts w:hint="eastAsia" w:ascii="Times New Roman" w:hAnsi="Times New Roman" w:eastAsia="宋体" w:cs="宋体"/>
                <w:color w:val="000000" w:themeColor="text1"/>
                <w:spacing w:val="0"/>
                <w:kern w:val="0"/>
                <w:sz w:val="24"/>
                <w:szCs w:val="24"/>
                <w:highlight w:val="none"/>
                <w14:textFill>
                  <w14:solidFill>
                    <w14:schemeClr w14:val="tx1"/>
                  </w14:solidFill>
                </w14:textFill>
              </w:rPr>
              <w:t>建设性质</w:t>
            </w:r>
          </w:p>
        </w:tc>
        <w:tc>
          <w:tcPr>
            <w:tcW w:w="2712" w:type="dxa"/>
            <w:noWrap w:val="0"/>
            <w:vAlign w:val="center"/>
          </w:tcPr>
          <w:p w14:paraId="32F26D8B">
            <w:pPr>
              <w:keepNext w:val="0"/>
              <w:keepLines w:val="0"/>
              <w:pageBreakBefore w:val="0"/>
              <w:widowControl w:val="0"/>
              <w:kinsoku/>
              <w:wordWrap/>
              <w:overflowPunct/>
              <w:topLinePunct w:val="0"/>
              <w:autoSpaceDE/>
              <w:autoSpaceDN/>
              <w:bidi w:val="0"/>
              <w:spacing w:line="240" w:lineRule="auto"/>
              <w:jc w:val="left"/>
              <w:textAlignment w:val="auto"/>
              <w:rPr>
                <w:rFonts w:ascii="Times New Roman" w:hAnsi="Times New Roman" w:eastAsia="宋体" w:cs="宋体"/>
                <w:color w:val="000000" w:themeColor="text1"/>
                <w:spacing w:val="0"/>
                <w:kern w:val="0"/>
                <w:sz w:val="24"/>
                <w:szCs w:val="24"/>
                <w:highlight w:val="none"/>
                <w14:textFill>
                  <w14:solidFill>
                    <w14:schemeClr w14:val="tx1"/>
                  </w14:solidFill>
                </w14:textFill>
              </w:rPr>
            </w:pPr>
            <w:r>
              <w:rPr>
                <w:rFonts w:hint="eastAsia" w:ascii="Times New Roman" w:hAnsi="Times New Roman" w:eastAsia="宋体" w:cs="宋体"/>
                <w:color w:val="000000" w:themeColor="text1"/>
                <w:spacing w:val="0"/>
                <w:kern w:val="0"/>
                <w:sz w:val="24"/>
                <w:szCs w:val="24"/>
                <w:highlight w:val="none"/>
                <w:lang w:eastAsia="zh-CN"/>
                <w14:textFill>
                  <w14:solidFill>
                    <w14:schemeClr w14:val="tx1"/>
                  </w14:solidFill>
                </w14:textFill>
              </w:rPr>
              <w:t>□</w:t>
            </w:r>
            <w:r>
              <w:rPr>
                <w:rFonts w:hint="eastAsia" w:ascii="Times New Roman" w:hAnsi="Times New Roman" w:eastAsia="宋体" w:cs="宋体"/>
                <w:color w:val="000000" w:themeColor="text1"/>
                <w:spacing w:val="0"/>
                <w:kern w:val="0"/>
                <w:sz w:val="24"/>
                <w:szCs w:val="24"/>
                <w:highlight w:val="none"/>
                <w14:textFill>
                  <w14:solidFill>
                    <w14:schemeClr w14:val="tx1"/>
                  </w14:solidFill>
                </w14:textFill>
              </w:rPr>
              <w:t>新建（迁建）</w:t>
            </w:r>
          </w:p>
          <w:p w14:paraId="0276582B">
            <w:pPr>
              <w:keepNext w:val="0"/>
              <w:keepLines w:val="0"/>
              <w:pageBreakBefore w:val="0"/>
              <w:widowControl w:val="0"/>
              <w:kinsoku/>
              <w:wordWrap/>
              <w:overflowPunct/>
              <w:topLinePunct w:val="0"/>
              <w:autoSpaceDE/>
              <w:autoSpaceDN/>
              <w:bidi w:val="0"/>
              <w:spacing w:line="240" w:lineRule="auto"/>
              <w:jc w:val="left"/>
              <w:textAlignment w:val="auto"/>
              <w:rPr>
                <w:rFonts w:hint="eastAsia" w:ascii="Times New Roman" w:hAnsi="Times New Roman" w:eastAsia="宋体" w:cs="宋体"/>
                <w:color w:val="000000" w:themeColor="text1"/>
                <w:spacing w:val="0"/>
                <w:kern w:val="0"/>
                <w:sz w:val="24"/>
                <w:szCs w:val="24"/>
                <w:highlight w:val="none"/>
                <w14:textFill>
                  <w14:solidFill>
                    <w14:schemeClr w14:val="tx1"/>
                  </w14:solidFill>
                </w14:textFill>
              </w:rPr>
            </w:pPr>
            <w:r>
              <w:rPr>
                <w:rFonts w:hint="eastAsia" w:ascii="Times New Roman" w:hAnsi="Times New Roman" w:eastAsia="宋体" w:cs="宋体"/>
                <w:color w:val="000000" w:themeColor="text1"/>
                <w:spacing w:val="0"/>
                <w:kern w:val="0"/>
                <w:sz w:val="24"/>
                <w:szCs w:val="24"/>
                <w:highlight w:val="none"/>
                <w:lang w:eastAsia="zh-CN"/>
                <w14:textFill>
                  <w14:solidFill>
                    <w14:schemeClr w14:val="tx1"/>
                  </w14:solidFill>
                </w14:textFill>
              </w:rPr>
              <w:t>☑</w:t>
            </w:r>
            <w:r>
              <w:rPr>
                <w:rFonts w:hint="eastAsia" w:ascii="Times New Roman" w:hAnsi="Times New Roman" w:eastAsia="宋体" w:cs="宋体"/>
                <w:color w:val="000000" w:themeColor="text1"/>
                <w:spacing w:val="0"/>
                <w:kern w:val="0"/>
                <w:sz w:val="24"/>
                <w:szCs w:val="24"/>
                <w:highlight w:val="none"/>
                <w14:textFill>
                  <w14:solidFill>
                    <w14:schemeClr w14:val="tx1"/>
                  </w14:solidFill>
                </w14:textFill>
              </w:rPr>
              <w:t>改建</w:t>
            </w:r>
          </w:p>
          <w:p w14:paraId="4250E87C">
            <w:pPr>
              <w:keepNext w:val="0"/>
              <w:keepLines w:val="0"/>
              <w:pageBreakBefore w:val="0"/>
              <w:widowControl w:val="0"/>
              <w:kinsoku/>
              <w:wordWrap/>
              <w:overflowPunct/>
              <w:topLinePunct w:val="0"/>
              <w:autoSpaceDE/>
              <w:autoSpaceDN/>
              <w:bidi w:val="0"/>
              <w:spacing w:line="240" w:lineRule="auto"/>
              <w:jc w:val="left"/>
              <w:textAlignment w:val="auto"/>
              <w:rPr>
                <w:rFonts w:hint="eastAsia" w:ascii="Times New Roman" w:hAnsi="Times New Roman" w:eastAsia="宋体" w:cs="宋体"/>
                <w:color w:val="000000" w:themeColor="text1"/>
                <w:spacing w:val="0"/>
                <w:kern w:val="0"/>
                <w:sz w:val="24"/>
                <w:szCs w:val="24"/>
                <w:highlight w:val="none"/>
                <w14:textFill>
                  <w14:solidFill>
                    <w14:schemeClr w14:val="tx1"/>
                  </w14:solidFill>
                </w14:textFill>
              </w:rPr>
            </w:pPr>
            <w:r>
              <w:rPr>
                <w:rFonts w:hint="eastAsia" w:ascii="Times New Roman" w:hAnsi="Times New Roman" w:eastAsia="宋体" w:cs="宋体"/>
                <w:color w:val="000000" w:themeColor="text1"/>
                <w:spacing w:val="0"/>
                <w:kern w:val="0"/>
                <w:sz w:val="24"/>
                <w:szCs w:val="24"/>
                <w:highlight w:val="none"/>
                <w:lang w:eastAsia="zh-CN"/>
                <w14:textFill>
                  <w14:solidFill>
                    <w14:schemeClr w14:val="tx1"/>
                  </w14:solidFill>
                </w14:textFill>
              </w:rPr>
              <w:t>☑</w:t>
            </w:r>
            <w:r>
              <w:rPr>
                <w:rFonts w:hint="eastAsia" w:ascii="Times New Roman" w:hAnsi="Times New Roman" w:eastAsia="宋体" w:cs="宋体"/>
                <w:color w:val="000000" w:themeColor="text1"/>
                <w:spacing w:val="0"/>
                <w:kern w:val="0"/>
                <w:sz w:val="24"/>
                <w:szCs w:val="24"/>
                <w:highlight w:val="none"/>
                <w14:textFill>
                  <w14:solidFill>
                    <w14:schemeClr w14:val="tx1"/>
                  </w14:solidFill>
                </w14:textFill>
              </w:rPr>
              <w:t>扩建</w:t>
            </w:r>
          </w:p>
          <w:p w14:paraId="5C8CE564">
            <w:pPr>
              <w:keepNext w:val="0"/>
              <w:keepLines w:val="0"/>
              <w:pageBreakBefore w:val="0"/>
              <w:widowControl w:val="0"/>
              <w:kinsoku/>
              <w:wordWrap/>
              <w:overflowPunct/>
              <w:topLinePunct w:val="0"/>
              <w:autoSpaceDE/>
              <w:autoSpaceDN/>
              <w:bidi w:val="0"/>
              <w:spacing w:line="240" w:lineRule="auto"/>
              <w:jc w:val="left"/>
              <w:textAlignment w:val="auto"/>
              <w:rPr>
                <w:rFonts w:ascii="Times New Roman" w:hAnsi="Times New Roman" w:eastAsia="宋体" w:cs="宋体"/>
                <w:color w:val="000000" w:themeColor="text1"/>
                <w:spacing w:val="0"/>
                <w:kern w:val="0"/>
                <w:sz w:val="24"/>
                <w:szCs w:val="24"/>
                <w:highlight w:val="none"/>
                <w14:textFill>
                  <w14:solidFill>
                    <w14:schemeClr w14:val="tx1"/>
                  </w14:solidFill>
                </w14:textFill>
              </w:rPr>
            </w:pPr>
            <w:r>
              <w:rPr>
                <w:rFonts w:hint="eastAsia" w:ascii="Times New Roman" w:hAnsi="Times New Roman" w:eastAsia="宋体" w:cs="宋体"/>
                <w:color w:val="000000" w:themeColor="text1"/>
                <w:spacing w:val="0"/>
                <w:kern w:val="0"/>
                <w:sz w:val="24"/>
                <w:szCs w:val="24"/>
                <w:highlight w:val="none"/>
                <w:lang w:eastAsia="zh-CN"/>
                <w14:textFill>
                  <w14:solidFill>
                    <w14:schemeClr w14:val="tx1"/>
                  </w14:solidFill>
                </w14:textFill>
              </w:rPr>
              <w:t>□</w:t>
            </w:r>
            <w:r>
              <w:rPr>
                <w:rFonts w:hint="eastAsia" w:ascii="Times New Roman" w:hAnsi="Times New Roman" w:eastAsia="宋体" w:cs="宋体"/>
                <w:color w:val="000000" w:themeColor="text1"/>
                <w:spacing w:val="0"/>
                <w:kern w:val="0"/>
                <w:sz w:val="24"/>
                <w:szCs w:val="24"/>
                <w:highlight w:val="none"/>
                <w14:textFill>
                  <w14:solidFill>
                    <w14:schemeClr w14:val="tx1"/>
                  </w14:solidFill>
                </w14:textFill>
              </w:rPr>
              <w:t>技术改造</w:t>
            </w:r>
          </w:p>
        </w:tc>
        <w:tc>
          <w:tcPr>
            <w:tcW w:w="1900" w:type="dxa"/>
            <w:noWrap w:val="0"/>
            <w:vAlign w:val="center"/>
          </w:tcPr>
          <w:p w14:paraId="245A2C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建设项目</w:t>
            </w:r>
          </w:p>
          <w:p w14:paraId="79E775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申报情形</w:t>
            </w:r>
          </w:p>
        </w:tc>
        <w:tc>
          <w:tcPr>
            <w:tcW w:w="2906" w:type="dxa"/>
            <w:noWrap w:val="0"/>
            <w:vAlign w:val="center"/>
          </w:tcPr>
          <w:p w14:paraId="03E8BDBC">
            <w:pPr>
              <w:keepNext w:val="0"/>
              <w:keepLines w:val="0"/>
              <w:pageBreakBefore w:val="0"/>
              <w:widowControl w:val="0"/>
              <w:kinsoku/>
              <w:wordWrap/>
              <w:overflowPunct/>
              <w:topLinePunct w:val="0"/>
              <w:autoSpaceDE/>
              <w:autoSpaceDN/>
              <w:bidi w:val="0"/>
              <w:spacing w:line="240" w:lineRule="auto"/>
              <w:jc w:val="left"/>
              <w:textAlignment w:val="auto"/>
              <w:rPr>
                <w:rFonts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lang w:eastAsia="zh-CN"/>
                <w14:textFill>
                  <w14:solidFill>
                    <w14:schemeClr w14:val="tx1"/>
                  </w14:solidFill>
                </w14:textFill>
              </w:rPr>
              <w:t>☑</w:t>
            </w:r>
            <w:r>
              <w:rPr>
                <w:rFonts w:hint="eastAsia" w:ascii="Times New Roman" w:hAnsi="Times New Roman" w:eastAsia="宋体" w:cs="宋体"/>
                <w:color w:val="000000" w:themeColor="text1"/>
                <w:spacing w:val="0"/>
                <w:kern w:val="0"/>
                <w:sz w:val="24"/>
                <w:szCs w:val="24"/>
                <w14:textFill>
                  <w14:solidFill>
                    <w14:schemeClr w14:val="tx1"/>
                  </w14:solidFill>
                </w14:textFill>
              </w:rPr>
              <w:t>首次申报项目</w:t>
            </w:r>
          </w:p>
          <w:p w14:paraId="6776C023">
            <w:pPr>
              <w:keepNext w:val="0"/>
              <w:keepLines w:val="0"/>
              <w:pageBreakBefore w:val="0"/>
              <w:widowControl w:val="0"/>
              <w:kinsoku/>
              <w:wordWrap/>
              <w:overflowPunct/>
              <w:topLinePunct w:val="0"/>
              <w:autoSpaceDE/>
              <w:autoSpaceDN/>
              <w:bidi w:val="0"/>
              <w:spacing w:line="240" w:lineRule="auto"/>
              <w:jc w:val="left"/>
              <w:textAlignment w:val="auto"/>
              <w:rPr>
                <w:rFonts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□不予批准后再次申报项目</w:t>
            </w:r>
          </w:p>
          <w:p w14:paraId="476ECCC9">
            <w:pPr>
              <w:keepNext w:val="0"/>
              <w:keepLines w:val="0"/>
              <w:pageBreakBefore w:val="0"/>
              <w:widowControl w:val="0"/>
              <w:kinsoku/>
              <w:wordWrap/>
              <w:overflowPunct/>
              <w:topLinePunct w:val="0"/>
              <w:autoSpaceDE/>
              <w:autoSpaceDN/>
              <w:bidi w:val="0"/>
              <w:spacing w:line="240" w:lineRule="auto"/>
              <w:jc w:val="left"/>
              <w:textAlignment w:val="auto"/>
              <w:rPr>
                <w:rFonts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lang w:eastAsia="zh-CN"/>
                <w14:textFill>
                  <w14:solidFill>
                    <w14:schemeClr w14:val="tx1"/>
                  </w14:solidFill>
                </w14:textFill>
              </w:rPr>
              <w:t>□</w:t>
            </w:r>
            <w:r>
              <w:rPr>
                <w:rFonts w:hint="eastAsia" w:ascii="Times New Roman" w:hAnsi="Times New Roman" w:eastAsia="宋体" w:cs="宋体"/>
                <w:color w:val="000000" w:themeColor="text1"/>
                <w:spacing w:val="0"/>
                <w:kern w:val="0"/>
                <w:sz w:val="24"/>
                <w:szCs w:val="24"/>
                <w14:textFill>
                  <w14:solidFill>
                    <w14:schemeClr w14:val="tx1"/>
                  </w14:solidFill>
                </w14:textFill>
              </w:rPr>
              <w:t>超五年重新审核项目</w:t>
            </w:r>
          </w:p>
          <w:p w14:paraId="1766BAF7">
            <w:pPr>
              <w:keepNext w:val="0"/>
              <w:keepLines w:val="0"/>
              <w:pageBreakBefore w:val="0"/>
              <w:widowControl w:val="0"/>
              <w:kinsoku/>
              <w:wordWrap/>
              <w:overflowPunct/>
              <w:topLinePunct w:val="0"/>
              <w:autoSpaceDE/>
              <w:autoSpaceDN/>
              <w:bidi w:val="0"/>
              <w:spacing w:line="240" w:lineRule="auto"/>
              <w:jc w:val="left"/>
              <w:textAlignment w:val="auto"/>
              <w:rPr>
                <w:rFonts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□重大变动重新报批项目</w:t>
            </w:r>
          </w:p>
        </w:tc>
      </w:tr>
      <w:tr w14:paraId="47D876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723" w:type="dxa"/>
            <w:noWrap w:val="0"/>
            <w:tcMar>
              <w:top w:w="16" w:type="dxa"/>
              <w:left w:w="16" w:type="dxa"/>
              <w:right w:w="16" w:type="dxa"/>
            </w:tcMar>
            <w:vAlign w:val="center"/>
          </w:tcPr>
          <w:p w14:paraId="355185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项目审批（核准</w:t>
            </w:r>
            <w:r>
              <w:rPr>
                <w:rFonts w:ascii="Times New Roman" w:hAnsi="Times New Roman" w:eastAsia="宋体" w:cs="宋体"/>
                <w:color w:val="000000" w:themeColor="text1"/>
                <w:spacing w:val="0"/>
                <w:kern w:val="0"/>
                <w:sz w:val="24"/>
                <w:szCs w:val="24"/>
                <w14:textFill>
                  <w14:solidFill>
                    <w14:schemeClr w14:val="tx1"/>
                  </w14:solidFill>
                </w14:textFill>
              </w:rPr>
              <w:t>/</w:t>
            </w:r>
          </w:p>
          <w:p w14:paraId="6D5FB2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备案）部门（选填）</w:t>
            </w:r>
          </w:p>
        </w:tc>
        <w:tc>
          <w:tcPr>
            <w:tcW w:w="2712" w:type="dxa"/>
            <w:noWrap w:val="0"/>
            <w:vAlign w:val="center"/>
          </w:tcPr>
          <w:p w14:paraId="12A95D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罗平县发展和改革局</w:t>
            </w:r>
          </w:p>
        </w:tc>
        <w:tc>
          <w:tcPr>
            <w:tcW w:w="1900" w:type="dxa"/>
            <w:noWrap w:val="0"/>
            <w:vAlign w:val="center"/>
          </w:tcPr>
          <w:p w14:paraId="1ACA25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项目审批（核准</w:t>
            </w:r>
            <w:r>
              <w:rPr>
                <w:rFonts w:ascii="Times New Roman" w:hAnsi="Times New Roman" w:eastAsia="宋体" w:cs="宋体"/>
                <w:color w:val="000000" w:themeColor="text1"/>
                <w:spacing w:val="0"/>
                <w:kern w:val="0"/>
                <w:sz w:val="24"/>
                <w:szCs w:val="24"/>
                <w14:textFill>
                  <w14:solidFill>
                    <w14:schemeClr w14:val="tx1"/>
                  </w14:solidFill>
                </w14:textFill>
              </w:rPr>
              <w:t>/</w:t>
            </w:r>
          </w:p>
          <w:p w14:paraId="742F97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备案）文号（选填）</w:t>
            </w:r>
          </w:p>
        </w:tc>
        <w:tc>
          <w:tcPr>
            <w:tcW w:w="2906" w:type="dxa"/>
            <w:noWrap w:val="0"/>
            <w:vAlign w:val="center"/>
          </w:tcPr>
          <w:p w14:paraId="589ADB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2408-530324-04-01-818897</w:t>
            </w:r>
          </w:p>
        </w:tc>
      </w:tr>
      <w:tr w14:paraId="065121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23" w:type="dxa"/>
            <w:noWrap w:val="0"/>
            <w:tcMar>
              <w:top w:w="16" w:type="dxa"/>
              <w:left w:w="16" w:type="dxa"/>
              <w:right w:w="16" w:type="dxa"/>
            </w:tcMar>
            <w:vAlign w:val="center"/>
          </w:tcPr>
          <w:p w14:paraId="603718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总投资（万元）</w:t>
            </w:r>
          </w:p>
        </w:tc>
        <w:tc>
          <w:tcPr>
            <w:tcW w:w="2712" w:type="dxa"/>
            <w:noWrap w:val="0"/>
            <w:vAlign w:val="center"/>
          </w:tcPr>
          <w:p w14:paraId="458ECB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cs="宋体"/>
                <w:color w:val="000000" w:themeColor="text1"/>
                <w:spacing w:val="0"/>
                <w:kern w:val="0"/>
                <w:sz w:val="24"/>
                <w:szCs w:val="24"/>
                <w:lang w:val="en-US" w:eastAsia="zh-CN"/>
                <w14:textFill>
                  <w14:solidFill>
                    <w14:schemeClr w14:val="tx1"/>
                  </w14:solidFill>
                </w14:textFill>
              </w:rPr>
              <w:t>37.2</w:t>
            </w:r>
          </w:p>
        </w:tc>
        <w:tc>
          <w:tcPr>
            <w:tcW w:w="1900" w:type="dxa"/>
            <w:noWrap w:val="0"/>
            <w:tcMar>
              <w:top w:w="16" w:type="dxa"/>
              <w:left w:w="16" w:type="dxa"/>
              <w:right w:w="16" w:type="dxa"/>
            </w:tcMar>
            <w:vAlign w:val="center"/>
          </w:tcPr>
          <w:p w14:paraId="722654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环保投资（万元）</w:t>
            </w:r>
          </w:p>
        </w:tc>
        <w:tc>
          <w:tcPr>
            <w:tcW w:w="2906" w:type="dxa"/>
            <w:noWrap w:val="0"/>
            <w:vAlign w:val="center"/>
          </w:tcPr>
          <w:p w14:paraId="49DA1C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cs="宋体"/>
                <w:color w:val="000000" w:themeColor="text1"/>
                <w:spacing w:val="0"/>
                <w:kern w:val="0"/>
                <w:sz w:val="24"/>
                <w:szCs w:val="24"/>
                <w:lang w:val="en-US" w:eastAsia="zh-CN"/>
                <w14:textFill>
                  <w14:solidFill>
                    <w14:schemeClr w14:val="tx1"/>
                  </w14:solidFill>
                </w14:textFill>
              </w:rPr>
              <w:t>17.2</w:t>
            </w:r>
          </w:p>
        </w:tc>
      </w:tr>
      <w:tr w14:paraId="65140D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23" w:type="dxa"/>
            <w:noWrap w:val="0"/>
            <w:tcMar>
              <w:top w:w="16" w:type="dxa"/>
              <w:left w:w="16" w:type="dxa"/>
              <w:right w:w="16" w:type="dxa"/>
            </w:tcMar>
            <w:vAlign w:val="center"/>
          </w:tcPr>
          <w:p w14:paraId="4E9794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环保投资占比（</w:t>
            </w:r>
            <w:r>
              <w:rPr>
                <w:rFonts w:ascii="Times New Roman" w:hAnsi="Times New Roman" w:eastAsia="宋体" w:cs="宋体"/>
                <w:color w:val="000000" w:themeColor="text1"/>
                <w:spacing w:val="0"/>
                <w:kern w:val="0"/>
                <w:sz w:val="24"/>
                <w:szCs w:val="24"/>
                <w14:textFill>
                  <w14:solidFill>
                    <w14:schemeClr w14:val="tx1"/>
                  </w14:solidFill>
                </w14:textFill>
              </w:rPr>
              <w:t>%</w:t>
            </w:r>
            <w:r>
              <w:rPr>
                <w:rFonts w:hint="eastAsia" w:ascii="Times New Roman" w:hAnsi="Times New Roman" w:eastAsia="宋体" w:cs="宋体"/>
                <w:color w:val="000000" w:themeColor="text1"/>
                <w:spacing w:val="0"/>
                <w:kern w:val="0"/>
                <w:sz w:val="24"/>
                <w:szCs w:val="24"/>
                <w14:textFill>
                  <w14:solidFill>
                    <w14:schemeClr w14:val="tx1"/>
                  </w14:solidFill>
                </w14:textFill>
              </w:rPr>
              <w:t>）</w:t>
            </w:r>
          </w:p>
        </w:tc>
        <w:tc>
          <w:tcPr>
            <w:tcW w:w="2712" w:type="dxa"/>
            <w:noWrap w:val="0"/>
            <w:vAlign w:val="center"/>
          </w:tcPr>
          <w:p w14:paraId="0A6BDD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cs="宋体"/>
                <w:color w:val="000000" w:themeColor="text1"/>
                <w:spacing w:val="0"/>
                <w:kern w:val="0"/>
                <w:sz w:val="24"/>
                <w:szCs w:val="24"/>
                <w:lang w:val="en-US" w:eastAsia="zh-CN"/>
                <w14:textFill>
                  <w14:solidFill>
                    <w14:schemeClr w14:val="tx1"/>
                  </w14:solidFill>
                </w14:textFill>
              </w:rPr>
              <w:t>46.2</w:t>
            </w:r>
          </w:p>
        </w:tc>
        <w:tc>
          <w:tcPr>
            <w:tcW w:w="1900" w:type="dxa"/>
            <w:noWrap w:val="0"/>
            <w:tcMar>
              <w:top w:w="16" w:type="dxa"/>
              <w:left w:w="16" w:type="dxa"/>
              <w:right w:w="16" w:type="dxa"/>
            </w:tcMar>
            <w:vAlign w:val="center"/>
          </w:tcPr>
          <w:p w14:paraId="67FB0D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施工工期</w:t>
            </w:r>
          </w:p>
        </w:tc>
        <w:tc>
          <w:tcPr>
            <w:tcW w:w="2906" w:type="dxa"/>
            <w:noWrap w:val="0"/>
            <w:vAlign w:val="center"/>
          </w:tcPr>
          <w:p w14:paraId="0AD3F9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7个月</w:t>
            </w:r>
          </w:p>
        </w:tc>
      </w:tr>
      <w:tr w14:paraId="1DA14B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23" w:type="dxa"/>
            <w:noWrap w:val="0"/>
            <w:tcMar>
              <w:top w:w="16" w:type="dxa"/>
              <w:left w:w="16" w:type="dxa"/>
              <w:right w:w="16" w:type="dxa"/>
            </w:tcMar>
            <w:vAlign w:val="center"/>
          </w:tcPr>
          <w:p w14:paraId="4C6288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是否开工建设</w:t>
            </w:r>
          </w:p>
        </w:tc>
        <w:tc>
          <w:tcPr>
            <w:tcW w:w="2712" w:type="dxa"/>
            <w:noWrap w:val="0"/>
            <w:vAlign w:val="center"/>
          </w:tcPr>
          <w:p w14:paraId="248EE7A0">
            <w:pPr>
              <w:keepNext w:val="0"/>
              <w:keepLines w:val="0"/>
              <w:pageBreakBefore w:val="0"/>
              <w:widowControl w:val="0"/>
              <w:kinsoku/>
              <w:wordWrap/>
              <w:overflowPunct/>
              <w:topLinePunct w:val="0"/>
              <w:autoSpaceDE/>
              <w:autoSpaceDN/>
              <w:bidi w:val="0"/>
              <w:spacing w:line="240" w:lineRule="auto"/>
              <w:jc w:val="left"/>
              <w:textAlignment w:val="auto"/>
              <w:rPr>
                <w:rFonts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lang w:eastAsia="zh-CN"/>
                <w14:textFill>
                  <w14:solidFill>
                    <w14:schemeClr w14:val="tx1"/>
                  </w14:solidFill>
                </w14:textFill>
              </w:rPr>
              <w:t>□</w:t>
            </w:r>
            <w:r>
              <w:rPr>
                <w:rFonts w:hint="eastAsia" w:ascii="Times New Roman" w:hAnsi="Times New Roman" w:eastAsia="宋体" w:cs="宋体"/>
                <w:color w:val="000000" w:themeColor="text1"/>
                <w:spacing w:val="0"/>
                <w:kern w:val="0"/>
                <w:sz w:val="24"/>
                <w:szCs w:val="24"/>
                <w14:textFill>
                  <w14:solidFill>
                    <w14:schemeClr w14:val="tx1"/>
                  </w14:solidFill>
                </w14:textFill>
              </w:rPr>
              <w:t>否</w:t>
            </w:r>
          </w:p>
          <w:p w14:paraId="547909A4">
            <w:pPr>
              <w:keepNext w:val="0"/>
              <w:keepLines w:val="0"/>
              <w:pageBreakBefore w:val="0"/>
              <w:widowControl w:val="0"/>
              <w:kinsoku/>
              <w:wordWrap/>
              <w:overflowPunct/>
              <w:topLinePunct w:val="0"/>
              <w:autoSpaceDE/>
              <w:autoSpaceDN/>
              <w:bidi w:val="0"/>
              <w:spacing w:line="240" w:lineRule="auto"/>
              <w:jc w:val="left"/>
              <w:textAlignment w:val="auto"/>
              <w:rPr>
                <w:rFonts w:hint="default" w:ascii="Times New Roman" w:hAnsi="Times New Roman" w:eastAsia="宋体" w:cs="宋体"/>
                <w:color w:val="000000" w:themeColor="text1"/>
                <w:spacing w:val="0"/>
                <w:kern w:val="0"/>
                <w:sz w:val="24"/>
                <w:szCs w:val="24"/>
                <w:u w:val="single"/>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eastAsia="zh-CN"/>
                <w14:textFill>
                  <w14:solidFill>
                    <w14:schemeClr w14:val="tx1"/>
                  </w14:solidFill>
                </w14:textFill>
              </w:rPr>
              <w:t>☑</w:t>
            </w:r>
            <w:r>
              <w:rPr>
                <w:rFonts w:hint="eastAsia" w:ascii="Times New Roman" w:hAnsi="Times New Roman" w:eastAsia="宋体" w:cs="宋体"/>
                <w:color w:val="000000" w:themeColor="text1"/>
                <w:spacing w:val="0"/>
                <w:kern w:val="0"/>
                <w:sz w:val="24"/>
                <w:szCs w:val="24"/>
                <w14:textFill>
                  <w14:solidFill>
                    <w14:schemeClr w14:val="tx1"/>
                  </w14:solidFill>
                </w14:textFill>
              </w:rPr>
              <w:t>是：</w:t>
            </w:r>
            <w:r>
              <w:rPr>
                <w:rFonts w:hint="eastAsia" w:ascii="Times New Roman" w:hAnsi="Times New Roman" w:eastAsia="宋体" w:cs="宋体"/>
                <w:color w:val="000000" w:themeColor="text1"/>
                <w:spacing w:val="0"/>
                <w:kern w:val="0"/>
                <w:sz w:val="24"/>
                <w:szCs w:val="24"/>
                <w:u w:val="single"/>
                <w:lang w:val="en-US" w:eastAsia="zh-CN"/>
                <w14:textFill>
                  <w14:solidFill>
                    <w14:schemeClr w14:val="tx1"/>
                  </w14:solidFill>
                </w14:textFill>
              </w:rPr>
              <w:t xml:space="preserve"> 项目已建设完成1座4门古建青瓦烧制窑（仿古窑）及配套烟气收集设施，主体工程及配套污染防治设施均已全部建成。已于2025年12月18日收到曲靖市生态环境局（曲环责改字〔2025〕8-7号）下发的责令改正违法行为决定书，2026年4月14日</w:t>
            </w:r>
            <w:r>
              <w:rPr>
                <w:rFonts w:hint="eastAsia" w:cs="宋体"/>
                <w:color w:val="000000" w:themeColor="text1"/>
                <w:spacing w:val="0"/>
                <w:kern w:val="0"/>
                <w:sz w:val="24"/>
                <w:szCs w:val="24"/>
                <w:u w:val="single"/>
                <w:lang w:val="en-US" w:eastAsia="zh-CN"/>
                <w14:textFill>
                  <w14:solidFill>
                    <w14:schemeClr w14:val="tx1"/>
                  </w14:solidFill>
                </w14:textFill>
              </w:rPr>
              <w:t>进行了</w:t>
            </w:r>
            <w:r>
              <w:rPr>
                <w:rFonts w:hint="eastAsia" w:ascii="Times New Roman" w:hAnsi="Times New Roman" w:eastAsia="宋体" w:cs="宋体"/>
                <w:color w:val="000000" w:themeColor="text1"/>
                <w:spacing w:val="0"/>
                <w:kern w:val="0"/>
                <w:sz w:val="24"/>
                <w:szCs w:val="24"/>
                <w:u w:val="single"/>
                <w:lang w:val="en-US" w:eastAsia="zh-CN"/>
                <w14:textFill>
                  <w14:solidFill>
                    <w14:schemeClr w14:val="tx1"/>
                  </w14:solidFill>
                </w14:textFill>
              </w:rPr>
              <w:t>行政复议</w:t>
            </w:r>
            <w:r>
              <w:rPr>
                <w:rFonts w:hint="eastAsia" w:cs="宋体"/>
                <w:color w:val="000000" w:themeColor="text1"/>
                <w:spacing w:val="0"/>
                <w:kern w:val="0"/>
                <w:sz w:val="24"/>
                <w:szCs w:val="24"/>
                <w:u w:val="single"/>
                <w:lang w:val="en-US" w:eastAsia="zh-CN"/>
                <w14:textFill>
                  <w14:solidFill>
                    <w14:schemeClr w14:val="tx1"/>
                  </w14:solidFill>
                </w14:textFill>
              </w:rPr>
              <w:t>，复议结果为：罚款人民币200000.00（贰拾万元），分4期按季度执行。2026年7月15日前，建设单位将缴纳第一笔罚款</w:t>
            </w:r>
            <w:r>
              <w:rPr>
                <w:rFonts w:hint="eastAsia" w:ascii="Times New Roman" w:hAnsi="Times New Roman" w:eastAsia="宋体" w:cs="宋体"/>
                <w:color w:val="000000" w:themeColor="text1"/>
                <w:spacing w:val="0"/>
                <w:kern w:val="0"/>
                <w:sz w:val="24"/>
                <w:szCs w:val="24"/>
                <w:u w:val="single"/>
                <w:lang w:val="en-US" w:eastAsia="zh-CN"/>
                <w14:textFill>
                  <w14:solidFill>
                    <w14:schemeClr w14:val="tx1"/>
                  </w14:solidFill>
                </w14:textFill>
              </w:rPr>
              <w:t xml:space="preserve">。       </w:t>
            </w:r>
          </w:p>
        </w:tc>
        <w:tc>
          <w:tcPr>
            <w:tcW w:w="1900" w:type="dxa"/>
            <w:noWrap w:val="0"/>
            <w:tcMar>
              <w:top w:w="16" w:type="dxa"/>
              <w:left w:w="16" w:type="dxa"/>
              <w:right w:w="16" w:type="dxa"/>
            </w:tcMar>
            <w:vAlign w:val="center"/>
          </w:tcPr>
          <w:p w14:paraId="0AE812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用地（用海）</w:t>
            </w:r>
          </w:p>
          <w:p w14:paraId="5101F5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面积（</w:t>
            </w:r>
            <w:r>
              <w:rPr>
                <w:rFonts w:ascii="Times New Roman" w:hAnsi="Times New Roman" w:eastAsia="宋体" w:cs="宋体"/>
                <w:color w:val="000000" w:themeColor="text1"/>
                <w:spacing w:val="0"/>
                <w:kern w:val="0"/>
                <w:sz w:val="24"/>
                <w:szCs w:val="24"/>
                <w14:textFill>
                  <w14:solidFill>
                    <w14:schemeClr w14:val="tx1"/>
                  </w14:solidFill>
                </w14:textFill>
              </w:rPr>
              <w:t>m</w:t>
            </w:r>
            <w:r>
              <w:rPr>
                <w:rFonts w:ascii="Times New Roman" w:hAnsi="Times New Roman" w:eastAsia="宋体" w:cs="宋体"/>
                <w:color w:val="000000" w:themeColor="text1"/>
                <w:spacing w:val="0"/>
                <w:kern w:val="0"/>
                <w:sz w:val="24"/>
                <w:szCs w:val="24"/>
                <w:vertAlign w:val="superscript"/>
                <w14:textFill>
                  <w14:solidFill>
                    <w14:schemeClr w14:val="tx1"/>
                  </w14:solidFill>
                </w14:textFill>
              </w:rPr>
              <w:t>2</w:t>
            </w:r>
            <w:r>
              <w:rPr>
                <w:rFonts w:hint="eastAsia" w:ascii="Times New Roman" w:hAnsi="Times New Roman" w:eastAsia="宋体" w:cs="宋体"/>
                <w:color w:val="000000" w:themeColor="text1"/>
                <w:spacing w:val="0"/>
                <w:kern w:val="0"/>
                <w:sz w:val="24"/>
                <w:szCs w:val="24"/>
                <w14:textFill>
                  <w14:solidFill>
                    <w14:schemeClr w14:val="tx1"/>
                  </w14:solidFill>
                </w14:textFill>
              </w:rPr>
              <w:t>）</w:t>
            </w:r>
          </w:p>
        </w:tc>
        <w:tc>
          <w:tcPr>
            <w:tcW w:w="2906" w:type="dxa"/>
            <w:noWrap w:val="0"/>
            <w:vAlign w:val="center"/>
          </w:tcPr>
          <w:p w14:paraId="3FBE5B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0（不新增占地面积）</w:t>
            </w:r>
          </w:p>
        </w:tc>
      </w:tr>
      <w:tr w14:paraId="6D6BB2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723" w:type="dxa"/>
            <w:noWrap w:val="0"/>
            <w:vAlign w:val="center"/>
          </w:tcPr>
          <w:p w14:paraId="632D6334">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eastAsia="宋体" w:cs="宋体"/>
                <w:color w:val="000000" w:themeColor="text1"/>
                <w:spacing w:val="0"/>
                <w:kern w:val="0"/>
                <w:sz w:val="21"/>
                <w:szCs w:val="21"/>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专项评价设置情况</w:t>
            </w:r>
          </w:p>
        </w:tc>
        <w:tc>
          <w:tcPr>
            <w:tcW w:w="7518" w:type="dxa"/>
            <w:gridSpan w:val="3"/>
            <w:noWrap w:val="0"/>
            <w:vAlign w:val="center"/>
          </w:tcPr>
          <w:p w14:paraId="5223CEB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kern w:val="0"/>
                <w:sz w:val="24"/>
                <w14:textFill>
                  <w14:solidFill>
                    <w14:schemeClr w14:val="tx1"/>
                  </w14:solidFill>
                </w14:textFill>
              </w:rPr>
              <w:t>根据《建设项目环境影响报告表编制技术指南（污染影响类）</w:t>
            </w:r>
            <w:r>
              <w:rPr>
                <w:rFonts w:hint="eastAsia"/>
                <w:color w:val="000000" w:themeColor="text1"/>
                <w:kern w:val="0"/>
                <w:sz w:val="24"/>
                <w:lang w:eastAsia="zh-CN"/>
                <w14:textFill>
                  <w14:solidFill>
                    <w14:schemeClr w14:val="tx1"/>
                  </w14:solidFill>
                </w14:textFill>
              </w:rPr>
              <w:t>（试行）》，</w:t>
            </w:r>
            <w:r>
              <w:rPr>
                <w:rFonts w:hint="eastAsia"/>
                <w:color w:val="000000" w:themeColor="text1"/>
                <w:kern w:val="0"/>
                <w:sz w:val="24"/>
                <w:lang w:val="en-US" w:eastAsia="zh-CN"/>
                <w14:textFill>
                  <w14:solidFill>
                    <w14:schemeClr w14:val="tx1"/>
                  </w14:solidFill>
                </w14:textFill>
              </w:rPr>
              <w:t>土壤、声环境不开展专项评价，地下水原则上不开展专项评价，涉及集中式饮用水水源和热水、矿泉水、温泉等特殊地下水资源保护区的开展地下水专项评价工作。本项目不涉及上述区域，不开展地下水专项评价。大气、地表水、环境风险、生态和海洋专项评价</w:t>
            </w:r>
            <w:r>
              <w:rPr>
                <w:rFonts w:hint="eastAsia"/>
                <w:color w:val="000000" w:themeColor="text1"/>
                <w:kern w:val="0"/>
                <w:sz w:val="24"/>
                <w14:textFill>
                  <w14:solidFill>
                    <w14:schemeClr w14:val="tx1"/>
                  </w14:solidFill>
                </w14:textFill>
              </w:rPr>
              <w:t>设置</w:t>
            </w:r>
            <w:r>
              <w:rPr>
                <w:rFonts w:hint="eastAsia"/>
                <w:color w:val="000000" w:themeColor="text1"/>
                <w:kern w:val="0"/>
                <w:sz w:val="24"/>
                <w:lang w:val="en-US" w:eastAsia="zh-CN"/>
                <w14:textFill>
                  <w14:solidFill>
                    <w14:schemeClr w14:val="tx1"/>
                  </w14:solidFill>
                </w14:textFill>
              </w:rPr>
              <w:t>情况</w:t>
            </w:r>
            <w:r>
              <w:rPr>
                <w:rFonts w:hint="eastAsia"/>
                <w:color w:val="000000" w:themeColor="text1"/>
                <w:kern w:val="0"/>
                <w:sz w:val="24"/>
                <w14:textFill>
                  <w14:solidFill>
                    <w14:schemeClr w14:val="tx1"/>
                  </w14:solidFill>
                </w14:textFill>
              </w:rPr>
              <w:t>见表1-1。</w:t>
            </w:r>
          </w:p>
          <w:p w14:paraId="14E55A47">
            <w:pPr>
              <w:autoSpaceDE w:val="0"/>
              <w:autoSpaceDN w:val="0"/>
              <w:adjustRightInd w:val="0"/>
              <w:snapToGrid w:val="0"/>
              <w:jc w:val="center"/>
              <w:rPr>
                <w:rFonts w:hint="default" w:eastAsia="宋体"/>
                <w:b/>
                <w:bCs/>
                <w:color w:val="000000" w:themeColor="text1"/>
                <w:kern w:val="0"/>
                <w:sz w:val="24"/>
                <w:lang w:val="en-US" w:eastAsia="zh-CN"/>
                <w14:textFill>
                  <w14:solidFill>
                    <w14:schemeClr w14:val="tx1"/>
                  </w14:solidFill>
                </w14:textFill>
              </w:rPr>
            </w:pPr>
            <w:r>
              <w:rPr>
                <w:rFonts w:hint="eastAsia"/>
                <w:b/>
                <w:bCs/>
                <w:color w:val="000000" w:themeColor="text1"/>
                <w:kern w:val="0"/>
                <w:sz w:val="24"/>
                <w14:textFill>
                  <w14:solidFill>
                    <w14:schemeClr w14:val="tx1"/>
                  </w14:solidFill>
                </w14:textFill>
              </w:rPr>
              <w:t>表1-1  专项评价设置</w:t>
            </w:r>
            <w:r>
              <w:rPr>
                <w:rFonts w:hint="eastAsia"/>
                <w:b/>
                <w:bCs/>
                <w:color w:val="000000" w:themeColor="text1"/>
                <w:kern w:val="0"/>
                <w:sz w:val="24"/>
                <w:lang w:val="en-US" w:eastAsia="zh-CN"/>
                <w14:textFill>
                  <w14:solidFill>
                    <w14:schemeClr w14:val="tx1"/>
                  </w14:solidFill>
                </w14:textFill>
              </w:rPr>
              <w:t>情况分析表</w:t>
            </w:r>
          </w:p>
          <w:tbl>
            <w:tblPr>
              <w:tblStyle w:val="28"/>
              <w:tblW w:w="7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4"/>
              <w:gridCol w:w="3006"/>
              <w:gridCol w:w="2435"/>
              <w:gridCol w:w="885"/>
            </w:tblGrid>
            <w:tr w14:paraId="2EC9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7" w:type="dxa"/>
                  <w:noWrap w:val="0"/>
                  <w:vAlign w:val="center"/>
                </w:tcPr>
                <w:p w14:paraId="08741429">
                  <w:pPr>
                    <w:autoSpaceDE w:val="0"/>
                    <w:autoSpaceDN w:val="0"/>
                    <w:adjustRightInd w:val="0"/>
                    <w:snapToGrid w:val="0"/>
                    <w:jc w:val="center"/>
                    <w:rPr>
                      <w:b/>
                      <w:bCs/>
                      <w:color w:val="000000" w:themeColor="text1"/>
                      <w:kern w:val="0"/>
                      <w:szCs w:val="21"/>
                      <w14:textFill>
                        <w14:solidFill>
                          <w14:schemeClr w14:val="tx1"/>
                        </w14:solidFill>
                      </w14:textFill>
                    </w:rPr>
                  </w:pPr>
                  <w:r>
                    <w:rPr>
                      <w:rFonts w:hint="eastAsia"/>
                      <w:b/>
                      <w:bCs/>
                      <w:color w:val="000000" w:themeColor="text1"/>
                      <w:kern w:val="0"/>
                      <w:szCs w:val="21"/>
                      <w14:textFill>
                        <w14:solidFill>
                          <w14:schemeClr w14:val="tx1"/>
                        </w14:solidFill>
                      </w14:textFill>
                    </w:rPr>
                    <w:t>专项评价的类别</w:t>
                  </w:r>
                </w:p>
              </w:tc>
              <w:tc>
                <w:tcPr>
                  <w:tcW w:w="2900" w:type="dxa"/>
                  <w:noWrap w:val="0"/>
                  <w:vAlign w:val="center"/>
                </w:tcPr>
                <w:p w14:paraId="1C0B2B87">
                  <w:pPr>
                    <w:autoSpaceDE w:val="0"/>
                    <w:autoSpaceDN w:val="0"/>
                    <w:adjustRightInd w:val="0"/>
                    <w:snapToGrid w:val="0"/>
                    <w:jc w:val="center"/>
                    <w:rPr>
                      <w:b/>
                      <w:bCs/>
                      <w:color w:val="000000" w:themeColor="text1"/>
                      <w:kern w:val="0"/>
                      <w:szCs w:val="21"/>
                      <w14:textFill>
                        <w14:solidFill>
                          <w14:schemeClr w14:val="tx1"/>
                        </w14:solidFill>
                      </w14:textFill>
                    </w:rPr>
                  </w:pPr>
                  <w:r>
                    <w:rPr>
                      <w:rFonts w:hint="eastAsia"/>
                      <w:b/>
                      <w:bCs/>
                      <w:color w:val="000000" w:themeColor="text1"/>
                      <w:kern w:val="0"/>
                      <w:szCs w:val="21"/>
                      <w14:textFill>
                        <w14:solidFill>
                          <w14:schemeClr w14:val="tx1"/>
                        </w14:solidFill>
                      </w14:textFill>
                    </w:rPr>
                    <w:t>设置原则</w:t>
                  </w:r>
                </w:p>
              </w:tc>
              <w:tc>
                <w:tcPr>
                  <w:tcW w:w="2349" w:type="dxa"/>
                  <w:noWrap w:val="0"/>
                  <w:vAlign w:val="center"/>
                </w:tcPr>
                <w:p w14:paraId="1BFFF50F">
                  <w:pPr>
                    <w:autoSpaceDE w:val="0"/>
                    <w:autoSpaceDN w:val="0"/>
                    <w:adjustRightInd w:val="0"/>
                    <w:snapToGrid w:val="0"/>
                    <w:jc w:val="center"/>
                    <w:rPr>
                      <w:b/>
                      <w:bCs/>
                      <w:color w:val="000000" w:themeColor="text1"/>
                      <w:kern w:val="0"/>
                      <w:szCs w:val="21"/>
                      <w14:textFill>
                        <w14:solidFill>
                          <w14:schemeClr w14:val="tx1"/>
                        </w14:solidFill>
                      </w14:textFill>
                    </w:rPr>
                  </w:pPr>
                  <w:r>
                    <w:rPr>
                      <w:rFonts w:hint="eastAsia"/>
                      <w:b/>
                      <w:bCs/>
                      <w:color w:val="000000" w:themeColor="text1"/>
                      <w:kern w:val="0"/>
                      <w:szCs w:val="21"/>
                      <w14:textFill>
                        <w14:solidFill>
                          <w14:schemeClr w14:val="tx1"/>
                        </w14:solidFill>
                      </w14:textFill>
                    </w:rPr>
                    <w:t>项目情况</w:t>
                  </w:r>
                </w:p>
              </w:tc>
              <w:tc>
                <w:tcPr>
                  <w:tcW w:w="854" w:type="dxa"/>
                  <w:noWrap w:val="0"/>
                  <w:vAlign w:val="center"/>
                </w:tcPr>
                <w:p w14:paraId="115B6F65">
                  <w:pPr>
                    <w:autoSpaceDE w:val="0"/>
                    <w:autoSpaceDN w:val="0"/>
                    <w:adjustRightInd w:val="0"/>
                    <w:snapToGrid w:val="0"/>
                    <w:jc w:val="center"/>
                    <w:rPr>
                      <w:rFonts w:hint="default" w:eastAsia="宋体"/>
                      <w:b/>
                      <w:bCs/>
                      <w:color w:val="000000" w:themeColor="text1"/>
                      <w:kern w:val="0"/>
                      <w:szCs w:val="21"/>
                      <w:lang w:val="en-US" w:eastAsia="zh-CN"/>
                      <w14:textFill>
                        <w14:solidFill>
                          <w14:schemeClr w14:val="tx1"/>
                        </w14:solidFill>
                      </w14:textFill>
                    </w:rPr>
                  </w:pPr>
                  <w:r>
                    <w:rPr>
                      <w:rFonts w:hint="eastAsia"/>
                      <w:b/>
                      <w:bCs/>
                      <w:color w:val="000000" w:themeColor="text1"/>
                      <w:kern w:val="0"/>
                      <w:szCs w:val="21"/>
                      <w:lang w:val="en-US" w:eastAsia="zh-CN"/>
                      <w14:textFill>
                        <w14:solidFill>
                          <w14:schemeClr w14:val="tx1"/>
                        </w14:solidFill>
                      </w14:textFill>
                    </w:rPr>
                    <w:t>是否设置专项</w:t>
                  </w:r>
                </w:p>
              </w:tc>
            </w:tr>
            <w:tr w14:paraId="21836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7" w:type="dxa"/>
                  <w:noWrap w:val="0"/>
                  <w:vAlign w:val="center"/>
                </w:tcPr>
                <w:p w14:paraId="6917E6C7">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大气</w:t>
                  </w:r>
                </w:p>
              </w:tc>
              <w:tc>
                <w:tcPr>
                  <w:tcW w:w="2900" w:type="dxa"/>
                  <w:noWrap w:val="0"/>
                  <w:vAlign w:val="center"/>
                </w:tcPr>
                <w:p w14:paraId="6A615F59">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排放废气含有毒有害污染物</w:t>
                  </w:r>
                  <w:r>
                    <w:rPr>
                      <w:rFonts w:hint="eastAsia"/>
                      <w:color w:val="000000" w:themeColor="text1"/>
                      <w:kern w:val="0"/>
                      <w:szCs w:val="21"/>
                      <w:vertAlign w:val="superscript"/>
                      <w14:textFill>
                        <w14:solidFill>
                          <w14:schemeClr w14:val="tx1"/>
                        </w14:solidFill>
                      </w14:textFill>
                    </w:rPr>
                    <w:t>1</w:t>
                  </w:r>
                  <w:r>
                    <w:rPr>
                      <w:rFonts w:hint="eastAsia"/>
                      <w:color w:val="000000" w:themeColor="text1"/>
                      <w:kern w:val="0"/>
                      <w:szCs w:val="21"/>
                      <w14:textFill>
                        <w14:solidFill>
                          <w14:schemeClr w14:val="tx1"/>
                        </w14:solidFill>
                      </w14:textFill>
                    </w:rPr>
                    <w:t>、二噁英、苯并［a］芘、氰化物、氯气且厂界外500米范围内有环境空气保护目标的建设项目。</w:t>
                  </w:r>
                </w:p>
              </w:tc>
              <w:tc>
                <w:tcPr>
                  <w:tcW w:w="2349" w:type="dxa"/>
                  <w:noWrap w:val="0"/>
                  <w:vAlign w:val="center"/>
                </w:tcPr>
                <w:p w14:paraId="33A023B3">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项</w:t>
                  </w:r>
                  <w:r>
                    <w:rPr>
                      <w:rFonts w:hint="eastAsia"/>
                      <w:color w:val="000000" w:themeColor="text1"/>
                      <w:kern w:val="0"/>
                      <w:szCs w:val="21"/>
                      <w:highlight w:val="none"/>
                      <w14:textFill>
                        <w14:solidFill>
                          <w14:schemeClr w14:val="tx1"/>
                        </w14:solidFill>
                      </w14:textFill>
                    </w:rPr>
                    <w:t>目排放的废气</w:t>
                  </w:r>
                  <w:r>
                    <w:rPr>
                      <w:rFonts w:hint="eastAsia"/>
                      <w:color w:val="000000" w:themeColor="text1"/>
                      <w:kern w:val="0"/>
                      <w:szCs w:val="21"/>
                      <w:highlight w:val="none"/>
                      <w:lang w:val="en-US" w:eastAsia="zh-CN"/>
                      <w14:textFill>
                        <w14:solidFill>
                          <w14:schemeClr w14:val="tx1"/>
                        </w14:solidFill>
                      </w14:textFill>
                    </w:rPr>
                    <w:t>污染物有颗粒物、SO</w:t>
                  </w:r>
                  <w:r>
                    <w:rPr>
                      <w:rFonts w:hint="eastAsia"/>
                      <w:color w:val="000000" w:themeColor="text1"/>
                      <w:kern w:val="0"/>
                      <w:szCs w:val="21"/>
                      <w:highlight w:val="none"/>
                      <w:vertAlign w:val="subscript"/>
                      <w:lang w:val="en-US" w:eastAsia="zh-CN"/>
                      <w14:textFill>
                        <w14:solidFill>
                          <w14:schemeClr w14:val="tx1"/>
                        </w14:solidFill>
                      </w14:textFill>
                    </w:rPr>
                    <w:t>2</w:t>
                  </w:r>
                  <w:r>
                    <w:rPr>
                      <w:rFonts w:hint="eastAsia"/>
                      <w:color w:val="000000" w:themeColor="text1"/>
                      <w:kern w:val="0"/>
                      <w:szCs w:val="21"/>
                      <w:highlight w:val="none"/>
                      <w:vertAlign w:val="baseline"/>
                      <w:lang w:val="en-US" w:eastAsia="zh-CN"/>
                      <w14:textFill>
                        <w14:solidFill>
                          <w14:schemeClr w14:val="tx1"/>
                        </w14:solidFill>
                      </w14:textFill>
                    </w:rPr>
                    <w:t>、NO</w:t>
                  </w:r>
                  <w:r>
                    <w:rPr>
                      <w:rFonts w:hint="eastAsia"/>
                      <w:color w:val="000000" w:themeColor="text1"/>
                      <w:kern w:val="0"/>
                      <w:szCs w:val="21"/>
                      <w:highlight w:val="none"/>
                      <w:vertAlign w:val="subscript"/>
                      <w:lang w:val="en-US" w:eastAsia="zh-CN"/>
                      <w14:textFill>
                        <w14:solidFill>
                          <w14:schemeClr w14:val="tx1"/>
                        </w14:solidFill>
                      </w14:textFill>
                    </w:rPr>
                    <w:t>X</w:t>
                  </w:r>
                  <w:r>
                    <w:rPr>
                      <w:rFonts w:hint="eastAsia"/>
                      <w:color w:val="000000" w:themeColor="text1"/>
                      <w:kern w:val="0"/>
                      <w:szCs w:val="21"/>
                      <w:highlight w:val="none"/>
                      <w:vertAlign w:val="baseline"/>
                      <w:lang w:val="en-US" w:eastAsia="zh-CN"/>
                      <w14:textFill>
                        <w14:solidFill>
                          <w14:schemeClr w14:val="tx1"/>
                        </w14:solidFill>
                      </w14:textFill>
                    </w:rPr>
                    <w:t>、氟化物</w:t>
                  </w:r>
                  <w:r>
                    <w:rPr>
                      <w:rFonts w:hint="eastAsia"/>
                      <w:color w:val="000000" w:themeColor="text1"/>
                      <w:kern w:val="0"/>
                      <w:szCs w:val="21"/>
                      <w:highlight w:val="none"/>
                      <w:lang w:eastAsia="zh-CN"/>
                      <w14:textFill>
                        <w14:solidFill>
                          <w14:schemeClr w14:val="tx1"/>
                        </w14:solidFill>
                      </w14:textFill>
                    </w:rPr>
                    <w:t>，</w:t>
                  </w:r>
                  <w:r>
                    <w:rPr>
                      <w:rFonts w:hint="eastAsia"/>
                      <w:color w:val="000000" w:themeColor="text1"/>
                      <w:kern w:val="0"/>
                      <w:szCs w:val="21"/>
                      <w:highlight w:val="none"/>
                      <w:lang w:val="en-US" w:eastAsia="zh-CN"/>
                      <w14:textFill>
                        <w14:solidFill>
                          <w14:schemeClr w14:val="tx1"/>
                        </w14:solidFill>
                      </w14:textFill>
                    </w:rPr>
                    <w:t>不涉及</w:t>
                  </w:r>
                  <w:r>
                    <w:rPr>
                      <w:rFonts w:hint="eastAsia"/>
                      <w:color w:val="000000" w:themeColor="text1"/>
                      <w:kern w:val="0"/>
                      <w:szCs w:val="21"/>
                      <w:highlight w:val="none"/>
                      <w14:textFill>
                        <w14:solidFill>
                          <w14:schemeClr w14:val="tx1"/>
                        </w14:solidFill>
                      </w14:textFill>
                    </w:rPr>
                    <w:t>有毒有害污染物</w:t>
                  </w:r>
                  <w:r>
                    <w:rPr>
                      <w:rFonts w:hint="eastAsia"/>
                      <w:color w:val="000000" w:themeColor="text1"/>
                      <w:kern w:val="0"/>
                      <w:szCs w:val="21"/>
                      <w:highlight w:val="none"/>
                      <w:lang w:val="en-US" w:eastAsia="zh-CN"/>
                      <w14:textFill>
                        <w14:solidFill>
                          <w14:schemeClr w14:val="tx1"/>
                        </w14:solidFill>
                      </w14:textFill>
                    </w:rPr>
                    <w:t>的排放</w:t>
                  </w:r>
                  <w:r>
                    <w:rPr>
                      <w:rFonts w:hint="eastAsia"/>
                      <w:color w:val="000000" w:themeColor="text1"/>
                      <w:kern w:val="0"/>
                      <w:szCs w:val="21"/>
                      <w14:textFill>
                        <w14:solidFill>
                          <w14:schemeClr w14:val="tx1"/>
                        </w14:solidFill>
                      </w14:textFill>
                    </w:rPr>
                    <w:t>。</w:t>
                  </w:r>
                </w:p>
              </w:tc>
              <w:tc>
                <w:tcPr>
                  <w:tcW w:w="854" w:type="dxa"/>
                  <w:noWrap w:val="0"/>
                  <w:vAlign w:val="center"/>
                </w:tcPr>
                <w:p w14:paraId="7A335BA1">
                  <w:pPr>
                    <w:autoSpaceDE w:val="0"/>
                    <w:autoSpaceDN w:val="0"/>
                    <w:adjustRightInd w:val="0"/>
                    <w:snapToGrid w:val="0"/>
                    <w:jc w:val="center"/>
                    <w:rPr>
                      <w:rFonts w:hint="eastAsia" w:eastAsia="宋体"/>
                      <w:color w:val="000000" w:themeColor="text1"/>
                      <w:kern w:val="0"/>
                      <w:szCs w:val="21"/>
                      <w:lang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否</w:t>
                  </w:r>
                </w:p>
              </w:tc>
            </w:tr>
            <w:tr w14:paraId="1F707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7" w:type="dxa"/>
                  <w:noWrap w:val="0"/>
                  <w:vAlign w:val="center"/>
                </w:tcPr>
                <w:p w14:paraId="3E840D9B">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地表水</w:t>
                  </w:r>
                </w:p>
              </w:tc>
              <w:tc>
                <w:tcPr>
                  <w:tcW w:w="2900" w:type="dxa"/>
                  <w:noWrap w:val="0"/>
                  <w:vAlign w:val="center"/>
                </w:tcPr>
                <w:p w14:paraId="4384D9DF">
                  <w:pPr>
                    <w:autoSpaceDE w:val="0"/>
                    <w:autoSpaceDN w:val="0"/>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新增工业废水直排建设项目（槽罐车外运送污水处理厂的除外）；新增废水直排的污水集中处理厂。</w:t>
                  </w:r>
                </w:p>
              </w:tc>
              <w:tc>
                <w:tcPr>
                  <w:tcW w:w="2349" w:type="dxa"/>
                  <w:noWrap w:val="0"/>
                  <w:vAlign w:val="center"/>
                </w:tcPr>
                <w:p w14:paraId="1A2AE3B9">
                  <w:pPr>
                    <w:autoSpaceDE w:val="0"/>
                    <w:autoSpaceDN w:val="0"/>
                    <w:adjustRightInd w:val="0"/>
                    <w:snapToGrid w:val="0"/>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eastAsia="宋体"/>
                      <w:color w:val="000000" w:themeColor="text1"/>
                      <w:kern w:val="0"/>
                      <w:szCs w:val="21"/>
                      <w:highlight w:val="none"/>
                      <w:lang w:val="en-US" w:eastAsia="zh-CN"/>
                      <w14:textFill>
                        <w14:solidFill>
                          <w14:schemeClr w14:val="tx1"/>
                        </w14:solidFill>
                      </w14:textFill>
                    </w:rPr>
                    <w:t>项目搅拌用水随产品带走；炉窑冷却降温水高温蒸</w:t>
                  </w:r>
                  <w:r>
                    <w:rPr>
                      <w:rFonts w:hint="eastAsia" w:eastAsia="宋体"/>
                      <w:color w:val="000000" w:themeColor="text1"/>
                      <w:kern w:val="0"/>
                      <w:sz w:val="21"/>
                      <w:szCs w:val="21"/>
                      <w:highlight w:val="none"/>
                      <w:lang w:val="en-US" w:eastAsia="zh-CN"/>
                      <w14:textFill>
                        <w14:solidFill>
                          <w14:schemeClr w14:val="tx1"/>
                        </w14:solidFill>
                      </w14:textFill>
                    </w:rPr>
                    <w:t>发</w:t>
                  </w:r>
                  <w:r>
                    <w:rPr>
                      <w:rFonts w:hint="eastAsia"/>
                      <w:color w:val="000000" w:themeColor="text1"/>
                      <w:kern w:val="0"/>
                      <w:sz w:val="21"/>
                      <w:szCs w:val="21"/>
                      <w:highlight w:val="none"/>
                      <w:lang w:val="en-US"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脱硫废水设置</w:t>
                  </w:r>
                  <w:r>
                    <w:rPr>
                      <w:rFonts w:hint="eastAsia"/>
                      <w:color w:val="000000" w:themeColor="text1"/>
                      <w:sz w:val="21"/>
                      <w:szCs w:val="21"/>
                      <w14:textFill>
                        <w14:solidFill>
                          <w14:schemeClr w14:val="tx1"/>
                        </w14:solidFill>
                      </w14:textFill>
                    </w:rPr>
                    <w:t>1个</w:t>
                  </w:r>
                  <w:r>
                    <w:rPr>
                      <w:rFonts w:hint="eastAsia"/>
                      <w:color w:val="000000" w:themeColor="text1"/>
                      <w:sz w:val="21"/>
                      <w:szCs w:val="21"/>
                      <w:lang w:val="en-US" w:eastAsia="zh-CN"/>
                      <w14:textFill>
                        <w14:solidFill>
                          <w14:schemeClr w14:val="tx1"/>
                        </w14:solidFill>
                      </w14:textFill>
                    </w:rPr>
                    <w:t>总</w:t>
                  </w:r>
                  <w:r>
                    <w:rPr>
                      <w:rFonts w:hint="eastAsia"/>
                      <w:color w:val="000000" w:themeColor="text1"/>
                      <w:sz w:val="21"/>
                      <w:szCs w:val="21"/>
                      <w14:textFill>
                        <w14:solidFill>
                          <w14:schemeClr w14:val="tx1"/>
                        </w14:solidFill>
                      </w14:textFill>
                    </w:rPr>
                    <w:t>容积为80m</w:t>
                  </w:r>
                  <w:r>
                    <w:rPr>
                      <w:rFonts w:hint="eastAsia"/>
                      <w:color w:val="000000" w:themeColor="text1"/>
                      <w:sz w:val="21"/>
                      <w:szCs w:val="21"/>
                      <w:vertAlign w:val="superscript"/>
                      <w14:textFill>
                        <w14:solidFill>
                          <w14:schemeClr w14:val="tx1"/>
                        </w14:solidFill>
                      </w14:textFill>
                    </w:rPr>
                    <w:t>3</w:t>
                  </w:r>
                  <w:r>
                    <w:rPr>
                      <w:rFonts w:hint="eastAsia"/>
                      <w:color w:val="000000" w:themeColor="text1"/>
                      <w:sz w:val="21"/>
                      <w:szCs w:val="21"/>
                      <w:lang w:val="en-US" w:eastAsia="zh-CN"/>
                      <w14:textFill>
                        <w14:solidFill>
                          <w14:schemeClr w14:val="tx1"/>
                        </w14:solidFill>
                      </w14:textFill>
                    </w:rPr>
                    <w:t>的循环沉淀池经中和絮凝</w:t>
                  </w:r>
                  <w:r>
                    <w:rPr>
                      <w:rFonts w:hint="eastAsia"/>
                      <w:color w:val="000000" w:themeColor="text1"/>
                      <w:sz w:val="21"/>
                      <w:szCs w:val="21"/>
                      <w14:textFill>
                        <w14:solidFill>
                          <w14:schemeClr w14:val="tx1"/>
                        </w14:solidFill>
                      </w14:textFill>
                    </w:rPr>
                    <w:t>沉淀后全部回用于</w:t>
                  </w:r>
                  <w:r>
                    <w:rPr>
                      <w:rFonts w:hint="eastAsia"/>
                      <w:color w:val="000000" w:themeColor="text1"/>
                      <w:sz w:val="21"/>
                      <w:szCs w:val="21"/>
                      <w:lang w:val="en-US" w:eastAsia="zh-CN"/>
                      <w14:textFill>
                        <w14:solidFill>
                          <w14:schemeClr w14:val="tx1"/>
                        </w14:solidFill>
                      </w14:textFill>
                    </w:rPr>
                    <w:t>搅拌用水</w:t>
                  </w:r>
                  <w:r>
                    <w:rPr>
                      <w:rFonts w:hint="eastAsia"/>
                      <w:color w:val="000000" w:themeColor="text1"/>
                      <w:sz w:val="21"/>
                      <w:szCs w:val="21"/>
                      <w14:textFill>
                        <w14:solidFill>
                          <w14:schemeClr w14:val="tx1"/>
                        </w14:solidFill>
                      </w14:textFill>
                    </w:rPr>
                    <w:t>，不外排</w:t>
                  </w:r>
                  <w:r>
                    <w:rPr>
                      <w:rFonts w:hint="eastAsia" w:eastAsia="宋体"/>
                      <w:color w:val="000000" w:themeColor="text1"/>
                      <w:kern w:val="0"/>
                      <w:sz w:val="21"/>
                      <w:szCs w:val="21"/>
                      <w:highlight w:val="none"/>
                      <w:lang w:val="en-US" w:eastAsia="zh-CN"/>
                      <w14:textFill>
                        <w14:solidFill>
                          <w14:schemeClr w14:val="tx1"/>
                        </w14:solidFill>
                      </w14:textFill>
                    </w:rPr>
                    <w:t>。项目无工业废水外排。</w:t>
                  </w:r>
                </w:p>
              </w:tc>
              <w:tc>
                <w:tcPr>
                  <w:tcW w:w="854" w:type="dxa"/>
                  <w:noWrap w:val="0"/>
                  <w:vAlign w:val="center"/>
                </w:tcPr>
                <w:p w14:paraId="6894E76F">
                  <w:pPr>
                    <w:autoSpaceDE w:val="0"/>
                    <w:autoSpaceDN w:val="0"/>
                    <w:adjustRightInd w:val="0"/>
                    <w:snapToGrid w:val="0"/>
                    <w:jc w:val="center"/>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否</w:t>
                  </w:r>
                </w:p>
              </w:tc>
            </w:tr>
            <w:tr w14:paraId="4834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1007" w:type="dxa"/>
                  <w:noWrap w:val="0"/>
                  <w:vAlign w:val="center"/>
                </w:tcPr>
                <w:p w14:paraId="166250F4">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环境风险</w:t>
                  </w:r>
                </w:p>
              </w:tc>
              <w:tc>
                <w:tcPr>
                  <w:tcW w:w="2900" w:type="dxa"/>
                  <w:noWrap w:val="0"/>
                  <w:vAlign w:val="center"/>
                </w:tcPr>
                <w:p w14:paraId="67BDAB3E">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有毒有害和易燃易爆危险物质存储量超过临界量的建设项目。</w:t>
                  </w:r>
                </w:p>
              </w:tc>
              <w:tc>
                <w:tcPr>
                  <w:tcW w:w="2349" w:type="dxa"/>
                  <w:noWrap w:val="0"/>
                  <w:vAlign w:val="center"/>
                </w:tcPr>
                <w:p w14:paraId="02A9DD2E">
                  <w:pPr>
                    <w:autoSpaceDE w:val="0"/>
                    <w:autoSpaceDN w:val="0"/>
                    <w:adjustRightInd w:val="0"/>
                    <w:snapToGrid w:val="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项目存在易燃液体生物质大豆油，存储量未超过临界量。</w:t>
                  </w:r>
                </w:p>
              </w:tc>
              <w:tc>
                <w:tcPr>
                  <w:tcW w:w="854" w:type="dxa"/>
                  <w:noWrap w:val="0"/>
                  <w:vAlign w:val="center"/>
                </w:tcPr>
                <w:p w14:paraId="700C829C">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否</w:t>
                  </w:r>
                </w:p>
              </w:tc>
            </w:tr>
            <w:tr w14:paraId="6211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7" w:type="dxa"/>
                  <w:noWrap w:val="0"/>
                  <w:vAlign w:val="center"/>
                </w:tcPr>
                <w:p w14:paraId="0B3AA43B">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生态</w:t>
                  </w:r>
                </w:p>
              </w:tc>
              <w:tc>
                <w:tcPr>
                  <w:tcW w:w="2900" w:type="dxa"/>
                  <w:noWrap w:val="0"/>
                  <w:vAlign w:val="center"/>
                </w:tcPr>
                <w:p w14:paraId="7D0B7831">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取水口下游500米范围内有重要水生生物的自然产卵场、索饵场、越冬场和洄游通道的新增河道取水的污染类建设项目</w:t>
                  </w:r>
                </w:p>
              </w:tc>
              <w:tc>
                <w:tcPr>
                  <w:tcW w:w="2349" w:type="dxa"/>
                  <w:noWrap w:val="0"/>
                  <w:vAlign w:val="center"/>
                </w:tcPr>
                <w:p w14:paraId="357B8431">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本</w:t>
                  </w:r>
                  <w:r>
                    <w:rPr>
                      <w:rFonts w:hint="eastAsia"/>
                      <w:color w:val="000000" w:themeColor="text1"/>
                      <w:kern w:val="0"/>
                      <w:szCs w:val="21"/>
                      <w14:textFill>
                        <w14:solidFill>
                          <w14:schemeClr w14:val="tx1"/>
                        </w14:solidFill>
                      </w14:textFill>
                    </w:rPr>
                    <w:t>项目不涉及</w:t>
                  </w:r>
                </w:p>
              </w:tc>
              <w:tc>
                <w:tcPr>
                  <w:tcW w:w="854" w:type="dxa"/>
                  <w:noWrap w:val="0"/>
                  <w:vAlign w:val="center"/>
                </w:tcPr>
                <w:p w14:paraId="4B753A49">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否</w:t>
                  </w:r>
                </w:p>
              </w:tc>
            </w:tr>
            <w:tr w14:paraId="0C4CD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7" w:type="dxa"/>
                  <w:noWrap w:val="0"/>
                  <w:vAlign w:val="center"/>
                </w:tcPr>
                <w:p w14:paraId="161A55A6">
                  <w:pPr>
                    <w:autoSpaceDE w:val="0"/>
                    <w:autoSpaceDN w:val="0"/>
                    <w:adjustRightInd w:val="0"/>
                    <w:snapToGrid w:val="0"/>
                    <w:jc w:val="center"/>
                    <w:rPr>
                      <w:rFonts w:hint="eastAsia"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海洋</w:t>
                  </w:r>
                </w:p>
              </w:tc>
              <w:tc>
                <w:tcPr>
                  <w:tcW w:w="2900" w:type="dxa"/>
                  <w:noWrap w:val="0"/>
                  <w:vAlign w:val="center"/>
                </w:tcPr>
                <w:p w14:paraId="1D1F6E93">
                  <w:pPr>
                    <w:autoSpaceDE w:val="0"/>
                    <w:autoSpaceDN w:val="0"/>
                    <w:adjustRightInd w:val="0"/>
                    <w:snapToGrid w:val="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直接向海排放污染物的海洋工程建设项目</w:t>
                  </w:r>
                </w:p>
              </w:tc>
              <w:tc>
                <w:tcPr>
                  <w:tcW w:w="2349" w:type="dxa"/>
                  <w:noWrap w:val="0"/>
                  <w:vAlign w:val="center"/>
                </w:tcPr>
                <w:p w14:paraId="65F42936">
                  <w:pPr>
                    <w:autoSpaceDE w:val="0"/>
                    <w:autoSpaceDN w:val="0"/>
                    <w:adjustRightInd w:val="0"/>
                    <w:snapToGrid w:val="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本项目不涉及</w:t>
                  </w:r>
                </w:p>
              </w:tc>
              <w:tc>
                <w:tcPr>
                  <w:tcW w:w="854" w:type="dxa"/>
                  <w:noWrap w:val="0"/>
                  <w:vAlign w:val="center"/>
                </w:tcPr>
                <w:p w14:paraId="7058A5AD">
                  <w:pPr>
                    <w:autoSpaceDE w:val="0"/>
                    <w:autoSpaceDN w:val="0"/>
                    <w:adjustRightInd w:val="0"/>
                    <w:snapToGrid w:val="0"/>
                    <w:jc w:val="center"/>
                    <w:rPr>
                      <w:rFonts w:hint="eastAsia"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否</w:t>
                  </w:r>
                </w:p>
              </w:tc>
            </w:tr>
            <w:tr w14:paraId="6BCE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0" w:type="dxa"/>
                  <w:gridSpan w:val="4"/>
                  <w:noWrap w:val="0"/>
                  <w:vAlign w:val="center"/>
                </w:tcPr>
                <w:p w14:paraId="1187FEDC">
                  <w:pPr>
                    <w:autoSpaceDE w:val="0"/>
                    <w:autoSpaceDN w:val="0"/>
                    <w:adjustRightInd w:val="0"/>
                    <w:snapToGrid w:val="0"/>
                    <w:jc w:val="both"/>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注：1</w:t>
                  </w:r>
                  <w:r>
                    <w:rPr>
                      <w:rFonts w:hint="eastAsia"/>
                      <w:color w:val="000000" w:themeColor="text1"/>
                      <w:kern w:val="0"/>
                      <w:szCs w:val="21"/>
                      <w:lang w:val="en-US" w:eastAsia="zh-CN"/>
                      <w14:textFill>
                        <w14:solidFill>
                          <w14:schemeClr w14:val="tx1"/>
                        </w14:solidFill>
                      </w14:textFill>
                    </w:rPr>
                    <w:t>.</w:t>
                  </w:r>
                  <w:r>
                    <w:rPr>
                      <w:rFonts w:hint="eastAsia"/>
                      <w:color w:val="000000" w:themeColor="text1"/>
                      <w:kern w:val="0"/>
                      <w:szCs w:val="21"/>
                      <w14:textFill>
                        <w14:solidFill>
                          <w14:schemeClr w14:val="tx1"/>
                        </w14:solidFill>
                      </w14:textFill>
                    </w:rPr>
                    <w:t>废气中有毒有害污染物指标纳入《有毒有害大气污染物名录》的污染物（不包括无排放标准的污染物）。</w:t>
                  </w:r>
                </w:p>
                <w:p w14:paraId="480C4813">
                  <w:pPr>
                    <w:autoSpaceDE w:val="0"/>
                    <w:autoSpaceDN w:val="0"/>
                    <w:adjustRightInd w:val="0"/>
                    <w:snapToGrid w:val="0"/>
                    <w:jc w:val="both"/>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2.环境空气保护目标指自然保护区、风景名胜区、居住区、文化区和农村地区中人群较集中的区域。</w:t>
                  </w:r>
                </w:p>
                <w:p w14:paraId="22CFFE11">
                  <w:pPr>
                    <w:autoSpaceDE w:val="0"/>
                    <w:autoSpaceDN w:val="0"/>
                    <w:adjustRightInd w:val="0"/>
                    <w:snapToGrid w:val="0"/>
                    <w:jc w:val="both"/>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3.临界量及其计算方法可参考《建设项目环境风险评价技术导则》（HJ169）附录B、附录C。</w:t>
                  </w:r>
                </w:p>
              </w:tc>
            </w:tr>
          </w:tbl>
          <w:p w14:paraId="46B59CE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宋体"/>
                <w:color w:val="000000" w:themeColor="text1"/>
                <w:spacing w:val="0"/>
                <w:kern w:val="0"/>
                <w:sz w:val="21"/>
                <w:szCs w:val="21"/>
                <w:lang w:eastAsia="zh-CN"/>
                <w14:textFill>
                  <w14:solidFill>
                    <w14:schemeClr w14:val="tx1"/>
                  </w14:solidFill>
                </w14:textFill>
              </w:rPr>
            </w:pPr>
            <w:r>
              <w:rPr>
                <w:rFonts w:hint="eastAsia"/>
                <w:color w:val="000000" w:themeColor="text1"/>
                <w:kern w:val="0"/>
                <w:sz w:val="24"/>
                <w14:textFill>
                  <w14:solidFill>
                    <w14:schemeClr w14:val="tx1"/>
                  </w14:solidFill>
                </w14:textFill>
              </w:rPr>
              <w:t>根据上述分析判定，本项目</w:t>
            </w:r>
            <w:r>
              <w:rPr>
                <w:rFonts w:hint="eastAsia"/>
                <w:color w:val="000000" w:themeColor="text1"/>
                <w:kern w:val="0"/>
                <w:sz w:val="24"/>
                <w:lang w:val="en-US" w:eastAsia="zh-CN"/>
                <w14:textFill>
                  <w14:solidFill>
                    <w14:schemeClr w14:val="tx1"/>
                  </w14:solidFill>
                </w14:textFill>
              </w:rPr>
              <w:t>不</w:t>
            </w:r>
            <w:r>
              <w:rPr>
                <w:rFonts w:hint="eastAsia"/>
                <w:color w:val="000000" w:themeColor="text1"/>
                <w:kern w:val="0"/>
                <w:sz w:val="24"/>
                <w14:textFill>
                  <w14:solidFill>
                    <w14:schemeClr w14:val="tx1"/>
                  </w14:solidFill>
                </w14:textFill>
              </w:rPr>
              <w:t>设置环境影响专项评价。</w:t>
            </w:r>
          </w:p>
        </w:tc>
      </w:tr>
      <w:tr w14:paraId="2F7EE7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723" w:type="dxa"/>
            <w:noWrap w:val="0"/>
            <w:vAlign w:val="center"/>
          </w:tcPr>
          <w:p w14:paraId="7E42DE92">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规划情况</w:t>
            </w:r>
          </w:p>
        </w:tc>
        <w:tc>
          <w:tcPr>
            <w:tcW w:w="7518" w:type="dxa"/>
            <w:gridSpan w:val="3"/>
            <w:noWrap w:val="0"/>
            <w:vAlign w:val="center"/>
          </w:tcPr>
          <w:p w14:paraId="42F5A242">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无</w:t>
            </w:r>
          </w:p>
        </w:tc>
      </w:tr>
      <w:tr w14:paraId="79E015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23" w:type="dxa"/>
            <w:noWrap w:val="0"/>
            <w:vAlign w:val="center"/>
          </w:tcPr>
          <w:p w14:paraId="77414973">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规划环境影响评价情况</w:t>
            </w:r>
          </w:p>
        </w:tc>
        <w:tc>
          <w:tcPr>
            <w:tcW w:w="7518" w:type="dxa"/>
            <w:gridSpan w:val="3"/>
            <w:noWrap w:val="0"/>
            <w:vAlign w:val="center"/>
          </w:tcPr>
          <w:p w14:paraId="532CDD8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无</w:t>
            </w:r>
          </w:p>
        </w:tc>
      </w:tr>
      <w:tr w14:paraId="412DDD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723" w:type="dxa"/>
            <w:noWrap w:val="0"/>
            <w:vAlign w:val="center"/>
          </w:tcPr>
          <w:p w14:paraId="79E20ACC">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规划及规划环境影响评价符合性分析</w:t>
            </w:r>
          </w:p>
        </w:tc>
        <w:tc>
          <w:tcPr>
            <w:tcW w:w="7518" w:type="dxa"/>
            <w:gridSpan w:val="3"/>
            <w:noWrap w:val="0"/>
            <w:vAlign w:val="center"/>
          </w:tcPr>
          <w:p w14:paraId="04E71424">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无</w:t>
            </w:r>
          </w:p>
        </w:tc>
      </w:tr>
      <w:tr w14:paraId="1B66F1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723" w:type="dxa"/>
            <w:noWrap w:val="0"/>
            <w:vAlign w:val="center"/>
          </w:tcPr>
          <w:p w14:paraId="6B36DB14">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Times New Roman" w:hAnsi="Times New Roman" w:eastAsia="宋体" w:cs="宋体"/>
                <w:color w:val="000000" w:themeColor="text1"/>
                <w:spacing w:val="0"/>
                <w:kern w:val="0"/>
                <w:sz w:val="24"/>
                <w:szCs w:val="24"/>
                <w14:textFill>
                  <w14:solidFill>
                    <w14:schemeClr w14:val="tx1"/>
                  </w14:solidFill>
                </w14:textFill>
              </w:rPr>
            </w:pPr>
            <w:r>
              <w:rPr>
                <w:rFonts w:hint="eastAsia" w:ascii="Times New Roman" w:hAnsi="Times New Roman" w:eastAsia="宋体" w:cs="宋体"/>
                <w:color w:val="000000" w:themeColor="text1"/>
                <w:spacing w:val="0"/>
                <w:kern w:val="0"/>
                <w:sz w:val="24"/>
                <w:szCs w:val="24"/>
                <w14:textFill>
                  <w14:solidFill>
                    <w14:schemeClr w14:val="tx1"/>
                  </w14:solidFill>
                </w14:textFill>
              </w:rPr>
              <w:t>其他符合性分析</w:t>
            </w:r>
          </w:p>
        </w:tc>
        <w:tc>
          <w:tcPr>
            <w:tcW w:w="7518" w:type="dxa"/>
            <w:gridSpan w:val="3"/>
            <w:noWrap w:val="0"/>
            <w:vAlign w:val="center"/>
          </w:tcPr>
          <w:p w14:paraId="114181CA">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both"/>
              <w:textAlignment w:val="auto"/>
              <w:rPr>
                <w:rFonts w:hint="eastAsia" w:ascii="Times New Roman" w:hAnsi="Times New Roman" w:cs="宋体"/>
                <w:b/>
                <w:bCs/>
                <w:color w:val="000000" w:themeColor="text1"/>
                <w:spacing w:val="0"/>
                <w:kern w:val="0"/>
                <w:sz w:val="24"/>
                <w:szCs w:val="24"/>
                <w14:textFill>
                  <w14:solidFill>
                    <w14:schemeClr w14:val="tx1"/>
                  </w14:solidFill>
                </w14:textFill>
              </w:rPr>
            </w:pPr>
            <w:r>
              <w:rPr>
                <w:rFonts w:hint="eastAsia" w:ascii="Times New Roman" w:hAnsi="Times New Roman" w:cs="宋体"/>
                <w:b/>
                <w:bCs/>
                <w:color w:val="000000" w:themeColor="text1"/>
                <w:spacing w:val="0"/>
                <w:kern w:val="0"/>
                <w:sz w:val="24"/>
                <w:szCs w:val="24"/>
                <w:lang w:val="en-US" w:eastAsia="zh-CN"/>
                <w14:textFill>
                  <w14:solidFill>
                    <w14:schemeClr w14:val="tx1"/>
                  </w14:solidFill>
                </w14:textFill>
              </w:rPr>
              <w:t>1、</w:t>
            </w:r>
            <w:r>
              <w:rPr>
                <w:rFonts w:hint="eastAsia" w:ascii="Times New Roman" w:hAnsi="Times New Roman" w:cs="宋体"/>
                <w:b/>
                <w:bCs/>
                <w:color w:val="000000" w:themeColor="text1"/>
                <w:spacing w:val="0"/>
                <w:kern w:val="0"/>
                <w:sz w:val="24"/>
                <w:szCs w:val="24"/>
                <w14:textFill>
                  <w14:solidFill>
                    <w14:schemeClr w14:val="tx1"/>
                  </w14:solidFill>
                </w14:textFill>
              </w:rPr>
              <w:t>产业政策符合性分析</w:t>
            </w:r>
          </w:p>
          <w:p w14:paraId="32A25994">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kern w:val="0"/>
                <w:sz w:val="24"/>
                <w:lang w:val="en-US" w:eastAsia="zh-CN"/>
                <w14:textFill>
                  <w14:solidFill>
                    <w14:schemeClr w14:val="tx1"/>
                  </w14:solidFill>
                </w14:textFill>
              </w:rPr>
            </w:pPr>
            <w:r>
              <w:rPr>
                <w:rFonts w:hint="eastAsia" w:cs="Times New Roman"/>
                <w:color w:val="000000" w:themeColor="text1"/>
                <w:kern w:val="0"/>
                <w:sz w:val="24"/>
                <w:lang w:val="en-US" w:eastAsia="zh-CN"/>
                <w14:textFill>
                  <w14:solidFill>
                    <w14:schemeClr w14:val="tx1"/>
                  </w14:solidFill>
                </w14:textFill>
              </w:rPr>
              <w:t>（1）非物质文化遗产相关法律政策</w:t>
            </w:r>
          </w:p>
          <w:p w14:paraId="537BB3A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000000" w:themeColor="text1"/>
                <w:kern w:val="0"/>
                <w:sz w:val="24"/>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lang w:val="en-US" w:eastAsia="zh-CN"/>
                <w14:textFill>
                  <w14:solidFill>
                    <w14:schemeClr w14:val="tx1"/>
                  </w14:solidFill>
                </w14:textFill>
              </w:rPr>
              <w:t>本项目被列为曲靖市第六批市级非物质文化遗产代表性项目扩展项目中的传统技艺（详见附件9），罗平县第四批非物质文化遗产项目（详见附件10），有关非物质文化遗产的法律政策如下表所示：</w:t>
            </w:r>
          </w:p>
          <w:p w14:paraId="3434D7F2">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表1-2  有关非物质文化遗产的相关法律政策</w:t>
            </w:r>
          </w:p>
          <w:tbl>
            <w:tblPr>
              <w:tblStyle w:val="29"/>
              <w:tblW w:w="7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3318"/>
              <w:gridCol w:w="2573"/>
            </w:tblGrid>
            <w:tr w14:paraId="54F9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center"/>
                </w:tcPr>
                <w:p w14:paraId="617954A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名称</w:t>
                  </w:r>
                </w:p>
              </w:tc>
              <w:tc>
                <w:tcPr>
                  <w:tcW w:w="3318" w:type="dxa"/>
                  <w:noWrap w:val="0"/>
                  <w:vAlign w:val="center"/>
                </w:tcPr>
                <w:p w14:paraId="1B9D930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内容</w:t>
                  </w:r>
                </w:p>
              </w:tc>
              <w:tc>
                <w:tcPr>
                  <w:tcW w:w="2573" w:type="dxa"/>
                  <w:noWrap w:val="0"/>
                  <w:vAlign w:val="center"/>
                </w:tcPr>
                <w:p w14:paraId="12710D5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本项目情况</w:t>
                  </w:r>
                </w:p>
              </w:tc>
            </w:tr>
            <w:tr w14:paraId="6F0D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vMerge w:val="restart"/>
                  <w:noWrap w:val="0"/>
                  <w:vAlign w:val="center"/>
                </w:tcPr>
                <w:p w14:paraId="4EEC50E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《中华人民共和国非物质文化遗产法》</w:t>
                  </w:r>
                </w:p>
              </w:tc>
              <w:tc>
                <w:tcPr>
                  <w:tcW w:w="3318" w:type="dxa"/>
                  <w:noWrap w:val="0"/>
                  <w:vAlign w:val="center"/>
                </w:tcPr>
                <w:p w14:paraId="6BAEFCB6">
                  <w:pPr>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本法所称非物质文化遗产，是指各族人民世代相传并视为其文化遗产组成部分的各种传统文化表现形式，以及与传统文化表现形式相关的实物和场所。包括：</w:t>
                  </w:r>
                </w:p>
                <w:p w14:paraId="49F98A02">
                  <w:pPr>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（一）传统口头文学以及作为其载体的语言；</w:t>
                  </w:r>
                </w:p>
                <w:p w14:paraId="59289965">
                  <w:pPr>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（二）传统美术、书法、音乐、舞蹈、戏剧、曲艺和杂技；</w:t>
                  </w:r>
                </w:p>
                <w:p w14:paraId="53FAD50D">
                  <w:pPr>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（三）传统技艺、医药和历法；</w:t>
                  </w:r>
                </w:p>
                <w:p w14:paraId="747F1794">
                  <w:pPr>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（四）传统礼仪、节庆等民俗；</w:t>
                  </w:r>
                </w:p>
                <w:p w14:paraId="2654DEF0">
                  <w:pPr>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（五）传统体育和游艺；</w:t>
                  </w:r>
                </w:p>
                <w:p w14:paraId="455B9FF0">
                  <w:pPr>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（六）其他非物质文化遗产。</w:t>
                  </w:r>
                </w:p>
              </w:tc>
              <w:tc>
                <w:tcPr>
                  <w:tcW w:w="2573" w:type="dxa"/>
                  <w:noWrap w:val="0"/>
                  <w:vAlign w:val="center"/>
                </w:tcPr>
                <w:p w14:paraId="58E6C10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本项目系曲靖市第六批市级非物质文化遗产项目</w:t>
                  </w:r>
                  <w:r>
                    <w:rPr>
                      <w:rFonts w:hint="eastAsia" w:cs="Times New Roman"/>
                      <w:color w:val="000000" w:themeColor="text1"/>
                      <w:kern w:val="0"/>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罗平县第四批非物质文化遗产项目</w:t>
                  </w:r>
                  <w:r>
                    <w:rPr>
                      <w:rFonts w:hint="eastAsia" w:cs="Times New Roman"/>
                      <w:color w:val="000000" w:themeColor="text1"/>
                      <w:kern w:val="0"/>
                      <w:sz w:val="21"/>
                      <w:szCs w:val="21"/>
                      <w:lang w:val="en-US" w:eastAsia="zh-CN"/>
                      <w14:textFill>
                        <w14:solidFill>
                          <w14:schemeClr w14:val="tx1"/>
                        </w14:solidFill>
                      </w14:textFill>
                    </w:rPr>
                    <w:t>中传统技艺，其生产工艺装备仿古窑为非物质文化遗产的</w:t>
                  </w:r>
                  <w:r>
                    <w:rPr>
                      <w:rFonts w:hint="eastAsia"/>
                      <w:color w:val="000000" w:themeColor="text1"/>
                      <w:sz w:val="21"/>
                      <w:szCs w:val="21"/>
                      <w:vertAlign w:val="baseline"/>
                      <w:lang w:val="en-US" w:eastAsia="zh-CN"/>
                      <w14:textFill>
                        <w14:solidFill>
                          <w14:schemeClr w14:val="tx1"/>
                        </w14:solidFill>
                      </w14:textFill>
                    </w:rPr>
                    <w:t>核心技艺和关键技术，其建设场所属于非物质文化遗产表现的场所，均为文化遗产组成部分。</w:t>
                  </w:r>
                </w:p>
              </w:tc>
            </w:tr>
            <w:tr w14:paraId="7B74D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vMerge w:val="continue"/>
                  <w:noWrap w:val="0"/>
                  <w:vAlign w:val="center"/>
                </w:tcPr>
                <w:p w14:paraId="3E7B1F4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000000" w:themeColor="text1"/>
                      <w:sz w:val="21"/>
                      <w:szCs w:val="21"/>
                      <w:vertAlign w:val="baseline"/>
                      <w:lang w:val="en-US" w:eastAsia="zh-CN"/>
                      <w14:textFill>
                        <w14:solidFill>
                          <w14:schemeClr w14:val="tx1"/>
                        </w14:solidFill>
                      </w14:textFill>
                    </w:rPr>
                  </w:pPr>
                </w:p>
              </w:tc>
              <w:tc>
                <w:tcPr>
                  <w:tcW w:w="3318" w:type="dxa"/>
                  <w:noWrap w:val="0"/>
                  <w:vAlign w:val="center"/>
                </w:tcPr>
                <w:p w14:paraId="3F1726C7">
                  <w:pPr>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第三条  国家对非物质文化遗产采取认定、记录、建档等措施予以保存，对体现中华优秀传统文化，具有历史、文学、艺术、科学价值的非物质文化遗产采取传承、传播等措施予以保护。</w:t>
                  </w:r>
                </w:p>
              </w:tc>
              <w:tc>
                <w:tcPr>
                  <w:tcW w:w="2573" w:type="dxa"/>
                  <w:noWrap w:val="0"/>
                  <w:vAlign w:val="center"/>
                </w:tcPr>
                <w:p w14:paraId="0E23AA6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本项目系曲靖市第六批市级非物质文化遗产项目</w:t>
                  </w:r>
                  <w:r>
                    <w:rPr>
                      <w:rFonts w:hint="eastAsia" w:cs="Times New Roman"/>
                      <w:color w:val="000000" w:themeColor="text1"/>
                      <w:kern w:val="0"/>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罗平县第四批非物质文化遗产项目</w:t>
                  </w:r>
                  <w:r>
                    <w:rPr>
                      <w:rFonts w:hint="eastAsia" w:cs="Times New Roman"/>
                      <w:color w:val="000000" w:themeColor="text1"/>
                      <w:kern w:val="0"/>
                      <w:sz w:val="21"/>
                      <w:szCs w:val="21"/>
                      <w:lang w:val="en-US" w:eastAsia="zh-CN"/>
                      <w14:textFill>
                        <w14:solidFill>
                          <w14:schemeClr w14:val="tx1"/>
                        </w14:solidFill>
                      </w14:textFill>
                    </w:rPr>
                    <w:t>中传统技艺，应予以保护。</w:t>
                  </w:r>
                </w:p>
              </w:tc>
            </w:tr>
            <w:tr w14:paraId="5B69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jc w:val="center"/>
              </w:trPr>
              <w:tc>
                <w:tcPr>
                  <w:tcW w:w="1479" w:type="dxa"/>
                  <w:vMerge w:val="continue"/>
                  <w:noWrap w:val="0"/>
                  <w:vAlign w:val="center"/>
                </w:tcPr>
                <w:p w14:paraId="6CB7FFD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000000" w:themeColor="text1"/>
                      <w:sz w:val="21"/>
                      <w:szCs w:val="21"/>
                      <w:vertAlign w:val="baseline"/>
                      <w:lang w:val="en-US" w:eastAsia="zh-CN"/>
                      <w14:textFill>
                        <w14:solidFill>
                          <w14:schemeClr w14:val="tx1"/>
                        </w14:solidFill>
                      </w14:textFill>
                    </w:rPr>
                  </w:pPr>
                </w:p>
              </w:tc>
              <w:tc>
                <w:tcPr>
                  <w:tcW w:w="3318" w:type="dxa"/>
                  <w:noWrap w:val="0"/>
                  <w:vAlign w:val="center"/>
                </w:tcPr>
                <w:p w14:paraId="4FF61807">
                  <w:pPr>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第四条  保护非物质文化遗产，应当注重其真实性、整体性和传承性，有利于增强中华民族的文化认同，有利于维护国家统一和民族团结，有利于促进社会和谐和可持续发展。</w:t>
                  </w:r>
                </w:p>
              </w:tc>
              <w:tc>
                <w:tcPr>
                  <w:tcW w:w="2573" w:type="dxa"/>
                  <w:noWrap w:val="0"/>
                  <w:vAlign w:val="center"/>
                </w:tcPr>
                <w:p w14:paraId="1BB0666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本项目使用的仿古窑为非物质文化传统技艺（青瓦制作）的</w:t>
                  </w:r>
                  <w:r>
                    <w:rPr>
                      <w:rFonts w:hint="eastAsia"/>
                      <w:color w:val="000000" w:themeColor="text1"/>
                      <w:sz w:val="21"/>
                      <w:szCs w:val="21"/>
                      <w:vertAlign w:val="baseline"/>
                      <w:lang w:val="en-US" w:eastAsia="zh-CN"/>
                      <w14:textFill>
                        <w14:solidFill>
                          <w14:schemeClr w14:val="tx1"/>
                        </w14:solidFill>
                      </w14:textFill>
                    </w:rPr>
                    <w:t>核心技艺和关键技术</w:t>
                  </w:r>
                  <w:r>
                    <w:rPr>
                      <w:rFonts w:hint="eastAsia" w:cs="Times New Roman"/>
                      <w:color w:val="000000" w:themeColor="text1"/>
                      <w:kern w:val="0"/>
                      <w:sz w:val="21"/>
                      <w:szCs w:val="21"/>
                      <w:lang w:val="en-US" w:eastAsia="zh-CN"/>
                      <w14:textFill>
                        <w14:solidFill>
                          <w14:schemeClr w14:val="tx1"/>
                        </w14:solidFill>
                      </w14:textFill>
                    </w:rPr>
                    <w:t>，体现了非物质文化遗产的真实性、完整性。</w:t>
                  </w:r>
                </w:p>
              </w:tc>
            </w:tr>
            <w:tr w14:paraId="4F0A1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center"/>
                </w:tcPr>
                <w:p w14:paraId="051C099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中共中央办公厅、国务院办公厅印发《关于进一步加强非物质文化遗产保护工作的意见》</w:t>
                  </w:r>
                </w:p>
              </w:tc>
              <w:tc>
                <w:tcPr>
                  <w:tcW w:w="3318" w:type="dxa"/>
                  <w:noWrap w:val="0"/>
                  <w:vAlign w:val="center"/>
                </w:tcPr>
                <w:p w14:paraId="0028A9A7">
                  <w:pPr>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（十）继续实施中国传统工艺振兴计划，加强各民族优秀传统手工艺保护和传承，推动传统美术、传统技艺、中药炮制及其他传统工艺在现代生活中广泛应用。</w:t>
                  </w:r>
                </w:p>
              </w:tc>
              <w:tc>
                <w:tcPr>
                  <w:tcW w:w="2573" w:type="dxa"/>
                  <w:noWrap w:val="0"/>
                  <w:vAlign w:val="center"/>
                </w:tcPr>
                <w:p w14:paraId="742F3CE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项目为传统技艺，生产的青瓦广泛应用于当地建筑装饰，有利于非物质文化遗产的宣传</w:t>
                  </w:r>
                </w:p>
              </w:tc>
            </w:tr>
            <w:tr w14:paraId="0592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center"/>
                </w:tcPr>
                <w:p w14:paraId="437E7F5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国务院办公厅关于转发文化部等部门中国传统工艺振兴计划的通知（国办发〔2017〕25号）</w:t>
                  </w:r>
                </w:p>
              </w:tc>
              <w:tc>
                <w:tcPr>
                  <w:tcW w:w="3318" w:type="dxa"/>
                  <w:noWrap w:val="0"/>
                  <w:vAlign w:val="center"/>
                </w:tcPr>
                <w:p w14:paraId="3F598E52">
                  <w:pPr>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（八）加强文化生态环境的整体保护。鼓励研发绿色环保材料，改进有污染的工艺流程，加强生态环境保护。</w:t>
                  </w:r>
                </w:p>
              </w:tc>
              <w:tc>
                <w:tcPr>
                  <w:tcW w:w="2573" w:type="dxa"/>
                  <w:noWrap w:val="0"/>
                  <w:vAlign w:val="center"/>
                </w:tcPr>
                <w:p w14:paraId="5BC26B2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本次改扩建环评对项目主要污染工艺污染物防治措施提出整改措施，具体如下：①原有项目原料制备废气为无组织排放，本次环评提出破碎、筛分各设置1个集气罩（收集效率不低于60%）收集，粉磨废气设置管道收集，进入1套脉冲袋式除尘器处理后设置1根高15m的排气筒（DA002）排放；②原有项目炉窑废气经设置脱硫塔，本次环评提出</w:t>
                  </w:r>
                  <w:r>
                    <w:rPr>
                      <w:rFonts w:hint="eastAsia" w:ascii="Times New Roman" w:hAnsi="Times New Roman" w:eastAsia="宋体" w:cs="Times New Roman"/>
                      <w:color w:val="000000" w:themeColor="text1"/>
                      <w:lang w:val="en-US" w:eastAsia="zh-CN"/>
                      <w14:textFill>
                        <w14:solidFill>
                          <w14:schemeClr w14:val="tx1"/>
                        </w14:solidFill>
                      </w14:textFill>
                    </w:rPr>
                    <w:t>设置1套“高温脉冲</w:t>
                  </w:r>
                  <w:r>
                    <w:rPr>
                      <w:rFonts w:hint="eastAsia" w:cs="Times New Roman"/>
                      <w:color w:val="000000" w:themeColor="text1"/>
                      <w:lang w:val="en-US" w:eastAsia="zh-CN"/>
                      <w14:textFill>
                        <w14:solidFill>
                          <w14:schemeClr w14:val="tx1"/>
                        </w14:solidFill>
                      </w14:textFill>
                    </w:rPr>
                    <w:t>袋式</w:t>
                  </w:r>
                  <w:r>
                    <w:rPr>
                      <w:rFonts w:hint="eastAsia" w:ascii="Times New Roman" w:hAnsi="Times New Roman" w:eastAsia="宋体" w:cs="Times New Roman"/>
                      <w:color w:val="000000" w:themeColor="text1"/>
                      <w:lang w:val="en-US" w:eastAsia="zh-CN"/>
                      <w14:textFill>
                        <w14:solidFill>
                          <w14:schemeClr w14:val="tx1"/>
                        </w14:solidFill>
                      </w14:textFill>
                    </w:rPr>
                    <w:t>除尘+脱硫塔（石灰石石膏法）”处理后，由1根15m高的排气筒（</w:t>
                  </w:r>
                  <w:r>
                    <w:rPr>
                      <w:rFonts w:hint="default" w:ascii="Times New Roman" w:hAnsi="Times New Roman" w:eastAsia="宋体" w:cs="Times New Roman"/>
                      <w:color w:val="000000" w:themeColor="text1"/>
                      <w:lang w:val="en-US" w:eastAsia="zh-CN"/>
                      <w14:textFill>
                        <w14:solidFill>
                          <w14:schemeClr w14:val="tx1"/>
                        </w14:solidFill>
                      </w14:textFill>
                    </w:rPr>
                    <w:t>DA00</w:t>
                  </w:r>
                  <w:r>
                    <w:rPr>
                      <w:rFonts w:hint="eastAsia" w:cs="Times New Roman"/>
                      <w:color w:val="000000" w:themeColor="text1"/>
                      <w:lang w:val="en-US" w:eastAsia="zh-CN"/>
                      <w14:textFill>
                        <w14:solidFill>
                          <w14:schemeClr w14:val="tx1"/>
                        </w14:solidFill>
                      </w14:textFill>
                    </w:rPr>
                    <w:t>1</w:t>
                  </w:r>
                  <w:r>
                    <w:rPr>
                      <w:rFonts w:hint="eastAsia" w:ascii="Times New Roman" w:hAnsi="Times New Roman" w:eastAsia="宋体" w:cs="Times New Roman"/>
                      <w:color w:val="000000" w:themeColor="text1"/>
                      <w:lang w:val="en-US" w:eastAsia="zh-CN"/>
                      <w14:textFill>
                        <w14:solidFill>
                          <w14:schemeClr w14:val="tx1"/>
                        </w14:solidFill>
                      </w14:textFill>
                    </w:rPr>
                    <w:t>）排放</w:t>
                  </w:r>
                  <w:r>
                    <w:rPr>
                      <w:rFonts w:hint="eastAsia" w:cs="Times New Roman"/>
                      <w:color w:val="000000" w:themeColor="text1"/>
                      <w:lang w:val="en-US" w:eastAsia="zh-CN"/>
                      <w14:textFill>
                        <w14:solidFill>
                          <w14:schemeClr w14:val="tx1"/>
                        </w14:solidFill>
                      </w14:textFill>
                    </w:rPr>
                    <w:t>。</w:t>
                  </w:r>
                </w:p>
                <w:p w14:paraId="6E6E7C6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污染防治设施经改进后，项目污染物能够达标排放，符合环境保护要求。</w:t>
                  </w:r>
                </w:p>
              </w:tc>
            </w:tr>
            <w:tr w14:paraId="72E1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79" w:type="dxa"/>
                  <w:vMerge w:val="restart"/>
                  <w:noWrap w:val="0"/>
                  <w:vAlign w:val="center"/>
                </w:tcPr>
                <w:p w14:paraId="2FA8CC8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文旅部等十部委《推动传统工艺高质量传承发展的通知》（文旅非遗发〔2022〕72号）</w:t>
                  </w:r>
                </w:p>
              </w:tc>
              <w:tc>
                <w:tcPr>
                  <w:tcW w:w="3318" w:type="dxa"/>
                  <w:noWrap w:val="0"/>
                  <w:vAlign w:val="center"/>
                </w:tcPr>
                <w:p w14:paraId="15F24E1A">
                  <w:pPr>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加强对各级传统工艺代表性项目的调查和整理，注重相关工具、材料、作品等实物资料的征集和保存。</w:t>
                  </w:r>
                </w:p>
              </w:tc>
              <w:tc>
                <w:tcPr>
                  <w:tcW w:w="2573" w:type="dxa"/>
                  <w:noWrap w:val="0"/>
                  <w:vAlign w:val="center"/>
                </w:tcPr>
                <w:p w14:paraId="403AAFB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本项目使用的仿古窑为非物质文化传统技艺的生产设施。</w:t>
                  </w:r>
                </w:p>
              </w:tc>
            </w:tr>
            <w:tr w14:paraId="23550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79" w:type="dxa"/>
                  <w:vMerge w:val="continue"/>
                  <w:noWrap w:val="0"/>
                  <w:vAlign w:val="center"/>
                </w:tcPr>
                <w:p w14:paraId="517CC397">
                  <w:pPr>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000000" w:themeColor="text1"/>
                      <w:sz w:val="21"/>
                      <w:szCs w:val="21"/>
                      <w:vertAlign w:val="baseline"/>
                      <w:lang w:val="en-US" w:eastAsia="zh-CN"/>
                      <w14:textFill>
                        <w14:solidFill>
                          <w14:schemeClr w14:val="tx1"/>
                        </w14:solidFill>
                      </w14:textFill>
                    </w:rPr>
                  </w:pPr>
                </w:p>
              </w:tc>
              <w:tc>
                <w:tcPr>
                  <w:tcW w:w="3318" w:type="dxa"/>
                  <w:noWrap w:val="0"/>
                  <w:vAlign w:val="center"/>
                </w:tcPr>
                <w:p w14:paraId="510E0B03">
                  <w:pPr>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促进传统工艺发展振兴：培育具有核心竞争力的优势传统工艺企业，支持其全面掌握并运用传统工艺核心技艺和关键技术，在保持传统配方和工序的基础上，鼓励运用现代生产技术和管理方式，提高生产效率。鼓励传统工艺企业区分手工制作和机械生产，设立专门的手工生产线，进行开发创新，提高手工价值，丰富产品品类，培养高端品牌，满足不同消费需求。对于传统工艺保护成效明显、研发设计能力出众、人才优势突出、带动能力显著的传统工艺企业在国家级非物质文化遗产生产性保护示范基地申报中予以倾斜。支持小微企业、非遗工坊等生产经营主体，依托传统工艺开展技能培训，带动就业创业，助力乡村振兴。鼓励相关文化产业合理利用传统工艺资源，吸纳传统工艺传承人、从业者参与生产。</w:t>
                  </w:r>
                </w:p>
              </w:tc>
              <w:tc>
                <w:tcPr>
                  <w:tcW w:w="2573" w:type="dxa"/>
                  <w:noWrap w:val="0"/>
                  <w:vAlign w:val="center"/>
                </w:tcPr>
                <w:p w14:paraId="2A4B1ED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本项目使用的</w:t>
                  </w:r>
                  <w:r>
                    <w:rPr>
                      <w:rFonts w:hint="eastAsia" w:cs="Times New Roman"/>
                      <w:color w:val="000000" w:themeColor="text1"/>
                      <w:kern w:val="0"/>
                      <w:sz w:val="21"/>
                      <w:szCs w:val="21"/>
                      <w:lang w:val="en-US" w:eastAsia="zh-CN"/>
                      <w14:textFill>
                        <w14:solidFill>
                          <w14:schemeClr w14:val="tx1"/>
                        </w14:solidFill>
                      </w14:textFill>
                    </w:rPr>
                    <w:t>仿古窑为传统技艺核心技艺和关键技术，企业利用现代化管理方式，原料制备工段利用机械生产代替传统手工生产线，提高了生产效率。</w:t>
                  </w:r>
                </w:p>
              </w:tc>
            </w:tr>
            <w:tr w14:paraId="79DA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79" w:type="dxa"/>
                  <w:vMerge w:val="continue"/>
                  <w:noWrap w:val="0"/>
                  <w:vAlign w:val="center"/>
                </w:tcPr>
                <w:p w14:paraId="78AE1371">
                  <w:pPr>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000000" w:themeColor="text1"/>
                      <w:sz w:val="21"/>
                      <w:szCs w:val="21"/>
                      <w:vertAlign w:val="baseline"/>
                      <w:lang w:val="en-US" w:eastAsia="zh-CN"/>
                      <w14:textFill>
                        <w14:solidFill>
                          <w14:schemeClr w14:val="tx1"/>
                        </w14:solidFill>
                      </w14:textFill>
                    </w:rPr>
                  </w:pPr>
                </w:p>
              </w:tc>
              <w:tc>
                <w:tcPr>
                  <w:tcW w:w="3318" w:type="dxa"/>
                  <w:noWrap w:val="0"/>
                  <w:vAlign w:val="center"/>
                </w:tcPr>
                <w:p w14:paraId="296400E9">
                  <w:pPr>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传统工艺传承人、项目保护单位及相关企事业单位要强化生态保护意识，改进有污染的工艺流程，合理利用天然材料，反对滥用不可再生的天然原材料资源，禁止使用非法获取的珍贵、濒危野生动植物资源。</w:t>
                  </w:r>
                </w:p>
              </w:tc>
              <w:tc>
                <w:tcPr>
                  <w:tcW w:w="2573" w:type="dxa"/>
                  <w:noWrap w:val="0"/>
                  <w:vAlign w:val="center"/>
                </w:tcPr>
                <w:p w14:paraId="790073A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本次改扩建对污染防治设施进行整改，确保项目生产过程中产生的污染物达标排放。</w:t>
                  </w:r>
                </w:p>
                <w:p w14:paraId="3B9963A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项目原料来源合法采场，合理利用天然材料，未涉及珍贵、濒危野生动植物资源的利用。</w:t>
                  </w:r>
                </w:p>
              </w:tc>
            </w:tr>
          </w:tbl>
          <w:p w14:paraId="0365E57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根据上表关于非物质文化遗产的相关法律政策，国家对非物质文化遗产予以保护，本项目系曲靖市第六批市级非物质文化遗产项目、罗平县第四批非物质文化遗产项目中传统技艺，其生产工艺装备仿古窑为非物质文化遗产的核心技艺和关键技术，其建设场所属于非物质文化遗产表现的场所，均为非物质文化遗产组成部分，应予以保护。</w:t>
            </w:r>
          </w:p>
          <w:p w14:paraId="30A45BD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（2）产业政策符合性分析</w:t>
            </w:r>
          </w:p>
          <w:p w14:paraId="2407B9A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为青瓦制造项目，属于《曲靖市人民政府关于公布第六批市级非物质文化遗产代表性项目名录的通知》（2021-374）和《罗平县人民政府关于公布第四批非物质文化遗产项目及传承人的批复》（罗政复〔2021〕62号）中的非物质文化遗产项目。根据《中华人民共和国非物质文化遗产法》、</w:t>
            </w:r>
            <w:r>
              <w:rPr>
                <w:rFonts w:hint="eastAsia" w:cs="Times New Roman"/>
                <w:color w:val="000000" w:themeColor="text1"/>
                <w:sz w:val="24"/>
                <w:szCs w:val="24"/>
                <w:lang w:val="en-US" w:eastAsia="zh-CN"/>
                <w14:textFill>
                  <w14:solidFill>
                    <w14:schemeClr w14:val="tx1"/>
                  </w14:solidFill>
                </w14:textFill>
              </w:rPr>
              <w:t>中共中央办公厅、国务院办公厅印发</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关于进一步加强非物质文化遗产保护工作的意见》国务院办公厅关于转发文化部等部门中国传统工艺振兴计划的通知（国办发〔2017〕25号）、文旅部等十部委《推动传统工艺高质量传承发展的通知》（文旅非遗发〔2022〕72号），国家对非物质文化遗产予以保护，项目生产工艺装备仿古窑为非物质文化遗产的核心技艺和关键技术，其建设场所属于非物质文化遗产表现的场所，均为非物质文化遗产组成部分，应予以保护。项目在保留传统工艺的同时对主要污染工艺污染防治设施进行了改进，确保项目生产过程中产生的污染物达标排放，符合非物质文化遗产相关政策中关于生态环境保护的要求。</w:t>
            </w:r>
          </w:p>
          <w:p w14:paraId="6735A134">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同时</w:t>
            </w:r>
            <w:r>
              <w:rPr>
                <w:rFonts w:hint="default" w:ascii="Times New Roman" w:hAnsi="Times New Roman" w:eastAsia="宋体" w:cs="Times New Roman"/>
                <w:color w:val="000000" w:themeColor="text1"/>
                <w:sz w:val="24"/>
                <w14:textFill>
                  <w14:solidFill>
                    <w14:schemeClr w14:val="tx1"/>
                  </w14:solidFill>
                </w14:textFill>
              </w:rPr>
              <w:t>本项目已于2024年8月13日取得了罗平县发展和改革局</w:t>
            </w:r>
            <w:r>
              <w:rPr>
                <w:rFonts w:hint="eastAsia" w:ascii="Times New Roman" w:hAnsi="Times New Roman" w:eastAsia="宋体" w:cs="Times New Roman"/>
                <w:color w:val="000000" w:themeColor="text1"/>
                <w:sz w:val="24"/>
                <w:lang w:val="en-US" w:eastAsia="zh-CN"/>
                <w14:textFill>
                  <w14:solidFill>
                    <w14:schemeClr w14:val="tx1"/>
                  </w14:solidFill>
                </w14:textFill>
              </w:rPr>
              <w:t>下发的《云南省固定资产投资项目备案证》</w:t>
            </w:r>
            <w:r>
              <w:rPr>
                <w:rFonts w:hint="default" w:ascii="Times New Roman" w:hAnsi="Times New Roman" w:eastAsia="宋体" w:cs="Times New Roman"/>
                <w:color w:val="000000" w:themeColor="text1"/>
                <w:sz w:val="24"/>
                <w14:textFill>
                  <w14:solidFill>
                    <w14:schemeClr w14:val="tx1"/>
                  </w14:solidFill>
                </w14:textFill>
              </w:rPr>
              <w:t>，</w:t>
            </w:r>
            <w:r>
              <w:rPr>
                <w:rFonts w:hint="eastAsia" w:ascii="Times New Roman" w:hAnsi="Times New Roman" w:eastAsia="宋体" w:cs="Times New Roman"/>
                <w:color w:val="000000" w:themeColor="text1"/>
                <w:sz w:val="24"/>
                <w:lang w:val="en-US" w:eastAsia="zh-CN"/>
                <w14:textFill>
                  <w14:solidFill>
                    <w14:schemeClr w14:val="tx1"/>
                  </w14:solidFill>
                </w14:textFill>
              </w:rPr>
              <w:t>备案号（</w:t>
            </w:r>
            <w:r>
              <w:rPr>
                <w:rFonts w:hint="default" w:ascii="Times New Roman" w:hAnsi="Times New Roman" w:eastAsia="宋体" w:cs="Times New Roman"/>
                <w:color w:val="000000" w:themeColor="text1"/>
                <w:sz w:val="24"/>
                <w14:textFill>
                  <w14:solidFill>
                    <w14:schemeClr w14:val="tx1"/>
                  </w14:solidFill>
                </w14:textFill>
              </w:rPr>
              <w:t>项目代码</w:t>
            </w:r>
            <w:r>
              <w:rPr>
                <w:rFonts w:hint="eastAsia" w:ascii="Times New Roman" w:hAnsi="Times New Roman" w:eastAsia="宋体" w:cs="Times New Roman"/>
                <w:color w:val="000000" w:themeColor="text1"/>
                <w:sz w:val="24"/>
                <w:lang w:val="en-US" w:eastAsia="zh-CN"/>
                <w14:textFill>
                  <w14:solidFill>
                    <w14:schemeClr w14:val="tx1"/>
                  </w14:solidFill>
                </w14:textFill>
              </w:rPr>
              <w:t>）</w:t>
            </w:r>
            <w:r>
              <w:rPr>
                <w:rFonts w:hint="default" w:ascii="Times New Roman" w:hAnsi="Times New Roman" w:eastAsia="宋体" w:cs="Times New Roman"/>
                <w:color w:val="000000" w:themeColor="text1"/>
                <w:sz w:val="24"/>
                <w14:textFill>
                  <w14:solidFill>
                    <w14:schemeClr w14:val="tx1"/>
                  </w14:solidFill>
                </w14:textFill>
              </w:rPr>
              <w:t>为</w:t>
            </w:r>
            <w:r>
              <w:rPr>
                <w:rFonts w:hint="eastAsia" w:ascii="Times New Roman" w:hAnsi="Times New Roman" w:eastAsia="宋体"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14:textFill>
                  <w14:solidFill>
                    <w14:schemeClr w14:val="tx1"/>
                  </w14:solidFill>
                </w14:textFill>
              </w:rPr>
              <w:t>2408-530324-04-01-818897。</w:t>
            </w:r>
          </w:p>
          <w:p w14:paraId="331F1D1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b/>
                <w:bCs/>
                <w:color w:val="000000" w:themeColor="text1"/>
                <w:sz w:val="24"/>
                <w14:textFill>
                  <w14:solidFill>
                    <w14:schemeClr w14:val="tx1"/>
                  </w14:solidFill>
                </w14:textFill>
              </w:rPr>
            </w:pPr>
            <w:r>
              <w:rPr>
                <w:rFonts w:hint="eastAsia"/>
                <w:b/>
                <w:bCs/>
                <w:color w:val="000000" w:themeColor="text1"/>
                <w:sz w:val="24"/>
                <w:lang w:val="en-US" w:eastAsia="zh-CN"/>
                <w14:textFill>
                  <w14:solidFill>
                    <w14:schemeClr w14:val="tx1"/>
                  </w14:solidFill>
                </w14:textFill>
              </w:rPr>
              <w:t>2、</w:t>
            </w:r>
            <w:r>
              <w:rPr>
                <w:b/>
                <w:bCs/>
                <w:color w:val="000000" w:themeColor="text1"/>
                <w:sz w:val="24"/>
                <w14:textFill>
                  <w14:solidFill>
                    <w14:schemeClr w14:val="tx1"/>
                  </w14:solidFill>
                </w14:textFill>
              </w:rPr>
              <w:t>与</w:t>
            </w:r>
            <w:r>
              <w:rPr>
                <w:rFonts w:hint="eastAsia"/>
                <w:b/>
                <w:bCs/>
                <w:color w:val="000000" w:themeColor="text1"/>
                <w:sz w:val="24"/>
                <w:lang w:val="en-US" w:eastAsia="zh-CN"/>
                <w14:textFill>
                  <w14:solidFill>
                    <w14:schemeClr w14:val="tx1"/>
                  </w14:solidFill>
                </w14:textFill>
              </w:rPr>
              <w:t>《曲靖市生态环境分区管控动态更新方案（2023年）》符合性分析</w:t>
            </w:r>
          </w:p>
          <w:p w14:paraId="4B4C8709">
            <w:pPr>
              <w:widowControl/>
              <w:adjustRightInd w:val="0"/>
              <w:snapToGrid w:val="0"/>
              <w:spacing w:line="360" w:lineRule="auto"/>
              <w:ind w:firstLine="480" w:firstLineChars="200"/>
              <w:jc w:val="left"/>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2</w:t>
            </w:r>
            <w:r>
              <w:rPr>
                <w:rFonts w:hint="default" w:ascii="Times New Roman" w:hAnsi="Times New Roman" w:eastAsia="宋体" w:cs="Times New Roman"/>
                <w:color w:val="000000" w:themeColor="text1"/>
                <w:sz w:val="24"/>
                <w14:textFill>
                  <w14:solidFill>
                    <w14:schemeClr w14:val="tx1"/>
                  </w14:solidFill>
                </w14:textFill>
              </w:rPr>
              <w:t>024年7月15日，曲靖市生态环境局印发《曲靖市生态环境分区管控动态更新方案（2023年）》（曲环通〔2024〕36号），更新调整全市共划定91个环境管控单元。其中，优先保护单元27个，重点管控单元55个，一般管控单元9个。</w:t>
            </w:r>
          </w:p>
          <w:p w14:paraId="762A797E">
            <w:pPr>
              <w:widowControl/>
              <w:adjustRightInd w:val="0"/>
              <w:snapToGrid w:val="0"/>
              <w:spacing w:line="360" w:lineRule="auto"/>
              <w:ind w:firstLine="480" w:firstLineChars="200"/>
              <w:jc w:val="left"/>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本项目位于</w:t>
            </w:r>
            <w:r>
              <w:rPr>
                <w:rFonts w:hint="eastAsia" w:ascii="Times New Roman" w:hAnsi="Times New Roman" w:eastAsia="宋体" w:cs="Times New Roman"/>
                <w:color w:val="000000" w:themeColor="text1"/>
                <w:sz w:val="24"/>
                <w:lang w:eastAsia="zh-CN"/>
                <w14:textFill>
                  <w14:solidFill>
                    <w14:schemeClr w14:val="tx1"/>
                  </w14:solidFill>
                </w14:textFill>
              </w:rPr>
              <w:t>罗平县阿岗镇岗德村委会小岗德村</w:t>
            </w:r>
            <w:r>
              <w:rPr>
                <w:rFonts w:hint="default" w:ascii="Times New Roman" w:hAnsi="Times New Roman" w:eastAsia="宋体" w:cs="Times New Roman"/>
                <w:color w:val="000000" w:themeColor="text1"/>
                <w:sz w:val="24"/>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根据云南省生态环境分区管控公共服务查询平台查询结果</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（详见下图）</w:t>
            </w:r>
            <w:r>
              <w:rPr>
                <w:rFonts w:hint="default" w:ascii="Times New Roman" w:hAnsi="Times New Roman" w:eastAsia="宋体" w:cs="Times New Roman"/>
                <w:color w:val="000000" w:themeColor="text1"/>
                <w:sz w:val="24"/>
                <w14:textFill>
                  <w14:solidFill>
                    <w14:schemeClr w14:val="tx1"/>
                  </w14:solidFill>
                </w14:textFill>
              </w:rPr>
              <w:t>，</w:t>
            </w:r>
            <w:r>
              <w:rPr>
                <w:rFonts w:hint="eastAsia" w:ascii="Times New Roman" w:hAnsi="Times New Roman" w:eastAsia="宋体" w:cs="Times New Roman"/>
                <w:color w:val="000000" w:themeColor="text1"/>
                <w:sz w:val="24"/>
                <w:lang w:val="en-US" w:eastAsia="zh-CN"/>
                <w14:textFill>
                  <w14:solidFill>
                    <w14:schemeClr w14:val="tx1"/>
                  </w14:solidFill>
                </w14:textFill>
              </w:rPr>
              <w:t>本</w:t>
            </w:r>
            <w:r>
              <w:rPr>
                <w:rFonts w:hint="default" w:ascii="Times New Roman" w:hAnsi="Times New Roman" w:eastAsia="宋体" w:cs="Times New Roman"/>
                <w:color w:val="000000" w:themeColor="text1"/>
                <w:sz w:val="24"/>
                <w14:textFill>
                  <w14:solidFill>
                    <w14:schemeClr w14:val="tx1"/>
                  </w14:solidFill>
                </w14:textFill>
              </w:rPr>
              <w:t>项目</w:t>
            </w:r>
            <w:r>
              <w:rPr>
                <w:rFonts w:hint="eastAsia" w:ascii="Times New Roman" w:hAnsi="Times New Roman" w:eastAsia="宋体" w:cs="Times New Roman"/>
                <w:color w:val="000000" w:themeColor="text1"/>
                <w:sz w:val="24"/>
                <w:lang w:val="en-US" w:eastAsia="zh-CN"/>
                <w14:textFill>
                  <w14:solidFill>
                    <w14:schemeClr w14:val="tx1"/>
                  </w14:solidFill>
                </w14:textFill>
              </w:rPr>
              <w:t>涉及罗平县一般管控单元</w:t>
            </w:r>
            <w:r>
              <w:rPr>
                <w:rFonts w:hint="default" w:ascii="Times New Roman" w:hAnsi="Times New Roman" w:eastAsia="宋体" w:cs="Times New Roman"/>
                <w:color w:val="000000" w:themeColor="text1"/>
                <w:sz w:val="24"/>
                <w14:textFill>
                  <w14:solidFill>
                    <w14:schemeClr w14:val="tx1"/>
                  </w14:solidFill>
                </w14:textFill>
              </w:rPr>
              <w:t>。</w:t>
            </w:r>
          </w:p>
          <w:p w14:paraId="77D755F1">
            <w:pPr>
              <w:keepNext w:val="0"/>
              <w:keepLines w:val="0"/>
              <w:pageBreakBefore w:val="0"/>
              <w:widowControl/>
              <w:kinsoku/>
              <w:wordWrap/>
              <w:overflowPunct/>
              <w:topLinePunct w:val="0"/>
              <w:autoSpaceDE/>
              <w:autoSpaceDN/>
              <w:bidi w:val="0"/>
              <w:adjustRightInd w:val="0"/>
              <w:snapToGrid w:val="0"/>
              <w:spacing w:line="276" w:lineRule="auto"/>
              <w:ind w:firstLine="0" w:firstLineChars="0"/>
              <w:jc w:val="center"/>
              <w:textAlignment w:val="auto"/>
              <w:rPr>
                <w:rFonts w:hint="eastAsia" w:eastAsia="宋体"/>
                <w:b/>
                <w:bCs/>
                <w:color w:val="000000" w:themeColor="text1"/>
                <w:sz w:val="24"/>
                <w:lang w:eastAsia="zh-CN"/>
                <w14:textFill>
                  <w14:solidFill>
                    <w14:schemeClr w14:val="tx1"/>
                  </w14:solidFill>
                </w14:textFill>
              </w:rPr>
            </w:pPr>
            <w:r>
              <w:rPr>
                <w:rFonts w:hint="eastAsia" w:eastAsia="宋体"/>
                <w:b/>
                <w:bCs/>
                <w:color w:val="000000" w:themeColor="text1"/>
                <w:sz w:val="24"/>
                <w:lang w:eastAsia="zh-CN"/>
                <w14:textFill>
                  <w14:solidFill>
                    <w14:schemeClr w14:val="tx1"/>
                  </w14:solidFill>
                </w14:textFill>
              </w:rPr>
              <w:drawing>
                <wp:inline distT="0" distB="0" distL="114300" distR="114300">
                  <wp:extent cx="3811270" cy="4107180"/>
                  <wp:effectExtent l="0" t="0" r="0" b="0"/>
                  <wp:docPr id="2" name="图片 46" descr="管控单元截图2026012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6" descr="管控单元截图20260122 (2)"/>
                          <pic:cNvPicPr>
                            <a:picLocks noChangeAspect="1"/>
                          </pic:cNvPicPr>
                        </pic:nvPicPr>
                        <pic:blipFill>
                          <a:blip r:embed="rId9"/>
                          <a:stretch>
                            <a:fillRect/>
                          </a:stretch>
                        </pic:blipFill>
                        <pic:spPr>
                          <a:xfrm>
                            <a:off x="0" y="0"/>
                            <a:ext cx="3811270" cy="4107180"/>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08DD33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图1-1  项目生态环境分区管控单元查询结果</w:t>
            </w:r>
          </w:p>
          <w:p w14:paraId="7024281F">
            <w:pPr>
              <w:keepNext w:val="0"/>
              <w:keepLines w:val="0"/>
              <w:pageBreakBefore w:val="0"/>
              <w:widowControl/>
              <w:kinsoku/>
              <w:wordWrap/>
              <w:overflowPunct/>
              <w:topLinePunct w:val="0"/>
              <w:autoSpaceDE/>
              <w:autoSpaceDN/>
              <w:bidi w:val="0"/>
              <w:adjustRightInd w:val="0"/>
              <w:snapToGrid w:val="0"/>
              <w:spacing w:line="276" w:lineRule="auto"/>
              <w:ind w:firstLine="0" w:firstLineChars="0"/>
              <w:jc w:val="center"/>
              <w:textAlignment w:val="auto"/>
              <w:rPr>
                <w:rFonts w:hint="eastAsia" w:eastAsia="宋体"/>
                <w:b/>
                <w:bCs/>
                <w:color w:val="000000" w:themeColor="text1"/>
                <w:sz w:val="24"/>
                <w:szCs w:val="24"/>
                <w:lang w:eastAsia="zh-CN"/>
                <w14:textFill>
                  <w14:solidFill>
                    <w14:schemeClr w14:val="tx1"/>
                  </w14:solidFill>
                </w14:textFill>
              </w:rPr>
            </w:pPr>
            <w:r>
              <w:rPr>
                <w:rFonts w:hint="eastAsia" w:eastAsia="宋体"/>
                <w:b/>
                <w:bCs/>
                <w:color w:val="000000" w:themeColor="text1"/>
                <w:sz w:val="24"/>
                <w:szCs w:val="24"/>
                <w:lang w:eastAsia="zh-CN"/>
                <w14:textFill>
                  <w14:solidFill>
                    <w14:schemeClr w14:val="tx1"/>
                  </w14:solidFill>
                </w14:textFill>
              </w:rPr>
              <w:drawing>
                <wp:inline distT="0" distB="0" distL="114300" distR="114300">
                  <wp:extent cx="4535805" cy="3134995"/>
                  <wp:effectExtent l="0" t="0" r="0" b="0"/>
                  <wp:docPr id="3" name="图片 112" descr="c4ead19f78a19091ffe4accd78ebf5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12" descr="c4ead19f78a19091ffe4accd78ebf5b9"/>
                          <pic:cNvPicPr>
                            <a:picLocks noChangeAspect="1"/>
                          </pic:cNvPicPr>
                        </pic:nvPicPr>
                        <pic:blipFill>
                          <a:blip r:embed="rId10"/>
                          <a:stretch>
                            <a:fillRect/>
                          </a:stretch>
                        </pic:blipFill>
                        <pic:spPr>
                          <a:xfrm>
                            <a:off x="0" y="0"/>
                            <a:ext cx="4535805" cy="3134995"/>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28803FC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 xml:space="preserve">图1-2  </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云南省国土空间规划</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一张图</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信息系统查询结果</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（加工区）</w:t>
            </w:r>
          </w:p>
          <w:p w14:paraId="700091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b/>
                <w:bCs/>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drawing>
                <wp:inline distT="0" distB="0" distL="114300" distR="114300">
                  <wp:extent cx="4518660" cy="2956560"/>
                  <wp:effectExtent l="0" t="0" r="0" b="0"/>
                  <wp:docPr id="4"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3"/>
                          <pic:cNvPicPr>
                            <a:picLocks noChangeAspect="1"/>
                          </pic:cNvPicPr>
                        </pic:nvPicPr>
                        <pic:blipFill>
                          <a:blip r:embed="rId11"/>
                          <a:stretch>
                            <a:fillRect/>
                          </a:stretch>
                        </pic:blipFill>
                        <pic:spPr>
                          <a:xfrm>
                            <a:off x="0" y="0"/>
                            <a:ext cx="4518660" cy="2956560"/>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67467F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b/>
                <w:bCs/>
                <w:color w:val="000000" w:themeColor="text1"/>
                <w:sz w:val="24"/>
                <w:szCs w:val="24"/>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 xml:space="preserve">图1-3  </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云南省国土空间规划</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一张图</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信息系统查询结果</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（生活区）</w:t>
            </w:r>
          </w:p>
          <w:p w14:paraId="79AACC63">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b/>
                <w:bCs/>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对照《曲靖市生态环境分区管控动态更新方案（2023年）》</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符合性分析如下表所示：</w:t>
            </w:r>
          </w:p>
          <w:p w14:paraId="108E2D7A">
            <w:pPr>
              <w:keepNext w:val="0"/>
              <w:keepLines w:val="0"/>
              <w:pageBreakBefore w:val="0"/>
              <w:widowControl/>
              <w:kinsoku/>
              <w:wordWrap/>
              <w:overflowPunct/>
              <w:topLinePunct w:val="0"/>
              <w:autoSpaceDE/>
              <w:autoSpaceDN/>
              <w:bidi w:val="0"/>
              <w:adjustRightInd w:val="0"/>
              <w:snapToGrid w:val="0"/>
              <w:spacing w:line="276" w:lineRule="auto"/>
              <w:ind w:firstLine="0" w:firstLineChars="0"/>
              <w:jc w:val="center"/>
              <w:textAlignment w:val="auto"/>
              <w:rPr>
                <w:rFonts w:hint="eastAsia"/>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表1-</w:t>
            </w:r>
            <w:r>
              <w:rPr>
                <w:rFonts w:hint="eastAsia"/>
                <w:b/>
                <w:bCs/>
                <w:color w:val="000000" w:themeColor="text1"/>
                <w:sz w:val="24"/>
                <w:szCs w:val="24"/>
                <w:lang w:val="en-US" w:eastAsia="zh-CN"/>
                <w14:textFill>
                  <w14:solidFill>
                    <w14:schemeClr w14:val="tx1"/>
                  </w14:solidFill>
                </w14:textFill>
              </w:rPr>
              <w:t>3</w:t>
            </w:r>
            <w:r>
              <w:rPr>
                <w:b/>
                <w:bCs/>
                <w:color w:val="000000" w:themeColor="text1"/>
                <w:sz w:val="24"/>
                <w:szCs w:val="24"/>
                <w14:textFill>
                  <w14:solidFill>
                    <w14:schemeClr w14:val="tx1"/>
                  </w14:solidFill>
                </w14:textFill>
              </w:rPr>
              <w:t xml:space="preserve">  </w:t>
            </w:r>
            <w:r>
              <w:rPr>
                <w:rFonts w:hint="eastAsia"/>
                <w:b/>
                <w:bCs/>
                <w:color w:val="000000" w:themeColor="text1"/>
                <w:sz w:val="24"/>
                <w:szCs w:val="24"/>
                <w14:textFill>
                  <w14:solidFill>
                    <w14:schemeClr w14:val="tx1"/>
                  </w14:solidFill>
                </w14:textFill>
              </w:rPr>
              <w:t>与</w:t>
            </w:r>
            <w:r>
              <w:rPr>
                <w:rFonts w:hint="eastAsia"/>
                <w:b/>
                <w:bCs/>
                <w:color w:val="000000" w:themeColor="text1"/>
                <w:sz w:val="24"/>
                <w:szCs w:val="24"/>
                <w:lang w:val="en-US" w:eastAsia="zh-CN"/>
                <w14:textFill>
                  <w14:solidFill>
                    <w14:schemeClr w14:val="tx1"/>
                  </w14:solidFill>
                </w14:textFill>
              </w:rPr>
              <w:t>《曲靖市生态环境分区管控动态更新方案（2023年）》</w:t>
            </w:r>
            <w:r>
              <w:rPr>
                <w:rFonts w:hint="eastAsia"/>
                <w:b/>
                <w:bCs/>
                <w:color w:val="000000" w:themeColor="text1"/>
                <w:sz w:val="24"/>
                <w:szCs w:val="24"/>
                <w14:textFill>
                  <w14:solidFill>
                    <w14:schemeClr w14:val="tx1"/>
                  </w14:solidFill>
                </w14:textFill>
              </w:rPr>
              <w:t>符合性分析</w:t>
            </w:r>
          </w:p>
          <w:tbl>
            <w:tblPr>
              <w:tblStyle w:val="28"/>
              <w:tblW w:w="7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728"/>
              <w:gridCol w:w="2640"/>
              <w:gridCol w:w="2547"/>
              <w:gridCol w:w="855"/>
            </w:tblGrid>
            <w:tr w14:paraId="466B4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968" w:type="dxa"/>
                  <w:gridSpan w:val="3"/>
                  <w:noWrap w:val="0"/>
                  <w:vAlign w:val="center"/>
                </w:tcPr>
                <w:p w14:paraId="038F139D">
                  <w:pPr>
                    <w:adjustRightInd w:val="0"/>
                    <w:snapToGrid w:val="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生态环境分区管控要求</w:t>
                  </w:r>
                </w:p>
              </w:tc>
              <w:tc>
                <w:tcPr>
                  <w:tcW w:w="2547" w:type="dxa"/>
                  <w:noWrap w:val="0"/>
                  <w:vAlign w:val="center"/>
                </w:tcPr>
                <w:p w14:paraId="1EF1BB10">
                  <w:pPr>
                    <w:adjustRightInd w:val="0"/>
                    <w:snapToGrid w:val="0"/>
                    <w:jc w:val="cente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本项目</w:t>
                  </w: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情况</w:t>
                  </w:r>
                </w:p>
              </w:tc>
              <w:tc>
                <w:tcPr>
                  <w:tcW w:w="855" w:type="dxa"/>
                  <w:noWrap w:val="0"/>
                  <w:vAlign w:val="center"/>
                </w:tcPr>
                <w:p w14:paraId="547B9DC7">
                  <w:pPr>
                    <w:adjustRightInd w:val="0"/>
                    <w:snapToGrid w:val="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符合性</w:t>
                  </w:r>
                </w:p>
              </w:tc>
            </w:tr>
            <w:tr w14:paraId="5F88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Merge w:val="restart"/>
                  <w:noWrap w:val="0"/>
                  <w:vAlign w:val="center"/>
                </w:tcPr>
                <w:p w14:paraId="658CE12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各县（市、区）一般管控单元</w:t>
                  </w:r>
                </w:p>
              </w:tc>
              <w:tc>
                <w:tcPr>
                  <w:tcW w:w="728" w:type="dxa"/>
                  <w:noWrap w:val="0"/>
                  <w:vAlign w:val="center"/>
                </w:tcPr>
                <w:p w14:paraId="6947AA5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空间布局约束</w:t>
                  </w:r>
                </w:p>
              </w:tc>
              <w:tc>
                <w:tcPr>
                  <w:tcW w:w="2640" w:type="dxa"/>
                  <w:noWrap w:val="0"/>
                  <w:vAlign w:val="center"/>
                </w:tcPr>
                <w:p w14:paraId="7F13E48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①加强耕地和永久基本农田保护，坚决制止耕地</w:t>
                  </w:r>
                  <w:r>
                    <w:rPr>
                      <w:rFonts w:hint="eastAsia"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非农化</w:t>
                  </w:r>
                  <w:r>
                    <w:rPr>
                      <w:rFonts w:hint="eastAsia"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、防止耕地</w:t>
                  </w:r>
                  <w:r>
                    <w:rPr>
                      <w:rFonts w:hint="eastAsia"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非粮化</w:t>
                  </w:r>
                  <w:r>
                    <w:rPr>
                      <w:rFonts w:hint="eastAsia"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w:t>
                  </w:r>
                </w:p>
                <w:p w14:paraId="18B9E37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②禁止新建、改扩建中小水电项目，现有中小水电站应按照环评批复（环评批复未明确生态流量的根据来水量科学确定生态流量），确保连续稳定下泄生态流量。</w:t>
                  </w:r>
                </w:p>
              </w:tc>
              <w:tc>
                <w:tcPr>
                  <w:tcW w:w="2547" w:type="dxa"/>
                  <w:noWrap w:val="0"/>
                  <w:vAlign w:val="center"/>
                </w:tcPr>
                <w:p w14:paraId="01204DF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①</w:t>
                  </w:r>
                  <w:r>
                    <w:rPr>
                      <w:rFonts w:hint="default" w:ascii="Times New Roman" w:hAnsi="Times New Roman" w:eastAsia="宋体" w:cs="Times New Roman"/>
                      <w:color w:val="000000" w:themeColor="text1"/>
                      <w:sz w:val="21"/>
                      <w:szCs w:val="21"/>
                      <w14:textFill>
                        <w14:solidFill>
                          <w14:schemeClr w14:val="tx1"/>
                        </w14:solidFill>
                      </w14:textFill>
                    </w:rPr>
                    <w:t>本项目位于</w:t>
                  </w:r>
                  <w:r>
                    <w:rPr>
                      <w:rFonts w:hint="eastAsia" w:ascii="Times New Roman" w:hAnsi="Times New Roman" w:eastAsia="宋体" w:cs="Times New Roman"/>
                      <w:color w:val="000000" w:themeColor="text1"/>
                      <w:sz w:val="21"/>
                      <w:szCs w:val="21"/>
                      <w:lang w:eastAsia="zh-CN"/>
                      <w14:textFill>
                        <w14:solidFill>
                          <w14:schemeClr w14:val="tx1"/>
                        </w14:solidFill>
                      </w14:textFill>
                    </w:rPr>
                    <w:t>罗平县阿岗镇岗德村委会小岗德村</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在原有项目占地范围内进行改扩建，不新增占地。</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根据云南省国土空间规划</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一张图</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信息系统查询结果（</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详见图1-2、1-3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及《罗平县自然资源局关于罗平县阿岗镇慧联青瓦厂拟用地是否涉及生态保护红线及地类查询的情况说明》（详见附件15），不占用永久基本农田及生态保护红线。</w:t>
                  </w:r>
                </w:p>
                <w:p w14:paraId="79BCE77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②</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本项目为</w:t>
                  </w:r>
                  <w:r>
                    <w:rPr>
                      <w:rFonts w:hint="eastAsia"/>
                      <w:color w:val="000000" w:themeColor="text1"/>
                      <w:szCs w:val="21"/>
                      <w:lang w:val="en-US" w:eastAsia="zh-CN"/>
                      <w14:textFill>
                        <w14:solidFill>
                          <w14:schemeClr w14:val="tx1"/>
                        </w14:solidFill>
                      </w14:textFill>
                    </w:rPr>
                    <w:t>青瓦</w:t>
                  </w:r>
                  <w:r>
                    <w:rPr>
                      <w:rFonts w:hint="eastAsia"/>
                      <w:color w:val="000000" w:themeColor="text1"/>
                      <w:szCs w:val="21"/>
                      <w:highlight w:val="none"/>
                      <w:lang w:val="en-US" w:eastAsia="zh-CN"/>
                      <w14:textFill>
                        <w14:solidFill>
                          <w14:schemeClr w14:val="tx1"/>
                        </w14:solidFill>
                      </w14:textFill>
                    </w:rPr>
                    <w:t>制造项目</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，不属于水电站项目。</w:t>
                  </w:r>
                </w:p>
              </w:tc>
              <w:tc>
                <w:tcPr>
                  <w:tcW w:w="855" w:type="dxa"/>
                  <w:noWrap w:val="0"/>
                  <w:vAlign w:val="center"/>
                </w:tcPr>
                <w:p w14:paraId="2E5E3BE6">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636DF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Merge w:val="continue"/>
                  <w:noWrap w:val="0"/>
                  <w:vAlign w:val="center"/>
                </w:tcPr>
                <w:p w14:paraId="259B054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28" w:type="dxa"/>
                  <w:noWrap w:val="0"/>
                  <w:vAlign w:val="center"/>
                </w:tcPr>
                <w:p w14:paraId="368EF1C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污染物排放管控</w:t>
                  </w:r>
                </w:p>
              </w:tc>
              <w:tc>
                <w:tcPr>
                  <w:tcW w:w="2640" w:type="dxa"/>
                  <w:noWrap w:val="0"/>
                  <w:vAlign w:val="center"/>
                </w:tcPr>
                <w:p w14:paraId="6AD0242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①严禁污水灌溉，灌溉用水应满足《农田灌溉水质标准》。</w:t>
                  </w:r>
                </w:p>
                <w:p w14:paraId="07CA1D5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②现有工业企业应达标排放，逐步提升清洁生产水平，减少污染物排放量。</w:t>
                  </w:r>
                </w:p>
                <w:p w14:paraId="46630DD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③加强农业面源污染治理，严格控制化肥农药施用量，合理水产养殖布局，控制水产养殖污染，逐步削减农业面源污染物排放量。</w:t>
                  </w:r>
                </w:p>
              </w:tc>
              <w:tc>
                <w:tcPr>
                  <w:tcW w:w="2547" w:type="dxa"/>
                  <w:noWrap w:val="0"/>
                  <w:vAlign w:val="center"/>
                </w:tcPr>
                <w:p w14:paraId="7D60A4D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项目为</w:t>
                  </w:r>
                  <w:r>
                    <w:rPr>
                      <w:rFonts w:hint="eastAsia"/>
                      <w:color w:val="000000" w:themeColor="text1"/>
                      <w:szCs w:val="21"/>
                      <w:lang w:val="en-US" w:eastAsia="zh-CN"/>
                      <w14:textFill>
                        <w14:solidFill>
                          <w14:schemeClr w14:val="tx1"/>
                        </w14:solidFill>
                      </w14:textFill>
                    </w:rPr>
                    <w:t>青瓦</w:t>
                  </w:r>
                  <w:r>
                    <w:rPr>
                      <w:rFonts w:hint="eastAsia"/>
                      <w:color w:val="000000" w:themeColor="text1"/>
                      <w:szCs w:val="21"/>
                      <w:highlight w:val="none"/>
                      <w:lang w:val="en-US" w:eastAsia="zh-CN"/>
                      <w14:textFill>
                        <w14:solidFill>
                          <w14:schemeClr w14:val="tx1"/>
                        </w14:solidFill>
                      </w14:textFill>
                    </w:rPr>
                    <w:t>制造项目</w:t>
                  </w:r>
                  <w:r>
                    <w:rPr>
                      <w:rFonts w:hint="default" w:ascii="Times New Roman" w:hAnsi="Times New Roman" w:eastAsia="宋体" w:cs="Times New Roman"/>
                      <w:color w:val="000000" w:themeColor="text1"/>
                      <w:sz w:val="21"/>
                      <w:szCs w:val="21"/>
                      <w:highlight w:val="none"/>
                      <w14:textFill>
                        <w14:solidFill>
                          <w14:schemeClr w14:val="tx1"/>
                        </w14:solidFill>
                      </w14:textFill>
                    </w:rPr>
                    <w:t>生产过程中原料搅拌用水随产品带走</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炉窑降温冷却水高温蒸发</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脱硫废水经</w:t>
                  </w:r>
                  <w:r>
                    <w:rPr>
                      <w:rFonts w:hint="eastAsia" w:cs="Times New Roman"/>
                      <w:color w:val="000000" w:themeColor="text1"/>
                      <w:sz w:val="21"/>
                      <w:szCs w:val="21"/>
                      <w:highlight w:val="none"/>
                      <w:lang w:eastAsia="zh-CN"/>
                      <w14:textFill>
                        <w14:solidFill>
                          <w14:schemeClr w14:val="tx1"/>
                        </w14:solidFill>
                      </w14:textFill>
                    </w:rPr>
                    <w:t>循环沉淀池</w:t>
                  </w:r>
                  <w:r>
                    <w:rPr>
                      <w:rFonts w:hint="eastAsia" w:cs="Times New Roman"/>
                      <w:color w:val="000000" w:themeColor="text1"/>
                      <w:sz w:val="21"/>
                      <w:szCs w:val="21"/>
                      <w:highlight w:val="none"/>
                      <w:lang w:val="en-US" w:eastAsia="zh-CN"/>
                      <w14:textFill>
                        <w14:solidFill>
                          <w14:schemeClr w14:val="tx1"/>
                        </w14:solidFill>
                      </w14:textFill>
                    </w:rPr>
                    <w:t>中和絮凝沉淀处理</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后全部回用于搅拌用水；</w:t>
                  </w:r>
                  <w:r>
                    <w:rPr>
                      <w:rFonts w:hint="eastAsia" w:eastAsia="宋体"/>
                      <w:color w:val="000000" w:themeColor="text1"/>
                      <w:kern w:val="0"/>
                      <w:szCs w:val="21"/>
                      <w:lang w:val="en-US" w:eastAsia="zh-CN"/>
                      <w14:textFill>
                        <w14:solidFill>
                          <w14:schemeClr w14:val="tx1"/>
                        </w14:solidFill>
                      </w14:textFill>
                    </w:rPr>
                    <w:t>生活污水设置化粪池处理后定期清掏用作农肥；无废水外排，不涉及污水灌溉，也不涉及</w:t>
                  </w:r>
                  <w:r>
                    <w:rPr>
                      <w:rFonts w:hint="default" w:ascii="Times New Roman" w:hAnsi="Times New Roman" w:eastAsia="宋体" w:cs="Times New Roman"/>
                      <w:color w:val="000000" w:themeColor="text1"/>
                      <w:sz w:val="21"/>
                      <w:szCs w:val="21"/>
                      <w14:textFill>
                        <w14:solidFill>
                          <w14:schemeClr w14:val="tx1"/>
                        </w14:solidFill>
                      </w14:textFill>
                    </w:rPr>
                    <w:t>化肥农药施用</w:t>
                  </w:r>
                  <w:r>
                    <w:rPr>
                      <w:rFonts w:hint="eastAsia" w:ascii="Times New Roman" w:hAnsi="Times New Roman" w:eastAsia="宋体" w:cs="Times New Roman"/>
                      <w:color w:val="000000" w:themeColor="text1"/>
                      <w:sz w:val="21"/>
                      <w:szCs w:val="21"/>
                      <w:lang w:eastAsia="zh-CN"/>
                      <w14:textFill>
                        <w14:solidFill>
                          <w14:schemeClr w14:val="tx1"/>
                        </w14:solidFill>
                      </w14:textFill>
                    </w:rPr>
                    <w:t>。</w:t>
                  </w:r>
                </w:p>
              </w:tc>
              <w:tc>
                <w:tcPr>
                  <w:tcW w:w="855" w:type="dxa"/>
                  <w:noWrap w:val="0"/>
                  <w:vAlign w:val="center"/>
                </w:tcPr>
                <w:p w14:paraId="223443FA">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2D05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Merge w:val="continue"/>
                  <w:noWrap w:val="0"/>
                  <w:vAlign w:val="center"/>
                </w:tcPr>
                <w:p w14:paraId="41635D0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28" w:type="dxa"/>
                  <w:noWrap w:val="0"/>
                  <w:vAlign w:val="center"/>
                </w:tcPr>
                <w:p w14:paraId="3039CBC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环境风险防控</w:t>
                  </w:r>
                </w:p>
              </w:tc>
              <w:tc>
                <w:tcPr>
                  <w:tcW w:w="2640" w:type="dxa"/>
                  <w:noWrap w:val="0"/>
                  <w:vAlign w:val="center"/>
                </w:tcPr>
                <w:p w14:paraId="49D50A3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①禁止使用国家规定的禁限用农药名录中的农药。</w:t>
                  </w:r>
                </w:p>
                <w:p w14:paraId="20F50B1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②</w:t>
                  </w:r>
                  <w:r>
                    <w:rPr>
                      <w:rFonts w:hint="eastAsia" w:cs="Times New Roman"/>
                      <w:color w:val="000000" w:themeColor="text1"/>
                      <w:sz w:val="21"/>
                      <w:szCs w:val="21"/>
                      <w:lang w:eastAsia="zh-CN"/>
                      <w14:textFill>
                        <w14:solidFill>
                          <w14:schemeClr w14:val="tx1"/>
                        </w14:solidFill>
                      </w14:textFill>
                    </w:rPr>
                    <w:t>加强环境风险防控</w:t>
                  </w:r>
                  <w:r>
                    <w:rPr>
                      <w:rFonts w:hint="default" w:ascii="Times New Roman" w:hAnsi="Times New Roman" w:eastAsia="宋体" w:cs="Times New Roman"/>
                      <w:color w:val="000000" w:themeColor="text1"/>
                      <w:sz w:val="21"/>
                      <w:szCs w:val="21"/>
                      <w14:textFill>
                        <w14:solidFill>
                          <w14:schemeClr w14:val="tx1"/>
                        </w14:solidFill>
                      </w14:textFill>
                    </w:rPr>
                    <w:t>应急体系建设，加强环境应急预案管理，定期开展应急演练，持续开展环境安全隐患排查整治，提升应急监测能力，加强应急物资管理。</w:t>
                  </w:r>
                </w:p>
              </w:tc>
              <w:tc>
                <w:tcPr>
                  <w:tcW w:w="2547" w:type="dxa"/>
                  <w:noWrap w:val="0"/>
                  <w:vAlign w:val="center"/>
                </w:tcPr>
                <w:p w14:paraId="1A21B92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①</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项目为</w:t>
                  </w:r>
                  <w:r>
                    <w:rPr>
                      <w:rFonts w:hint="eastAsia"/>
                      <w:color w:val="000000" w:themeColor="text1"/>
                      <w:szCs w:val="21"/>
                      <w:lang w:val="en-US" w:eastAsia="zh-CN"/>
                      <w14:textFill>
                        <w14:solidFill>
                          <w14:schemeClr w14:val="tx1"/>
                        </w14:solidFill>
                      </w14:textFill>
                    </w:rPr>
                    <w:t>青瓦</w:t>
                  </w:r>
                  <w:r>
                    <w:rPr>
                      <w:rFonts w:hint="eastAsia"/>
                      <w:color w:val="000000" w:themeColor="text1"/>
                      <w:szCs w:val="21"/>
                      <w:highlight w:val="none"/>
                      <w:lang w:val="en-US" w:eastAsia="zh-CN"/>
                      <w14:textFill>
                        <w14:solidFill>
                          <w14:schemeClr w14:val="tx1"/>
                        </w14:solidFill>
                      </w14:textFill>
                    </w:rPr>
                    <w:t>制造项目</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，不涉及</w:t>
                  </w:r>
                  <w:r>
                    <w:rPr>
                      <w:rFonts w:hint="default" w:ascii="Times New Roman" w:hAnsi="Times New Roman" w:eastAsia="宋体" w:cs="Times New Roman"/>
                      <w:color w:val="000000" w:themeColor="text1"/>
                      <w:sz w:val="21"/>
                      <w:szCs w:val="21"/>
                      <w14:textFill>
                        <w14:solidFill>
                          <w14:schemeClr w14:val="tx1"/>
                        </w14:solidFill>
                      </w14:textFill>
                    </w:rPr>
                    <w:t>农药</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的使用。</w:t>
                  </w:r>
                </w:p>
                <w:p w14:paraId="1DE27F5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②项目按照相关规范要求编制突发环境事件应急预案并报送生态环境主管部门备案，在项目投入运行后，严格落实应急预案提出的应急管理、应急演练要求</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855" w:type="dxa"/>
                  <w:noWrap w:val="0"/>
                  <w:vAlign w:val="center"/>
                </w:tcPr>
                <w:p w14:paraId="5C99B0AB">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64D9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Merge w:val="continue"/>
                  <w:noWrap w:val="0"/>
                  <w:vAlign w:val="center"/>
                </w:tcPr>
                <w:p w14:paraId="5AEE237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28" w:type="dxa"/>
                  <w:noWrap w:val="0"/>
                  <w:vAlign w:val="center"/>
                </w:tcPr>
                <w:p w14:paraId="581D2F1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资源开发效率</w:t>
                  </w:r>
                </w:p>
              </w:tc>
              <w:tc>
                <w:tcPr>
                  <w:tcW w:w="2640" w:type="dxa"/>
                  <w:noWrap w:val="0"/>
                  <w:vAlign w:val="center"/>
                </w:tcPr>
                <w:p w14:paraId="0D3F39C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①优化能源结构，加强能源清洁利用。</w:t>
                  </w:r>
                </w:p>
                <w:p w14:paraId="36BBE55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②提高土地利用效率，节约集约利用土地资源。</w:t>
                  </w:r>
                </w:p>
              </w:tc>
              <w:tc>
                <w:tcPr>
                  <w:tcW w:w="2547" w:type="dxa"/>
                  <w:noWrap w:val="0"/>
                  <w:vAlign w:val="center"/>
                </w:tcPr>
                <w:p w14:paraId="42C8628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项目在原有项目用地范围内改扩建，不新增占地。</w:t>
                  </w:r>
                </w:p>
              </w:tc>
              <w:tc>
                <w:tcPr>
                  <w:tcW w:w="855" w:type="dxa"/>
                  <w:noWrap w:val="0"/>
                  <w:vAlign w:val="center"/>
                </w:tcPr>
                <w:p w14:paraId="3C7210A1">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符合</w:t>
                  </w:r>
                </w:p>
              </w:tc>
            </w:tr>
          </w:tbl>
          <w:p w14:paraId="10A1FFFF">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根据上表对照分析，项目符合</w:t>
            </w:r>
            <w:r>
              <w:rPr>
                <w:rFonts w:hint="default" w:ascii="Times New Roman" w:hAnsi="Times New Roman" w:eastAsia="宋体" w:cs="Times New Roman"/>
                <w:color w:val="000000" w:themeColor="text1"/>
                <w:sz w:val="24"/>
                <w14:textFill>
                  <w14:solidFill>
                    <w14:schemeClr w14:val="tx1"/>
                  </w14:solidFill>
                </w14:textFill>
              </w:rPr>
              <w:t>《曲靖市生态环境分区管控动态更新方案（2023年）》</w:t>
            </w:r>
            <w:r>
              <w:rPr>
                <w:rFonts w:hint="eastAsia"/>
                <w:color w:val="000000" w:themeColor="text1"/>
                <w:sz w:val="24"/>
                <w:lang w:val="en-US" w:eastAsia="zh-CN"/>
                <w14:textFill>
                  <w14:solidFill>
                    <w14:schemeClr w14:val="tx1"/>
                  </w14:solidFill>
                </w14:textFill>
              </w:rPr>
              <w:t>相关管控要求</w:t>
            </w:r>
            <w:r>
              <w:rPr>
                <w:rFonts w:hint="eastAsia"/>
                <w:color w:val="000000" w:themeColor="text1"/>
                <w:sz w:val="24"/>
                <w14:textFill>
                  <w14:solidFill>
                    <w14:schemeClr w14:val="tx1"/>
                  </w14:solidFill>
                </w14:textFill>
              </w:rPr>
              <w:t>。</w:t>
            </w:r>
          </w:p>
          <w:p w14:paraId="73FD2E9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eastAsia="宋体"/>
                <w:b/>
                <w:bCs/>
                <w:color w:val="000000" w:themeColor="text1"/>
                <w:sz w:val="24"/>
                <w:szCs w:val="24"/>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w:t>
            </w:r>
            <w:r>
              <w:rPr>
                <w:rFonts w:eastAsia="宋体"/>
                <w:b/>
                <w:bCs/>
                <w:color w:val="000000" w:themeColor="text1"/>
                <w:sz w:val="24"/>
                <w:szCs w:val="24"/>
                <w14:textFill>
                  <w14:solidFill>
                    <w14:schemeClr w14:val="tx1"/>
                  </w14:solidFill>
                </w14:textFill>
              </w:rPr>
              <w:t>与《中华人民共和国大气污染防治法》符合性分析</w:t>
            </w:r>
          </w:p>
          <w:p w14:paraId="7238C3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本项目与2022年5月20日发布的《中华人民共和国大气污染防治法》符合性分析见下表。</w:t>
            </w:r>
          </w:p>
          <w:p w14:paraId="3619ED97">
            <w:pPr>
              <w:keepNext w:val="0"/>
              <w:keepLines w:val="0"/>
              <w:pageBreakBefore w:val="0"/>
              <w:widowControl w:val="0"/>
              <w:kinsoku/>
              <w:wordWrap/>
              <w:overflowPunct/>
              <w:topLinePunct w:val="0"/>
              <w:autoSpaceDE/>
              <w:autoSpaceDN/>
              <w:bidi w:val="0"/>
              <w:adjustRightInd/>
              <w:snapToGrid/>
              <w:spacing w:line="276" w:lineRule="auto"/>
              <w:jc w:val="center"/>
              <w:textAlignment w:val="auto"/>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表1-</w:t>
            </w:r>
            <w:r>
              <w:rPr>
                <w:rFonts w:hint="eastAsia"/>
                <w:b/>
                <w:bCs/>
                <w:color w:val="000000" w:themeColor="text1"/>
                <w:sz w:val="24"/>
                <w:szCs w:val="24"/>
                <w:lang w:val="en-US" w:eastAsia="zh-CN"/>
                <w14:textFill>
                  <w14:solidFill>
                    <w14:schemeClr w14:val="tx1"/>
                  </w14:solidFill>
                </w14:textFill>
              </w:rPr>
              <w:t>4</w:t>
            </w:r>
            <w:r>
              <w:rPr>
                <w:b/>
                <w:bCs/>
                <w:color w:val="000000" w:themeColor="text1"/>
                <w:sz w:val="24"/>
                <w:szCs w:val="24"/>
                <w14:textFill>
                  <w14:solidFill>
                    <w14:schemeClr w14:val="tx1"/>
                  </w14:solidFill>
                </w14:textFill>
              </w:rPr>
              <w:t xml:space="preserve">  与《中华人民共和国大气污染防治法》符合性分析</w:t>
            </w:r>
          </w:p>
          <w:tbl>
            <w:tblPr>
              <w:tblStyle w:val="28"/>
              <w:tblW w:w="505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5"/>
              <w:gridCol w:w="789"/>
              <w:gridCol w:w="3124"/>
              <w:gridCol w:w="2328"/>
              <w:gridCol w:w="644"/>
            </w:tblGrid>
            <w:tr w14:paraId="141A6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329" w:type="pct"/>
                  <w:noWrap w:val="0"/>
                  <w:tcMar>
                    <w:top w:w="15" w:type="dxa"/>
                    <w:left w:w="15" w:type="dxa"/>
                    <w:right w:w="15" w:type="dxa"/>
                  </w:tcMar>
                  <w:vAlign w:val="center"/>
                </w:tcPr>
                <w:p w14:paraId="13B64394">
                  <w:pPr>
                    <w:pStyle w:val="75"/>
                    <w:wordWrap/>
                    <w:rPr>
                      <w:rFonts w:eastAsia="宋体" w:cs="Times New Roman"/>
                      <w:b/>
                      <w:bCs/>
                      <w:color w:val="000000" w:themeColor="text1"/>
                      <w:sz w:val="21"/>
                      <w14:textFill>
                        <w14:solidFill>
                          <w14:schemeClr w14:val="tx1"/>
                        </w14:solidFill>
                      </w14:textFill>
                    </w:rPr>
                  </w:pPr>
                  <w:r>
                    <w:rPr>
                      <w:rFonts w:eastAsia="宋体" w:cs="Times New Roman"/>
                      <w:b/>
                      <w:bCs/>
                      <w:color w:val="000000" w:themeColor="text1"/>
                      <w:sz w:val="21"/>
                      <w14:textFill>
                        <w14:solidFill>
                          <w14:schemeClr w14:val="tx1"/>
                        </w14:solidFill>
                      </w14:textFill>
                    </w:rPr>
                    <w:t>序号</w:t>
                  </w:r>
                </w:p>
              </w:tc>
              <w:tc>
                <w:tcPr>
                  <w:tcW w:w="2654" w:type="pct"/>
                  <w:gridSpan w:val="2"/>
                  <w:noWrap w:val="0"/>
                  <w:tcMar>
                    <w:top w:w="15" w:type="dxa"/>
                    <w:left w:w="15" w:type="dxa"/>
                    <w:right w:w="15" w:type="dxa"/>
                  </w:tcMar>
                  <w:vAlign w:val="center"/>
                </w:tcPr>
                <w:p w14:paraId="0D339E0B">
                  <w:pPr>
                    <w:pStyle w:val="75"/>
                    <w:wordWrap/>
                    <w:rPr>
                      <w:rFonts w:eastAsia="宋体" w:cs="Times New Roman"/>
                      <w:b/>
                      <w:bCs/>
                      <w:color w:val="000000" w:themeColor="text1"/>
                      <w:sz w:val="21"/>
                      <w14:textFill>
                        <w14:solidFill>
                          <w14:schemeClr w14:val="tx1"/>
                        </w14:solidFill>
                      </w14:textFill>
                    </w:rPr>
                  </w:pPr>
                  <w:r>
                    <w:rPr>
                      <w:rFonts w:eastAsia="宋体" w:cs="Times New Roman"/>
                      <w:b/>
                      <w:bCs/>
                      <w:color w:val="000000" w:themeColor="text1"/>
                      <w:sz w:val="21"/>
                      <w14:textFill>
                        <w14:solidFill>
                          <w14:schemeClr w14:val="tx1"/>
                        </w14:solidFill>
                      </w14:textFill>
                    </w:rPr>
                    <w:t>大气污染防治法</w:t>
                  </w:r>
                </w:p>
              </w:tc>
              <w:tc>
                <w:tcPr>
                  <w:tcW w:w="1579" w:type="pct"/>
                  <w:noWrap w:val="0"/>
                  <w:tcMar>
                    <w:top w:w="15" w:type="dxa"/>
                    <w:left w:w="15" w:type="dxa"/>
                    <w:right w:w="15" w:type="dxa"/>
                  </w:tcMar>
                  <w:vAlign w:val="center"/>
                </w:tcPr>
                <w:p w14:paraId="686AC94D">
                  <w:pPr>
                    <w:pStyle w:val="75"/>
                    <w:wordWrap/>
                    <w:rPr>
                      <w:rFonts w:eastAsia="宋体" w:cs="Times New Roman"/>
                      <w:b/>
                      <w:bCs/>
                      <w:color w:val="000000" w:themeColor="text1"/>
                      <w:sz w:val="21"/>
                      <w14:textFill>
                        <w14:solidFill>
                          <w14:schemeClr w14:val="tx1"/>
                        </w14:solidFill>
                      </w14:textFill>
                    </w:rPr>
                  </w:pPr>
                  <w:r>
                    <w:rPr>
                      <w:rFonts w:eastAsia="宋体" w:cs="Times New Roman"/>
                      <w:b/>
                      <w:bCs/>
                      <w:color w:val="000000" w:themeColor="text1"/>
                      <w:sz w:val="21"/>
                      <w14:textFill>
                        <w14:solidFill>
                          <w14:schemeClr w14:val="tx1"/>
                        </w14:solidFill>
                      </w14:textFill>
                    </w:rPr>
                    <w:t>本项目</w:t>
                  </w:r>
                </w:p>
              </w:tc>
              <w:tc>
                <w:tcPr>
                  <w:tcW w:w="436" w:type="pct"/>
                  <w:noWrap w:val="0"/>
                  <w:tcMar>
                    <w:top w:w="15" w:type="dxa"/>
                    <w:left w:w="15" w:type="dxa"/>
                    <w:right w:w="15" w:type="dxa"/>
                  </w:tcMar>
                  <w:vAlign w:val="center"/>
                </w:tcPr>
                <w:p w14:paraId="378A5495">
                  <w:pPr>
                    <w:pStyle w:val="75"/>
                    <w:wordWrap/>
                    <w:rPr>
                      <w:rFonts w:eastAsia="宋体" w:cs="Times New Roman"/>
                      <w:b/>
                      <w:bCs/>
                      <w:color w:val="000000" w:themeColor="text1"/>
                      <w:sz w:val="21"/>
                      <w14:textFill>
                        <w14:solidFill>
                          <w14:schemeClr w14:val="tx1"/>
                        </w14:solidFill>
                      </w14:textFill>
                    </w:rPr>
                  </w:pPr>
                  <w:r>
                    <w:rPr>
                      <w:rFonts w:eastAsia="宋体" w:cs="Times New Roman"/>
                      <w:b/>
                      <w:bCs/>
                      <w:color w:val="000000" w:themeColor="text1"/>
                      <w:sz w:val="21"/>
                      <w14:textFill>
                        <w14:solidFill>
                          <w14:schemeClr w14:val="tx1"/>
                        </w14:solidFill>
                      </w14:textFill>
                    </w:rPr>
                    <w:t>符合性</w:t>
                  </w:r>
                </w:p>
              </w:tc>
            </w:tr>
            <w:tr w14:paraId="25637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jc w:val="center"/>
              </w:trPr>
              <w:tc>
                <w:tcPr>
                  <w:tcW w:w="329" w:type="pct"/>
                  <w:vMerge w:val="restart"/>
                  <w:noWrap w:val="0"/>
                  <w:tcMar>
                    <w:top w:w="15" w:type="dxa"/>
                    <w:left w:w="15" w:type="dxa"/>
                    <w:right w:w="15" w:type="dxa"/>
                  </w:tcMar>
                  <w:vAlign w:val="center"/>
                </w:tcPr>
                <w:p w14:paraId="508B4C80">
                  <w:pPr>
                    <w:pStyle w:val="75"/>
                    <w:wordWrap/>
                    <w:rPr>
                      <w:rFonts w:eastAsia="宋体" w:cs="Times New Roman"/>
                      <w:color w:val="000000" w:themeColor="text1"/>
                      <w:sz w:val="21"/>
                      <w14:textFill>
                        <w14:solidFill>
                          <w14:schemeClr w14:val="tx1"/>
                        </w14:solidFill>
                      </w14:textFill>
                    </w:rPr>
                  </w:pPr>
                  <w:r>
                    <w:rPr>
                      <w:rFonts w:eastAsia="宋体" w:cs="Times New Roman"/>
                      <w:color w:val="000000" w:themeColor="text1"/>
                      <w:sz w:val="21"/>
                      <w14:textFill>
                        <w14:solidFill>
                          <w14:schemeClr w14:val="tx1"/>
                        </w14:solidFill>
                      </w14:textFill>
                    </w:rPr>
                    <w:t>1</w:t>
                  </w:r>
                </w:p>
              </w:tc>
              <w:tc>
                <w:tcPr>
                  <w:tcW w:w="4670" w:type="pct"/>
                  <w:gridSpan w:val="4"/>
                  <w:noWrap w:val="0"/>
                  <w:tcMar>
                    <w:top w:w="15" w:type="dxa"/>
                    <w:left w:w="15" w:type="dxa"/>
                    <w:right w:w="15" w:type="dxa"/>
                  </w:tcMar>
                  <w:vAlign w:val="center"/>
                </w:tcPr>
                <w:p w14:paraId="25428DC4">
                  <w:pPr>
                    <w:pStyle w:val="75"/>
                    <w:wordWrap/>
                    <w:rPr>
                      <w:rFonts w:eastAsia="宋体" w:cs="Times New Roman"/>
                      <w:color w:val="000000" w:themeColor="text1"/>
                      <w:sz w:val="21"/>
                      <w14:textFill>
                        <w14:solidFill>
                          <w14:schemeClr w14:val="tx1"/>
                        </w14:solidFill>
                      </w14:textFill>
                    </w:rPr>
                  </w:pPr>
                  <w:r>
                    <w:rPr>
                      <w:rFonts w:eastAsia="宋体" w:cs="Times New Roman"/>
                      <w:color w:val="000000" w:themeColor="text1"/>
                      <w:sz w:val="21"/>
                      <w14:textFill>
                        <w14:solidFill>
                          <w14:schemeClr w14:val="tx1"/>
                        </w14:solidFill>
                      </w14:textFill>
                    </w:rPr>
                    <w:t>第三章、大气污染防治的监督管理</w:t>
                  </w:r>
                </w:p>
              </w:tc>
            </w:tr>
            <w:tr w14:paraId="1081E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 w:hRule="atLeast"/>
                <w:jc w:val="center"/>
              </w:trPr>
              <w:tc>
                <w:tcPr>
                  <w:tcW w:w="329" w:type="pct"/>
                  <w:vMerge w:val="continue"/>
                  <w:noWrap w:val="0"/>
                  <w:tcMar>
                    <w:top w:w="15" w:type="dxa"/>
                    <w:left w:w="15" w:type="dxa"/>
                    <w:right w:w="15" w:type="dxa"/>
                  </w:tcMar>
                  <w:vAlign w:val="center"/>
                </w:tcPr>
                <w:p w14:paraId="7A840049">
                  <w:pPr>
                    <w:pStyle w:val="75"/>
                    <w:wordWrap/>
                    <w:rPr>
                      <w:rFonts w:eastAsia="宋体" w:cs="Times New Roman"/>
                      <w:color w:val="000000" w:themeColor="text1"/>
                      <w:sz w:val="21"/>
                      <w14:textFill>
                        <w14:solidFill>
                          <w14:schemeClr w14:val="tx1"/>
                        </w14:solidFill>
                      </w14:textFill>
                    </w:rPr>
                  </w:pPr>
                </w:p>
              </w:tc>
              <w:tc>
                <w:tcPr>
                  <w:tcW w:w="2654" w:type="pct"/>
                  <w:gridSpan w:val="2"/>
                  <w:noWrap w:val="0"/>
                  <w:tcMar>
                    <w:top w:w="15" w:type="dxa"/>
                    <w:left w:w="15" w:type="dxa"/>
                    <w:right w:w="15" w:type="dxa"/>
                  </w:tcMar>
                  <w:vAlign w:val="center"/>
                </w:tcPr>
                <w:p w14:paraId="55D79327">
                  <w:pPr>
                    <w:pStyle w:val="75"/>
                    <w:wordWrap/>
                    <w:rPr>
                      <w:rFonts w:eastAsia="宋体" w:cs="Times New Roman"/>
                      <w:color w:val="000000" w:themeColor="text1"/>
                      <w:sz w:val="21"/>
                      <w:highlight w:val="none"/>
                      <w14:textFill>
                        <w14:solidFill>
                          <w14:schemeClr w14:val="tx1"/>
                        </w14:solidFill>
                      </w14:textFill>
                    </w:rPr>
                  </w:pPr>
                  <w:r>
                    <w:rPr>
                      <w:rFonts w:eastAsia="宋体" w:cs="Times New Roman"/>
                      <w:color w:val="000000" w:themeColor="text1"/>
                      <w:sz w:val="21"/>
                      <w:highlight w:val="none"/>
                      <w14:textFill>
                        <w14:solidFill>
                          <w14:schemeClr w14:val="tx1"/>
                        </w14:solidFill>
                      </w14:textFill>
                    </w:rPr>
                    <w:t>第十八条：企业事业单位和其他生产经营者建设对大气环境有影响的项目，应当依法进行环境影响评价、公开环境影响评价文件；向大气排放污染物的，应当符合大气污染物排放标准，遵守重点大气污染物排放总量控制要求。</w:t>
                  </w:r>
                </w:p>
              </w:tc>
              <w:tc>
                <w:tcPr>
                  <w:tcW w:w="1579" w:type="pct"/>
                  <w:noWrap w:val="0"/>
                  <w:tcMar>
                    <w:top w:w="15" w:type="dxa"/>
                    <w:left w:w="15" w:type="dxa"/>
                    <w:right w:w="15" w:type="dxa"/>
                  </w:tcMar>
                  <w:vAlign w:val="center"/>
                </w:tcPr>
                <w:p w14:paraId="79B45FC3">
                  <w:pPr>
                    <w:pStyle w:val="75"/>
                    <w:wordWrap/>
                    <w:rPr>
                      <w:rFonts w:hint="default" w:eastAsia="宋体" w:cs="Times New Roman"/>
                      <w:color w:val="000000" w:themeColor="text1"/>
                      <w:sz w:val="21"/>
                      <w:highlight w:val="none"/>
                      <w:lang w:val="en-US" w:eastAsia="zh-CN"/>
                      <w14:textFill>
                        <w14:solidFill>
                          <w14:schemeClr w14:val="tx1"/>
                        </w14:solidFill>
                      </w14:textFill>
                    </w:rPr>
                  </w:pPr>
                  <w:r>
                    <w:rPr>
                      <w:rFonts w:hint="eastAsia" w:eastAsia="宋体" w:cs="Times New Roman"/>
                      <w:color w:val="000000" w:themeColor="text1"/>
                      <w:sz w:val="21"/>
                      <w:highlight w:val="none"/>
                      <w:lang w:val="en-US" w:eastAsia="zh-CN"/>
                      <w14:textFill>
                        <w14:solidFill>
                          <w14:schemeClr w14:val="tx1"/>
                        </w14:solidFill>
                      </w14:textFill>
                    </w:rPr>
                    <w:t>项目正在开展环境影响评价工作。项目产生的炉窑烟气通过</w:t>
                  </w:r>
                  <w:r>
                    <w:rPr>
                      <w:rFonts w:hint="eastAsia" w:cs="Times New Roman"/>
                      <w:color w:val="000000" w:themeColor="text1"/>
                      <w:sz w:val="21"/>
                      <w:highlight w:val="none"/>
                      <w:lang w:val="en-US" w:eastAsia="zh-CN"/>
                      <w14:textFill>
                        <w14:solidFill>
                          <w14:schemeClr w14:val="tx1"/>
                        </w14:solidFill>
                      </w14:textFill>
                    </w:rPr>
                    <w:t>高温脉冲袋式除尘器+</w:t>
                  </w:r>
                  <w:r>
                    <w:rPr>
                      <w:rFonts w:hint="eastAsia" w:eastAsia="宋体" w:cs="Times New Roman"/>
                      <w:color w:val="000000" w:themeColor="text1"/>
                      <w:sz w:val="21"/>
                      <w:highlight w:val="none"/>
                      <w:lang w:val="en-US" w:eastAsia="zh-CN"/>
                      <w14:textFill>
                        <w14:solidFill>
                          <w14:schemeClr w14:val="tx1"/>
                        </w14:solidFill>
                      </w14:textFill>
                    </w:rPr>
                    <w:t>脱硫塔处理后达标排放。重点大气污染物排放总量指标来源于罗平县阿岗镇慧联砖厂关停年产3000万块砖生产线关停产生的削减量，已完成污染物总量削减，且削减总量大于本项目污染物排放量。</w:t>
                  </w:r>
                </w:p>
              </w:tc>
              <w:tc>
                <w:tcPr>
                  <w:tcW w:w="436" w:type="pct"/>
                  <w:noWrap w:val="0"/>
                  <w:tcMar>
                    <w:top w:w="15" w:type="dxa"/>
                    <w:left w:w="15" w:type="dxa"/>
                    <w:right w:w="15" w:type="dxa"/>
                  </w:tcMar>
                  <w:vAlign w:val="center"/>
                </w:tcPr>
                <w:p w14:paraId="36B0AAC0">
                  <w:pPr>
                    <w:pStyle w:val="75"/>
                    <w:wordWrap/>
                    <w:rPr>
                      <w:rFonts w:eastAsia="宋体" w:cs="Times New Roman"/>
                      <w:color w:val="000000" w:themeColor="text1"/>
                      <w:sz w:val="21"/>
                      <w14:textFill>
                        <w14:solidFill>
                          <w14:schemeClr w14:val="tx1"/>
                        </w14:solidFill>
                      </w14:textFill>
                    </w:rPr>
                  </w:pPr>
                  <w:r>
                    <w:rPr>
                      <w:rFonts w:eastAsia="宋体" w:cs="Times New Roman"/>
                      <w:color w:val="000000" w:themeColor="text1"/>
                      <w:sz w:val="21"/>
                      <w14:textFill>
                        <w14:solidFill>
                          <w14:schemeClr w14:val="tx1"/>
                        </w14:solidFill>
                      </w14:textFill>
                    </w:rPr>
                    <w:t>符合</w:t>
                  </w:r>
                </w:p>
              </w:tc>
            </w:tr>
            <w:tr w14:paraId="0B396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329" w:type="pct"/>
                  <w:vMerge w:val="restart"/>
                  <w:noWrap w:val="0"/>
                  <w:tcMar>
                    <w:top w:w="15" w:type="dxa"/>
                    <w:left w:w="15" w:type="dxa"/>
                    <w:right w:w="15" w:type="dxa"/>
                  </w:tcMar>
                  <w:vAlign w:val="center"/>
                </w:tcPr>
                <w:p w14:paraId="79D944B3">
                  <w:pPr>
                    <w:pStyle w:val="75"/>
                    <w:wordWrap/>
                    <w:rPr>
                      <w:rFonts w:eastAsia="宋体" w:cs="Times New Roman"/>
                      <w:color w:val="000000" w:themeColor="text1"/>
                      <w:sz w:val="21"/>
                      <w14:textFill>
                        <w14:solidFill>
                          <w14:schemeClr w14:val="tx1"/>
                        </w14:solidFill>
                      </w14:textFill>
                    </w:rPr>
                  </w:pPr>
                  <w:r>
                    <w:rPr>
                      <w:rFonts w:eastAsia="宋体" w:cs="Times New Roman"/>
                      <w:color w:val="000000" w:themeColor="text1"/>
                      <w:sz w:val="21"/>
                      <w14:textFill>
                        <w14:solidFill>
                          <w14:schemeClr w14:val="tx1"/>
                        </w14:solidFill>
                      </w14:textFill>
                    </w:rPr>
                    <w:t>2</w:t>
                  </w:r>
                </w:p>
              </w:tc>
              <w:tc>
                <w:tcPr>
                  <w:tcW w:w="4670" w:type="pct"/>
                  <w:gridSpan w:val="4"/>
                  <w:noWrap w:val="0"/>
                  <w:tcMar>
                    <w:top w:w="15" w:type="dxa"/>
                    <w:left w:w="15" w:type="dxa"/>
                    <w:right w:w="15" w:type="dxa"/>
                  </w:tcMar>
                  <w:vAlign w:val="center"/>
                </w:tcPr>
                <w:p w14:paraId="43621644">
                  <w:pPr>
                    <w:pStyle w:val="75"/>
                    <w:wordWrap/>
                    <w:rPr>
                      <w:rFonts w:eastAsia="宋体" w:cs="Times New Roman"/>
                      <w:color w:val="000000" w:themeColor="text1"/>
                      <w:sz w:val="21"/>
                      <w14:textFill>
                        <w14:solidFill>
                          <w14:schemeClr w14:val="tx1"/>
                        </w14:solidFill>
                      </w14:textFill>
                    </w:rPr>
                  </w:pPr>
                  <w:r>
                    <w:rPr>
                      <w:rFonts w:eastAsia="宋体" w:cs="Times New Roman"/>
                      <w:color w:val="000000" w:themeColor="text1"/>
                      <w:sz w:val="21"/>
                      <w14:textFill>
                        <w14:solidFill>
                          <w14:schemeClr w14:val="tx1"/>
                        </w14:solidFill>
                      </w14:textFill>
                    </w:rPr>
                    <w:t>第四章、大气污染防治措施</w:t>
                  </w:r>
                </w:p>
              </w:tc>
            </w:tr>
            <w:tr w14:paraId="71D56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0" w:hRule="atLeast"/>
                <w:jc w:val="center"/>
              </w:trPr>
              <w:tc>
                <w:tcPr>
                  <w:tcW w:w="329" w:type="pct"/>
                  <w:vMerge w:val="continue"/>
                  <w:noWrap w:val="0"/>
                  <w:tcMar>
                    <w:top w:w="15" w:type="dxa"/>
                    <w:left w:w="15" w:type="dxa"/>
                    <w:right w:w="15" w:type="dxa"/>
                  </w:tcMar>
                  <w:vAlign w:val="center"/>
                </w:tcPr>
                <w:p w14:paraId="25E0D36F">
                  <w:pPr>
                    <w:pStyle w:val="75"/>
                    <w:wordWrap/>
                    <w:rPr>
                      <w:rFonts w:eastAsia="宋体" w:cs="Times New Roman"/>
                      <w:color w:val="000000" w:themeColor="text1"/>
                      <w:sz w:val="21"/>
                      <w14:textFill>
                        <w14:solidFill>
                          <w14:schemeClr w14:val="tx1"/>
                        </w14:solidFill>
                      </w14:textFill>
                    </w:rPr>
                  </w:pPr>
                </w:p>
              </w:tc>
              <w:tc>
                <w:tcPr>
                  <w:tcW w:w="535" w:type="pct"/>
                  <w:vMerge w:val="restart"/>
                  <w:noWrap w:val="0"/>
                  <w:tcMar>
                    <w:top w:w="15" w:type="dxa"/>
                    <w:left w:w="15" w:type="dxa"/>
                    <w:right w:w="15" w:type="dxa"/>
                  </w:tcMar>
                  <w:vAlign w:val="center"/>
                </w:tcPr>
                <w:p w14:paraId="4CCD0084">
                  <w:pPr>
                    <w:pStyle w:val="75"/>
                    <w:wordWrap/>
                    <w:rPr>
                      <w:rFonts w:eastAsia="宋体" w:cs="Times New Roman"/>
                      <w:color w:val="000000" w:themeColor="text1"/>
                      <w:sz w:val="21"/>
                      <w14:textFill>
                        <w14:solidFill>
                          <w14:schemeClr w14:val="tx1"/>
                        </w14:solidFill>
                      </w14:textFill>
                    </w:rPr>
                  </w:pPr>
                  <w:r>
                    <w:rPr>
                      <w:rFonts w:eastAsia="宋体" w:cs="Times New Roman"/>
                      <w:color w:val="000000" w:themeColor="text1"/>
                      <w:sz w:val="21"/>
                      <w14:textFill>
                        <w14:solidFill>
                          <w14:schemeClr w14:val="tx1"/>
                        </w14:solidFill>
                      </w14:textFill>
                    </w:rPr>
                    <w:t>第二节：工业污染防治</w:t>
                  </w:r>
                </w:p>
              </w:tc>
              <w:tc>
                <w:tcPr>
                  <w:tcW w:w="2119" w:type="pct"/>
                  <w:noWrap w:val="0"/>
                  <w:tcMar>
                    <w:top w:w="15" w:type="dxa"/>
                    <w:left w:w="15" w:type="dxa"/>
                    <w:right w:w="15" w:type="dxa"/>
                  </w:tcMar>
                  <w:vAlign w:val="center"/>
                </w:tcPr>
                <w:p w14:paraId="0F0C82D3">
                  <w:pPr>
                    <w:pStyle w:val="75"/>
                    <w:wordWrap/>
                    <w:rPr>
                      <w:rFonts w:eastAsia="宋体" w:cs="Times New Roman"/>
                      <w:color w:val="000000" w:themeColor="text1"/>
                      <w:sz w:val="21"/>
                      <w14:textFill>
                        <w14:solidFill>
                          <w14:schemeClr w14:val="tx1"/>
                        </w14:solidFill>
                      </w14:textFill>
                    </w:rPr>
                  </w:pPr>
                  <w:r>
                    <w:rPr>
                      <w:rFonts w:eastAsia="宋体" w:cs="Times New Roman"/>
                      <w:color w:val="000000" w:themeColor="text1"/>
                      <w:sz w:val="21"/>
                      <w14:textFill>
                        <w14:solidFill>
                          <w14:schemeClr w14:val="tx1"/>
                        </w14:solidFill>
                      </w14:textFill>
                    </w:rPr>
                    <w:t>第四十八条：钢铁、建材、有色金属、石油、化工、制药、矿产开采等企业，应当加强精细化管理，采取集中收集处理等措施，严格控制粉尘和气态污染物的排放。</w:t>
                  </w:r>
                </w:p>
                <w:p w14:paraId="67ADAFEC">
                  <w:pPr>
                    <w:pStyle w:val="75"/>
                    <w:wordWrap/>
                    <w:rPr>
                      <w:rFonts w:eastAsia="宋体" w:cs="Times New Roman"/>
                      <w:color w:val="000000" w:themeColor="text1"/>
                      <w:sz w:val="21"/>
                      <w14:textFill>
                        <w14:solidFill>
                          <w14:schemeClr w14:val="tx1"/>
                        </w14:solidFill>
                      </w14:textFill>
                    </w:rPr>
                  </w:pPr>
                  <w:r>
                    <w:rPr>
                      <w:rFonts w:eastAsia="宋体" w:cs="Times New Roman"/>
                      <w:color w:val="000000" w:themeColor="text1"/>
                      <w:sz w:val="21"/>
                      <w14:textFill>
                        <w14:solidFill>
                          <w14:schemeClr w14:val="tx1"/>
                        </w14:solidFill>
                      </w14:textFill>
                    </w:rPr>
                    <w:t>工业生产企业应当采取密闭、围挡、遮盖、清扫、洒水等措施，减少内部物料的堆存、传输、装卸等环节产生的粉尘和气态污染物的排放。</w:t>
                  </w:r>
                </w:p>
              </w:tc>
              <w:tc>
                <w:tcPr>
                  <w:tcW w:w="1579" w:type="pct"/>
                  <w:noWrap w:val="0"/>
                  <w:tcMar>
                    <w:top w:w="15" w:type="dxa"/>
                    <w:left w:w="15" w:type="dxa"/>
                    <w:right w:w="15" w:type="dxa"/>
                  </w:tcMar>
                  <w:vAlign w:val="center"/>
                </w:tcPr>
                <w:p w14:paraId="4D594799">
                  <w:pPr>
                    <w:pStyle w:val="75"/>
                    <w:wordWrap/>
                    <w:rPr>
                      <w:rFonts w:hint="default" w:eastAsia="宋体" w:cs="Times New Roman"/>
                      <w:color w:val="000000" w:themeColor="text1"/>
                      <w:sz w:val="21"/>
                      <w:lang w:val="en-US" w:eastAsia="zh-CN"/>
                      <w14:textFill>
                        <w14:solidFill>
                          <w14:schemeClr w14:val="tx1"/>
                        </w14:solidFill>
                      </w14:textFill>
                    </w:rPr>
                  </w:pPr>
                  <w:r>
                    <w:rPr>
                      <w:rFonts w:eastAsia="宋体" w:cs="Times New Roman"/>
                      <w:color w:val="000000" w:themeColor="text1"/>
                      <w:sz w:val="21"/>
                      <w14:textFill>
                        <w14:solidFill>
                          <w14:schemeClr w14:val="tx1"/>
                        </w14:solidFill>
                      </w14:textFill>
                    </w:rPr>
                    <w:t>本项目为改扩建项目，原料均堆放在</w:t>
                  </w:r>
                  <w:r>
                    <w:rPr>
                      <w:rFonts w:hint="eastAsia" w:eastAsia="宋体" w:cs="Times New Roman"/>
                      <w:color w:val="000000" w:themeColor="text1"/>
                      <w:sz w:val="21"/>
                      <w:lang w:val="en-US" w:eastAsia="zh-CN"/>
                      <w14:textFill>
                        <w14:solidFill>
                          <w14:schemeClr w14:val="tx1"/>
                        </w14:solidFill>
                      </w14:textFill>
                    </w:rPr>
                    <w:t>原料贮存库中，贮存库</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设置严密围挡+顶棚喷雾降尘</w:t>
                  </w:r>
                  <w:r>
                    <w:rPr>
                      <w:rFonts w:hint="eastAsia" w:eastAsia="宋体" w:cs="Times New Roman"/>
                      <w:color w:val="000000" w:themeColor="text1"/>
                      <w:sz w:val="21"/>
                      <w:lang w:val="en-US" w:eastAsia="zh-CN"/>
                      <w14:textFill>
                        <w14:solidFill>
                          <w14:schemeClr w14:val="tx1"/>
                        </w14:solidFill>
                      </w14:textFill>
                    </w:rPr>
                    <w:t>装置</w:t>
                  </w:r>
                  <w:r>
                    <w:rPr>
                      <w:rFonts w:eastAsia="宋体" w:cs="Times New Roman"/>
                      <w:color w:val="000000" w:themeColor="text1"/>
                      <w:sz w:val="21"/>
                      <w14:textFill>
                        <w14:solidFill>
                          <w14:schemeClr w14:val="tx1"/>
                        </w14:solidFill>
                      </w14:textFill>
                    </w:rPr>
                    <w:t>。</w:t>
                  </w:r>
                </w:p>
              </w:tc>
              <w:tc>
                <w:tcPr>
                  <w:tcW w:w="436" w:type="pct"/>
                  <w:noWrap w:val="0"/>
                  <w:tcMar>
                    <w:top w:w="15" w:type="dxa"/>
                    <w:left w:w="15" w:type="dxa"/>
                    <w:right w:w="15" w:type="dxa"/>
                  </w:tcMar>
                  <w:vAlign w:val="center"/>
                </w:tcPr>
                <w:p w14:paraId="65826F52">
                  <w:pPr>
                    <w:pStyle w:val="75"/>
                    <w:wordWrap/>
                    <w:rPr>
                      <w:rFonts w:eastAsia="宋体" w:cs="Times New Roman"/>
                      <w:color w:val="000000" w:themeColor="text1"/>
                      <w:sz w:val="21"/>
                      <w14:textFill>
                        <w14:solidFill>
                          <w14:schemeClr w14:val="tx1"/>
                        </w14:solidFill>
                      </w14:textFill>
                    </w:rPr>
                  </w:pPr>
                  <w:r>
                    <w:rPr>
                      <w:rFonts w:eastAsia="宋体" w:cs="Times New Roman"/>
                      <w:color w:val="000000" w:themeColor="text1"/>
                      <w:sz w:val="21"/>
                      <w14:textFill>
                        <w14:solidFill>
                          <w14:schemeClr w14:val="tx1"/>
                        </w14:solidFill>
                      </w14:textFill>
                    </w:rPr>
                    <w:t>符合</w:t>
                  </w:r>
                </w:p>
              </w:tc>
            </w:tr>
            <w:tr w14:paraId="3649E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1" w:hRule="atLeast"/>
                <w:jc w:val="center"/>
              </w:trPr>
              <w:tc>
                <w:tcPr>
                  <w:tcW w:w="329" w:type="pct"/>
                  <w:vMerge w:val="continue"/>
                  <w:noWrap w:val="0"/>
                  <w:tcMar>
                    <w:top w:w="15" w:type="dxa"/>
                    <w:left w:w="15" w:type="dxa"/>
                    <w:right w:w="15" w:type="dxa"/>
                  </w:tcMar>
                  <w:vAlign w:val="center"/>
                </w:tcPr>
                <w:p w14:paraId="2C5E5D4A">
                  <w:pPr>
                    <w:pStyle w:val="75"/>
                    <w:wordWrap/>
                    <w:rPr>
                      <w:rFonts w:eastAsia="宋体" w:cs="Times New Roman"/>
                      <w:color w:val="000000" w:themeColor="text1"/>
                      <w:sz w:val="21"/>
                      <w14:textFill>
                        <w14:solidFill>
                          <w14:schemeClr w14:val="tx1"/>
                        </w14:solidFill>
                      </w14:textFill>
                    </w:rPr>
                  </w:pPr>
                </w:p>
              </w:tc>
              <w:tc>
                <w:tcPr>
                  <w:tcW w:w="535" w:type="pct"/>
                  <w:vMerge w:val="continue"/>
                  <w:noWrap w:val="0"/>
                  <w:tcMar>
                    <w:top w:w="15" w:type="dxa"/>
                    <w:left w:w="15" w:type="dxa"/>
                    <w:right w:w="15" w:type="dxa"/>
                  </w:tcMar>
                  <w:vAlign w:val="center"/>
                </w:tcPr>
                <w:p w14:paraId="7C968826">
                  <w:pPr>
                    <w:pStyle w:val="75"/>
                    <w:wordWrap/>
                    <w:rPr>
                      <w:rFonts w:eastAsia="宋体" w:cs="Times New Roman"/>
                      <w:color w:val="000000" w:themeColor="text1"/>
                      <w:sz w:val="21"/>
                      <w14:textFill>
                        <w14:solidFill>
                          <w14:schemeClr w14:val="tx1"/>
                        </w14:solidFill>
                      </w14:textFill>
                    </w:rPr>
                  </w:pPr>
                </w:p>
              </w:tc>
              <w:tc>
                <w:tcPr>
                  <w:tcW w:w="2119" w:type="pct"/>
                  <w:noWrap w:val="0"/>
                  <w:tcMar>
                    <w:top w:w="15" w:type="dxa"/>
                    <w:left w:w="15" w:type="dxa"/>
                    <w:right w:w="15" w:type="dxa"/>
                  </w:tcMar>
                  <w:vAlign w:val="center"/>
                </w:tcPr>
                <w:p w14:paraId="487B8CE2">
                  <w:pPr>
                    <w:pStyle w:val="75"/>
                    <w:wordWrap/>
                    <w:rPr>
                      <w:rFonts w:eastAsia="宋体" w:cs="Times New Roman"/>
                      <w:color w:val="000000" w:themeColor="text1"/>
                      <w:sz w:val="21"/>
                      <w14:textFill>
                        <w14:solidFill>
                          <w14:schemeClr w14:val="tx1"/>
                        </w14:solidFill>
                      </w14:textFill>
                    </w:rPr>
                  </w:pPr>
                  <w:r>
                    <w:rPr>
                      <w:rFonts w:eastAsia="宋体" w:cs="Times New Roman"/>
                      <w:color w:val="000000" w:themeColor="text1"/>
                      <w:sz w:val="21"/>
                      <w14:textFill>
                        <w14:solidFill>
                          <w14:schemeClr w14:val="tx1"/>
                        </w14:solidFill>
                      </w14:textFill>
                    </w:rPr>
                    <w:t>第七十二条：贮存煤炭、煤矸石、煤渣、煤灰、水泥、石灰、石膏、砂土等易产生扬尘的物料应当密闭；不能密闭的，应当设置不低于堆放物高度的严密围挡，并采取有效覆盖措施防治扬尘污染。</w:t>
                  </w:r>
                </w:p>
              </w:tc>
              <w:tc>
                <w:tcPr>
                  <w:tcW w:w="1579" w:type="pct"/>
                  <w:noWrap w:val="0"/>
                  <w:tcMar>
                    <w:top w:w="15" w:type="dxa"/>
                    <w:left w:w="15" w:type="dxa"/>
                    <w:right w:w="15" w:type="dxa"/>
                  </w:tcMar>
                  <w:vAlign w:val="center"/>
                </w:tcPr>
                <w:p w14:paraId="0CB9A0BF">
                  <w:pPr>
                    <w:pStyle w:val="75"/>
                    <w:wordWrap/>
                    <w:rPr>
                      <w:rFonts w:eastAsia="宋体" w:cs="Times New Roman"/>
                      <w:color w:val="000000" w:themeColor="text1"/>
                      <w:sz w:val="21"/>
                      <w14:textFill>
                        <w14:solidFill>
                          <w14:schemeClr w14:val="tx1"/>
                        </w14:solidFill>
                      </w14:textFill>
                    </w:rPr>
                  </w:pPr>
                  <w:r>
                    <w:rPr>
                      <w:rFonts w:eastAsia="宋体" w:cs="Times New Roman"/>
                      <w:color w:val="000000" w:themeColor="text1"/>
                      <w:sz w:val="21"/>
                      <w14:textFill>
                        <w14:solidFill>
                          <w14:schemeClr w14:val="tx1"/>
                        </w14:solidFill>
                      </w14:textFill>
                    </w:rPr>
                    <w:t>本项目为改扩建项目，原料均堆放在</w:t>
                  </w:r>
                  <w:r>
                    <w:rPr>
                      <w:rFonts w:hint="eastAsia" w:eastAsia="宋体" w:cs="Times New Roman"/>
                      <w:color w:val="000000" w:themeColor="text1"/>
                      <w:sz w:val="21"/>
                      <w:lang w:val="en-US" w:eastAsia="zh-CN"/>
                      <w14:textFill>
                        <w14:solidFill>
                          <w14:schemeClr w14:val="tx1"/>
                        </w14:solidFill>
                      </w14:textFill>
                    </w:rPr>
                    <w:t>原料贮存库中，贮存库设置</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严密围挡+顶棚喷雾降尘</w:t>
                  </w:r>
                  <w:r>
                    <w:rPr>
                      <w:rFonts w:hint="eastAsia" w:eastAsia="宋体" w:cs="Times New Roman"/>
                      <w:color w:val="000000" w:themeColor="text1"/>
                      <w:sz w:val="21"/>
                      <w:lang w:val="en-US" w:eastAsia="zh-CN"/>
                      <w14:textFill>
                        <w14:solidFill>
                          <w14:schemeClr w14:val="tx1"/>
                        </w14:solidFill>
                      </w14:textFill>
                    </w:rPr>
                    <w:t>装置</w:t>
                  </w:r>
                  <w:r>
                    <w:rPr>
                      <w:rFonts w:eastAsia="宋体" w:cs="Times New Roman"/>
                      <w:color w:val="000000" w:themeColor="text1"/>
                      <w:sz w:val="21"/>
                      <w14:textFill>
                        <w14:solidFill>
                          <w14:schemeClr w14:val="tx1"/>
                        </w14:solidFill>
                      </w14:textFill>
                    </w:rPr>
                    <w:t>。</w:t>
                  </w:r>
                </w:p>
              </w:tc>
              <w:tc>
                <w:tcPr>
                  <w:tcW w:w="436" w:type="pct"/>
                  <w:noWrap w:val="0"/>
                  <w:tcMar>
                    <w:top w:w="15" w:type="dxa"/>
                    <w:left w:w="15" w:type="dxa"/>
                    <w:right w:w="15" w:type="dxa"/>
                  </w:tcMar>
                  <w:vAlign w:val="center"/>
                </w:tcPr>
                <w:p w14:paraId="16AC2848">
                  <w:pPr>
                    <w:pStyle w:val="75"/>
                    <w:wordWrap/>
                    <w:rPr>
                      <w:rFonts w:eastAsia="宋体" w:cs="Times New Roman"/>
                      <w:color w:val="000000" w:themeColor="text1"/>
                      <w:sz w:val="21"/>
                      <w14:textFill>
                        <w14:solidFill>
                          <w14:schemeClr w14:val="tx1"/>
                        </w14:solidFill>
                      </w14:textFill>
                    </w:rPr>
                  </w:pPr>
                  <w:r>
                    <w:rPr>
                      <w:rFonts w:eastAsia="宋体" w:cs="Times New Roman"/>
                      <w:color w:val="000000" w:themeColor="text1"/>
                      <w:sz w:val="21"/>
                      <w14:textFill>
                        <w14:solidFill>
                          <w14:schemeClr w14:val="tx1"/>
                        </w14:solidFill>
                      </w14:textFill>
                    </w:rPr>
                    <w:t>符合</w:t>
                  </w:r>
                </w:p>
              </w:tc>
            </w:tr>
          </w:tbl>
          <w:p w14:paraId="70423FD4">
            <w:pPr>
              <w:keepNext w:val="0"/>
              <w:keepLines w:val="0"/>
              <w:pageBreakBefore w:val="0"/>
              <w:widowControl w:val="0"/>
              <w:kinsoku/>
              <w:wordWrap/>
              <w:overflowPunct/>
              <w:topLinePunct w:val="0"/>
              <w:autoSpaceDN/>
              <w:bidi w:val="0"/>
              <w:spacing w:line="360" w:lineRule="auto"/>
              <w:ind w:firstLine="480" w:firstLineChars="200"/>
              <w:textAlignment w:val="auto"/>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综上所述，本项目建设符合《中华人民共和国大气污染防治法》</w:t>
            </w:r>
            <w:r>
              <w:rPr>
                <w:rFonts w:hint="eastAsia" w:eastAsia="宋体"/>
                <w:color w:val="000000" w:themeColor="text1"/>
                <w:sz w:val="24"/>
                <w:szCs w:val="24"/>
                <w:lang w:val="en-US" w:eastAsia="zh-CN"/>
                <w14:textFill>
                  <w14:solidFill>
                    <w14:schemeClr w14:val="tx1"/>
                  </w14:solidFill>
                </w14:textFill>
              </w:rPr>
              <w:t>相关要求</w:t>
            </w:r>
            <w:r>
              <w:rPr>
                <w:rFonts w:eastAsia="宋体"/>
                <w:color w:val="000000" w:themeColor="text1"/>
                <w:sz w:val="24"/>
                <w:szCs w:val="24"/>
                <w14:textFill>
                  <w14:solidFill>
                    <w14:schemeClr w14:val="tx1"/>
                  </w14:solidFill>
                </w14:textFill>
              </w:rPr>
              <w:t>。</w:t>
            </w:r>
          </w:p>
          <w:p w14:paraId="7613CE9A">
            <w:pPr>
              <w:keepNext w:val="0"/>
              <w:keepLines w:val="0"/>
              <w:pageBreakBefore w:val="0"/>
              <w:widowControl w:val="0"/>
              <w:kinsoku/>
              <w:wordWrap/>
              <w:overflowPunct/>
              <w:topLinePunct w:val="0"/>
              <w:autoSpaceDE w:val="0"/>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000000" w:themeColor="text1"/>
                <w:kern w:val="0"/>
                <w:sz w:val="24"/>
                <w:szCs w:val="24"/>
                <w14:textFill>
                  <w14:solidFill>
                    <w14:schemeClr w14:val="tx1"/>
                  </w14:solidFill>
                </w14:textFill>
              </w:rPr>
            </w:pPr>
            <w:r>
              <w:rPr>
                <w:rFonts w:hint="eastAsia" w:cs="Times New Roman"/>
                <w:b/>
                <w:bCs w:val="0"/>
                <w:color w:val="000000" w:themeColor="text1"/>
                <w:sz w:val="24"/>
                <w:szCs w:val="24"/>
                <w:lang w:val="en-US" w:eastAsia="zh-CN"/>
                <w14:textFill>
                  <w14:solidFill>
                    <w14:schemeClr w14:val="tx1"/>
                  </w14:solidFill>
                </w14:textFill>
              </w:rPr>
              <w:t>4</w:t>
            </w: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bCs/>
                <w:color w:val="000000" w:themeColor="text1"/>
                <w:kern w:val="0"/>
                <w:sz w:val="24"/>
                <w:szCs w:val="24"/>
                <w14:textFill>
                  <w14:solidFill>
                    <w14:schemeClr w14:val="tx1"/>
                  </w14:solidFill>
                </w14:textFill>
              </w:rPr>
              <w:t>与曲靖市人民政府办公室关于印发《曲靖市环境空气质量整体提升工作方案》的通知</w:t>
            </w:r>
            <w:r>
              <w:rPr>
                <w:rFonts w:hint="eastAsia" w:ascii="Times New Roman" w:hAnsi="Times New Roman" w:eastAsia="宋体" w:cs="Times New Roman"/>
                <w:b/>
                <w:bCs/>
                <w:color w:val="000000" w:themeColor="text1"/>
                <w:kern w:val="0"/>
                <w:sz w:val="24"/>
                <w:szCs w:val="24"/>
                <w:lang w:eastAsia="zh-CN"/>
                <w14:textFill>
                  <w14:solidFill>
                    <w14:schemeClr w14:val="tx1"/>
                  </w14:solidFill>
                </w14:textFill>
              </w:rPr>
              <w:t>（曲政办发〔2023〕59号）</w:t>
            </w:r>
            <w:r>
              <w:rPr>
                <w:rFonts w:hint="default" w:ascii="Times New Roman" w:hAnsi="Times New Roman" w:eastAsia="宋体" w:cs="Times New Roman"/>
                <w:b/>
                <w:bCs/>
                <w:color w:val="000000" w:themeColor="text1"/>
                <w:kern w:val="0"/>
                <w:sz w:val="24"/>
                <w:szCs w:val="24"/>
                <w14:textFill>
                  <w14:solidFill>
                    <w14:schemeClr w14:val="tx1"/>
                  </w14:solidFill>
                </w14:textFill>
              </w:rPr>
              <w:t>符合性分析</w:t>
            </w:r>
          </w:p>
          <w:p w14:paraId="07132714">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default"/>
                <w:b/>
                <w:bCs/>
                <w:color w:val="000000" w:themeColor="text1"/>
                <w:sz w:val="24"/>
                <w:szCs w:val="24"/>
                <w:lang w:val="en-US" w:eastAsia="zh-CN"/>
                <w14:textFill>
                  <w14:solidFill>
                    <w14:schemeClr w14:val="tx1"/>
                  </w14:solidFill>
                </w14:textFill>
              </w:rPr>
            </w:pPr>
            <w:r>
              <w:rPr>
                <w:rFonts w:hint="default"/>
                <w:b/>
                <w:bCs/>
                <w:color w:val="000000" w:themeColor="text1"/>
                <w:sz w:val="24"/>
                <w:szCs w:val="24"/>
                <w:lang w:val="en-US" w:eastAsia="zh-CN"/>
                <w14:textFill>
                  <w14:solidFill>
                    <w14:schemeClr w14:val="tx1"/>
                  </w14:solidFill>
                </w14:textFill>
              </w:rPr>
              <w:t>表</w:t>
            </w:r>
            <w:r>
              <w:rPr>
                <w:rFonts w:hint="eastAsia"/>
                <w:b/>
                <w:bCs/>
                <w:color w:val="000000" w:themeColor="text1"/>
                <w:sz w:val="24"/>
                <w:szCs w:val="24"/>
                <w:lang w:val="en-US" w:eastAsia="zh-CN"/>
                <w14:textFill>
                  <w14:solidFill>
                    <w14:schemeClr w14:val="tx1"/>
                  </w14:solidFill>
                </w14:textFill>
              </w:rPr>
              <w:t xml:space="preserve">1-5  </w:t>
            </w:r>
            <w:r>
              <w:rPr>
                <w:rFonts w:hint="default"/>
                <w:b/>
                <w:bCs/>
                <w:color w:val="000000" w:themeColor="text1"/>
                <w:sz w:val="24"/>
                <w:szCs w:val="24"/>
                <w:lang w:val="en-US" w:eastAsia="zh-CN"/>
                <w14:textFill>
                  <w14:solidFill>
                    <w14:schemeClr w14:val="tx1"/>
                  </w14:solidFill>
                </w14:textFill>
              </w:rPr>
              <w:t xml:space="preserve"> </w:t>
            </w:r>
            <w:r>
              <w:rPr>
                <w:rFonts w:hint="eastAsia"/>
                <w:b/>
                <w:bCs/>
                <w:color w:val="000000" w:themeColor="text1"/>
                <w:sz w:val="24"/>
                <w:szCs w:val="24"/>
                <w:lang w:val="en-US" w:eastAsia="zh-CN"/>
                <w14:textFill>
                  <w14:solidFill>
                    <w14:schemeClr w14:val="tx1"/>
                  </w14:solidFill>
                </w14:textFill>
              </w:rPr>
              <w:t>与《曲靖市环境空气质量整体提升工作方案》符合性分析</w:t>
            </w:r>
          </w:p>
          <w:tbl>
            <w:tblPr>
              <w:tblStyle w:val="28"/>
              <w:tblW w:w="737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6"/>
              <w:gridCol w:w="3743"/>
              <w:gridCol w:w="2405"/>
              <w:gridCol w:w="696"/>
            </w:tblGrid>
            <w:tr w14:paraId="3503F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357" w:type="pct"/>
                  <w:noWrap w:val="0"/>
                  <w:tcMar>
                    <w:top w:w="15" w:type="dxa"/>
                    <w:left w:w="15" w:type="dxa"/>
                    <w:right w:w="15" w:type="dxa"/>
                  </w:tcMar>
                  <w:vAlign w:val="center"/>
                </w:tcPr>
                <w:p w14:paraId="5FF7FA5D">
                  <w:pPr>
                    <w:widowControl/>
                    <w:wordWrap/>
                    <w:spacing w:line="240" w:lineRule="auto"/>
                    <w:ind w:firstLine="0" w:firstLineChars="0"/>
                    <w:jc w:val="center"/>
                    <w:textAlignment w:val="top"/>
                    <w:rPr>
                      <w:rFonts w:eastAsia="宋体"/>
                      <w:b/>
                      <w:color w:val="000000" w:themeColor="text1"/>
                      <w:sz w:val="21"/>
                      <w:szCs w:val="21"/>
                      <w14:textFill>
                        <w14:solidFill>
                          <w14:schemeClr w14:val="tx1"/>
                        </w14:solidFill>
                      </w14:textFill>
                    </w:rPr>
                  </w:pPr>
                  <w:r>
                    <w:rPr>
                      <w:rFonts w:eastAsia="宋体"/>
                      <w:b/>
                      <w:color w:val="000000" w:themeColor="text1"/>
                      <w:kern w:val="0"/>
                      <w:sz w:val="21"/>
                      <w:szCs w:val="21"/>
                      <w:lang w:bidi="ar"/>
                      <w14:textFill>
                        <w14:solidFill>
                          <w14:schemeClr w14:val="tx1"/>
                        </w14:solidFill>
                      </w14:textFill>
                    </w:rPr>
                    <w:t>序号</w:t>
                  </w:r>
                </w:p>
              </w:tc>
              <w:tc>
                <w:tcPr>
                  <w:tcW w:w="2538" w:type="pct"/>
                  <w:noWrap w:val="0"/>
                  <w:tcMar>
                    <w:top w:w="15" w:type="dxa"/>
                    <w:left w:w="15" w:type="dxa"/>
                    <w:right w:w="15" w:type="dxa"/>
                  </w:tcMar>
                  <w:vAlign w:val="center"/>
                </w:tcPr>
                <w:p w14:paraId="0DEB9C1E">
                  <w:pPr>
                    <w:widowControl/>
                    <w:wordWrap/>
                    <w:spacing w:line="240" w:lineRule="auto"/>
                    <w:ind w:firstLine="0" w:firstLineChars="0"/>
                    <w:jc w:val="center"/>
                    <w:textAlignment w:val="top"/>
                    <w:rPr>
                      <w:rFonts w:hint="default" w:eastAsia="宋体"/>
                      <w:b/>
                      <w:color w:val="000000" w:themeColor="text1"/>
                      <w:sz w:val="21"/>
                      <w:szCs w:val="21"/>
                      <w:lang w:val="en-US" w:eastAsia="zh-CN"/>
                      <w14:textFill>
                        <w14:solidFill>
                          <w14:schemeClr w14:val="tx1"/>
                        </w14:solidFill>
                      </w14:textFill>
                    </w:rPr>
                  </w:pPr>
                  <w:r>
                    <w:rPr>
                      <w:rFonts w:hint="eastAsia" w:eastAsia="宋体"/>
                      <w:b/>
                      <w:color w:val="000000" w:themeColor="text1"/>
                      <w:sz w:val="21"/>
                      <w:szCs w:val="21"/>
                      <w:lang w:val="en-US" w:eastAsia="zh-CN"/>
                      <w14:textFill>
                        <w14:solidFill>
                          <w14:schemeClr w14:val="tx1"/>
                        </w14:solidFill>
                      </w14:textFill>
                    </w:rPr>
                    <w:t>工作方案相关要求</w:t>
                  </w:r>
                </w:p>
              </w:tc>
              <w:tc>
                <w:tcPr>
                  <w:tcW w:w="1631" w:type="pct"/>
                  <w:noWrap w:val="0"/>
                  <w:tcMar>
                    <w:top w:w="15" w:type="dxa"/>
                    <w:left w:w="15" w:type="dxa"/>
                    <w:right w:w="15" w:type="dxa"/>
                  </w:tcMar>
                  <w:vAlign w:val="center"/>
                </w:tcPr>
                <w:p w14:paraId="17948267">
                  <w:pPr>
                    <w:widowControl/>
                    <w:wordWrap/>
                    <w:spacing w:line="240" w:lineRule="auto"/>
                    <w:ind w:firstLine="0" w:firstLineChars="0"/>
                    <w:jc w:val="center"/>
                    <w:textAlignment w:val="top"/>
                    <w:rPr>
                      <w:rFonts w:eastAsia="宋体"/>
                      <w:b/>
                      <w:color w:val="000000" w:themeColor="text1"/>
                      <w:sz w:val="21"/>
                      <w:szCs w:val="21"/>
                      <w14:textFill>
                        <w14:solidFill>
                          <w14:schemeClr w14:val="tx1"/>
                        </w14:solidFill>
                      </w14:textFill>
                    </w:rPr>
                  </w:pPr>
                  <w:r>
                    <w:rPr>
                      <w:rFonts w:eastAsia="宋体"/>
                      <w:b/>
                      <w:color w:val="000000" w:themeColor="text1"/>
                      <w:kern w:val="0"/>
                      <w:sz w:val="21"/>
                      <w:szCs w:val="21"/>
                      <w:lang w:bidi="ar"/>
                      <w14:textFill>
                        <w14:solidFill>
                          <w14:schemeClr w14:val="tx1"/>
                        </w14:solidFill>
                      </w14:textFill>
                    </w:rPr>
                    <w:t>本项目情况</w:t>
                  </w:r>
                </w:p>
              </w:tc>
              <w:tc>
                <w:tcPr>
                  <w:tcW w:w="472" w:type="pct"/>
                  <w:noWrap w:val="0"/>
                  <w:tcMar>
                    <w:top w:w="15" w:type="dxa"/>
                    <w:left w:w="15" w:type="dxa"/>
                    <w:right w:w="15" w:type="dxa"/>
                  </w:tcMar>
                  <w:vAlign w:val="center"/>
                </w:tcPr>
                <w:p w14:paraId="570B3D5E">
                  <w:pPr>
                    <w:widowControl/>
                    <w:wordWrap/>
                    <w:spacing w:line="240" w:lineRule="auto"/>
                    <w:ind w:firstLine="0" w:firstLineChars="0"/>
                    <w:jc w:val="center"/>
                    <w:textAlignment w:val="top"/>
                    <w:rPr>
                      <w:rFonts w:eastAsia="宋体"/>
                      <w:b/>
                      <w:color w:val="000000" w:themeColor="text1"/>
                      <w:sz w:val="21"/>
                      <w:szCs w:val="21"/>
                      <w14:textFill>
                        <w14:solidFill>
                          <w14:schemeClr w14:val="tx1"/>
                        </w14:solidFill>
                      </w14:textFill>
                    </w:rPr>
                  </w:pPr>
                  <w:r>
                    <w:rPr>
                      <w:rFonts w:eastAsia="宋体"/>
                      <w:b/>
                      <w:color w:val="000000" w:themeColor="text1"/>
                      <w:kern w:val="0"/>
                      <w:sz w:val="21"/>
                      <w:szCs w:val="21"/>
                      <w:lang w:bidi="ar"/>
                      <w14:textFill>
                        <w14:solidFill>
                          <w14:schemeClr w14:val="tx1"/>
                        </w14:solidFill>
                      </w14:textFill>
                    </w:rPr>
                    <w:t>符合性</w:t>
                  </w:r>
                </w:p>
              </w:tc>
            </w:tr>
            <w:tr w14:paraId="677C6B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jc w:val="center"/>
              </w:trPr>
              <w:tc>
                <w:tcPr>
                  <w:tcW w:w="357" w:type="pct"/>
                  <w:noWrap/>
                  <w:tcMar>
                    <w:top w:w="15" w:type="dxa"/>
                    <w:left w:w="15" w:type="dxa"/>
                    <w:right w:w="15" w:type="dxa"/>
                  </w:tcMar>
                  <w:vAlign w:val="center"/>
                </w:tcPr>
                <w:p w14:paraId="11493388">
                  <w:pPr>
                    <w:wordWrap/>
                    <w:spacing w:line="240" w:lineRule="auto"/>
                    <w:ind w:firstLine="0" w:firstLineChars="0"/>
                    <w:jc w:val="center"/>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1</w:t>
                  </w:r>
                </w:p>
              </w:tc>
              <w:tc>
                <w:tcPr>
                  <w:tcW w:w="2538" w:type="pct"/>
                  <w:noWrap w:val="0"/>
                  <w:tcMar>
                    <w:top w:w="15" w:type="dxa"/>
                    <w:left w:w="15" w:type="dxa"/>
                    <w:right w:w="15" w:type="dxa"/>
                  </w:tcMar>
                  <w:vAlign w:val="center"/>
                </w:tcPr>
                <w:p w14:paraId="50E642DD">
                  <w:pPr>
                    <w:widowControl/>
                    <w:wordWrap/>
                    <w:spacing w:line="240" w:lineRule="auto"/>
                    <w:ind w:firstLine="0" w:firstLineChars="0"/>
                    <w:jc w:val="center"/>
                    <w:textAlignment w:val="top"/>
                    <w:rPr>
                      <w:rFonts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强化施工现场及进场道路扬尘整治。全面推行绿色施工，落实施工工地（包括停工工地）周边围挡、土方开挖湿法作业、物料堆放覆盖、路面硬化、出入车辆清洗、渣土车辆密闭运输“六个百分之百”要求，安装和完善建筑工地扬尘监测设施设备，提升建筑工地扬尘治理精细化、智能化水平。</w:t>
                  </w:r>
                </w:p>
              </w:tc>
              <w:tc>
                <w:tcPr>
                  <w:tcW w:w="1631" w:type="pct"/>
                  <w:noWrap w:val="0"/>
                  <w:tcMar>
                    <w:top w:w="15" w:type="dxa"/>
                    <w:left w:w="15" w:type="dxa"/>
                    <w:right w:w="15" w:type="dxa"/>
                  </w:tcMar>
                  <w:vAlign w:val="center"/>
                </w:tcPr>
                <w:p w14:paraId="2E6366FA">
                  <w:pPr>
                    <w:widowControl/>
                    <w:wordWrap/>
                    <w:spacing w:line="240" w:lineRule="auto"/>
                    <w:ind w:firstLine="0" w:firstLineChars="0"/>
                    <w:jc w:val="center"/>
                    <w:textAlignment w:val="top"/>
                    <w:rPr>
                      <w:rFonts w:hint="default" w:eastAsia="宋体"/>
                      <w:color w:val="000000" w:themeColor="text1"/>
                      <w:sz w:val="21"/>
                      <w:szCs w:val="21"/>
                      <w:lang w:val="en-US"/>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项目施工期严格</w:t>
                  </w:r>
                  <w:r>
                    <w:rPr>
                      <w:rFonts w:hint="eastAsia" w:eastAsia="宋体"/>
                      <w:color w:val="000000" w:themeColor="text1"/>
                      <w:sz w:val="21"/>
                      <w:szCs w:val="21"/>
                      <w14:textFill>
                        <w14:solidFill>
                          <w14:schemeClr w14:val="tx1"/>
                        </w14:solidFill>
                      </w14:textFill>
                    </w:rPr>
                    <w:t>落实施工工地“六个百分之百”工作要求</w:t>
                  </w:r>
                  <w:r>
                    <w:rPr>
                      <w:rFonts w:hint="eastAsia" w:eastAsia="宋体"/>
                      <w:color w:val="000000" w:themeColor="text1"/>
                      <w:sz w:val="21"/>
                      <w:szCs w:val="21"/>
                      <w:lang w:eastAsia="zh-CN"/>
                      <w14:textFill>
                        <w14:solidFill>
                          <w14:schemeClr w14:val="tx1"/>
                        </w14:solidFill>
                      </w14:textFill>
                    </w:rPr>
                    <w:t>。</w:t>
                  </w:r>
                  <w:r>
                    <w:rPr>
                      <w:rFonts w:hint="eastAsia" w:eastAsia="宋体"/>
                      <w:color w:val="000000" w:themeColor="text1"/>
                      <w:sz w:val="21"/>
                      <w:szCs w:val="21"/>
                      <w:lang w:val="en-US" w:eastAsia="zh-CN"/>
                      <w14:textFill>
                        <w14:solidFill>
                          <w14:schemeClr w14:val="tx1"/>
                        </w14:solidFill>
                      </w14:textFill>
                    </w:rPr>
                    <w:t>渣土运输</w:t>
                  </w:r>
                  <w:r>
                    <w:rPr>
                      <w:rFonts w:hint="eastAsia" w:eastAsia="宋体"/>
                      <w:color w:val="000000" w:themeColor="text1"/>
                      <w:sz w:val="21"/>
                      <w:szCs w:val="21"/>
                      <w14:textFill>
                        <w14:solidFill>
                          <w14:schemeClr w14:val="tx1"/>
                        </w14:solidFill>
                      </w14:textFill>
                    </w:rPr>
                    <w:t>严格落实密闭</w:t>
                  </w:r>
                  <w:r>
                    <w:rPr>
                      <w:rFonts w:hint="eastAsia" w:eastAsia="宋体"/>
                      <w:color w:val="000000" w:themeColor="text1"/>
                      <w:sz w:val="21"/>
                      <w:szCs w:val="21"/>
                      <w:lang w:val="en-US" w:eastAsia="zh-CN"/>
                      <w14:textFill>
                        <w14:solidFill>
                          <w14:schemeClr w14:val="tx1"/>
                        </w14:solidFill>
                      </w14:textFill>
                    </w:rPr>
                    <w:t>措施，施工期道路、裸露地面扬尘通过采取洒水降尘管控措施，项目施工期短，产生的污染通过采取措施后对周围环境影响小。</w:t>
                  </w:r>
                </w:p>
              </w:tc>
              <w:tc>
                <w:tcPr>
                  <w:tcW w:w="472" w:type="pct"/>
                  <w:noWrap w:val="0"/>
                  <w:tcMar>
                    <w:top w:w="15" w:type="dxa"/>
                    <w:left w:w="15" w:type="dxa"/>
                    <w:right w:w="15" w:type="dxa"/>
                  </w:tcMar>
                  <w:vAlign w:val="center"/>
                </w:tcPr>
                <w:p w14:paraId="2019840D">
                  <w:pPr>
                    <w:wordWrap/>
                    <w:spacing w:line="240" w:lineRule="auto"/>
                    <w:ind w:firstLine="0" w:firstLineChars="0"/>
                    <w:jc w:val="center"/>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符合</w:t>
                  </w:r>
                </w:p>
              </w:tc>
            </w:tr>
            <w:tr w14:paraId="5A50A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jc w:val="center"/>
              </w:trPr>
              <w:tc>
                <w:tcPr>
                  <w:tcW w:w="357" w:type="pct"/>
                  <w:noWrap/>
                  <w:tcMar>
                    <w:top w:w="15" w:type="dxa"/>
                    <w:left w:w="15" w:type="dxa"/>
                    <w:right w:w="15" w:type="dxa"/>
                  </w:tcMar>
                  <w:vAlign w:val="center"/>
                </w:tcPr>
                <w:p w14:paraId="1566E9B0">
                  <w:pPr>
                    <w:wordWrap/>
                    <w:spacing w:line="240" w:lineRule="auto"/>
                    <w:ind w:firstLine="0" w:firstLineChars="0"/>
                    <w:jc w:val="center"/>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2</w:t>
                  </w:r>
                </w:p>
              </w:tc>
              <w:tc>
                <w:tcPr>
                  <w:tcW w:w="2538" w:type="pct"/>
                  <w:noWrap w:val="0"/>
                  <w:tcMar>
                    <w:top w:w="15" w:type="dxa"/>
                    <w:left w:w="15" w:type="dxa"/>
                    <w:right w:w="15" w:type="dxa"/>
                  </w:tcMar>
                  <w:vAlign w:val="center"/>
                </w:tcPr>
                <w:p w14:paraId="076BD6FE">
                  <w:pPr>
                    <w:widowControl/>
                    <w:wordWrap/>
                    <w:spacing w:line="240" w:lineRule="auto"/>
                    <w:ind w:firstLine="0" w:firstLineChars="0"/>
                    <w:jc w:val="center"/>
                    <w:textAlignment w:val="top"/>
                    <w:rPr>
                      <w:rFonts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加强物料堆场管理。规范工业企业、铁路公路货运站、施工工地、废弃场地等物料堆场管理，采取有效防尘措施。对于露天堆场，要严格落实装卸湿法作业并避开大风天气。对易产生扬尘的物料堆、渣土堆、废渣等，应设置防尘网或防尘布，必要时进行喷淋、固化处理。出场车辆应冲洗，有效控制二次扬尘污染。</w:t>
                  </w:r>
                </w:p>
              </w:tc>
              <w:tc>
                <w:tcPr>
                  <w:tcW w:w="1631" w:type="pct"/>
                  <w:noWrap w:val="0"/>
                  <w:tcMar>
                    <w:top w:w="15" w:type="dxa"/>
                    <w:left w:w="15" w:type="dxa"/>
                    <w:right w:w="15" w:type="dxa"/>
                  </w:tcMar>
                  <w:vAlign w:val="center"/>
                </w:tcPr>
                <w:p w14:paraId="7037B3BB">
                  <w:pPr>
                    <w:widowControl/>
                    <w:wordWrap/>
                    <w:spacing w:line="240" w:lineRule="auto"/>
                    <w:ind w:firstLine="0" w:firstLineChars="0"/>
                    <w:jc w:val="center"/>
                    <w:textAlignment w:val="top"/>
                    <w:rPr>
                      <w:rFonts w:eastAsia="宋体"/>
                      <w:color w:val="000000" w:themeColor="text1"/>
                      <w:sz w:val="21"/>
                      <w:szCs w:val="21"/>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运营期原料贮存库设置了</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严密围挡+顶棚喷雾降尘</w:t>
                  </w:r>
                  <w:r>
                    <w:rPr>
                      <w:rFonts w:hint="eastAsia" w:eastAsia="宋体" w:cs="Times New Roman"/>
                      <w:color w:val="000000" w:themeColor="text1"/>
                      <w:sz w:val="21"/>
                      <w:lang w:val="en-US" w:eastAsia="zh-CN"/>
                      <w14:textFill>
                        <w14:solidFill>
                          <w14:schemeClr w14:val="tx1"/>
                        </w14:solidFill>
                      </w14:textFill>
                    </w:rPr>
                    <w:t>装置</w:t>
                  </w:r>
                  <w:r>
                    <w:rPr>
                      <w:rFonts w:eastAsia="宋体" w:cs="Times New Roman"/>
                      <w:color w:val="000000" w:themeColor="text1"/>
                      <w:sz w:val="21"/>
                      <w14:textFill>
                        <w14:solidFill>
                          <w14:schemeClr w14:val="tx1"/>
                        </w14:solidFill>
                      </w14:textFill>
                    </w:rPr>
                    <w:t>。</w:t>
                  </w:r>
                </w:p>
              </w:tc>
              <w:tc>
                <w:tcPr>
                  <w:tcW w:w="472" w:type="pct"/>
                  <w:noWrap w:val="0"/>
                  <w:tcMar>
                    <w:top w:w="15" w:type="dxa"/>
                    <w:left w:w="15" w:type="dxa"/>
                    <w:right w:w="15" w:type="dxa"/>
                  </w:tcMar>
                  <w:vAlign w:val="center"/>
                </w:tcPr>
                <w:p w14:paraId="1526C149">
                  <w:pPr>
                    <w:wordWrap/>
                    <w:spacing w:line="240" w:lineRule="auto"/>
                    <w:ind w:firstLine="0" w:firstLineChars="0"/>
                    <w:jc w:val="center"/>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符合</w:t>
                  </w:r>
                </w:p>
              </w:tc>
            </w:tr>
            <w:tr w14:paraId="35DC4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jc w:val="center"/>
              </w:trPr>
              <w:tc>
                <w:tcPr>
                  <w:tcW w:w="357" w:type="pct"/>
                  <w:noWrap/>
                  <w:tcMar>
                    <w:top w:w="15" w:type="dxa"/>
                    <w:left w:w="15" w:type="dxa"/>
                    <w:right w:w="15" w:type="dxa"/>
                  </w:tcMar>
                  <w:vAlign w:val="center"/>
                </w:tcPr>
                <w:p w14:paraId="18843C2C">
                  <w:pPr>
                    <w:wordWrap/>
                    <w:spacing w:line="240" w:lineRule="auto"/>
                    <w:ind w:firstLine="0" w:firstLineChars="0"/>
                    <w:jc w:val="center"/>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3</w:t>
                  </w:r>
                </w:p>
              </w:tc>
              <w:tc>
                <w:tcPr>
                  <w:tcW w:w="2538" w:type="pct"/>
                  <w:noWrap w:val="0"/>
                  <w:tcMar>
                    <w:top w:w="15" w:type="dxa"/>
                    <w:left w:w="15" w:type="dxa"/>
                    <w:right w:w="15" w:type="dxa"/>
                  </w:tcMar>
                  <w:vAlign w:val="center"/>
                </w:tcPr>
                <w:p w14:paraId="7A3BC51B">
                  <w:pPr>
                    <w:widowControl/>
                    <w:wordWrap/>
                    <w:spacing w:line="240" w:lineRule="auto"/>
                    <w:ind w:firstLine="0" w:firstLineChars="0"/>
                    <w:jc w:val="center"/>
                    <w:textAlignment w:val="top"/>
                    <w:rPr>
                      <w:rFonts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推进重点行业污染减排。开展钢铁、建材（含独立粉磨站）、有色、火电、焦化、黄磷等重点行业有组织、无组织排放治理情况排查，依法依规处理无证排污、超标排放、旁路偷排、自动监控数据弄虚作假等行为。水泥熟料生产企业综合脱硝率不得低于60%；其他行业在满足排放标准的基础上，鼓励充分挖掘治理设施减排潜力，尽量削减污染物排放。</w:t>
                  </w:r>
                </w:p>
              </w:tc>
              <w:tc>
                <w:tcPr>
                  <w:tcW w:w="1631" w:type="pct"/>
                  <w:noWrap w:val="0"/>
                  <w:tcMar>
                    <w:top w:w="15" w:type="dxa"/>
                    <w:left w:w="15" w:type="dxa"/>
                    <w:right w:w="15" w:type="dxa"/>
                  </w:tcMar>
                  <w:vAlign w:val="center"/>
                </w:tcPr>
                <w:p w14:paraId="7BDF655A">
                  <w:pPr>
                    <w:widowControl/>
                    <w:wordWrap/>
                    <w:spacing w:line="240" w:lineRule="auto"/>
                    <w:ind w:firstLine="0" w:firstLineChars="0"/>
                    <w:jc w:val="center"/>
                    <w:textAlignment w:val="top"/>
                    <w:rPr>
                      <w:rFonts w:hint="eastAsia" w:eastAsia="宋体" w:cs="Times New Roman"/>
                      <w:color w:val="000000" w:themeColor="text1"/>
                      <w:sz w:val="21"/>
                      <w:highlight w:val="none"/>
                      <w:lang w:val="en-US" w:eastAsia="zh-CN"/>
                      <w14:textFill>
                        <w14:solidFill>
                          <w14:schemeClr w14:val="tx1"/>
                        </w14:solidFill>
                      </w14:textFill>
                    </w:rPr>
                  </w:pPr>
                  <w:r>
                    <w:rPr>
                      <w:rFonts w:hint="eastAsia" w:eastAsia="宋体" w:cs="Times New Roman"/>
                      <w:color w:val="000000" w:themeColor="text1"/>
                      <w:sz w:val="21"/>
                      <w:highlight w:val="none"/>
                      <w:lang w:val="en-US" w:eastAsia="zh-CN"/>
                      <w14:textFill>
                        <w14:solidFill>
                          <w14:schemeClr w14:val="tx1"/>
                        </w14:solidFill>
                      </w14:textFill>
                    </w:rPr>
                    <w:t>①</w:t>
                  </w:r>
                  <w:r>
                    <w:rPr>
                      <w:rFonts w:hint="eastAsia" w:cs="Times New Roman"/>
                      <w:color w:val="000000" w:themeColor="text1"/>
                      <w:spacing w:val="-3"/>
                      <w:sz w:val="21"/>
                      <w:szCs w:val="21"/>
                      <w:lang w:val="en-US" w:eastAsia="zh-CN"/>
                      <w14:textFill>
                        <w14:solidFill>
                          <w14:schemeClr w14:val="tx1"/>
                        </w14:solidFill>
                      </w14:textFill>
                    </w:rPr>
                    <w:t>原料制备工段破碎、筛分各设置1个集气罩（收集效率不低于60%）收集，粉磨废气设置管道收集，进入1套脉冲袋式除尘器（处理效率不低于90%）处理后设置1根高15m的排气筒（DA002）排放</w:t>
                  </w:r>
                  <w:r>
                    <w:rPr>
                      <w:rFonts w:hint="eastAsia" w:cs="Times New Roman"/>
                      <w:color w:val="000000" w:themeColor="text1"/>
                      <w:sz w:val="21"/>
                      <w:szCs w:val="21"/>
                      <w:highlight w:val="none"/>
                      <w:lang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炉窑废气通过烟气收集管道收集后设置1套“高温脉冲袋式除尘+脱硫塔（石灰石石膏法）”处理后，由1根15m高的排气筒（</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DA00</w:t>
                  </w:r>
                  <w:r>
                    <w:rPr>
                      <w:rFonts w:hint="eastAsia" w:cs="Times New Roman"/>
                      <w:color w:val="000000" w:themeColor="text1"/>
                      <w:sz w:val="21"/>
                      <w:szCs w:val="21"/>
                      <w:lang w:val="en-US" w:eastAsia="zh-CN"/>
                      <w14:textFill>
                        <w14:solidFill>
                          <w14:schemeClr w14:val="tx1"/>
                        </w14:solidFill>
                      </w14:textFill>
                    </w:rPr>
                    <w:t>1</w:t>
                  </w:r>
                  <w:r>
                    <w:rPr>
                      <w:rFonts w:hint="eastAsia"/>
                      <w:color w:val="000000" w:themeColor="text1"/>
                      <w:sz w:val="21"/>
                      <w:szCs w:val="21"/>
                      <w:lang w:val="en-US" w:eastAsia="zh-CN"/>
                      <w14:textFill>
                        <w14:solidFill>
                          <w14:schemeClr w14:val="tx1"/>
                        </w14:solidFill>
                      </w14:textFill>
                    </w:rPr>
                    <w:t>）排放</w:t>
                  </w:r>
                  <w:r>
                    <w:rPr>
                      <w:rFonts w:hint="eastAsia" w:eastAsia="宋体" w:cs="Times New Roman"/>
                      <w:color w:val="000000" w:themeColor="text1"/>
                      <w:sz w:val="21"/>
                      <w:highlight w:val="none"/>
                      <w:lang w:val="en-US" w:eastAsia="zh-CN"/>
                      <w14:textFill>
                        <w14:solidFill>
                          <w14:schemeClr w14:val="tx1"/>
                        </w14:solidFill>
                      </w14:textFill>
                    </w:rPr>
                    <w:t>。</w:t>
                  </w:r>
                </w:p>
                <w:p w14:paraId="19FD67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highlight w:val="none"/>
                      <w:lang w:val="en-US" w:eastAsia="zh-CN"/>
                      <w14:textFill>
                        <w14:solidFill>
                          <w14:schemeClr w14:val="tx1"/>
                        </w14:solidFill>
                      </w14:textFill>
                    </w:rPr>
                    <w:t>②</w:t>
                  </w:r>
                  <w:r>
                    <w:rPr>
                      <w:rFonts w:hint="eastAsia" w:eastAsia="宋体"/>
                      <w:color w:val="000000" w:themeColor="text1"/>
                      <w:szCs w:val="21"/>
                      <w:highlight w:val="none"/>
                      <w:vertAlign w:val="baseline"/>
                      <w:lang w:val="en-US" w:eastAsia="zh-CN"/>
                      <w14:textFill>
                        <w14:solidFill>
                          <w14:schemeClr w14:val="tx1"/>
                        </w14:solidFill>
                      </w14:textFill>
                    </w:rPr>
                    <w:t>产生的无组织废气通过</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原料贮存库设置严密围挡+顶棚喷雾降尘；</w:t>
                  </w:r>
                  <w:r>
                    <w:rPr>
                      <w:rFonts w:hint="eastAsia" w:eastAsia="宋体" w:cs="Times New Roman"/>
                      <w:color w:val="000000" w:themeColor="text1"/>
                      <w:sz w:val="21"/>
                      <w:highlight w:val="none"/>
                      <w:lang w:val="en-US" w:eastAsia="zh-CN"/>
                      <w14:textFill>
                        <w14:solidFill>
                          <w14:schemeClr w14:val="tx1"/>
                        </w14:solidFill>
                      </w14:textFill>
                    </w:rPr>
                    <w:t>定期洒水降尘等措施。</w:t>
                  </w:r>
                </w:p>
              </w:tc>
              <w:tc>
                <w:tcPr>
                  <w:tcW w:w="472" w:type="pct"/>
                  <w:noWrap w:val="0"/>
                  <w:tcMar>
                    <w:top w:w="15" w:type="dxa"/>
                    <w:left w:w="15" w:type="dxa"/>
                    <w:right w:w="15" w:type="dxa"/>
                  </w:tcMar>
                  <w:vAlign w:val="center"/>
                </w:tcPr>
                <w:p w14:paraId="5A574318">
                  <w:pPr>
                    <w:wordWrap/>
                    <w:spacing w:line="240" w:lineRule="auto"/>
                    <w:ind w:firstLine="0" w:firstLineChars="0"/>
                    <w:jc w:val="center"/>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符合</w:t>
                  </w:r>
                </w:p>
              </w:tc>
            </w:tr>
            <w:tr w14:paraId="625BF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0" w:hRule="atLeast"/>
                <w:jc w:val="center"/>
              </w:trPr>
              <w:tc>
                <w:tcPr>
                  <w:tcW w:w="357" w:type="pct"/>
                  <w:noWrap/>
                  <w:tcMar>
                    <w:top w:w="15" w:type="dxa"/>
                    <w:left w:w="15" w:type="dxa"/>
                    <w:right w:w="15" w:type="dxa"/>
                  </w:tcMar>
                  <w:vAlign w:val="center"/>
                </w:tcPr>
                <w:p w14:paraId="7D340E1E">
                  <w:pPr>
                    <w:wordWrap/>
                    <w:spacing w:line="240" w:lineRule="auto"/>
                    <w:ind w:firstLine="0" w:firstLineChars="0"/>
                    <w:jc w:val="center"/>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4</w:t>
                  </w:r>
                </w:p>
              </w:tc>
              <w:tc>
                <w:tcPr>
                  <w:tcW w:w="2538" w:type="pct"/>
                  <w:noWrap w:val="0"/>
                  <w:tcMar>
                    <w:top w:w="15" w:type="dxa"/>
                    <w:left w:w="15" w:type="dxa"/>
                    <w:right w:w="15" w:type="dxa"/>
                  </w:tcMar>
                  <w:vAlign w:val="center"/>
                </w:tcPr>
                <w:p w14:paraId="5FFD1C88">
                  <w:pPr>
                    <w:widowControl/>
                    <w:wordWrap/>
                    <w:spacing w:line="240" w:lineRule="auto"/>
                    <w:ind w:firstLine="0" w:firstLineChars="0"/>
                    <w:jc w:val="center"/>
                    <w:textAlignment w:val="top"/>
                    <w:rPr>
                      <w:rFonts w:hint="eastAsia" w:eastAsia="宋体"/>
                      <w:color w:val="000000" w:themeColor="text1"/>
                      <w:sz w:val="21"/>
                      <w:szCs w:val="21"/>
                      <w:lang w:eastAsia="zh-CN"/>
                      <w14:textFill>
                        <w14:solidFill>
                          <w14:schemeClr w14:val="tx1"/>
                        </w14:solidFill>
                      </w14:textFill>
                    </w:rPr>
                  </w:pPr>
                  <w:r>
                    <w:rPr>
                      <w:rFonts w:hint="eastAsia" w:eastAsia="宋体"/>
                      <w:color w:val="000000" w:themeColor="text1"/>
                      <w:sz w:val="21"/>
                      <w:szCs w:val="21"/>
                      <w14:textFill>
                        <w14:solidFill>
                          <w14:schemeClr w14:val="tx1"/>
                        </w14:solidFill>
                      </w14:textFill>
                    </w:rPr>
                    <w:t>在建建筑工地停止开展土石方开挖、建筑拆除等扬尘较大工序施工作业（应急抢险、救灾以及已全面落实“六个百分之百”的在建建筑工地除外）</w:t>
                  </w:r>
                  <w:r>
                    <w:rPr>
                      <w:rFonts w:hint="eastAsia" w:eastAsia="宋体"/>
                      <w:color w:val="000000" w:themeColor="text1"/>
                      <w:sz w:val="21"/>
                      <w:szCs w:val="21"/>
                      <w:lang w:eastAsia="zh-CN"/>
                      <w14:textFill>
                        <w14:solidFill>
                          <w14:schemeClr w14:val="tx1"/>
                        </w14:solidFill>
                      </w14:textFill>
                    </w:rPr>
                    <w:t>。</w:t>
                  </w:r>
                </w:p>
              </w:tc>
              <w:tc>
                <w:tcPr>
                  <w:tcW w:w="1631" w:type="pct"/>
                  <w:noWrap w:val="0"/>
                  <w:tcMar>
                    <w:top w:w="15" w:type="dxa"/>
                    <w:left w:w="15" w:type="dxa"/>
                    <w:right w:w="15" w:type="dxa"/>
                  </w:tcMar>
                  <w:vAlign w:val="center"/>
                </w:tcPr>
                <w:p w14:paraId="6F8FD0B5">
                  <w:pPr>
                    <w:widowControl/>
                    <w:wordWrap/>
                    <w:spacing w:line="240" w:lineRule="auto"/>
                    <w:ind w:firstLine="0" w:firstLineChars="0"/>
                    <w:jc w:val="center"/>
                    <w:textAlignment w:val="top"/>
                    <w:rPr>
                      <w:rFonts w:hint="eastAsia"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项目施工期严格</w:t>
                  </w:r>
                  <w:r>
                    <w:rPr>
                      <w:rFonts w:hint="eastAsia" w:eastAsia="宋体"/>
                      <w:color w:val="000000" w:themeColor="text1"/>
                      <w:sz w:val="21"/>
                      <w:szCs w:val="21"/>
                      <w14:textFill>
                        <w14:solidFill>
                          <w14:schemeClr w14:val="tx1"/>
                        </w14:solidFill>
                      </w14:textFill>
                    </w:rPr>
                    <w:t>落实施工工地“六个百分之百”工作要求</w:t>
                  </w:r>
                  <w:r>
                    <w:rPr>
                      <w:rFonts w:hint="eastAsia" w:eastAsia="宋体"/>
                      <w:color w:val="000000" w:themeColor="text1"/>
                      <w:sz w:val="21"/>
                      <w:szCs w:val="21"/>
                      <w:lang w:eastAsia="zh-CN"/>
                      <w14:textFill>
                        <w14:solidFill>
                          <w14:schemeClr w14:val="tx1"/>
                        </w14:solidFill>
                      </w14:textFill>
                    </w:rPr>
                    <w:t>。</w:t>
                  </w:r>
                </w:p>
              </w:tc>
              <w:tc>
                <w:tcPr>
                  <w:tcW w:w="472" w:type="pct"/>
                  <w:noWrap w:val="0"/>
                  <w:tcMar>
                    <w:top w:w="15" w:type="dxa"/>
                    <w:left w:w="15" w:type="dxa"/>
                    <w:right w:w="15" w:type="dxa"/>
                  </w:tcMar>
                  <w:vAlign w:val="center"/>
                </w:tcPr>
                <w:p w14:paraId="77F2DD48">
                  <w:pPr>
                    <w:wordWrap/>
                    <w:spacing w:line="240" w:lineRule="auto"/>
                    <w:ind w:firstLine="0" w:firstLineChars="0"/>
                    <w:jc w:val="center"/>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符合</w:t>
                  </w:r>
                </w:p>
              </w:tc>
            </w:tr>
          </w:tbl>
          <w:p w14:paraId="5A075C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综上所述，本项目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符合</w:t>
            </w:r>
            <w:r>
              <w:rPr>
                <w:rFonts w:hint="eastAsia" w:ascii="Times New Roman" w:hAnsi="Times New Roman" w:eastAsia="宋体" w:cs="Times New Roman"/>
                <w:color w:val="000000" w:themeColor="text1"/>
                <w:sz w:val="24"/>
                <w:szCs w:val="24"/>
                <w14:textFill>
                  <w14:solidFill>
                    <w14:schemeClr w14:val="tx1"/>
                  </w14:solidFill>
                </w14:textFill>
              </w:rPr>
              <w:t>《曲靖市环境空气质量整体提升工作方案》的通知（曲政办发〔2023〕59号）</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相关要求。</w:t>
            </w:r>
          </w:p>
          <w:p w14:paraId="1D8C04F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val="0"/>
                <w:color w:val="000000" w:themeColor="text1"/>
                <w:sz w:val="24"/>
                <w:szCs w:val="24"/>
                <w14:textFill>
                  <w14:solidFill>
                    <w14:schemeClr w14:val="tx1"/>
                  </w14:solidFill>
                </w14:textFill>
              </w:rPr>
            </w:pPr>
            <w:r>
              <w:rPr>
                <w:rFonts w:hint="eastAsia" w:cs="Times New Roman"/>
                <w:b/>
                <w:bCs w:val="0"/>
                <w:color w:val="000000" w:themeColor="text1"/>
                <w:sz w:val="24"/>
                <w:szCs w:val="24"/>
                <w:lang w:val="en-US" w:eastAsia="zh-CN"/>
                <w14:textFill>
                  <w14:solidFill>
                    <w14:schemeClr w14:val="tx1"/>
                  </w14:solidFill>
                </w14:textFill>
              </w:rPr>
              <w:t>5</w:t>
            </w: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bCs w:val="0"/>
                <w:color w:val="000000" w:themeColor="text1"/>
                <w:sz w:val="24"/>
                <w:szCs w:val="24"/>
                <w14:textFill>
                  <w14:solidFill>
                    <w14:schemeClr w14:val="tx1"/>
                  </w14:solidFill>
                </w14:textFill>
              </w:rPr>
              <w:t>本项目与《工业炉窑大气污染综合治理方案》（环大气〔2019〕56号）符合性分析</w:t>
            </w:r>
          </w:p>
          <w:p w14:paraId="5F2622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根据生态环境部发布的《工业炉窑大气污染综合治理方案》（环大气〔2019〕56号），本项目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与相关</w:t>
            </w:r>
            <w:r>
              <w:rPr>
                <w:rFonts w:hint="default" w:ascii="Times New Roman" w:hAnsi="Times New Roman" w:eastAsia="宋体" w:cs="Times New Roman"/>
                <w:color w:val="000000" w:themeColor="text1"/>
                <w:sz w:val="24"/>
                <w:szCs w:val="24"/>
                <w14:textFill>
                  <w14:solidFill>
                    <w14:schemeClr w14:val="tx1"/>
                  </w14:solidFill>
                </w14:textFill>
              </w:rPr>
              <w:t>条款</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的</w:t>
            </w:r>
            <w:r>
              <w:rPr>
                <w:rFonts w:hint="default" w:ascii="Times New Roman" w:hAnsi="Times New Roman" w:eastAsia="宋体" w:cs="Times New Roman"/>
                <w:color w:val="000000" w:themeColor="text1"/>
                <w:sz w:val="24"/>
                <w:szCs w:val="24"/>
                <w14:textFill>
                  <w14:solidFill>
                    <w14:schemeClr w14:val="tx1"/>
                  </w14:solidFill>
                </w14:textFill>
              </w:rPr>
              <w:t>符合性分析</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如下表所示</w:t>
            </w:r>
            <w:r>
              <w:rPr>
                <w:rFonts w:hint="default" w:ascii="Times New Roman" w:hAnsi="Times New Roman" w:eastAsia="宋体" w:cs="Times New Roman"/>
                <w:color w:val="000000" w:themeColor="text1"/>
                <w:sz w:val="24"/>
                <w:szCs w:val="24"/>
                <w14:textFill>
                  <w14:solidFill>
                    <w14:schemeClr w14:val="tx1"/>
                  </w14:solidFill>
                </w14:textFill>
              </w:rPr>
              <w:t>：</w:t>
            </w:r>
          </w:p>
          <w:p w14:paraId="4DBACCAE">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表1-6  《工业炉窑大气污染综合治理方案》符合性分析一览表</w:t>
            </w:r>
          </w:p>
          <w:tbl>
            <w:tblPr>
              <w:tblStyle w:val="29"/>
              <w:tblW w:w="7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0"/>
              <w:gridCol w:w="3120"/>
              <w:gridCol w:w="850"/>
            </w:tblGrid>
            <w:tr w14:paraId="5DEF3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48" w:type="dxa"/>
                  <w:noWrap w:val="0"/>
                  <w:vAlign w:val="center"/>
                </w:tcPr>
                <w:p w14:paraId="5B047E2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sz w:val="21"/>
                      <w:szCs w:val="21"/>
                      <w:lang w:val="en-US" w:eastAsia="zh-CN"/>
                      <w14:textFill>
                        <w14:solidFill>
                          <w14:schemeClr w14:val="tx1"/>
                        </w14:solidFill>
                      </w14:textFill>
                    </w:rPr>
                    <w:t>治理方案相关要求</w:t>
                  </w:r>
                </w:p>
              </w:tc>
              <w:tc>
                <w:tcPr>
                  <w:tcW w:w="3072" w:type="dxa"/>
                  <w:noWrap w:val="0"/>
                  <w:vAlign w:val="center"/>
                </w:tcPr>
                <w:p w14:paraId="0223D33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b/>
                      <w:bCs/>
                      <w:color w:val="000000" w:themeColor="text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本项目情况</w:t>
                  </w:r>
                </w:p>
              </w:tc>
              <w:tc>
                <w:tcPr>
                  <w:tcW w:w="837" w:type="dxa"/>
                  <w:noWrap w:val="0"/>
                  <w:vAlign w:val="center"/>
                </w:tcPr>
                <w:p w14:paraId="74529562">
                  <w:pPr>
                    <w:jc w:val="center"/>
                    <w:rPr>
                      <w:b/>
                      <w:bCs/>
                      <w:color w:val="000000" w:themeColor="text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符合性</w:t>
                  </w:r>
                </w:p>
              </w:tc>
            </w:tr>
            <w:tr w14:paraId="67E6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48" w:type="dxa"/>
                  <w:noWrap w:val="0"/>
                  <w:vAlign w:val="center"/>
                </w:tcPr>
                <w:p w14:paraId="79DA9FF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000000" w:themeColor="text1"/>
                      <w14:textFill>
                        <w14:solidFill>
                          <w14:schemeClr w14:val="tx1"/>
                        </w14:solidFill>
                      </w14:textFill>
                    </w:rPr>
                  </w:pPr>
                  <w:r>
                    <w:rPr>
                      <w:rStyle w:val="31"/>
                      <w:rFonts w:hint="eastAsia" w:ascii="Times New Roman" w:hAnsi="Times New Roman" w:cs="Times New Roman"/>
                      <w:b w:val="0"/>
                      <w:bCs w:val="0"/>
                      <w:color w:val="000000" w:themeColor="text1"/>
                      <w:sz w:val="21"/>
                      <w:szCs w:val="21"/>
                      <w14:textFill>
                        <w14:solidFill>
                          <w14:schemeClr w14:val="tx1"/>
                        </w14:solidFill>
                      </w14:textFill>
                    </w:rPr>
                    <w:t>加大产业结构调整力度。严格建设项目环境准入。新建涉工业炉窑的建设项目，原则上要入园区，配套建设高效环保治理设施。重点区域严格控制涉工业炉窑建设项目，严禁新增钢铁、焦化、电解铝、铸造、水泥和平板玻璃等产能；严格执行钢铁、水泥、平板玻璃等行业产能置换实施办法；原则上禁止新建燃料类煤气发生炉（园区现有企业统一建设的清洁煤制气中心除外）。</w:t>
                  </w:r>
                </w:p>
              </w:tc>
              <w:tc>
                <w:tcPr>
                  <w:tcW w:w="3072" w:type="dxa"/>
                  <w:noWrap w:val="0"/>
                  <w:vAlign w:val="center"/>
                </w:tcPr>
                <w:p w14:paraId="277A061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①本项目为改扩建项目，本次在原址进行改扩建，不属于新建，项目配套建设</w:t>
                  </w:r>
                  <w:r>
                    <w:rPr>
                      <w:rFonts w:hint="eastAsia"/>
                      <w:color w:val="000000" w:themeColor="text1"/>
                      <w:sz w:val="21"/>
                      <w:szCs w:val="21"/>
                      <w:lang w:val="en-US" w:eastAsia="zh-CN"/>
                      <w14:textFill>
                        <w14:solidFill>
                          <w14:schemeClr w14:val="tx1"/>
                        </w14:solidFill>
                      </w14:textFill>
                    </w:rPr>
                    <w:t>“高温脉冲袋式除尘+脱硫塔（石灰石石膏法）”</w:t>
                  </w:r>
                  <w:r>
                    <w:rPr>
                      <w:rFonts w:hint="eastAsia"/>
                      <w:color w:val="000000" w:themeColor="text1"/>
                      <w:szCs w:val="21"/>
                      <w:highlight w:val="none"/>
                      <w:lang w:val="en-US" w:eastAsia="zh-CN"/>
                      <w14:textFill>
                        <w14:solidFill>
                          <w14:schemeClr w14:val="tx1"/>
                        </w14:solidFill>
                      </w14:textFill>
                    </w:rPr>
                    <w:t>高效除尘脱硫治理设施。</w:t>
                  </w:r>
                </w:p>
                <w:p w14:paraId="5B74885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②项目所在地不属于重点区域。</w:t>
                  </w:r>
                </w:p>
                <w:p w14:paraId="058F329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③项目不属于</w:t>
                  </w:r>
                  <w:r>
                    <w:rPr>
                      <w:rStyle w:val="31"/>
                      <w:rFonts w:hint="eastAsia" w:ascii="Times New Roman" w:hAnsi="Times New Roman" w:cs="Times New Roman"/>
                      <w:b w:val="0"/>
                      <w:bCs w:val="0"/>
                      <w:color w:val="000000" w:themeColor="text1"/>
                      <w:sz w:val="21"/>
                      <w:szCs w:val="21"/>
                      <w14:textFill>
                        <w14:solidFill>
                          <w14:schemeClr w14:val="tx1"/>
                        </w14:solidFill>
                      </w14:textFill>
                    </w:rPr>
                    <w:t>钢铁、水泥、平板玻璃等行业</w:t>
                  </w:r>
                  <w:r>
                    <w:rPr>
                      <w:rStyle w:val="31"/>
                      <w:rFonts w:hint="eastAsia" w:cs="Times New Roman"/>
                      <w:b w:val="0"/>
                      <w:bCs w:val="0"/>
                      <w:color w:val="000000" w:themeColor="text1"/>
                      <w:sz w:val="21"/>
                      <w:szCs w:val="21"/>
                      <w:lang w:eastAsia="zh-CN"/>
                      <w14:textFill>
                        <w14:solidFill>
                          <w14:schemeClr w14:val="tx1"/>
                        </w14:solidFill>
                      </w14:textFill>
                    </w:rPr>
                    <w:t>。</w:t>
                  </w:r>
                </w:p>
                <w:p w14:paraId="2D5702D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④项目不涉及</w:t>
                  </w:r>
                  <w:r>
                    <w:rPr>
                      <w:rStyle w:val="31"/>
                      <w:rFonts w:hint="eastAsia" w:ascii="Times New Roman" w:hAnsi="Times New Roman" w:cs="Times New Roman"/>
                      <w:b w:val="0"/>
                      <w:bCs w:val="0"/>
                      <w:color w:val="000000" w:themeColor="text1"/>
                      <w:sz w:val="21"/>
                      <w:szCs w:val="21"/>
                      <w14:textFill>
                        <w14:solidFill>
                          <w14:schemeClr w14:val="tx1"/>
                        </w14:solidFill>
                      </w14:textFill>
                    </w:rPr>
                    <w:t>燃料类煤气</w:t>
                  </w:r>
                  <w:r>
                    <w:rPr>
                      <w:rStyle w:val="31"/>
                      <w:rFonts w:hint="eastAsia" w:ascii="Times New Roman" w:hAnsi="Times New Roman" w:cs="Times New Roman"/>
                      <w:b w:val="0"/>
                      <w:bCs w:val="0"/>
                      <w:color w:val="000000" w:themeColor="text1"/>
                      <w:sz w:val="21"/>
                      <w:szCs w:val="21"/>
                      <w:lang w:val="en-US" w:eastAsia="zh-CN"/>
                      <w14:textFill>
                        <w14:solidFill>
                          <w14:schemeClr w14:val="tx1"/>
                        </w14:solidFill>
                      </w14:textFill>
                    </w:rPr>
                    <w:t>发生炉。</w:t>
                  </w:r>
                </w:p>
              </w:tc>
              <w:tc>
                <w:tcPr>
                  <w:tcW w:w="837" w:type="dxa"/>
                  <w:noWrap w:val="0"/>
                  <w:vAlign w:val="center"/>
                </w:tcPr>
                <w:p w14:paraId="092E1C26">
                  <w:pPr>
                    <w:jc w:val="center"/>
                    <w:rPr>
                      <w:color w:val="000000" w:themeColor="text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符合</w:t>
                  </w:r>
                </w:p>
              </w:tc>
            </w:tr>
            <w:tr w14:paraId="33A5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48" w:type="dxa"/>
                  <w:noWrap w:val="0"/>
                  <w:vAlign w:val="center"/>
                </w:tcPr>
                <w:p w14:paraId="22959A7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000000" w:themeColor="text1"/>
                      <w14:textFill>
                        <w14:solidFill>
                          <w14:schemeClr w14:val="tx1"/>
                        </w14:solidFill>
                      </w14:textFill>
                    </w:rPr>
                  </w:pPr>
                  <w:r>
                    <w:rPr>
                      <w:rStyle w:val="31"/>
                      <w:rFonts w:hint="eastAsia" w:ascii="Times New Roman" w:hAnsi="Times New Roman" w:cs="Times New Roman"/>
                      <w:b w:val="0"/>
                      <w:bCs w:val="0"/>
                      <w:color w:val="000000" w:themeColor="text1"/>
                      <w:sz w:val="21"/>
                      <w:szCs w:val="21"/>
                      <w14:textFill>
                        <w14:solidFill>
                          <w14:schemeClr w14:val="tx1"/>
                        </w14:solidFill>
                      </w14:textFill>
                    </w:rPr>
                    <w:t>加大落后产能和不达标工业炉窑淘汰力度。分行业清理《产业结构调整指导目录》淘汰类工业炉窑。</w:t>
                  </w:r>
                </w:p>
              </w:tc>
              <w:tc>
                <w:tcPr>
                  <w:tcW w:w="3072" w:type="dxa"/>
                  <w:noWrap w:val="0"/>
                  <w:vAlign w:val="center"/>
                </w:tcPr>
                <w:p w14:paraId="02DF0B1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14:textFill>
                        <w14:solidFill>
                          <w14:schemeClr w14:val="tx1"/>
                        </w14:solidFill>
                      </w14:textFill>
                    </w:rPr>
                  </w:pPr>
                  <w:r>
                    <w:rPr>
                      <w:rFonts w:hint="eastAsia"/>
                      <w:color w:val="000000" w:themeColor="text1"/>
                      <w:szCs w:val="21"/>
                      <w:lang w:val="en-US" w:eastAsia="zh-CN"/>
                      <w14:textFill>
                        <w14:solidFill>
                          <w14:schemeClr w14:val="tx1"/>
                        </w14:solidFill>
                      </w14:textFill>
                    </w:rPr>
                    <w:t>①项目不属于《云南省人民政府办公厅关于推动落后和低端低效产能退出的实施意见》（云政办发〔2022〕17号）中的落后低效产能。</w:t>
                  </w:r>
                </w:p>
                <w:p w14:paraId="2E2EE5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color w:val="000000" w:themeColor="text1"/>
                      <w14:textFill>
                        <w14:solidFill>
                          <w14:schemeClr w14:val="tx1"/>
                        </w14:solidFill>
                      </w14:textFill>
                    </w:rPr>
                    <w:t>②</w:t>
                  </w:r>
                  <w:r>
                    <w:rPr>
                      <w:rFonts w:hint="eastAsia"/>
                      <w:b w:val="0"/>
                      <w:bCs w:val="0"/>
                      <w:color w:val="000000" w:themeColor="text1"/>
                      <w:sz w:val="21"/>
                      <w:szCs w:val="21"/>
                      <w:vertAlign w:val="baseline"/>
                      <w:lang w:val="en-US" w:eastAsia="zh-CN"/>
                      <w14:textFill>
                        <w14:solidFill>
                          <w14:schemeClr w14:val="tx1"/>
                        </w14:solidFill>
                      </w14:textFill>
                    </w:rPr>
                    <w:t>本项目系曲靖市第六批市级非物质文化遗产项目、罗平县第四批非物质文化遗产项目中传统技艺，其生产工艺设施仿古窑为非物质文化遗产的核心技艺和关键技术，其建设场所属于非物质文化遗产表现的场所，均为非物质文化遗产组成部分。根据《中华人民共和国非物质文化遗产法》，非物质文化遗产应予以保护，则组成非物质文化遗产部分的生产设施、表现场所应予以保护。</w:t>
                  </w:r>
                </w:p>
                <w:p w14:paraId="5A667BF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000000" w:themeColor="text1"/>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本项目使用的仿古窑设备虽属于“落后生产工艺装备”，但依据《中华人民共和国非物质文化遗产法》及国家传统工艺振兴政策，对传统技艺中“落后生产工艺装备”无明确淘汰要求。</w:t>
                  </w:r>
                </w:p>
              </w:tc>
              <w:tc>
                <w:tcPr>
                  <w:tcW w:w="837" w:type="dxa"/>
                  <w:noWrap w:val="0"/>
                  <w:vAlign w:val="center"/>
                </w:tcPr>
                <w:p w14:paraId="24D1BCA7">
                  <w:pPr>
                    <w:jc w:val="center"/>
                    <w:rPr>
                      <w:rFonts w:hint="eastAsia" w:eastAsia="宋体"/>
                      <w:color w:val="000000" w:themeColor="text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不冲突</w:t>
                  </w:r>
                </w:p>
              </w:tc>
            </w:tr>
            <w:tr w14:paraId="2F867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48" w:type="dxa"/>
                  <w:noWrap w:val="0"/>
                  <w:vAlign w:val="center"/>
                </w:tcPr>
                <w:p w14:paraId="217A8E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000000" w:themeColor="text1"/>
                      <w14:textFill>
                        <w14:solidFill>
                          <w14:schemeClr w14:val="tx1"/>
                        </w14:solidFill>
                      </w14:textFill>
                    </w:rPr>
                  </w:pPr>
                  <w:r>
                    <w:rPr>
                      <w:rStyle w:val="31"/>
                      <w:rFonts w:hint="eastAsia" w:ascii="Times New Roman" w:hAnsi="Times New Roman" w:cs="Times New Roman"/>
                      <w:b w:val="0"/>
                      <w:bCs w:val="0"/>
                      <w:color w:val="000000" w:themeColor="text1"/>
                      <w:sz w:val="21"/>
                      <w:szCs w:val="21"/>
                      <w14:textFill>
                        <w14:solidFill>
                          <w14:schemeClr w14:val="tx1"/>
                        </w14:solidFill>
                      </w14:textFill>
                    </w:rPr>
                    <w:t>实施污染深度治理。推进工业炉窑全面达标排放。已有行业排放标准的工业炉窑（见附件 3），严格执行行业排放标准相关规定，配套建设高效脱硫脱硝除尘设施（见附件 4），确保稳定达标排放。</w:t>
                  </w:r>
                </w:p>
              </w:tc>
              <w:tc>
                <w:tcPr>
                  <w:tcW w:w="3072" w:type="dxa"/>
                  <w:noWrap w:val="0"/>
                  <w:vAlign w:val="center"/>
                </w:tcPr>
                <w:p w14:paraId="2E4FCB4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①</w:t>
                  </w:r>
                  <w:r>
                    <w:rPr>
                      <w:rFonts w:hint="eastAsia" w:ascii="Times New Roman" w:hAnsi="Times New Roman" w:cs="Times New Roman"/>
                      <w:color w:val="000000" w:themeColor="text1"/>
                      <w:sz w:val="21"/>
                      <w:szCs w:val="21"/>
                      <w:lang w:val="en-US" w:eastAsia="zh-CN"/>
                      <w14:textFill>
                        <w14:solidFill>
                          <w14:schemeClr w14:val="tx1"/>
                        </w14:solidFill>
                      </w14:textFill>
                    </w:rPr>
                    <w:t>项目炉窑烟气执行《砖瓦工业大气污染物排放标准》（GB29620-2013）及修改单</w:t>
                  </w:r>
                </w:p>
                <w:p w14:paraId="153C784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②</w:t>
                  </w:r>
                  <w:r>
                    <w:rPr>
                      <w:rFonts w:hint="eastAsia"/>
                      <w:color w:val="000000" w:themeColor="text1"/>
                      <w:szCs w:val="21"/>
                      <w:highlight w:val="none"/>
                      <w:lang w:val="en-US" w:eastAsia="zh-CN"/>
                      <w14:textFill>
                        <w14:solidFill>
                          <w14:schemeClr w14:val="tx1"/>
                        </w14:solidFill>
                      </w14:textFill>
                    </w:rPr>
                    <w:t>项目配套建设</w:t>
                  </w:r>
                  <w:r>
                    <w:rPr>
                      <w:rFonts w:hint="eastAsia"/>
                      <w:color w:val="000000" w:themeColor="text1"/>
                      <w:sz w:val="21"/>
                      <w:szCs w:val="21"/>
                      <w:lang w:val="en-US" w:eastAsia="zh-CN"/>
                      <w14:textFill>
                        <w14:solidFill>
                          <w14:schemeClr w14:val="tx1"/>
                        </w14:solidFill>
                      </w14:textFill>
                    </w:rPr>
                    <w:t>“高温脉冲袋式除尘+脱硫塔（石灰石石膏法）”</w:t>
                  </w:r>
                  <w:r>
                    <w:rPr>
                      <w:rFonts w:hint="eastAsia"/>
                      <w:color w:val="000000" w:themeColor="text1"/>
                      <w:szCs w:val="21"/>
                      <w:highlight w:val="none"/>
                      <w:lang w:val="en-US" w:eastAsia="zh-CN"/>
                      <w14:textFill>
                        <w14:solidFill>
                          <w14:schemeClr w14:val="tx1"/>
                        </w14:solidFill>
                      </w14:textFill>
                    </w:rPr>
                    <w:t>高效除尘脱硫治理设施，排放的污染物能够达标排放</w:t>
                  </w: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837" w:type="dxa"/>
                  <w:noWrap w:val="0"/>
                  <w:vAlign w:val="center"/>
                </w:tcPr>
                <w:p w14:paraId="4B9C5273">
                  <w:pPr>
                    <w:jc w:val="center"/>
                    <w:rPr>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符合</w:t>
                  </w:r>
                </w:p>
              </w:tc>
            </w:tr>
            <w:tr w14:paraId="5E07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48" w:type="dxa"/>
                  <w:noWrap w:val="0"/>
                  <w:vAlign w:val="center"/>
                </w:tcPr>
                <w:p w14:paraId="4C77D5D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000000" w:themeColor="text1"/>
                      <w14:textFill>
                        <w14:solidFill>
                          <w14:schemeClr w14:val="tx1"/>
                        </w14:solidFill>
                      </w14:textFill>
                    </w:rPr>
                  </w:pPr>
                  <w:r>
                    <w:rPr>
                      <w:rStyle w:val="31"/>
                      <w:rFonts w:hint="eastAsia" w:ascii="Times New Roman" w:hAnsi="Times New Roman" w:cs="Times New Roman"/>
                      <w:b w:val="0"/>
                      <w:bCs w:val="0"/>
                      <w:color w:val="000000" w:themeColor="text1"/>
                      <w:sz w:val="21"/>
                      <w:szCs w:val="21"/>
                      <w14:textFill>
                        <w14:solidFill>
                          <w14:schemeClr w14:val="tx1"/>
                        </w14:solidFill>
                      </w14:textFill>
                    </w:rPr>
                    <w:t>全面加强无组织排放管理。严格控制工业炉窑生产工艺过程及相关物料储存、输送等无组织排放，在保障生产安全的前提下，采取密闭、封闭等有效措施（见附件 5），有效提高废气收集率，产尘点及车间不得有可见烟粉尘外逸。生产工艺产尘点（装置）应采取密闭、封闭或设置集气罩等措施。煤粉、粉煤灰、石灰、除尘灰、脱硫灰等粉状物料应密闭或封闭储存，采用密闭皮带、封闭通廊、管状带式输送机或密闭车厢、真空罐车、气力输送等方式输送。粒状、块状物料应采用入棚入仓或建设防风抑尘网等方式进行储存，粒状物料采用密闭、封闭等方式输送。物料输送过程中产尘点应采取有效抑尘措施。</w:t>
                  </w:r>
                </w:p>
              </w:tc>
              <w:tc>
                <w:tcPr>
                  <w:tcW w:w="3072" w:type="dxa"/>
                  <w:noWrap w:val="0"/>
                  <w:vAlign w:val="center"/>
                </w:tcPr>
                <w:p w14:paraId="41C6969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①</w:t>
                  </w:r>
                  <w:r>
                    <w:rPr>
                      <w:rFonts w:eastAsia="宋体" w:cs="Times New Roman"/>
                      <w:color w:val="000000" w:themeColor="text1"/>
                      <w:sz w:val="21"/>
                      <w14:textFill>
                        <w14:solidFill>
                          <w14:schemeClr w14:val="tx1"/>
                        </w14:solidFill>
                      </w14:textFill>
                    </w:rPr>
                    <w:t>原料均堆放在</w:t>
                  </w:r>
                  <w:r>
                    <w:rPr>
                      <w:rFonts w:hint="eastAsia" w:eastAsia="宋体" w:cs="Times New Roman"/>
                      <w:color w:val="000000" w:themeColor="text1"/>
                      <w:sz w:val="21"/>
                      <w:lang w:val="en-US" w:eastAsia="zh-CN"/>
                      <w14:textFill>
                        <w14:solidFill>
                          <w14:schemeClr w14:val="tx1"/>
                        </w14:solidFill>
                      </w14:textFill>
                    </w:rPr>
                    <w:t>原料贮存库中，贮存库设置了</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严密围挡+顶棚喷雾降尘</w:t>
                  </w:r>
                  <w:r>
                    <w:rPr>
                      <w:rFonts w:hint="eastAsia" w:eastAsia="宋体" w:cs="Times New Roman"/>
                      <w:color w:val="000000" w:themeColor="text1"/>
                      <w:sz w:val="21"/>
                      <w:lang w:val="en-US" w:eastAsia="zh-CN"/>
                      <w14:textFill>
                        <w14:solidFill>
                          <w14:schemeClr w14:val="tx1"/>
                        </w14:solidFill>
                      </w14:textFill>
                    </w:rPr>
                    <w:t>装置</w:t>
                  </w:r>
                  <w:r>
                    <w:rPr>
                      <w:rFonts w:eastAsia="宋体" w:cs="Times New Roman"/>
                      <w:color w:val="000000" w:themeColor="text1"/>
                      <w:sz w:val="21"/>
                      <w14:textFill>
                        <w14:solidFill>
                          <w14:schemeClr w14:val="tx1"/>
                        </w14:solidFill>
                      </w14:textFill>
                    </w:rPr>
                    <w:t>。</w:t>
                  </w:r>
                </w:p>
                <w:p w14:paraId="0F5A26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highlight w:val="none"/>
                      <w14:textFill>
                        <w14:solidFill>
                          <w14:schemeClr w14:val="tx1"/>
                        </w14:solidFill>
                      </w14:textFill>
                    </w:rPr>
                  </w:pPr>
                  <w:r>
                    <w:rPr>
                      <w:rFonts w:hint="eastAsia" w:eastAsia="宋体" w:cs="Times New Roman"/>
                      <w:color w:val="000000" w:themeColor="text1"/>
                      <w:sz w:val="21"/>
                      <w:highlight w:val="none"/>
                      <w:lang w:val="en-US" w:eastAsia="zh-CN"/>
                      <w14:textFill>
                        <w14:solidFill>
                          <w14:schemeClr w14:val="tx1"/>
                        </w14:solidFill>
                      </w14:textFill>
                    </w:rPr>
                    <w:t>②</w:t>
                  </w:r>
                  <w:r>
                    <w:rPr>
                      <w:rFonts w:hint="eastAsia" w:cs="Times New Roman"/>
                      <w:color w:val="000000" w:themeColor="text1"/>
                      <w:spacing w:val="-3"/>
                      <w:sz w:val="21"/>
                      <w:szCs w:val="21"/>
                      <w:lang w:val="en-US" w:eastAsia="zh-CN"/>
                      <w14:textFill>
                        <w14:solidFill>
                          <w14:schemeClr w14:val="tx1"/>
                        </w14:solidFill>
                      </w14:textFill>
                    </w:rPr>
                    <w:t>原料制备工段破碎、筛分各设置1个集气罩（收集效率不低于60%）收集，粉磨废气设置管道收集，进入1套脉冲袋式除尘器（处理效率不低于90%）处理后设置1根高15m的排气筒（DA002）排放</w:t>
                  </w:r>
                  <w:r>
                    <w:rPr>
                      <w:rFonts w:hint="eastAsia" w:eastAsia="宋体" w:cs="Times New Roman"/>
                      <w:color w:val="000000" w:themeColor="text1"/>
                      <w:sz w:val="21"/>
                      <w:highlight w:val="none"/>
                      <w:lang w:val="en-US" w:eastAsia="zh-CN"/>
                      <w14:textFill>
                        <w14:solidFill>
                          <w14:schemeClr w14:val="tx1"/>
                        </w14:solidFill>
                      </w14:textFill>
                    </w:rPr>
                    <w:t>。</w:t>
                  </w:r>
                </w:p>
                <w:p w14:paraId="006440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③</w:t>
                  </w:r>
                  <w:r>
                    <w:rPr>
                      <w:rFonts w:hint="eastAsia"/>
                      <w:color w:val="000000" w:themeColor="text1"/>
                      <w:lang w:val="en-US" w:eastAsia="zh-CN"/>
                      <w14:textFill>
                        <w14:solidFill>
                          <w14:schemeClr w14:val="tx1"/>
                        </w14:solidFill>
                      </w14:textFill>
                    </w:rPr>
                    <w:t>项目物料输送为皮带输送，但物料为湿料，不会产生无组织粉尘。</w:t>
                  </w:r>
                </w:p>
              </w:tc>
              <w:tc>
                <w:tcPr>
                  <w:tcW w:w="837" w:type="dxa"/>
                  <w:noWrap w:val="0"/>
                  <w:vAlign w:val="center"/>
                </w:tcPr>
                <w:p w14:paraId="0C3FCE22">
                  <w:pPr>
                    <w:jc w:val="center"/>
                    <w:rPr>
                      <w:color w:val="000000" w:themeColor="text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符合</w:t>
                  </w:r>
                </w:p>
              </w:tc>
            </w:tr>
            <w:tr w14:paraId="0603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48" w:type="dxa"/>
                  <w:noWrap w:val="0"/>
                  <w:vAlign w:val="center"/>
                </w:tcPr>
                <w:p w14:paraId="426586E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000000" w:themeColor="text1"/>
                      <w:highlight w:val="none"/>
                      <w14:textFill>
                        <w14:solidFill>
                          <w14:schemeClr w14:val="tx1"/>
                        </w14:solidFill>
                      </w14:textFill>
                    </w:rPr>
                  </w:pPr>
                  <w:r>
                    <w:rPr>
                      <w:rStyle w:val="31"/>
                      <w:rFonts w:hint="eastAsia" w:ascii="Times New Roman" w:hAnsi="Times New Roman" w:cs="Times New Roman"/>
                      <w:b w:val="0"/>
                      <w:bCs w:val="0"/>
                      <w:color w:val="000000" w:themeColor="text1"/>
                      <w:sz w:val="21"/>
                      <w:szCs w:val="21"/>
                      <w:highlight w:val="none"/>
                      <w14:textFill>
                        <w14:solidFill>
                          <w14:schemeClr w14:val="tx1"/>
                        </w14:solidFill>
                      </w14:textFill>
                    </w:rPr>
                    <w:t>建立健全监测监控体系。加强重点污染源自动监控体系建设。排气口高度超过 45 米的高架源，纳入重点排污单位名录，督促企业安装烟气排放自动监控设施。</w:t>
                  </w:r>
                </w:p>
              </w:tc>
              <w:tc>
                <w:tcPr>
                  <w:tcW w:w="3072" w:type="dxa"/>
                  <w:vMerge w:val="restart"/>
                  <w:noWrap w:val="0"/>
                  <w:vAlign w:val="center"/>
                </w:tcPr>
                <w:p w14:paraId="5A7C66D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根据《固定污染源排污许可分类管理名录（2019年版）》，项目排污许可为简化管理，不需要安装自动监控设施</w:t>
                  </w:r>
                  <w:r>
                    <w:rPr>
                      <w:rStyle w:val="31"/>
                      <w:rFonts w:hint="eastAsia" w:ascii="Times New Roman" w:hAnsi="Times New Roman" w:cs="Times New Roman"/>
                      <w:b w:val="0"/>
                      <w:bCs w:val="0"/>
                      <w:color w:val="000000" w:themeColor="text1"/>
                      <w:sz w:val="21"/>
                      <w:szCs w:val="21"/>
                      <w:highlight w:val="none"/>
                      <w14:textFill>
                        <w14:solidFill>
                          <w14:schemeClr w14:val="tx1"/>
                        </w14:solidFill>
                      </w14:textFill>
                    </w:rPr>
                    <w:t>。</w:t>
                  </w:r>
                </w:p>
              </w:tc>
              <w:tc>
                <w:tcPr>
                  <w:tcW w:w="837" w:type="dxa"/>
                  <w:noWrap w:val="0"/>
                  <w:vAlign w:val="center"/>
                </w:tcPr>
                <w:p w14:paraId="4D6C5534">
                  <w:pPr>
                    <w:jc w:val="center"/>
                    <w:rPr>
                      <w:color w:val="000000" w:themeColor="text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符合</w:t>
                  </w:r>
                </w:p>
              </w:tc>
            </w:tr>
            <w:tr w14:paraId="1E1E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48" w:type="dxa"/>
                  <w:noWrap w:val="0"/>
                  <w:vAlign w:val="center"/>
                </w:tcPr>
                <w:p w14:paraId="62A2456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Style w:val="31"/>
                      <w:rFonts w:hint="eastAsia" w:ascii="Times New Roman" w:hAnsi="Times New Roman" w:cs="Times New Roman"/>
                      <w:b w:val="0"/>
                      <w:bCs w:val="0"/>
                      <w:color w:val="000000" w:themeColor="text1"/>
                      <w:sz w:val="21"/>
                      <w:szCs w:val="21"/>
                      <w14:textFill>
                        <w14:solidFill>
                          <w14:schemeClr w14:val="tx1"/>
                        </w14:solidFill>
                      </w14:textFill>
                    </w:rPr>
                  </w:pPr>
                  <w:r>
                    <w:rPr>
                      <w:rStyle w:val="31"/>
                      <w:rFonts w:hint="eastAsia" w:ascii="Times New Roman" w:hAnsi="Times New Roman" w:cs="Times New Roman"/>
                      <w:b w:val="0"/>
                      <w:bCs w:val="0"/>
                      <w:color w:val="000000" w:themeColor="text1"/>
                      <w:sz w:val="21"/>
                      <w:szCs w:val="21"/>
                      <w14:textFill>
                        <w14:solidFill>
                          <w14:schemeClr w14:val="tx1"/>
                        </w14:solidFill>
                      </w14:textFill>
                    </w:rPr>
                    <w:t>强化监测数据质量控制。自动监控设施应与生态环境主管部门联网。加强自动监控设施运营维护，数据传输有效率达到 90%。企业在正常生产以及限产、停产、检修等非正常工况下，均应保证自动监控设施正常运行并联网传输数据。各地对出现数据缺失、长时间掉线等异常情况，要及时进行核实和调查处理。</w:t>
                  </w:r>
                </w:p>
              </w:tc>
              <w:tc>
                <w:tcPr>
                  <w:tcW w:w="3072" w:type="dxa"/>
                  <w:vMerge w:val="continue"/>
                  <w:noWrap w:val="0"/>
                  <w:vAlign w:val="center"/>
                </w:tcPr>
                <w:p w14:paraId="1F3EEAE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cs="Times New Roman"/>
                      <w:color w:val="000000" w:themeColor="text1"/>
                      <w:sz w:val="21"/>
                      <w:szCs w:val="21"/>
                      <w14:textFill>
                        <w14:solidFill>
                          <w14:schemeClr w14:val="tx1"/>
                        </w14:solidFill>
                      </w14:textFill>
                    </w:rPr>
                  </w:pPr>
                </w:p>
              </w:tc>
              <w:tc>
                <w:tcPr>
                  <w:tcW w:w="837" w:type="dxa"/>
                  <w:noWrap w:val="0"/>
                  <w:vAlign w:val="center"/>
                </w:tcPr>
                <w:p w14:paraId="61E092A3">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符合</w:t>
                  </w:r>
                </w:p>
              </w:tc>
            </w:tr>
            <w:tr w14:paraId="35D9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48" w:type="dxa"/>
                  <w:noWrap w:val="0"/>
                  <w:vAlign w:val="center"/>
                </w:tcPr>
                <w:p w14:paraId="12D8602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000000" w:themeColor="text1"/>
                      <w14:textFill>
                        <w14:solidFill>
                          <w14:schemeClr w14:val="tx1"/>
                        </w14:solidFill>
                      </w14:textFill>
                    </w:rPr>
                  </w:pPr>
                  <w:r>
                    <w:rPr>
                      <w:rStyle w:val="31"/>
                      <w:rFonts w:ascii="Times New Roman" w:hAnsi="Times New Roman" w:cs="Times New Roman"/>
                      <w:b w:val="0"/>
                      <w:bCs w:val="0"/>
                      <w:color w:val="000000" w:themeColor="text1"/>
                      <w:sz w:val="21"/>
                      <w:szCs w:val="21"/>
                      <w14:textFill>
                        <w14:solidFill>
                          <w14:schemeClr w14:val="tx1"/>
                        </w14:solidFill>
                      </w14:textFill>
                    </w:rPr>
                    <w:t>新建、改建工业炉窑原则上应进入工业园区，并通过集中布局、统一配套、统筹治污等方式加强污染防治、提升环境管理水平。</w:t>
                  </w:r>
                </w:p>
              </w:tc>
              <w:tc>
                <w:tcPr>
                  <w:tcW w:w="3072" w:type="dxa"/>
                  <w:noWrap w:val="0"/>
                  <w:vAlign w:val="center"/>
                </w:tcPr>
                <w:p w14:paraId="570F57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本项目系曲靖市第六批市级非物质文化遗产项目、罗平县第四批非物质文化遗产项目中传统技艺，其建设场所属于非物质文化遗产表现的场所，均为非物质文化遗产组成部分。根据《中华人民共和国非物质文化遗产法》，非物质文化遗产应予以保护，则组成非物质文化遗产部分的表现场所应予以保护。</w:t>
                  </w:r>
                </w:p>
                <w:p w14:paraId="49A9593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000000" w:themeColor="text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本项目虽为高污染项目且未建设在合规园区内，但</w:t>
                  </w:r>
                  <w:r>
                    <w:rPr>
                      <w:rFonts w:hint="eastAsia" w:ascii="宋体" w:hAnsi="宋体" w:eastAsia="宋体" w:cs="宋体"/>
                      <w:color w:val="000000" w:themeColor="text1"/>
                      <w:sz w:val="21"/>
                      <w:szCs w:val="21"/>
                      <w:lang w:val="en-US" w:eastAsia="zh-CN"/>
                      <w14:textFill>
                        <w14:solidFill>
                          <w14:schemeClr w14:val="tx1"/>
                        </w14:solidFill>
                      </w14:textFill>
                    </w:rPr>
                    <w:t>依据《</w:t>
                  </w:r>
                  <w:r>
                    <w:rPr>
                      <w:rFonts w:hint="eastAsia" w:ascii="宋体" w:hAnsi="宋体" w:cs="宋体"/>
                      <w:color w:val="000000" w:themeColor="text1"/>
                      <w:sz w:val="21"/>
                      <w:szCs w:val="21"/>
                      <w:lang w:val="en-US" w:eastAsia="zh-CN"/>
                      <w14:textFill>
                        <w14:solidFill>
                          <w14:schemeClr w14:val="tx1"/>
                        </w14:solidFill>
                      </w14:textFill>
                    </w:rPr>
                    <w:t>中华人民共和国非物质文化遗产法</w:t>
                  </w:r>
                  <w:r>
                    <w:rPr>
                      <w:rFonts w:hint="eastAsia" w:ascii="宋体" w:hAnsi="宋体" w:eastAsia="宋体" w:cs="宋体"/>
                      <w:color w:val="000000" w:themeColor="text1"/>
                      <w:sz w:val="21"/>
                      <w:szCs w:val="21"/>
                      <w:lang w:val="en-US" w:eastAsia="zh-CN"/>
                      <w14:textFill>
                        <w14:solidFill>
                          <w14:schemeClr w14:val="tx1"/>
                        </w14:solidFill>
                      </w14:textFill>
                    </w:rPr>
                    <w:t>》及国家传统工艺振兴政策，</w:t>
                  </w:r>
                  <w:r>
                    <w:rPr>
                      <w:rFonts w:hint="eastAsia" w:ascii="宋体" w:hAnsi="宋体" w:cs="宋体"/>
                      <w:color w:val="000000" w:themeColor="text1"/>
                      <w:sz w:val="21"/>
                      <w:szCs w:val="21"/>
                      <w:lang w:val="en-US" w:eastAsia="zh-CN"/>
                      <w14:textFill>
                        <w14:solidFill>
                          <w14:schemeClr w14:val="tx1"/>
                        </w14:solidFill>
                      </w14:textFill>
                    </w:rPr>
                    <w:t>对非物质文化遗产建设场所无明确要求须建设于合规园区内。</w:t>
                  </w:r>
                </w:p>
              </w:tc>
              <w:tc>
                <w:tcPr>
                  <w:tcW w:w="837" w:type="dxa"/>
                  <w:noWrap w:val="0"/>
                  <w:vAlign w:val="center"/>
                </w:tcPr>
                <w:p w14:paraId="2898FA22">
                  <w:pPr>
                    <w:jc w:val="center"/>
                    <w:rPr>
                      <w:rFonts w:hint="eastAsia" w:eastAsia="宋体"/>
                      <w:color w:val="000000" w:themeColor="text1"/>
                      <w:lang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不冲突</w:t>
                  </w:r>
                </w:p>
              </w:tc>
            </w:tr>
          </w:tbl>
          <w:p w14:paraId="778475C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b w:val="0"/>
                <w:bCs w:val="0"/>
                <w:color w:val="000000" w:themeColor="text1"/>
                <w:sz w:val="24"/>
                <w:lang w:val="en-US" w:eastAsia="zh-CN"/>
                <w14:textFill>
                  <w14:solidFill>
                    <w14:schemeClr w14:val="tx1"/>
                  </w14:solidFill>
                </w14:textFill>
              </w:rPr>
              <w:t>本项目为非物质文化遗产项目传统技艺，根据《中华人民共和国非物质文化遗产法》，国家对非物质文化遗产予以保护，</w:t>
            </w:r>
            <w:r>
              <w:rPr>
                <w:rFonts w:hint="eastAsia" w:ascii="宋体" w:hAnsi="宋体" w:eastAsia="宋体" w:cs="宋体"/>
                <w:color w:val="000000" w:themeColor="text1"/>
                <w:sz w:val="24"/>
                <w:szCs w:val="24"/>
                <w:lang w:val="en-US" w:eastAsia="zh-CN"/>
                <w14:textFill>
                  <w14:solidFill>
                    <w14:schemeClr w14:val="tx1"/>
                  </w14:solidFill>
                </w14:textFill>
              </w:rPr>
              <w:t>其生产工艺装备仿古窑为非物质文化遗产的核心技艺和关键技术，其建设场所属于非物质文化遗产表现的场所，均为非物质文化遗产组成部分，应予以保护</w:t>
            </w:r>
            <w:r>
              <w:rPr>
                <w:rFonts w:hint="eastAsia" w:ascii="宋体" w:hAnsi="宋体" w:cs="宋体"/>
                <w:color w:val="000000" w:themeColor="text1"/>
                <w:sz w:val="24"/>
                <w:szCs w:val="24"/>
                <w:lang w:val="en-US"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另依据《</w:t>
            </w:r>
            <w:r>
              <w:rPr>
                <w:rFonts w:hint="eastAsia" w:ascii="宋体" w:hAnsi="宋体" w:cs="宋体"/>
                <w:color w:val="000000" w:themeColor="text1"/>
                <w:sz w:val="24"/>
                <w:szCs w:val="24"/>
                <w:lang w:val="en-US" w:eastAsia="zh-CN"/>
                <w14:textFill>
                  <w14:solidFill>
                    <w14:schemeClr w14:val="tx1"/>
                  </w14:solidFill>
                </w14:textFill>
              </w:rPr>
              <w:t>中华人民共和国非物质文化遗产法</w:t>
            </w:r>
            <w:r>
              <w:rPr>
                <w:rFonts w:hint="eastAsia" w:ascii="宋体" w:hAnsi="宋体" w:eastAsia="宋体" w:cs="宋体"/>
                <w:color w:val="000000" w:themeColor="text1"/>
                <w:sz w:val="24"/>
                <w:szCs w:val="24"/>
                <w:lang w:val="en-US" w:eastAsia="zh-CN"/>
                <w14:textFill>
                  <w14:solidFill>
                    <w14:schemeClr w14:val="tx1"/>
                  </w14:solidFill>
                </w14:textFill>
              </w:rPr>
              <w:t>》及国家传统工艺振兴政策，</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对传统工艺中</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落后生产工艺装备</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无明确淘汰要求</w:t>
            </w:r>
            <w:r>
              <w:rPr>
                <w:rFonts w:hint="eastAsia" w:cs="Times New Roman"/>
                <w:color w:val="000000" w:themeColor="text1"/>
                <w:sz w:val="24"/>
                <w:szCs w:val="24"/>
                <w:lang w:val="en-US" w:eastAsia="zh-CN"/>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对非物质文化遗产建设场所无明确要求须建设于合规园区内</w:t>
            </w:r>
            <w:r>
              <w:rPr>
                <w:rFonts w:hint="eastAsia" w:cs="Times New Roman"/>
                <w:color w:val="000000" w:themeColor="text1"/>
                <w:sz w:val="24"/>
                <w:szCs w:val="24"/>
                <w:lang w:val="en-US" w:eastAsia="zh-CN"/>
                <w14:textFill>
                  <w14:solidFill>
                    <w14:schemeClr w14:val="tx1"/>
                  </w14:solidFill>
                </w14:textFill>
              </w:rPr>
              <w:t>。</w:t>
            </w:r>
            <w:r>
              <w:rPr>
                <w:rFonts w:hint="eastAsia"/>
                <w:snapToGrid w:val="0"/>
                <w:color w:val="000000" w:themeColor="text1"/>
                <w:kern w:val="0"/>
                <w:sz w:val="24"/>
                <w:lang w:val="en-US" w:eastAsia="zh-CN"/>
                <w14:textFill>
                  <w14:solidFill>
                    <w14:schemeClr w14:val="tx1"/>
                  </w14:solidFill>
                </w14:textFill>
              </w:rPr>
              <w:t>本次对传统工艺主要污染工艺污染防治设施进行了改进，符合上表生态环境保护要求，因此，</w:t>
            </w:r>
            <w:r>
              <w:rPr>
                <w:rFonts w:hint="eastAsia" w:cs="Times New Roman"/>
                <w:b w:val="0"/>
                <w:bCs w:val="0"/>
                <w:color w:val="000000" w:themeColor="text1"/>
                <w:sz w:val="24"/>
                <w:szCs w:val="24"/>
                <w:lang w:val="en-US" w:eastAsia="zh-CN"/>
                <w14:textFill>
                  <w14:solidFill>
                    <w14:schemeClr w14:val="tx1"/>
                  </w14:solidFill>
                </w14:textFill>
              </w:rPr>
              <w:t>项目与《工业炉窑大气污染综合治理方案》（环大气〔2019〕56号）相关要求不冲突。</w:t>
            </w:r>
          </w:p>
          <w:p w14:paraId="16757A2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6</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与《云南省自然资源厅关于进一步做好城镇开发边界管理的通知（试行）》（云自然资〔2024〕104号）的符合性分析</w:t>
            </w:r>
          </w:p>
          <w:p w14:paraId="68D6ED7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根据《云南省自然资源厅关于进一步做好城镇开发边界管理的通知（试行）》（云自然资〔2024〕104号），城镇开发边界外不得进行城镇集中建设，不得规划建设各类开发区和产业园区，不得规划城镇居住用地。在落实最严格的耕地保护、节约用地和生态环境保护制度的前提下，结合城乡融合、区域一体化发展和旅游开发、边境地区建设等合理需要，在城镇开发边界外可规划布局有特定选址要求的零星城镇建设用地，零星城镇建设用地规模不得超过新增城镇建设用地规模的10%，并相应调减城镇开发边界内规划新增城镇建设用地规模。</w:t>
            </w:r>
          </w:p>
          <w:p w14:paraId="00CD01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以下类型允许纳入零星城镇建设用地：有邻避要求确需零星布局的危化品仓储（含民爆仓库和油库，不含炸药库）、储备库（不含粮食储备库）、搅拌站、垃圾受纳/消纳场（飞灰处理厂）等用地；有特定选址要求确需零星布局的半山酒店、旅游配套设施、加油加气充电站等用地；具有联络作用的城市（镇）道路、交通场站（站前广场）等用地；为化解历史遗留问题，在城镇开发边界划定成果正式启用前已建成的教育、医疗卫生、社会福利等公共管理与公共服务用地。</w:t>
            </w:r>
          </w:p>
          <w:p w14:paraId="1C846B6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根据云南省国土空间规划</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一张图</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信息系统查询结果</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，项目位于城镇开发边界外，项目不属于开发区、产业园区建设项目，亦不属于通知中规定的</w:t>
            </w:r>
            <w:r>
              <w:rPr>
                <w:rFonts w:hint="eastAsia" w:cs="Times New Roman"/>
                <w:b w:val="0"/>
                <w:bCs w:val="0"/>
                <w:color w:val="000000" w:themeColor="text1"/>
                <w:sz w:val="24"/>
                <w:szCs w:val="24"/>
                <w:lang w:val="en-US" w:eastAsia="zh-CN"/>
                <w14:textFill>
                  <w14:solidFill>
                    <w14:schemeClr w14:val="tx1"/>
                  </w14:solidFill>
                </w14:textFill>
              </w:rPr>
              <w:t>城镇开发边界外可规划布局有特定选址要求的零星城镇建设用地项目。但项目系曲靖市第六批市级非物质文化遗产项目、罗平县第四批非物质文化遗产项目中传统技艺，根据《中华人民共和国非物质文化遗产法》，非物质文化遗产应予以保护，且项目为改扩建项目，在原有项目占地范围内进行改建，不新增占地。</w:t>
            </w:r>
          </w:p>
          <w:p w14:paraId="1CDB167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8、</w:t>
            </w:r>
            <w:r>
              <w:rPr>
                <w:rFonts w:hint="default" w:ascii="Times New Roman" w:hAnsi="Times New Roman" w:eastAsia="宋体" w:cs="Times New Roman"/>
                <w:b/>
                <w:bCs/>
                <w:color w:val="000000" w:themeColor="text1"/>
                <w:sz w:val="24"/>
                <w:szCs w:val="24"/>
                <w14:textFill>
                  <w14:solidFill>
                    <w14:schemeClr w14:val="tx1"/>
                  </w14:solidFill>
                </w14:textFill>
              </w:rPr>
              <w:t>项目与阿岗水库及饮用水源保护区的</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位置关系及影响分析</w:t>
            </w:r>
          </w:p>
          <w:p w14:paraId="7054528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阿岗水库位于罗平县阿岗镇境内，属于</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九龙河干流。开发任务为以城乡生活供水、工业供水、农业灌溉为主，兼顾改善九龙瀑布景观用水条件、发电等综合利用。属于地方重要饮用水水源地，阿岗水库于2016年完成环评批复并依法设立饮用水源保护区。</w:t>
            </w:r>
          </w:p>
          <w:p w14:paraId="4A016B8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根据阿岗水库保护区范围图叠图分析，项目不涉及阿岗水库一级、二级及准保护区范围，距离准保护区陆域范围约10km。项目位于阿岗水库流域范围内，且位于流域上游。根据区域水文地质条件和现场调查，地下水主要接受大气降雨补给，其地形总体上项目区（东北）高，阿岗水库（西南）低，地下水的径流排泄方向与地形大体一致，从项目区径流，向阿岗水库排水。</w:t>
            </w:r>
          </w:p>
          <w:p w14:paraId="5D28DCC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本次在现有项目厂址改扩建，不新增占地。项目区建设完善的雨污分流排水系统，雨水经雨水沟汇集后排入周边沟渠，初期雨水设置初期雨水收集池收集沉淀后全部回用于项目洒水降尘用水及搅拌用水。生活区生活污水设置化粪池处理后定期清掏用作农肥。生产过程中原料搅拌用水随产品带走；炉窑降温冷却水高温蒸发；</w:t>
            </w:r>
            <w:r>
              <w:rPr>
                <w:rFonts w:hint="eastAsia"/>
                <w:color w:val="000000" w:themeColor="text1"/>
                <w:sz w:val="24"/>
                <w:lang w:val="en-US" w:eastAsia="zh-CN"/>
                <w14:textFill>
                  <w14:solidFill>
                    <w14:schemeClr w14:val="tx1"/>
                  </w14:solidFill>
                </w14:textFill>
              </w:rPr>
              <w:t>脱硫塔废水设置</w:t>
            </w:r>
            <w:r>
              <w:rPr>
                <w:rFonts w:hint="eastAsia"/>
                <w:color w:val="000000" w:themeColor="text1"/>
                <w:sz w:val="24"/>
                <w14:textFill>
                  <w14:solidFill>
                    <w14:schemeClr w14:val="tx1"/>
                  </w14:solidFill>
                </w14:textFill>
              </w:rPr>
              <w:t>1个容积为80m</w:t>
            </w:r>
            <w:r>
              <w:rPr>
                <w:rFonts w:hint="eastAsia"/>
                <w:color w:val="000000" w:themeColor="text1"/>
                <w:sz w:val="24"/>
                <w:vertAlign w:val="superscript"/>
                <w14:textFill>
                  <w14:solidFill>
                    <w14:schemeClr w14:val="tx1"/>
                  </w14:solidFill>
                </w14:textFill>
              </w:rPr>
              <w:t>3</w:t>
            </w:r>
            <w:r>
              <w:rPr>
                <w:rFonts w:hint="eastAsia"/>
                <w:color w:val="000000" w:themeColor="text1"/>
                <w:sz w:val="24"/>
                <w:lang w:val="en-US" w:eastAsia="zh-CN"/>
                <w14:textFill>
                  <w14:solidFill>
                    <w14:schemeClr w14:val="tx1"/>
                  </w14:solidFill>
                </w14:textFill>
              </w:rPr>
              <w:t>的循环沉淀池中和絮凝</w:t>
            </w:r>
            <w:r>
              <w:rPr>
                <w:rFonts w:hint="eastAsia"/>
                <w:color w:val="000000" w:themeColor="text1"/>
                <w:sz w:val="24"/>
                <w14:textFill>
                  <w14:solidFill>
                    <w14:schemeClr w14:val="tx1"/>
                  </w14:solidFill>
                </w14:textFill>
              </w:rPr>
              <w:t>沉淀</w:t>
            </w:r>
            <w:r>
              <w:rPr>
                <w:rFonts w:hint="eastAsia"/>
                <w:color w:val="000000" w:themeColor="text1"/>
                <w:sz w:val="24"/>
                <w:lang w:val="en-US" w:eastAsia="zh-CN"/>
                <w14:textFill>
                  <w14:solidFill>
                    <w14:schemeClr w14:val="tx1"/>
                  </w14:solidFill>
                </w14:textFill>
              </w:rPr>
              <w:t>处理</w:t>
            </w:r>
            <w:r>
              <w:rPr>
                <w:rFonts w:hint="eastAsia"/>
                <w:color w:val="000000" w:themeColor="text1"/>
                <w:sz w:val="24"/>
                <w14:textFill>
                  <w14:solidFill>
                    <w14:schemeClr w14:val="tx1"/>
                  </w14:solidFill>
                </w14:textFill>
              </w:rPr>
              <w:t>后全部回用于</w:t>
            </w:r>
            <w:r>
              <w:rPr>
                <w:rFonts w:hint="eastAsia"/>
                <w:color w:val="000000" w:themeColor="text1"/>
                <w:sz w:val="24"/>
                <w:lang w:val="en-US" w:eastAsia="zh-CN"/>
                <w14:textFill>
                  <w14:solidFill>
                    <w14:schemeClr w14:val="tx1"/>
                  </w14:solidFill>
                </w14:textFill>
              </w:rPr>
              <w:t>搅拌用水</w:t>
            </w:r>
            <w:r>
              <w:rPr>
                <w:rFonts w:hint="eastAsia"/>
                <w:color w:val="000000" w:themeColor="text1"/>
                <w:sz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无废水外排，不会对区域地表水产生影响。项目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运行期</w:t>
            </w:r>
            <w:r>
              <w:rPr>
                <w:rFonts w:hint="eastAsia" w:ascii="宋体" w:hAnsi="宋体" w:eastAsia="宋体" w:cs="宋体"/>
                <w:color w:val="000000" w:themeColor="text1"/>
                <w:sz w:val="24"/>
                <w:szCs w:val="24"/>
                <w:lang w:val="en-US" w:eastAsia="zh-CN"/>
                <w14:textFill>
                  <w14:solidFill>
                    <w14:schemeClr w14:val="tx1"/>
                  </w14:solidFill>
                </w14:textFill>
              </w:rPr>
              <w:t>地下水污染途径主要为</w:t>
            </w:r>
            <w:r>
              <w:rPr>
                <w:rFonts w:hint="default" w:ascii="Times New Roman" w:hAnsi="Times New Roman" w:cs="Times New Roman"/>
                <w:color w:val="000000" w:themeColor="text1"/>
                <w:kern w:val="0"/>
                <w:sz w:val="24"/>
                <w:szCs w:val="24"/>
                <w14:textFill>
                  <w14:solidFill>
                    <w14:schemeClr w14:val="tx1"/>
                  </w14:solidFill>
                </w14:textFill>
              </w:rPr>
              <w:t>事故状态</w:t>
            </w:r>
            <w:r>
              <w:rPr>
                <w:rFonts w:hint="default" w:ascii="Times New Roman" w:hAnsi="Times New Roman" w:cs="Times New Roman"/>
                <w:color w:val="000000" w:themeColor="text1"/>
                <w:kern w:val="0"/>
                <w:sz w:val="24"/>
                <w:szCs w:val="24"/>
                <w:highlight w:val="none"/>
                <w14:textFill>
                  <w14:solidFill>
                    <w14:schemeClr w14:val="tx1"/>
                  </w14:solidFill>
                </w14:textFill>
              </w:rPr>
              <w:t>下</w:t>
            </w:r>
            <w:r>
              <w:rPr>
                <w:rFonts w:hint="eastAsia" w:ascii="宋体" w:hAnsi="宋体" w:eastAsia="宋体" w:cs="宋体"/>
                <w:color w:val="000000" w:themeColor="text1"/>
                <w:sz w:val="24"/>
                <w:szCs w:val="24"/>
                <w:lang w:val="en-US" w:eastAsia="zh-CN"/>
                <w14:textFill>
                  <w14:solidFill>
                    <w14:schemeClr w14:val="tx1"/>
                  </w14:solidFill>
                </w14:textFill>
              </w:rPr>
              <w:t>脱</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硫塔</w:t>
            </w:r>
            <w:r>
              <w:rPr>
                <w:rFonts w:hint="eastAsia" w:cs="Times New Roman"/>
                <w:color w:val="000000" w:themeColor="text1"/>
                <w:sz w:val="24"/>
                <w:szCs w:val="24"/>
                <w:lang w:val="en-US" w:eastAsia="zh-CN"/>
                <w14:textFill>
                  <w14:solidFill>
                    <w14:schemeClr w14:val="tx1"/>
                  </w14:solidFill>
                </w14:textFill>
              </w:rPr>
              <w:t>沉淀</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水池</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发生</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泄漏垂直入渗，本次环评提出“分区防渗”措施，</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建设单位</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严格按照《环境影响评价技术导则-地下水环境》（HJ610-2016）</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一般防渗要求进行建设</w:t>
            </w:r>
            <w:r>
              <w:rPr>
                <w:rFonts w:hint="eastAsia" w:cs="Times New Roman"/>
                <w:color w:val="000000" w:themeColor="text1"/>
                <w:sz w:val="24"/>
                <w:szCs w:val="24"/>
                <w:lang w:val="en-US" w:eastAsia="zh-CN"/>
                <w14:textFill>
                  <w14:solidFill>
                    <w14:schemeClr w14:val="tx1"/>
                  </w14:solidFill>
                </w14:textFill>
              </w:rPr>
              <w:t>，在</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厂区采取防渗措施的情况下，项目正常运行过程中做好厂区的污染防渗措施，运行期加强维护和管理情况下，污废水发生渗漏造成地下水污染的可能性较小，项目建设运行对地下水环境的影响是可控的。</w:t>
            </w:r>
          </w:p>
          <w:p w14:paraId="1A54806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80" w:firstLineChars="200"/>
              <w:textAlignment w:val="auto"/>
              <w:rPr>
                <w:rFonts w:hint="default"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综上，项目不涉及阿岗水库一级、二级及准保护区范围，项目无废水外排，改建过程中对脱硫塔循环沉淀池区域做好污染防渗措施，在运行期加强维护和管理情况下，对地下水环境的影响较小，对阿岗水库水环境影响很小。</w:t>
            </w:r>
          </w:p>
          <w:p w14:paraId="56524C3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82" w:firstLineChars="200"/>
              <w:textAlignment w:val="auto"/>
              <w:rPr>
                <w:rFonts w:hint="default"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9、选址合理性分析</w:t>
            </w:r>
          </w:p>
          <w:p w14:paraId="1DA13D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为青瓦制造项目，属于《曲靖市人民政府关于公布第六批市级非物质文化遗产代表性项目名录的通知》（2021-374）和《罗平县人民政府关于公布第四批非物质文化遗产项目及传承人的批复》（罗政复〔2021〕62号）中的非物质文化遗产项目，根据《中华人民共和国非物质文化遗产法》、</w:t>
            </w:r>
            <w:r>
              <w:rPr>
                <w:rFonts w:hint="eastAsia" w:cs="Times New Roman"/>
                <w:color w:val="000000" w:themeColor="text1"/>
                <w:sz w:val="24"/>
                <w:szCs w:val="24"/>
                <w:lang w:val="en-US" w:eastAsia="zh-CN"/>
                <w14:textFill>
                  <w14:solidFill>
                    <w14:schemeClr w14:val="tx1"/>
                  </w14:solidFill>
                </w14:textFill>
              </w:rPr>
              <w:t>中共中央办公厅、国务院办公厅印发</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关于进一步加强非物质文化遗产保护工作的意见》国务院办公厅关于转发文化部等部门中国传统工艺振兴计划的通知（国办发〔2017〕25号）、文旅部等十部委《推动传统工艺高质量传承发展的通知》（文旅非遗发〔2022〕72号），国家对非物质文化遗产予以保护，项目生产工艺装备仿古窑为非物质文化遗产的核心技艺和关键技术，其建设场所属于非物质文化遗产表现的场所，均为非物质文化遗产组成部分，应予以保护。项目在保留传统工艺的同时对主要污染工艺污染防治设施进行了改进，确保项目生产过程中产生的污染物达标排放，符合非物质文化遗产相关政策中关于生态环境保护的要求。</w:t>
            </w:r>
          </w:p>
          <w:p w14:paraId="206904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项目位于罗平县阿岗镇岗德村委会小岗德村，在原有项目占地范围内进行改扩建，不新增占地。根据云南省国土空间规划“一张图”信息系统查询结果（</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详见图1-2、1-3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）及《罗平县自然资源局关于罗平县阿岗镇慧联青瓦厂拟用地是否涉及生态保护红线及地类查询的情况说明》（详见附件15），本项目用地范围不占用永久基本农田及生态保护红线</w:t>
            </w:r>
            <w:r>
              <w:rPr>
                <w:rFonts w:hint="default" w:ascii="Times New Roman" w:hAnsi="Times New Roman" w:eastAsia="宋体" w:cs="Times New Roman"/>
                <w:color w:val="000000" w:themeColor="text1"/>
                <w:sz w:val="24"/>
                <w:szCs w:val="24"/>
                <w14:textFill>
                  <w14:solidFill>
                    <w14:schemeClr w14:val="tx1"/>
                  </w14:solidFill>
                </w14:textFill>
              </w:rPr>
              <w:t>。项目用地范围</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不涉及</w:t>
            </w:r>
            <w:r>
              <w:rPr>
                <w:rFonts w:hint="eastAsia" w:cs="Times New Roman"/>
                <w:color w:val="000000" w:themeColor="text1"/>
                <w:sz w:val="24"/>
                <w:szCs w:val="24"/>
                <w:lang w:val="en-US" w:eastAsia="zh-CN"/>
                <w14:textFill>
                  <w14:solidFill>
                    <w14:schemeClr w14:val="tx1"/>
                  </w14:solidFill>
                </w14:textFill>
              </w:rPr>
              <w:t>依法设立的自然保护区、风景名胜区、集中式饮用水源保护区等环境敏感区，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亦无需要特殊保护的环境目标，不属于生态保护区和其他需要特别保护的区域。项目周边企业只有紧邻项目西面的石材加工厂，与周边企业相容。项目建成运营后，产生的废气通过采取本环评提出的治理措施处理后可达标排放，项目周边500m范围内无大气环境保护目标。</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项目运营期</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无废水外排</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，对周围地表水环境影响较小</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。项目50m范围内无声环境保护目标，运行期</w:t>
            </w:r>
            <w:r>
              <w:rPr>
                <w:rFonts w:hint="default" w:ascii="Times New Roman" w:hAnsi="Times New Roman" w:eastAsia="宋体" w:cs="Times New Roman"/>
                <w:color w:val="000000" w:themeColor="text1"/>
                <w:sz w:val="24"/>
                <w:szCs w:val="24"/>
                <w14:textFill>
                  <w14:solidFill>
                    <w14:schemeClr w14:val="tx1"/>
                  </w14:solidFill>
                </w14:textFill>
              </w:rPr>
              <w:t>噪声经预测厂界能够达标排放</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对保护目标影响较小</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固体废物</w:t>
            </w:r>
            <w:r>
              <w:rPr>
                <w:rFonts w:hint="default" w:ascii="Times New Roman" w:hAnsi="Times New Roman" w:eastAsia="宋体" w:cs="Times New Roman"/>
                <w:color w:val="000000" w:themeColor="text1"/>
                <w:sz w:val="24"/>
                <w:szCs w:val="24"/>
                <w14:textFill>
                  <w14:solidFill>
                    <w14:schemeClr w14:val="tx1"/>
                  </w14:solidFill>
                </w14:textFill>
              </w:rPr>
              <w:t>处置率为100%。本项目生产过程</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中</w:t>
            </w:r>
            <w:r>
              <w:rPr>
                <w:rFonts w:hint="default" w:ascii="Times New Roman" w:hAnsi="Times New Roman" w:eastAsia="宋体" w:cs="Times New Roman"/>
                <w:color w:val="000000" w:themeColor="text1"/>
                <w:sz w:val="24"/>
                <w:szCs w:val="24"/>
                <w14:textFill>
                  <w14:solidFill>
                    <w14:schemeClr w14:val="tx1"/>
                  </w14:solidFill>
                </w14:textFill>
              </w:rPr>
              <w:t>产生的废气、废水、噪声、固废等均采取相关的治理措施，对周围环境的影响较小。</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项目选址环境可行。</w:t>
            </w:r>
          </w:p>
          <w:p w14:paraId="2DF0DB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综上，</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w:t>
            </w:r>
            <w:r>
              <w:rPr>
                <w:rFonts w:hint="default" w:ascii="Times New Roman" w:hAnsi="Times New Roman" w:eastAsia="宋体" w:cs="Times New Roman"/>
                <w:color w:val="000000" w:themeColor="text1"/>
                <w:sz w:val="24"/>
                <w:szCs w:val="24"/>
                <w14:textFill>
                  <w14:solidFill>
                    <w14:schemeClr w14:val="tx1"/>
                  </w14:solidFill>
                </w14:textFill>
              </w:rPr>
              <w:t>从非遗文化传承、污染防控能力及选址区域环境容量等方面综合评估，选址具备环境可行性和政策适应性。项目选址</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合理可行</w:t>
            </w:r>
            <w:r>
              <w:rPr>
                <w:rFonts w:hint="default" w:ascii="Times New Roman" w:hAnsi="Times New Roman" w:eastAsia="宋体" w:cs="Times New Roman"/>
                <w:color w:val="000000" w:themeColor="text1"/>
                <w:sz w:val="24"/>
                <w:szCs w:val="24"/>
                <w14:textFill>
                  <w14:solidFill>
                    <w14:schemeClr w14:val="tx1"/>
                  </w14:solidFill>
                </w14:textFill>
              </w:rPr>
              <w:t>。</w:t>
            </w:r>
          </w:p>
          <w:p w14:paraId="18C7AEF2">
            <w:pPr>
              <w:pStyle w:val="16"/>
              <w:rPr>
                <w:rFonts w:hint="default" w:ascii="Times New Roman" w:hAnsi="Times New Roman" w:eastAsia="宋体" w:cs="Times New Roman"/>
                <w:color w:val="000000" w:themeColor="text1"/>
                <w:sz w:val="24"/>
                <w:szCs w:val="24"/>
                <w14:textFill>
                  <w14:solidFill>
                    <w14:schemeClr w14:val="tx1"/>
                  </w14:solidFill>
                </w14:textFill>
              </w:rPr>
            </w:pPr>
          </w:p>
          <w:p w14:paraId="0511EE8D">
            <w:pPr>
              <w:pStyle w:val="16"/>
              <w:rPr>
                <w:rFonts w:hint="default" w:ascii="Times New Roman" w:hAnsi="Times New Roman" w:eastAsia="宋体" w:cs="Times New Roman"/>
                <w:color w:val="000000" w:themeColor="text1"/>
                <w:sz w:val="24"/>
                <w:szCs w:val="24"/>
                <w14:textFill>
                  <w14:solidFill>
                    <w14:schemeClr w14:val="tx1"/>
                  </w14:solidFill>
                </w14:textFill>
              </w:rPr>
            </w:pPr>
          </w:p>
          <w:p w14:paraId="61EC8960">
            <w:pPr>
              <w:pStyle w:val="16"/>
              <w:rPr>
                <w:rFonts w:hint="default" w:ascii="Times New Roman" w:hAnsi="Times New Roman" w:eastAsia="宋体" w:cs="Times New Roman"/>
                <w:color w:val="000000" w:themeColor="text1"/>
                <w:sz w:val="24"/>
                <w:szCs w:val="24"/>
                <w14:textFill>
                  <w14:solidFill>
                    <w14:schemeClr w14:val="tx1"/>
                  </w14:solidFill>
                </w14:textFill>
              </w:rPr>
            </w:pPr>
          </w:p>
          <w:p w14:paraId="40155D77">
            <w:pPr>
              <w:pStyle w:val="16"/>
              <w:rPr>
                <w:rFonts w:hint="default" w:ascii="Times New Roman" w:hAnsi="Times New Roman" w:eastAsia="宋体" w:cs="Times New Roman"/>
                <w:color w:val="000000" w:themeColor="text1"/>
                <w:sz w:val="24"/>
                <w:szCs w:val="24"/>
                <w14:textFill>
                  <w14:solidFill>
                    <w14:schemeClr w14:val="tx1"/>
                  </w14:solidFill>
                </w14:textFill>
              </w:rPr>
            </w:pPr>
          </w:p>
          <w:p w14:paraId="4F2FF33B">
            <w:pPr>
              <w:pStyle w:val="16"/>
              <w:rPr>
                <w:rFonts w:hint="default" w:ascii="Times New Roman" w:hAnsi="Times New Roman" w:eastAsia="宋体" w:cs="Times New Roman"/>
                <w:color w:val="000000" w:themeColor="text1"/>
                <w:sz w:val="24"/>
                <w:szCs w:val="24"/>
                <w14:textFill>
                  <w14:solidFill>
                    <w14:schemeClr w14:val="tx1"/>
                  </w14:solidFill>
                </w14:textFill>
              </w:rPr>
            </w:pPr>
          </w:p>
          <w:p w14:paraId="327C094B">
            <w:pPr>
              <w:pStyle w:val="16"/>
              <w:rPr>
                <w:rFonts w:hint="default" w:ascii="Times New Roman" w:hAnsi="Times New Roman" w:eastAsia="宋体" w:cs="Times New Roman"/>
                <w:color w:val="000000" w:themeColor="text1"/>
                <w:sz w:val="24"/>
                <w:szCs w:val="24"/>
                <w14:textFill>
                  <w14:solidFill>
                    <w14:schemeClr w14:val="tx1"/>
                  </w14:solidFill>
                </w14:textFill>
              </w:rPr>
            </w:pPr>
          </w:p>
          <w:p w14:paraId="703E7A7F">
            <w:pPr>
              <w:pStyle w:val="16"/>
              <w:rPr>
                <w:rFonts w:hint="default" w:ascii="Times New Roman" w:hAnsi="Times New Roman" w:eastAsia="宋体" w:cs="Times New Roman"/>
                <w:color w:val="000000" w:themeColor="text1"/>
                <w:sz w:val="24"/>
                <w:szCs w:val="24"/>
                <w14:textFill>
                  <w14:solidFill>
                    <w14:schemeClr w14:val="tx1"/>
                  </w14:solidFill>
                </w14:textFill>
              </w:rPr>
            </w:pPr>
          </w:p>
          <w:p w14:paraId="38CA10E0">
            <w:pPr>
              <w:pStyle w:val="16"/>
              <w:rPr>
                <w:rFonts w:hint="default" w:ascii="Times New Roman" w:hAnsi="Times New Roman" w:eastAsia="宋体" w:cs="Times New Roman"/>
                <w:color w:val="000000" w:themeColor="text1"/>
                <w:sz w:val="24"/>
                <w:szCs w:val="24"/>
                <w14:textFill>
                  <w14:solidFill>
                    <w14:schemeClr w14:val="tx1"/>
                  </w14:solidFill>
                </w14:textFill>
              </w:rPr>
            </w:pPr>
          </w:p>
          <w:p w14:paraId="4B523E3B">
            <w:pPr>
              <w:pStyle w:val="16"/>
              <w:rPr>
                <w:rFonts w:hint="default" w:ascii="Times New Roman" w:hAnsi="Times New Roman" w:eastAsia="宋体" w:cs="Times New Roman"/>
                <w:color w:val="000000" w:themeColor="text1"/>
                <w:sz w:val="24"/>
                <w:szCs w:val="24"/>
                <w14:textFill>
                  <w14:solidFill>
                    <w14:schemeClr w14:val="tx1"/>
                  </w14:solidFill>
                </w14:textFill>
              </w:rPr>
            </w:pPr>
          </w:p>
          <w:p w14:paraId="25EB170D">
            <w:pPr>
              <w:pStyle w:val="16"/>
              <w:rPr>
                <w:rFonts w:hint="default" w:ascii="Times New Roman" w:hAnsi="Times New Roman" w:eastAsia="宋体" w:cs="Times New Roman"/>
                <w:color w:val="000000" w:themeColor="text1"/>
                <w:sz w:val="24"/>
                <w:szCs w:val="24"/>
                <w14:textFill>
                  <w14:solidFill>
                    <w14:schemeClr w14:val="tx1"/>
                  </w14:solidFill>
                </w14:textFill>
              </w:rPr>
            </w:pPr>
          </w:p>
          <w:p w14:paraId="6DB9C401">
            <w:pPr>
              <w:pStyle w:val="16"/>
              <w:rPr>
                <w:rFonts w:hint="default" w:ascii="Times New Roman" w:hAnsi="Times New Roman" w:eastAsia="宋体" w:cs="Times New Roman"/>
                <w:color w:val="000000" w:themeColor="text1"/>
                <w:sz w:val="24"/>
                <w:szCs w:val="24"/>
                <w14:textFill>
                  <w14:solidFill>
                    <w14:schemeClr w14:val="tx1"/>
                  </w14:solidFill>
                </w14:textFill>
              </w:rPr>
            </w:pPr>
          </w:p>
          <w:p w14:paraId="0C000232">
            <w:pPr>
              <w:pStyle w:val="16"/>
              <w:rPr>
                <w:rFonts w:hint="default" w:ascii="Times New Roman" w:hAnsi="Times New Roman" w:eastAsia="宋体" w:cs="Times New Roman"/>
                <w:color w:val="000000" w:themeColor="text1"/>
                <w:sz w:val="24"/>
                <w:szCs w:val="24"/>
                <w14:textFill>
                  <w14:solidFill>
                    <w14:schemeClr w14:val="tx1"/>
                  </w14:solidFill>
                </w14:textFill>
              </w:rPr>
            </w:pPr>
          </w:p>
          <w:p w14:paraId="077B086C">
            <w:pPr>
              <w:pStyle w:val="16"/>
              <w:rPr>
                <w:rFonts w:hint="default" w:ascii="Times New Roman" w:hAnsi="Times New Roman" w:eastAsia="宋体" w:cs="Times New Roman"/>
                <w:color w:val="000000" w:themeColor="text1"/>
                <w:sz w:val="24"/>
                <w:szCs w:val="24"/>
                <w14:textFill>
                  <w14:solidFill>
                    <w14:schemeClr w14:val="tx1"/>
                  </w14:solidFill>
                </w14:textFill>
              </w:rPr>
            </w:pPr>
          </w:p>
          <w:p w14:paraId="4792A27C">
            <w:pPr>
              <w:pStyle w:val="16"/>
              <w:rPr>
                <w:rFonts w:hint="default" w:ascii="Times New Roman" w:hAnsi="Times New Roman" w:eastAsia="宋体" w:cs="Times New Roman"/>
                <w:color w:val="000000" w:themeColor="text1"/>
                <w:sz w:val="24"/>
                <w:szCs w:val="24"/>
                <w14:textFill>
                  <w14:solidFill>
                    <w14:schemeClr w14:val="tx1"/>
                  </w14:solidFill>
                </w14:textFill>
              </w:rPr>
            </w:pPr>
          </w:p>
          <w:p w14:paraId="264314BE">
            <w:pPr>
              <w:pStyle w:val="16"/>
              <w:rPr>
                <w:rFonts w:hint="default" w:ascii="Times New Roman" w:hAnsi="Times New Roman" w:eastAsia="宋体" w:cs="Times New Roman"/>
                <w:color w:val="000000" w:themeColor="text1"/>
                <w:sz w:val="24"/>
                <w:szCs w:val="24"/>
                <w14:textFill>
                  <w14:solidFill>
                    <w14:schemeClr w14:val="tx1"/>
                  </w14:solidFill>
                </w14:textFill>
              </w:rPr>
            </w:pPr>
          </w:p>
          <w:p w14:paraId="4257D249">
            <w:pPr>
              <w:pStyle w:val="16"/>
              <w:rPr>
                <w:rFonts w:hint="default" w:ascii="Times New Roman" w:hAnsi="Times New Roman" w:eastAsia="宋体" w:cs="Times New Roman"/>
                <w:color w:val="000000" w:themeColor="text1"/>
                <w:sz w:val="24"/>
                <w:szCs w:val="24"/>
                <w14:textFill>
                  <w14:solidFill>
                    <w14:schemeClr w14:val="tx1"/>
                  </w14:solidFill>
                </w14:textFill>
              </w:rPr>
            </w:pPr>
          </w:p>
          <w:p w14:paraId="4117FA48">
            <w:pPr>
              <w:pStyle w:val="16"/>
              <w:ind w:left="0" w:leftChars="0" w:firstLine="0" w:firstLineChars="0"/>
              <w:rPr>
                <w:rFonts w:hint="default" w:ascii="Times New Roman" w:hAnsi="Times New Roman" w:eastAsia="宋体" w:cs="Times New Roman"/>
                <w:color w:val="000000" w:themeColor="text1"/>
                <w:sz w:val="24"/>
                <w:szCs w:val="24"/>
                <w14:textFill>
                  <w14:solidFill>
                    <w14:schemeClr w14:val="tx1"/>
                  </w14:solidFill>
                </w14:textFill>
              </w:rPr>
            </w:pPr>
          </w:p>
        </w:tc>
      </w:tr>
    </w:tbl>
    <w:p w14:paraId="24A29F47">
      <w:pPr>
        <w:spacing w:line="360" w:lineRule="auto"/>
        <w:outlineLvl w:val="9"/>
        <w:rPr>
          <w:rFonts w:eastAsia="黑体"/>
          <w:color w:val="000000" w:themeColor="text1"/>
          <w:sz w:val="30"/>
          <w14:textFill>
            <w14:solidFill>
              <w14:schemeClr w14:val="tx1"/>
            </w14:solidFill>
          </w14:textFill>
        </w:rPr>
        <w:sectPr>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4EA8EE05">
      <w:pPr>
        <w:pStyle w:val="2"/>
        <w:keepNext/>
        <w:keepLines w:val="0"/>
        <w:pageBreakBefore w:val="0"/>
        <w:widowControl w:val="0"/>
        <w:kinsoku/>
        <w:wordWrap/>
        <w:overflowPunct w:val="0"/>
        <w:topLinePunct w:val="0"/>
        <w:autoSpaceDE/>
        <w:autoSpaceDN/>
        <w:bidi w:val="0"/>
        <w:adjustRightInd/>
        <w:snapToGrid w:val="0"/>
        <w:spacing w:line="260" w:lineRule="auto"/>
        <w:ind w:left="0" w:firstLine="0"/>
        <w:jc w:val="center"/>
        <w:textAlignment w:val="auto"/>
        <w:rPr>
          <w:rFonts w:hint="eastAsia" w:ascii="Times New Roman" w:hAnsi="Times New Roman" w:eastAsia="宋体" w:cs="Times New Roman"/>
          <w:color w:val="000000" w:themeColor="text1"/>
          <w14:textFill>
            <w14:solidFill>
              <w14:schemeClr w14:val="tx1"/>
            </w14:solidFill>
          </w14:textFill>
        </w:rPr>
      </w:pPr>
      <w:bookmarkStart w:id="4" w:name="_Toc30398"/>
      <w:r>
        <w:rPr>
          <w:rFonts w:hint="eastAsia" w:ascii="Times New Roman" w:hAnsi="Times New Roman" w:eastAsia="宋体" w:cs="Times New Roman"/>
          <w:color w:val="000000" w:themeColor="text1"/>
          <w14:textFill>
            <w14:solidFill>
              <w14:schemeClr w14:val="tx1"/>
            </w14:solidFill>
          </w14:textFill>
        </w:rPr>
        <w:t>二、建设项目工程分析</w:t>
      </w:r>
      <w:bookmarkEnd w:id="4"/>
    </w:p>
    <w:tbl>
      <w:tblPr>
        <w:tblStyle w:val="28"/>
        <w:tblW w:w="92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749"/>
      </w:tblGrid>
      <w:tr w14:paraId="5B3681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2" w:type="dxa"/>
            <w:noWrap w:val="0"/>
            <w:vAlign w:val="center"/>
          </w:tcPr>
          <w:p w14:paraId="715DA380">
            <w:pPr>
              <w:bidi w:val="0"/>
              <w:jc w:val="center"/>
              <w:rPr>
                <w:rFonts w:cs="宋体"/>
                <w:color w:val="000000" w:themeColor="text1"/>
                <w:szCs w:val="21"/>
                <w14:textFill>
                  <w14:solidFill>
                    <w14:schemeClr w14:val="tx1"/>
                  </w14:solidFill>
                </w14:textFill>
              </w:rPr>
            </w:pPr>
            <w:r>
              <w:rPr>
                <w:rFonts w:hint="eastAsia"/>
                <w:color w:val="000000" w:themeColor="text1"/>
                <w:sz w:val="24"/>
                <w:szCs w:val="24"/>
                <w14:textFill>
                  <w14:solidFill>
                    <w14:schemeClr w14:val="tx1"/>
                  </w14:solidFill>
                </w14:textFill>
              </w:rPr>
              <w:t>建设内容</w:t>
            </w:r>
          </w:p>
        </w:tc>
        <w:tc>
          <w:tcPr>
            <w:tcW w:w="8749" w:type="dxa"/>
            <w:noWrap w:val="0"/>
            <w:vAlign w:val="top"/>
          </w:tcPr>
          <w:p w14:paraId="087A0DDC">
            <w:pPr>
              <w:keepNext w:val="0"/>
              <w:keepLines w:val="0"/>
              <w:pageBreakBefore w:val="0"/>
              <w:kinsoku/>
              <w:wordWrap w:val="0"/>
              <w:overflowPunct/>
              <w:topLinePunct w:val="0"/>
              <w:bidi w:val="0"/>
              <w:adjustRightInd w:val="0"/>
              <w:snapToGrid w:val="0"/>
              <w:spacing w:line="360" w:lineRule="auto"/>
              <w:outlineLvl w:val="9"/>
              <w:rPr>
                <w:rFonts w:hint="eastAsia"/>
                <w:b/>
                <w:bCs/>
                <w:color w:val="000000" w:themeColor="text1"/>
                <w:kern w:val="0"/>
                <w:sz w:val="24"/>
                <w:szCs w:val="24"/>
                <w:lang w:val="en-US" w:eastAsia="zh-CN"/>
                <w14:textFill>
                  <w14:solidFill>
                    <w14:schemeClr w14:val="tx1"/>
                  </w14:solidFill>
                </w14:textFill>
              </w:rPr>
            </w:pPr>
            <w:r>
              <w:rPr>
                <w:rFonts w:hint="eastAsia"/>
                <w:b/>
                <w:bCs/>
                <w:color w:val="000000" w:themeColor="text1"/>
                <w:kern w:val="0"/>
                <w:sz w:val="24"/>
                <w:szCs w:val="24"/>
                <w:lang w:val="en-US" w:eastAsia="zh-CN"/>
                <w14:textFill>
                  <w14:solidFill>
                    <w14:schemeClr w14:val="tx1"/>
                  </w14:solidFill>
                </w14:textFill>
              </w:rPr>
              <w:t>一、项目由来</w:t>
            </w:r>
          </w:p>
          <w:p w14:paraId="315F49F8">
            <w:pPr>
              <w:snapToGrid w:val="0"/>
              <w:spacing w:line="360" w:lineRule="auto"/>
              <w:ind w:firstLine="480" w:firstLineChars="200"/>
              <w:rPr>
                <w:rFonts w:hint="default" w:eastAsia="宋体"/>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罗平县慧联青瓦厂位于云南省曲靖市罗平县阿岗镇岗德村，前身为罗平县阿岗镇岗德云龙砖瓦厂，原项目为“罗平县阿岗镇岗德云龙砖瓦厂年产3000万块砖1000万匹瓦技改项目”。原项目于2018年7月8日委托临沧尚德环境技术有限公司编制完成《罗平县阿岗镇岗德云龙砖瓦厂年产3000万块砖1000万匹瓦</w:t>
            </w:r>
            <w:r>
              <w:rPr>
                <w:rFonts w:hint="eastAsia"/>
                <w:color w:val="000000" w:themeColor="text1"/>
                <w:sz w:val="24"/>
                <w:lang w:val="en-US" w:eastAsia="zh-CN"/>
                <w14:textFill>
                  <w14:solidFill>
                    <w14:schemeClr w14:val="tx1"/>
                  </w14:solidFill>
                </w14:textFill>
              </w:rPr>
              <w:t>改建</w:t>
            </w:r>
            <w:r>
              <w:rPr>
                <w:rFonts w:hint="eastAsia"/>
                <w:color w:val="000000" w:themeColor="text1"/>
                <w:sz w:val="24"/>
                <w14:textFill>
                  <w14:solidFill>
                    <w14:schemeClr w14:val="tx1"/>
                  </w14:solidFill>
                </w14:textFill>
              </w:rPr>
              <w:t>项目环境影响报告表》（报批稿）。</w:t>
            </w:r>
            <w:r>
              <w:rPr>
                <w:rFonts w:hint="eastAsia"/>
                <w:color w:val="000000" w:themeColor="text1"/>
                <w:sz w:val="24"/>
                <w:lang w:val="en-US" w:eastAsia="zh-CN"/>
                <w14:textFill>
                  <w14:solidFill>
                    <w14:schemeClr w14:val="tx1"/>
                  </w14:solidFill>
                </w14:textFill>
              </w:rPr>
              <w:t>并</w:t>
            </w:r>
            <w:r>
              <w:rPr>
                <w:rFonts w:hint="eastAsia"/>
                <w:color w:val="000000" w:themeColor="text1"/>
                <w:sz w:val="24"/>
                <w14:textFill>
                  <w14:solidFill>
                    <w14:schemeClr w14:val="tx1"/>
                  </w14:solidFill>
                </w14:textFill>
              </w:rPr>
              <w:t>于2018年10月25日</w:t>
            </w:r>
            <w:r>
              <w:rPr>
                <w:rFonts w:hint="eastAsia"/>
                <w:color w:val="000000" w:themeColor="text1"/>
                <w:sz w:val="24"/>
                <w:lang w:val="en-US" w:eastAsia="zh-CN"/>
                <w14:textFill>
                  <w14:solidFill>
                    <w14:schemeClr w14:val="tx1"/>
                  </w14:solidFill>
                </w14:textFill>
              </w:rPr>
              <w:t>取得</w:t>
            </w:r>
            <w:r>
              <w:rPr>
                <w:rFonts w:hint="eastAsia"/>
                <w:color w:val="000000" w:themeColor="text1"/>
                <w:sz w:val="24"/>
                <w14:textFill>
                  <w14:solidFill>
                    <w14:schemeClr w14:val="tx1"/>
                  </w14:solidFill>
                </w14:textFill>
              </w:rPr>
              <w:t>罗平县环境保护局</w:t>
            </w:r>
            <w:r>
              <w:rPr>
                <w:rFonts w:hint="eastAsia"/>
                <w:color w:val="000000" w:themeColor="text1"/>
                <w:sz w:val="24"/>
                <w:lang w:val="en-US" w:eastAsia="zh-CN"/>
                <w14:textFill>
                  <w14:solidFill>
                    <w14:schemeClr w14:val="tx1"/>
                  </w14:solidFill>
                </w14:textFill>
              </w:rPr>
              <w:t>关于</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罗平县阿岗镇岗德云龙砖瓦厂年产3000万块砖1000万匹瓦技改项目环境影响报告表的批复</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（罗环审〔2018〕24号）。</w:t>
            </w:r>
            <w:r>
              <w:rPr>
                <w:rFonts w:hint="eastAsia"/>
                <w:color w:val="000000" w:themeColor="text1"/>
                <w:sz w:val="24"/>
                <w:lang w:val="en-US" w:eastAsia="zh-CN"/>
                <w14:textFill>
                  <w14:solidFill>
                    <w14:schemeClr w14:val="tx1"/>
                  </w14:solidFill>
                </w14:textFill>
              </w:rPr>
              <w:t>批复内容为：项目占地面积38000m</w:t>
            </w:r>
            <w:r>
              <w:rPr>
                <w:rFonts w:hint="eastAsia"/>
                <w:color w:val="000000" w:themeColor="text1"/>
                <w:sz w:val="24"/>
                <w:vertAlign w:val="superscript"/>
                <w:lang w:val="en-US" w:eastAsia="zh-CN"/>
                <w14:textFill>
                  <w14:solidFill>
                    <w14:schemeClr w14:val="tx1"/>
                  </w14:solidFill>
                </w14:textFill>
              </w:rPr>
              <w:t>2</w:t>
            </w:r>
            <w:r>
              <w:rPr>
                <w:rFonts w:hint="eastAsia"/>
                <w:color w:val="000000" w:themeColor="text1"/>
                <w:sz w:val="24"/>
                <w:lang w:val="en-US" w:eastAsia="zh-CN"/>
                <w14:textFill>
                  <w14:solidFill>
                    <w14:schemeClr w14:val="tx1"/>
                  </w14:solidFill>
                </w14:textFill>
              </w:rPr>
              <w:t>，项目主要建设内容为年产页岩砖3000万块生产线、年产青瓦1000万匹生产线和附属配套设施以及环保工程等，原有项目环评批复燃料为煤。其中环保工程主要包括：厂区雨污分流系统及污水处理设施、砖瓦窑尾气治理设施、固废处置设施和绿化等。</w:t>
            </w:r>
          </w:p>
          <w:p w14:paraId="49018519">
            <w:pPr>
              <w:snapToGrid w:val="0"/>
              <w:spacing w:line="360" w:lineRule="auto"/>
              <w:ind w:firstLine="480" w:firstLineChars="200"/>
              <w:rPr>
                <w:rFonts w:hint="default"/>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2019年6月26日，因法人变更，建设单位由</w:t>
            </w:r>
            <w:r>
              <w:rPr>
                <w:rFonts w:hint="eastAsia"/>
                <w:color w:val="000000" w:themeColor="text1"/>
                <w:sz w:val="24"/>
                <w14:textFill>
                  <w14:solidFill>
                    <w14:schemeClr w14:val="tx1"/>
                  </w14:solidFill>
                </w14:textFill>
              </w:rPr>
              <w:t>罗平县阿岗镇岗德云龙砖瓦厂</w:t>
            </w:r>
            <w:r>
              <w:rPr>
                <w:rFonts w:hint="eastAsia"/>
                <w:color w:val="000000" w:themeColor="text1"/>
                <w:sz w:val="24"/>
                <w:lang w:val="en-US" w:eastAsia="zh-CN"/>
                <w14:textFill>
                  <w14:solidFill>
                    <w14:schemeClr w14:val="tx1"/>
                  </w14:solidFill>
                </w14:textFill>
              </w:rPr>
              <w:t>变更为罗平县阿岗镇慧联砖厂和罗平县慧联青瓦厂，2020年由于国家产业政策调整，原项目年产</w:t>
            </w:r>
            <w:r>
              <w:rPr>
                <w:rFonts w:hint="eastAsia"/>
                <w:color w:val="000000" w:themeColor="text1"/>
                <w:sz w:val="24"/>
                <w14:textFill>
                  <w14:solidFill>
                    <w14:schemeClr w14:val="tx1"/>
                  </w14:solidFill>
                </w14:textFill>
              </w:rPr>
              <w:t>3000万块砖生产线不符合产业政策，</w:t>
            </w:r>
            <w:r>
              <w:rPr>
                <w:rFonts w:hint="eastAsia"/>
                <w:color w:val="000000" w:themeColor="text1"/>
                <w:sz w:val="24"/>
                <w:lang w:val="en-US" w:eastAsia="zh-CN"/>
                <w14:textFill>
                  <w14:solidFill>
                    <w14:schemeClr w14:val="tx1"/>
                  </w14:solidFill>
                </w14:textFill>
              </w:rPr>
              <w:t>2021年3月罗平县工业经贸和科技信息化局对年产</w:t>
            </w:r>
            <w:r>
              <w:rPr>
                <w:rFonts w:hint="eastAsia"/>
                <w:color w:val="000000" w:themeColor="text1"/>
                <w:sz w:val="24"/>
                <w14:textFill>
                  <w14:solidFill>
                    <w14:schemeClr w14:val="tx1"/>
                  </w14:solidFill>
                </w14:textFill>
              </w:rPr>
              <w:t>3000万块砖生产线</w:t>
            </w:r>
            <w:r>
              <w:rPr>
                <w:rFonts w:hint="eastAsia"/>
                <w:color w:val="000000" w:themeColor="text1"/>
                <w:sz w:val="24"/>
                <w:lang w:val="en-US" w:eastAsia="zh-CN"/>
                <w14:textFill>
                  <w14:solidFill>
                    <w14:schemeClr w14:val="tx1"/>
                  </w14:solidFill>
                </w14:textFill>
              </w:rPr>
              <w:t>下达关停通知，保留了年产1000万匹瓦生产线。2022年8月23日《罗平县慧联青瓦厂年产1000万匹瓦技改项目》通过自主验收并取得《罗平县慧联青瓦厂年产1000万匹瓦技改项目环境保护验收意见》（2022年8月23日），验收内容为：年产1000万匹青瓦生产线，建设内容包含原料堆放区、制坯成型区、瓦坯晾晒陈化区，瓦窑（5座圆窑）、成品区、晾晒区及办公生活区，配套建设的烟气治理设施（钠碱法）、化粪池、雨水收集池等配套环保设施，2022年验收期间燃料为煤。</w:t>
            </w:r>
          </w:p>
          <w:p w14:paraId="4E7328AC">
            <w:pPr>
              <w:snapToGrid w:val="0"/>
              <w:spacing w:line="360" w:lineRule="auto"/>
              <w:ind w:firstLine="480" w:firstLineChars="200"/>
              <w:rPr>
                <w:rFonts w:hint="default" w:eastAsia="宋体"/>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2022年9月29日编制完成《罗平慧联青瓦厂突发环境事件应急预案》并向曲靖市生态环境局罗平分局完成备案（备案编号：530324-2022-025-L）。2021年9月22日首次申请排污许可证，2023年11月27日因燃料变更为生物质重新申请并取得曲靖市生态环境局下发的《排污许可证》（证书编号：92530324MA6L9GF64K001V），本次改扩建完成后燃料为生物质。</w:t>
            </w:r>
          </w:p>
          <w:p w14:paraId="6E6F59B9">
            <w:pPr>
              <w:snapToGrid w:val="0"/>
              <w:spacing w:line="360" w:lineRule="auto"/>
              <w:ind w:firstLine="480" w:firstLineChars="200"/>
              <w:rPr>
                <w:rFonts w:hint="default" w:eastAsia="宋体"/>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根据《曲靖市人民政府关于公布第六批市级非物质文化遗产代表性项目名录的通知》（〔2021〕374），本项目属于曲靖市第六批市级非物质文化遗产代表性项目扩展项目中的传统技艺，为了更有力地支撑非遗文化的传承，建设单位罗平慧联青瓦厂于2024年10月在原项目占地范围内扩建完成1座4门古建青瓦烧制窑（仿古窑）及配套烟气收集设施，属于未批先建，已于2025年12月18日收到曲靖市生态环境局（曲环责改字〔2025〕8-7号）下发的责令改正违法行为决定书。</w:t>
            </w:r>
          </w:p>
          <w:p w14:paraId="6C6F8040">
            <w:pPr>
              <w:snapToGrid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现有项目投运时间较长，</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厂</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内5座已建圆窑主体结构</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出现</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局部坍塌、开裂等现象，本次拟对5座圆窑进行修葺，其中1#、2#圆窑维持原有规模不变；3#、4#、5#圆窑进行扩容，窑内径增加2m。改造完成后，结合新建的6#</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门方窑，项目整体形成年产3000万片青瓦的生产能力。</w:t>
            </w:r>
          </w:p>
          <w:p w14:paraId="23D82FE5">
            <w:pPr>
              <w:snapToGrid w:val="0"/>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lang w:val="en-US" w:eastAsia="zh-CN"/>
                <w14:textFill>
                  <w14:solidFill>
                    <w14:schemeClr w14:val="tx1"/>
                  </w14:solidFill>
                </w14:textFill>
              </w:rPr>
              <w:t>综上，本次改扩建内容为：①扩建1座4门古建青瓦烧制窑（仿古窑）及配套烟气收集设施；②对现有5座圆窑进行修葺。改扩建完成后产能由现有项目的年产1000万匹瓦扩大到年产3000万片古建青瓦，燃料为生物质。</w:t>
            </w:r>
          </w:p>
          <w:p w14:paraId="41E889AB">
            <w:pPr>
              <w:keepNext w:val="0"/>
              <w:keepLines w:val="0"/>
              <w:pageBreakBefore w:val="0"/>
              <w:kinsoku/>
              <w:wordWrap w:val="0"/>
              <w:overflowPunct/>
              <w:topLinePunct w:val="0"/>
              <w:bidi w:val="0"/>
              <w:adjustRightInd w:val="0"/>
              <w:snapToGrid w:val="0"/>
              <w:spacing w:line="360" w:lineRule="auto"/>
              <w:ind w:firstLine="470" w:firstLineChars="196"/>
              <w:outlineLvl w:val="9"/>
              <w:rPr>
                <w:rFonts w:hint="eastAsia" w:ascii="Times New Roman" w:hAnsi="Times New Roman" w:eastAsia="宋体" w:cs="Times New Roman"/>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根据《中华人民共和国环境保护法</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中华人民共和国环境影响评价法》要求，</w:t>
            </w:r>
            <w:r>
              <w:rPr>
                <w:rFonts w:hint="eastAsia"/>
                <w:color w:val="000000" w:themeColor="text1"/>
                <w:sz w:val="24"/>
                <w:lang w:val="en-US" w:eastAsia="zh-CN"/>
                <w14:textFill>
                  <w14:solidFill>
                    <w14:schemeClr w14:val="tx1"/>
                  </w14:solidFill>
                </w14:textFill>
              </w:rPr>
              <w:t>项目应开展环境影响评价，</w:t>
            </w:r>
            <w:r>
              <w:rPr>
                <w:rFonts w:hint="eastAsia" w:ascii="Times New Roman" w:hAnsi="Times New Roman" w:eastAsia="宋体" w:cs="Times New Roman"/>
                <w:color w:val="000000" w:themeColor="text1"/>
                <w:sz w:val="24"/>
                <w:lang w:val="en-US" w:eastAsia="zh-CN"/>
                <w14:textFill>
                  <w14:solidFill>
                    <w14:schemeClr w14:val="tx1"/>
                  </w14:solidFill>
                </w14:textFill>
              </w:rPr>
              <w:t>对照《建设项目环境影响评价分类管理名录（2021年版）》，该项目属于</w:t>
            </w:r>
            <w:r>
              <w:rPr>
                <w:color w:val="000000" w:themeColor="text1"/>
                <w:sz w:val="24"/>
                <w14:textFill>
                  <w14:solidFill>
                    <w14:schemeClr w14:val="tx1"/>
                  </w14:solidFill>
                </w14:textFill>
              </w:rPr>
              <w:t>本建设项目属于名录中</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二十七、非金属矿物制品业30</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56砖瓦、石材等建筑材料制造中粘土砖瓦及建筑砌块制造</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应编制环境影响报告表</w:t>
            </w:r>
            <w:r>
              <w:rPr>
                <w:rFonts w:hint="eastAsia" w:ascii="Times New Roman" w:hAnsi="Times New Roman" w:eastAsia="宋体" w:cs="Times New Roman"/>
                <w:color w:val="000000" w:themeColor="text1"/>
                <w:sz w:val="24"/>
                <w:lang w:val="en-US" w:eastAsia="zh-CN"/>
                <w14:textFill>
                  <w14:solidFill>
                    <w14:schemeClr w14:val="tx1"/>
                  </w14:solidFill>
                </w14:textFill>
              </w:rPr>
              <w:t>。罗平县慧联青瓦厂委托我公司开展本项目的环境影响评价工作。接受委托后，我公司组织相关人员对项目建设地进行了详</w:t>
            </w:r>
            <w:r>
              <w:rPr>
                <w:rFonts w:hint="eastAsia" w:cs="Times New Roman"/>
                <w:color w:val="000000" w:themeColor="text1"/>
                <w:sz w:val="24"/>
                <w:lang w:val="en-US" w:eastAsia="zh-CN"/>
                <w14:textFill>
                  <w14:solidFill>
                    <w14:schemeClr w14:val="tx1"/>
                  </w14:solidFill>
                </w14:textFill>
              </w:rPr>
              <w:t>细的</w:t>
            </w:r>
            <w:r>
              <w:rPr>
                <w:rFonts w:hint="eastAsia" w:ascii="Times New Roman" w:hAnsi="Times New Roman" w:eastAsia="宋体" w:cs="Times New Roman"/>
                <w:color w:val="000000" w:themeColor="text1"/>
                <w:sz w:val="24"/>
                <w:lang w:val="en-US" w:eastAsia="zh-CN"/>
                <w14:textFill>
                  <w14:solidFill>
                    <w14:schemeClr w14:val="tx1"/>
                  </w14:solidFill>
                </w14:textFill>
              </w:rPr>
              <w:t>现场踏勘和调查，并在收集相关资料、进行初步工程分析及环境概况分析等工作的基础上，按照国家法律法规和相关技术导则规定，编制完成了《罗平阿岗镇青瓦制作技艺改造项目（非物质文化遗产）环境影响报告表》供建设单位上报审批。</w:t>
            </w:r>
          </w:p>
          <w:p w14:paraId="35E8BFB0">
            <w:pPr>
              <w:keepNext w:val="0"/>
              <w:keepLines w:val="0"/>
              <w:pageBreakBefore w:val="0"/>
              <w:kinsoku/>
              <w:wordWrap w:val="0"/>
              <w:overflowPunct/>
              <w:topLinePunct w:val="0"/>
              <w:bidi w:val="0"/>
              <w:adjustRightInd w:val="0"/>
              <w:snapToGrid w:val="0"/>
              <w:spacing w:line="360" w:lineRule="auto"/>
              <w:outlineLvl w:val="9"/>
              <w:rPr>
                <w:rFonts w:hint="eastAsia"/>
                <w:b/>
                <w:bCs/>
                <w:color w:val="000000" w:themeColor="text1"/>
                <w:kern w:val="0"/>
                <w:sz w:val="24"/>
                <w:szCs w:val="24"/>
                <w:lang w:val="en-US" w:eastAsia="zh-CN"/>
                <w14:textFill>
                  <w14:solidFill>
                    <w14:schemeClr w14:val="tx1"/>
                  </w14:solidFill>
                </w14:textFill>
              </w:rPr>
            </w:pPr>
            <w:r>
              <w:rPr>
                <w:rFonts w:hint="eastAsia"/>
                <w:b/>
                <w:bCs/>
                <w:color w:val="000000" w:themeColor="text1"/>
                <w:kern w:val="0"/>
                <w:sz w:val="24"/>
                <w:szCs w:val="24"/>
                <w:lang w:val="en-US" w:eastAsia="zh-CN"/>
                <w14:textFill>
                  <w14:solidFill>
                    <w14:schemeClr w14:val="tx1"/>
                  </w14:solidFill>
                </w14:textFill>
              </w:rPr>
              <w:t>二、本项目基本情况</w:t>
            </w:r>
          </w:p>
          <w:p w14:paraId="7CE0B73E">
            <w:pPr>
              <w:keepNext w:val="0"/>
              <w:keepLines w:val="0"/>
              <w:pageBreakBefore w:val="0"/>
              <w:widowControl w:val="0"/>
              <w:kinsoku/>
              <w:wordWrap/>
              <w:overflowPunct/>
              <w:topLinePunct w:val="0"/>
              <w:bidi w:val="0"/>
              <w:adjustRightInd/>
              <w:snapToGrid/>
              <w:spacing w:line="360" w:lineRule="auto"/>
              <w:ind w:left="0" w:leftChars="0" w:firstLine="482" w:firstLineChars="200"/>
              <w:textAlignment w:val="auto"/>
              <w:outlineLvl w:val="9"/>
              <w:rPr>
                <w:rFonts w:hint="eastAsia"/>
                <w:b/>
                <w:bCs/>
                <w:color w:val="000000" w:themeColor="text1"/>
                <w:kern w:val="0"/>
                <w:sz w:val="24"/>
                <w:szCs w:val="24"/>
                <w:lang w:val="en-US" w:eastAsia="zh-CN"/>
                <w14:textFill>
                  <w14:solidFill>
                    <w14:schemeClr w14:val="tx1"/>
                  </w14:solidFill>
                </w14:textFill>
              </w:rPr>
            </w:pPr>
            <w:r>
              <w:rPr>
                <w:rFonts w:hint="eastAsia"/>
                <w:b/>
                <w:bCs/>
                <w:color w:val="000000" w:themeColor="text1"/>
                <w:kern w:val="0"/>
                <w:sz w:val="24"/>
                <w:szCs w:val="24"/>
                <w:lang w:val="en-US" w:eastAsia="zh-CN"/>
                <w14:textFill>
                  <w14:solidFill>
                    <w14:schemeClr w14:val="tx1"/>
                  </w14:solidFill>
                </w14:textFill>
              </w:rPr>
              <w:t>1、本项目基本情况</w:t>
            </w:r>
          </w:p>
          <w:p w14:paraId="0B82AD8B">
            <w:pPr>
              <w:keepNext w:val="0"/>
              <w:keepLines w:val="0"/>
              <w:pageBreakBefore w:val="0"/>
              <w:widowControl w:val="0"/>
              <w:kinsoku/>
              <w:wordWrap/>
              <w:overflowPunct/>
              <w:topLinePunct w:val="0"/>
              <w:bidi w:val="0"/>
              <w:adjustRightInd/>
              <w:snapToGrid/>
              <w:spacing w:line="360" w:lineRule="auto"/>
              <w:ind w:left="0" w:leftChars="0" w:firstLine="482" w:firstLineChars="200"/>
              <w:textAlignment w:val="auto"/>
              <w:outlineLvl w:val="9"/>
              <w:rPr>
                <w:rFonts w:hint="eastAsia"/>
                <w:color w:val="000000" w:themeColor="text1"/>
                <w:sz w:val="24"/>
                <w:szCs w:val="24"/>
                <w:lang w:val="zh-CN"/>
                <w14:textFill>
                  <w14:solidFill>
                    <w14:schemeClr w14:val="tx1"/>
                  </w14:solidFill>
                </w14:textFill>
              </w:rPr>
            </w:pPr>
            <w:r>
              <w:rPr>
                <w:b/>
                <w:bCs/>
                <w:color w:val="000000" w:themeColor="text1"/>
                <w:kern w:val="0"/>
                <w:sz w:val="24"/>
                <w:szCs w:val="24"/>
                <w14:textFill>
                  <w14:solidFill>
                    <w14:schemeClr w14:val="tx1"/>
                  </w14:solidFill>
                </w14:textFill>
              </w:rPr>
              <w:t>项目名称：</w:t>
            </w: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罗平阿岗镇青瓦制作技艺改造项目（非物质文化遗产）</w:t>
            </w:r>
          </w:p>
          <w:p w14:paraId="486B5EC2">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2" w:firstLineChars="200"/>
              <w:textAlignment w:val="auto"/>
              <w:outlineLvl w:val="9"/>
              <w:rPr>
                <w:rFonts w:hint="eastAsia"/>
                <w:color w:val="000000" w:themeColor="text1"/>
                <w:kern w:val="0"/>
                <w:sz w:val="24"/>
                <w:szCs w:val="24"/>
                <w:lang w:eastAsia="zh-CN"/>
                <w14:textFill>
                  <w14:solidFill>
                    <w14:schemeClr w14:val="tx1"/>
                  </w14:solidFill>
                </w14:textFill>
              </w:rPr>
            </w:pPr>
            <w:r>
              <w:rPr>
                <w:b/>
                <w:bCs/>
                <w:color w:val="000000" w:themeColor="text1"/>
                <w:kern w:val="0"/>
                <w:sz w:val="24"/>
                <w:szCs w:val="24"/>
                <w14:textFill>
                  <w14:solidFill>
                    <w14:schemeClr w14:val="tx1"/>
                  </w14:solidFill>
                </w14:textFill>
              </w:rPr>
              <w:t>建设单位：</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罗平县慧联青瓦厂</w:t>
            </w:r>
          </w:p>
          <w:p w14:paraId="5285108E">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2" w:firstLineChars="200"/>
              <w:textAlignment w:val="auto"/>
              <w:outlineLvl w:val="9"/>
              <w:rPr>
                <w:rFonts w:hint="default" w:ascii="宋体" w:hAnsi="宋体" w:cs="宋体"/>
                <w:color w:val="000000" w:themeColor="text1"/>
                <w:sz w:val="24"/>
                <w:szCs w:val="24"/>
                <w:lang w:val="en-US" w:eastAsia="zh-CN"/>
                <w14:textFill>
                  <w14:solidFill>
                    <w14:schemeClr w14:val="tx1"/>
                  </w14:solidFill>
                </w14:textFill>
              </w:rPr>
            </w:pPr>
            <w:r>
              <w:rPr>
                <w:b/>
                <w:bCs/>
                <w:color w:val="000000" w:themeColor="text1"/>
                <w:kern w:val="0"/>
                <w:sz w:val="24"/>
                <w:szCs w:val="24"/>
                <w14:textFill>
                  <w14:solidFill>
                    <w14:schemeClr w14:val="tx1"/>
                  </w14:solidFill>
                </w14:textFill>
              </w:rPr>
              <w:t>建设地点</w:t>
            </w:r>
            <w:r>
              <w:rPr>
                <w:b/>
                <w:bCs/>
                <w:color w:val="000000" w:themeColor="text1"/>
                <w:sz w:val="24"/>
                <w:szCs w:val="24"/>
                <w14:textFill>
                  <w14:solidFill>
                    <w14:schemeClr w14:val="tx1"/>
                  </w14:solidFill>
                </w14:textFill>
              </w:rPr>
              <w:t>：</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罗平县阿岗镇岗德村委会小岗德村</w:t>
            </w:r>
          </w:p>
          <w:p w14:paraId="5158E1A5">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2" w:firstLineChars="200"/>
              <w:textAlignment w:val="auto"/>
              <w:outlineLvl w:val="9"/>
              <w:rPr>
                <w:rFonts w:hint="eastAsia" w:eastAsia="宋体"/>
                <w:color w:val="000000" w:themeColor="text1"/>
                <w:kern w:val="0"/>
                <w:sz w:val="24"/>
                <w:szCs w:val="24"/>
                <w:highlight w:val="none"/>
                <w:lang w:eastAsia="zh-CN"/>
                <w14:textFill>
                  <w14:solidFill>
                    <w14:schemeClr w14:val="tx1"/>
                  </w14:solidFill>
                </w14:textFill>
              </w:rPr>
            </w:pPr>
            <w:r>
              <w:rPr>
                <w:b/>
                <w:bCs/>
                <w:color w:val="000000" w:themeColor="text1"/>
                <w:kern w:val="0"/>
                <w:sz w:val="24"/>
                <w:szCs w:val="24"/>
                <w14:textFill>
                  <w14:solidFill>
                    <w14:schemeClr w14:val="tx1"/>
                  </w14:solidFill>
                </w14:textFill>
              </w:rPr>
              <w:t>建设性质</w:t>
            </w:r>
            <w:r>
              <w:rPr>
                <w:b/>
                <w:bCs/>
                <w:color w:val="000000" w:themeColor="text1"/>
                <w:kern w:val="0"/>
                <w:sz w:val="24"/>
                <w:szCs w:val="24"/>
                <w:highlight w:val="none"/>
                <w14:textFill>
                  <w14:solidFill>
                    <w14:schemeClr w14:val="tx1"/>
                  </w14:solidFill>
                </w14:textFill>
              </w:rPr>
              <w:t>：</w:t>
            </w:r>
            <w:r>
              <w:rPr>
                <w:rFonts w:hint="eastAsia"/>
                <w:color w:val="000000" w:themeColor="text1"/>
                <w:kern w:val="0"/>
                <w:sz w:val="24"/>
                <w:szCs w:val="24"/>
                <w:highlight w:val="none"/>
                <w:lang w:val="en-US" w:eastAsia="zh-CN"/>
                <w14:textFill>
                  <w14:solidFill>
                    <w14:schemeClr w14:val="tx1"/>
                  </w14:solidFill>
                </w14:textFill>
              </w:rPr>
              <w:t>改扩建</w:t>
            </w:r>
          </w:p>
          <w:p w14:paraId="7FD23987">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2" w:firstLineChars="200"/>
              <w:textAlignment w:val="auto"/>
              <w:outlineLvl w:val="9"/>
              <w:rPr>
                <w:rFonts w:hint="default" w:eastAsia="宋体"/>
                <w:color w:val="000000" w:themeColor="text1"/>
                <w:sz w:val="24"/>
                <w:szCs w:val="24"/>
                <w:vertAlign w:val="baseline"/>
                <w:lang w:val="en-US" w:eastAsia="zh-CN"/>
                <w14:textFill>
                  <w14:solidFill>
                    <w14:schemeClr w14:val="tx1"/>
                  </w14:solidFill>
                </w14:textFill>
              </w:rPr>
            </w:pPr>
            <w:r>
              <w:rPr>
                <w:b/>
                <w:bCs/>
                <w:color w:val="000000" w:themeColor="text1"/>
                <w:sz w:val="24"/>
                <w:szCs w:val="24"/>
                <w:highlight w:val="none"/>
                <w:lang w:val="zh-CN"/>
                <w14:textFill>
                  <w14:solidFill>
                    <w14:schemeClr w14:val="tx1"/>
                  </w14:solidFill>
                </w14:textFill>
              </w:rPr>
              <w:t>占</w:t>
            </w:r>
            <w:r>
              <w:rPr>
                <w:b/>
                <w:bCs/>
                <w:color w:val="000000" w:themeColor="text1"/>
                <w:kern w:val="0"/>
                <w:sz w:val="24"/>
                <w:szCs w:val="24"/>
                <w:highlight w:val="none"/>
                <w14:textFill>
                  <w14:solidFill>
                    <w14:schemeClr w14:val="tx1"/>
                  </w14:solidFill>
                </w14:textFill>
              </w:rPr>
              <w:t>地面积</w:t>
            </w:r>
            <w:r>
              <w:rPr>
                <w:b/>
                <w:bCs/>
                <w:color w:val="000000" w:themeColor="text1"/>
                <w:sz w:val="24"/>
                <w:szCs w:val="24"/>
                <w:highlight w:val="none"/>
                <w:lang w:val="zh-CN"/>
                <w14:textFill>
                  <w14:solidFill>
                    <w14:schemeClr w14:val="tx1"/>
                  </w14:solidFill>
                </w14:textFill>
              </w:rPr>
              <w:t>：</w:t>
            </w:r>
            <w:r>
              <w:rPr>
                <w:rFonts w:hint="eastAsia"/>
                <w:b w:val="0"/>
                <w:bCs w:val="0"/>
                <w:color w:val="000000" w:themeColor="text1"/>
                <w:sz w:val="24"/>
                <w:szCs w:val="24"/>
                <w:highlight w:val="none"/>
                <w:lang w:val="en-US" w:eastAsia="zh-CN"/>
                <w14:textFill>
                  <w14:solidFill>
                    <w14:schemeClr w14:val="tx1"/>
                  </w14:solidFill>
                </w14:textFill>
              </w:rPr>
              <w:t>现有项目占地面积</w:t>
            </w:r>
            <w:r>
              <w:rPr>
                <w:rFonts w:hint="eastAsia"/>
                <w:b w:val="0"/>
                <w:bCs w:val="0"/>
                <w:color w:val="000000" w:themeColor="text1"/>
                <w:sz w:val="24"/>
                <w:szCs w:val="24"/>
                <w:lang w:val="en-US" w:eastAsia="zh-CN"/>
                <w14:textFill>
                  <w14:solidFill>
                    <w14:schemeClr w14:val="tx1"/>
                  </w14:solidFill>
                </w14:textFill>
              </w:rPr>
              <w:t>为38000m</w:t>
            </w:r>
            <w:r>
              <w:rPr>
                <w:rFonts w:hint="eastAsia"/>
                <w:b w:val="0"/>
                <w:bCs w:val="0"/>
                <w:color w:val="000000" w:themeColor="text1"/>
                <w:sz w:val="24"/>
                <w:szCs w:val="24"/>
                <w:vertAlign w:val="superscript"/>
                <w:lang w:val="en-US" w:eastAsia="zh-CN"/>
                <w14:textFill>
                  <w14:solidFill>
                    <w14:schemeClr w14:val="tx1"/>
                  </w14:solidFill>
                </w14:textFill>
              </w:rPr>
              <w:t>2</w:t>
            </w:r>
            <w:r>
              <w:rPr>
                <w:rFonts w:hint="eastAsia"/>
                <w:b w:val="0"/>
                <w:bCs w:val="0"/>
                <w:color w:val="000000" w:themeColor="text1"/>
                <w:sz w:val="24"/>
                <w:szCs w:val="24"/>
                <w:vertAlign w:val="baseline"/>
                <w:lang w:val="en-US" w:eastAsia="zh-CN"/>
                <w14:textFill>
                  <w14:solidFill>
                    <w14:schemeClr w14:val="tx1"/>
                  </w14:solidFill>
                </w14:textFill>
              </w:rPr>
              <w:t>，本次在现有占地范围内改扩建，不新增占地。</w:t>
            </w:r>
          </w:p>
          <w:p w14:paraId="273D1C65">
            <w:pPr>
              <w:keepNext w:val="0"/>
              <w:keepLines w:val="0"/>
              <w:pageBreakBefore w:val="0"/>
              <w:widowControl w:val="0"/>
              <w:kinsoku/>
              <w:wordWrap/>
              <w:overflowPunct/>
              <w:topLinePunct w:val="0"/>
              <w:bidi w:val="0"/>
              <w:adjustRightInd/>
              <w:snapToGrid/>
              <w:spacing w:line="360" w:lineRule="auto"/>
              <w:ind w:left="0" w:leftChars="0" w:firstLine="482" w:firstLineChars="200"/>
              <w:textAlignment w:val="auto"/>
              <w:outlineLvl w:val="9"/>
              <w:rPr>
                <w:rFonts w:hint="default"/>
                <w:color w:val="000000" w:themeColor="text1"/>
                <w:sz w:val="24"/>
                <w:szCs w:val="24"/>
                <w:lang w:val="en-US" w:eastAsia="zh-CN"/>
                <w14:textFill>
                  <w14:solidFill>
                    <w14:schemeClr w14:val="tx1"/>
                  </w14:solidFill>
                </w14:textFill>
              </w:rPr>
            </w:pPr>
            <w:r>
              <w:rPr>
                <w:rFonts w:hint="eastAsia"/>
                <w:b/>
                <w:bCs/>
                <w:color w:val="000000" w:themeColor="text1"/>
                <w:sz w:val="24"/>
                <w:szCs w:val="24"/>
                <w14:textFill>
                  <w14:solidFill>
                    <w14:schemeClr w14:val="tx1"/>
                  </w14:solidFill>
                </w14:textFill>
              </w:rPr>
              <w:t>建设内容</w:t>
            </w:r>
            <w:r>
              <w:rPr>
                <w:rFonts w:hint="eastAsia"/>
                <w:b/>
                <w:bCs/>
                <w:color w:val="000000" w:themeColor="text1"/>
                <w:sz w:val="24"/>
                <w:szCs w:val="24"/>
                <w:lang w:val="en-US" w:eastAsia="zh-CN"/>
                <w14:textFill>
                  <w14:solidFill>
                    <w14:schemeClr w14:val="tx1"/>
                  </w14:solidFill>
                </w14:textFill>
              </w:rPr>
              <w:t>及规模</w:t>
            </w:r>
            <w:r>
              <w:rPr>
                <w:rFonts w:hint="eastAsia"/>
                <w:b/>
                <w:bCs/>
                <w:color w:val="000000" w:themeColor="text1"/>
                <w:sz w:val="24"/>
                <w:szCs w:val="24"/>
                <w14:textFill>
                  <w14:solidFill>
                    <w14:schemeClr w14:val="tx1"/>
                  </w14:solidFill>
                </w14:textFill>
              </w:rPr>
              <w:t>：</w:t>
            </w:r>
            <w:r>
              <w:rPr>
                <w:rFonts w:hint="eastAsia"/>
                <w:color w:val="000000" w:themeColor="text1"/>
                <w:sz w:val="24"/>
                <w:lang w:val="en-US" w:eastAsia="zh-CN"/>
                <w14:textFill>
                  <w14:solidFill>
                    <w14:schemeClr w14:val="tx1"/>
                  </w14:solidFill>
                </w14:textFill>
              </w:rPr>
              <w:t>①扩建1座4门古建青瓦烧制窑（仿古窑）及配套烟气收集设施；②对现有5座圆窑进行修葺。</w:t>
            </w:r>
            <w:r>
              <w:rPr>
                <w:rFonts w:hint="eastAsia"/>
                <w:color w:val="000000" w:themeColor="text1"/>
                <w:sz w:val="24"/>
                <w:szCs w:val="24"/>
                <w:lang w:val="en-US" w:eastAsia="zh-CN"/>
                <w14:textFill>
                  <w14:solidFill>
                    <w14:schemeClr w14:val="tx1"/>
                  </w14:solidFill>
                </w14:textFill>
              </w:rPr>
              <w:t>改扩建完成后规模达到年产3000万片古建青瓦</w:t>
            </w:r>
            <w:r>
              <w:rPr>
                <w:rFonts w:hint="eastAsia"/>
                <w:color w:val="000000" w:themeColor="text1"/>
                <w:sz w:val="24"/>
                <w:lang w:val="en-US" w:eastAsia="zh-CN"/>
                <w14:textFill>
                  <w14:solidFill>
                    <w14:schemeClr w14:val="tx1"/>
                  </w14:solidFill>
                </w14:textFill>
              </w:rPr>
              <w:t>，燃料为生物质</w:t>
            </w:r>
            <w:r>
              <w:rPr>
                <w:rFonts w:hint="eastAsia"/>
                <w:color w:val="000000" w:themeColor="text1"/>
                <w:sz w:val="24"/>
                <w:szCs w:val="24"/>
                <w:lang w:val="en-US" w:eastAsia="zh-CN"/>
                <w14:textFill>
                  <w14:solidFill>
                    <w14:schemeClr w14:val="tx1"/>
                  </w14:solidFill>
                </w14:textFill>
              </w:rPr>
              <w:t>。截至本次改扩建环评介入时，项目改扩建内容</w:t>
            </w:r>
            <w:r>
              <w:rPr>
                <w:rFonts w:hint="eastAsia"/>
                <w:b w:val="0"/>
                <w:bCs w:val="0"/>
                <w:color w:val="000000" w:themeColor="text1"/>
                <w:sz w:val="24"/>
                <w:szCs w:val="24"/>
                <w:lang w:val="en-US" w:eastAsia="zh-CN"/>
                <w14:textFill>
                  <w14:solidFill>
                    <w14:schemeClr w14:val="tx1"/>
                  </w14:solidFill>
                </w14:textFill>
              </w:rPr>
              <w:t>已建成1座4门古建青瓦烧制窑（仿古窑）及配套烟气收集设施</w:t>
            </w:r>
            <w:r>
              <w:rPr>
                <w:rFonts w:hint="eastAsia"/>
                <w:color w:val="000000" w:themeColor="text1"/>
                <w:sz w:val="24"/>
                <w:szCs w:val="24"/>
                <w:lang w:val="en-US" w:eastAsia="zh-CN"/>
                <w14:textFill>
                  <w14:solidFill>
                    <w14:schemeClr w14:val="tx1"/>
                  </w14:solidFill>
                </w14:textFill>
              </w:rPr>
              <w:t>，其余内容均未建。项目改扩建内容对照如下表所示：</w:t>
            </w:r>
          </w:p>
          <w:p w14:paraId="36EFBA19">
            <w:pPr>
              <w:keepNext w:val="0"/>
              <w:keepLines w:val="0"/>
              <w:pageBreakBefore w:val="0"/>
              <w:widowControl w:val="0"/>
              <w:kinsoku/>
              <w:wordWrap/>
              <w:overflowPunct/>
              <w:topLinePunct w:val="0"/>
              <w:autoSpaceDE/>
              <w:autoSpaceDN/>
              <w:bidi w:val="0"/>
              <w:adjustRightInd/>
              <w:snapToGrid/>
              <w:spacing w:line="276" w:lineRule="auto"/>
              <w:ind w:left="0" w:leftChars="0" w:firstLine="0" w:firstLineChars="0"/>
              <w:jc w:val="center"/>
              <w:textAlignment w:val="auto"/>
              <w:outlineLvl w:val="9"/>
              <w:rPr>
                <w:rFonts w:hint="eastAsia"/>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表2-1  本次改扩建内容一览表</w:t>
            </w:r>
          </w:p>
          <w:tbl>
            <w:tblPr>
              <w:tblStyle w:val="29"/>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291"/>
              <w:gridCol w:w="1922"/>
              <w:gridCol w:w="3298"/>
            </w:tblGrid>
            <w:tr w14:paraId="015C2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restart"/>
                  <w:noWrap w:val="0"/>
                  <w:vAlign w:val="center"/>
                </w:tcPr>
                <w:p w14:paraId="7D6E09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项目</w:t>
                  </w:r>
                </w:p>
              </w:tc>
              <w:tc>
                <w:tcPr>
                  <w:tcW w:w="2291" w:type="dxa"/>
                  <w:vMerge w:val="restart"/>
                  <w:noWrap w:val="0"/>
                  <w:vAlign w:val="center"/>
                </w:tcPr>
                <w:p w14:paraId="36073A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原项目建设情况</w:t>
                  </w:r>
                </w:p>
              </w:tc>
              <w:tc>
                <w:tcPr>
                  <w:tcW w:w="5220" w:type="dxa"/>
                  <w:gridSpan w:val="2"/>
                  <w:noWrap w:val="0"/>
                  <w:vAlign w:val="center"/>
                </w:tcPr>
                <w:p w14:paraId="4CAE2F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本次改扩建情况</w:t>
                  </w:r>
                </w:p>
              </w:tc>
            </w:tr>
            <w:tr w14:paraId="70D5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noWrap w:val="0"/>
                  <w:vAlign w:val="center"/>
                </w:tcPr>
                <w:p w14:paraId="0FBE7C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b/>
                      <w:bCs/>
                      <w:color w:val="000000" w:themeColor="text1"/>
                      <w:sz w:val="21"/>
                      <w:szCs w:val="21"/>
                      <w:vertAlign w:val="baseline"/>
                      <w:lang w:val="en-US" w:eastAsia="zh-CN"/>
                      <w14:textFill>
                        <w14:solidFill>
                          <w14:schemeClr w14:val="tx1"/>
                        </w14:solidFill>
                      </w14:textFill>
                    </w:rPr>
                  </w:pPr>
                </w:p>
              </w:tc>
              <w:tc>
                <w:tcPr>
                  <w:tcW w:w="2291" w:type="dxa"/>
                  <w:vMerge w:val="continue"/>
                  <w:noWrap w:val="0"/>
                  <w:vAlign w:val="center"/>
                </w:tcPr>
                <w:p w14:paraId="050269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b/>
                      <w:bCs/>
                      <w:color w:val="000000" w:themeColor="text1"/>
                      <w:sz w:val="21"/>
                      <w:szCs w:val="21"/>
                      <w:vertAlign w:val="baseline"/>
                      <w:lang w:val="en-US" w:eastAsia="zh-CN"/>
                      <w14:textFill>
                        <w14:solidFill>
                          <w14:schemeClr w14:val="tx1"/>
                        </w14:solidFill>
                      </w14:textFill>
                    </w:rPr>
                  </w:pPr>
                </w:p>
              </w:tc>
              <w:tc>
                <w:tcPr>
                  <w:tcW w:w="1922" w:type="dxa"/>
                  <w:noWrap w:val="0"/>
                  <w:vAlign w:val="center"/>
                </w:tcPr>
                <w:p w14:paraId="51FF7B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原因</w:t>
                  </w:r>
                </w:p>
              </w:tc>
              <w:tc>
                <w:tcPr>
                  <w:tcW w:w="3298" w:type="dxa"/>
                  <w:noWrap w:val="0"/>
                  <w:vAlign w:val="center"/>
                </w:tcPr>
                <w:p w14:paraId="0CDA5B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改扩建内容</w:t>
                  </w:r>
                </w:p>
              </w:tc>
            </w:tr>
            <w:tr w14:paraId="46E1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restart"/>
                  <w:noWrap w:val="0"/>
                  <w:vAlign w:val="center"/>
                </w:tcPr>
                <w:p w14:paraId="489F78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烧制窑</w:t>
                  </w:r>
                </w:p>
              </w:tc>
              <w:tc>
                <w:tcPr>
                  <w:tcW w:w="2291" w:type="dxa"/>
                  <w:noWrap w:val="0"/>
                  <w:vAlign w:val="center"/>
                </w:tcPr>
                <w:p w14:paraId="152B58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无</w:t>
                  </w:r>
                </w:p>
              </w:tc>
              <w:tc>
                <w:tcPr>
                  <w:tcW w:w="1922" w:type="dxa"/>
                  <w:noWrap w:val="0"/>
                  <w:vAlign w:val="center"/>
                </w:tcPr>
                <w:p w14:paraId="1B905D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为了</w:t>
                  </w:r>
                  <w:r>
                    <w:rPr>
                      <w:rFonts w:hint="default"/>
                      <w:b w:val="0"/>
                      <w:bCs w:val="0"/>
                      <w:color w:val="000000" w:themeColor="text1"/>
                      <w:sz w:val="21"/>
                      <w:szCs w:val="21"/>
                      <w:vertAlign w:val="baseline"/>
                      <w:lang w:val="en-US" w:eastAsia="zh-CN"/>
                      <w14:textFill>
                        <w14:solidFill>
                          <w14:schemeClr w14:val="tx1"/>
                        </w14:solidFill>
                      </w14:textFill>
                    </w:rPr>
                    <w:t>能有力支撑非遗文化的传承</w:t>
                  </w:r>
                  <w:r>
                    <w:rPr>
                      <w:rFonts w:hint="eastAsia"/>
                      <w:b w:val="0"/>
                      <w:bCs w:val="0"/>
                      <w:color w:val="000000" w:themeColor="text1"/>
                      <w:sz w:val="21"/>
                      <w:szCs w:val="21"/>
                      <w:vertAlign w:val="baseline"/>
                      <w:lang w:val="en-US" w:eastAsia="zh-CN"/>
                      <w14:textFill>
                        <w14:solidFill>
                          <w14:schemeClr w14:val="tx1"/>
                        </w14:solidFill>
                      </w14:textFill>
                    </w:rPr>
                    <w:t>，扩大产能</w:t>
                  </w:r>
                </w:p>
              </w:tc>
              <w:tc>
                <w:tcPr>
                  <w:tcW w:w="3298" w:type="dxa"/>
                  <w:noWrap w:val="0"/>
                  <w:vAlign w:val="center"/>
                </w:tcPr>
                <w:p w14:paraId="4594D7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扩建1座4门古建青瓦烧制窑（6#仿古窑），为方窑，长28m，内径6m，高8m，砖混结构，并配套烟气收集设施。</w:t>
                  </w:r>
                </w:p>
              </w:tc>
            </w:tr>
            <w:tr w14:paraId="5B7F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93" w:type="dxa"/>
                  <w:vMerge w:val="continue"/>
                  <w:noWrap w:val="0"/>
                  <w:vAlign w:val="center"/>
                </w:tcPr>
                <w:p w14:paraId="554B1E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b w:val="0"/>
                      <w:bCs w:val="0"/>
                      <w:color w:val="000000" w:themeColor="text1"/>
                      <w:sz w:val="21"/>
                      <w:szCs w:val="21"/>
                      <w:vertAlign w:val="baseline"/>
                      <w:lang w:val="en-US" w:eastAsia="zh-CN"/>
                      <w14:textFill>
                        <w14:solidFill>
                          <w14:schemeClr w14:val="tx1"/>
                        </w14:solidFill>
                      </w14:textFill>
                    </w:rPr>
                  </w:pPr>
                </w:p>
              </w:tc>
              <w:tc>
                <w:tcPr>
                  <w:tcW w:w="2291" w:type="dxa"/>
                  <w:noWrap w:val="0"/>
                  <w:vAlign w:val="center"/>
                </w:tcPr>
                <w:p w14:paraId="151252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1#、2#圆窑：为2门圆窑，内径6m，高10m，砖混结构</w:t>
                  </w:r>
                </w:p>
              </w:tc>
              <w:tc>
                <w:tcPr>
                  <w:tcW w:w="1922" w:type="dxa"/>
                  <w:vMerge w:val="restart"/>
                  <w:noWrap w:val="0"/>
                  <w:vAlign w:val="center"/>
                </w:tcPr>
                <w:p w14:paraId="572BE8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建成时间久，主体结构已出现部分坍塌和开裂现象</w:t>
                  </w:r>
                </w:p>
              </w:tc>
              <w:tc>
                <w:tcPr>
                  <w:tcW w:w="3298" w:type="dxa"/>
                  <w:noWrap w:val="0"/>
                  <w:vAlign w:val="center"/>
                </w:tcPr>
                <w:p w14:paraId="2A4615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本次修葺后，为2门圆窑，长15m，内径6m，高10m，砖混结构，并配套建设烟气收集设施。</w:t>
                  </w:r>
                </w:p>
              </w:tc>
            </w:tr>
            <w:tr w14:paraId="6059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993" w:type="dxa"/>
                  <w:vMerge w:val="continue"/>
                  <w:noWrap w:val="0"/>
                  <w:vAlign w:val="center"/>
                </w:tcPr>
                <w:p w14:paraId="1A6332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color w:val="000000" w:themeColor="text1"/>
                      <w:highlight w:val="none"/>
                      <w14:textFill>
                        <w14:solidFill>
                          <w14:schemeClr w14:val="tx1"/>
                        </w14:solidFill>
                      </w14:textFill>
                    </w:rPr>
                  </w:pPr>
                </w:p>
              </w:tc>
              <w:tc>
                <w:tcPr>
                  <w:tcW w:w="2291" w:type="dxa"/>
                  <w:noWrap w:val="0"/>
                  <w:vAlign w:val="center"/>
                </w:tcPr>
                <w:p w14:paraId="261B0D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b w:val="0"/>
                      <w:bCs w:val="0"/>
                      <w:color w:val="000000" w:themeColor="text1"/>
                      <w:sz w:val="21"/>
                      <w:szCs w:val="21"/>
                      <w:highlight w:val="none"/>
                      <w:vertAlign w:val="baseline"/>
                      <w:lang w:val="en-US" w:eastAsia="zh-CN"/>
                      <w14:textFill>
                        <w14:solidFill>
                          <w14:schemeClr w14:val="tx1"/>
                        </w14:solidFill>
                      </w14:textFill>
                    </w:rPr>
                  </w:pPr>
                  <w:r>
                    <w:rPr>
                      <w:rFonts w:hint="eastAsia"/>
                      <w:b w:val="0"/>
                      <w:bCs w:val="0"/>
                      <w:color w:val="000000" w:themeColor="text1"/>
                      <w:sz w:val="21"/>
                      <w:szCs w:val="21"/>
                      <w:highlight w:val="none"/>
                      <w:vertAlign w:val="baseline"/>
                      <w:lang w:val="en-US" w:eastAsia="zh-CN"/>
                      <w14:textFill>
                        <w14:solidFill>
                          <w14:schemeClr w14:val="tx1"/>
                        </w14:solidFill>
                      </w14:textFill>
                    </w:rPr>
                    <w:t>3#、4#、5#圆窑：为6门圆窑，内径6m，高10m，砖混结构</w:t>
                  </w:r>
                </w:p>
              </w:tc>
              <w:tc>
                <w:tcPr>
                  <w:tcW w:w="1922" w:type="dxa"/>
                  <w:vMerge w:val="continue"/>
                  <w:noWrap w:val="0"/>
                  <w:vAlign w:val="center"/>
                </w:tcPr>
                <w:p w14:paraId="3620FB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b w:val="0"/>
                      <w:bCs w:val="0"/>
                      <w:color w:val="000000" w:themeColor="text1"/>
                      <w:sz w:val="21"/>
                      <w:szCs w:val="21"/>
                      <w:vertAlign w:val="baseline"/>
                      <w:lang w:val="en-US" w:eastAsia="zh-CN"/>
                      <w14:textFill>
                        <w14:solidFill>
                          <w14:schemeClr w14:val="tx1"/>
                        </w14:solidFill>
                      </w14:textFill>
                    </w:rPr>
                  </w:pPr>
                </w:p>
              </w:tc>
              <w:tc>
                <w:tcPr>
                  <w:tcW w:w="3298" w:type="dxa"/>
                  <w:noWrap w:val="0"/>
                  <w:vAlign w:val="center"/>
                </w:tcPr>
                <w:p w14:paraId="72CA63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本次修葺后，</w:t>
                  </w:r>
                  <w:r>
                    <w:rPr>
                      <w:rFonts w:hint="eastAsia" w:eastAsia="宋体"/>
                      <w:color w:val="000000" w:themeColor="text1"/>
                      <w:szCs w:val="21"/>
                      <w:lang w:val="en-US" w:eastAsia="zh-CN"/>
                      <w14:textFill>
                        <w14:solidFill>
                          <w14:schemeClr w14:val="tx1"/>
                        </w14:solidFill>
                      </w14:textFill>
                    </w:rPr>
                    <w:t>为2门圆窑</w:t>
                  </w:r>
                  <w:r>
                    <w:rPr>
                      <w:rFonts w:hint="eastAsia"/>
                      <w:b w:val="0"/>
                      <w:bCs w:val="0"/>
                      <w:color w:val="000000" w:themeColor="text1"/>
                      <w:sz w:val="21"/>
                      <w:szCs w:val="21"/>
                      <w:vertAlign w:val="baseline"/>
                      <w:lang w:val="en-US" w:eastAsia="zh-CN"/>
                      <w14:textFill>
                        <w14:solidFill>
                          <w14:schemeClr w14:val="tx1"/>
                        </w14:solidFill>
                      </w14:textFill>
                    </w:rPr>
                    <w:t>，</w:t>
                  </w:r>
                  <w:r>
                    <w:rPr>
                      <w:rFonts w:hint="eastAsia" w:eastAsia="宋体"/>
                      <w:color w:val="000000" w:themeColor="text1"/>
                      <w:szCs w:val="21"/>
                      <w:lang w:val="en-US" w:eastAsia="zh-CN"/>
                      <w14:textFill>
                        <w14:solidFill>
                          <w14:schemeClr w14:val="tx1"/>
                        </w14:solidFill>
                      </w14:textFill>
                    </w:rPr>
                    <w:t>长28m，内径8m，高10m</w:t>
                  </w:r>
                  <w:r>
                    <w:rPr>
                      <w:rFonts w:hint="eastAsia"/>
                      <w:b w:val="0"/>
                      <w:bCs w:val="0"/>
                      <w:color w:val="000000" w:themeColor="text1"/>
                      <w:sz w:val="21"/>
                      <w:szCs w:val="21"/>
                      <w:vertAlign w:val="baseline"/>
                      <w:lang w:val="en-US" w:eastAsia="zh-CN"/>
                      <w14:textFill>
                        <w14:solidFill>
                          <w14:schemeClr w14:val="tx1"/>
                        </w14:solidFill>
                      </w14:textFill>
                    </w:rPr>
                    <w:t>，砖混结构，并配套建设烟气收集设施。</w:t>
                  </w:r>
                </w:p>
              </w:tc>
            </w:tr>
            <w:tr w14:paraId="010C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3" w:type="dxa"/>
                  <w:noWrap w:val="0"/>
                  <w:vAlign w:val="center"/>
                </w:tcPr>
                <w:p w14:paraId="3EB731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b w:val="0"/>
                      <w:bCs w:val="0"/>
                      <w:color w:val="000000" w:themeColor="text1"/>
                      <w:sz w:val="21"/>
                      <w:szCs w:val="21"/>
                      <w:highlight w:val="none"/>
                      <w:vertAlign w:val="baseline"/>
                      <w:lang w:val="en-US" w:eastAsia="zh-CN"/>
                      <w14:textFill>
                        <w14:solidFill>
                          <w14:schemeClr w14:val="tx1"/>
                        </w14:solidFill>
                      </w14:textFill>
                    </w:rPr>
                  </w:pPr>
                  <w:r>
                    <w:rPr>
                      <w:rFonts w:hint="eastAsia"/>
                      <w:b w:val="0"/>
                      <w:bCs w:val="0"/>
                      <w:color w:val="000000" w:themeColor="text1"/>
                      <w:sz w:val="21"/>
                      <w:szCs w:val="21"/>
                      <w:highlight w:val="none"/>
                      <w:vertAlign w:val="baseline"/>
                      <w:lang w:val="en-US" w:eastAsia="zh-CN"/>
                      <w14:textFill>
                        <w14:solidFill>
                          <w14:schemeClr w14:val="tx1"/>
                        </w14:solidFill>
                      </w14:textFill>
                    </w:rPr>
                    <w:t>产能</w:t>
                  </w:r>
                </w:p>
              </w:tc>
              <w:tc>
                <w:tcPr>
                  <w:tcW w:w="2291" w:type="dxa"/>
                  <w:noWrap w:val="0"/>
                  <w:vAlign w:val="center"/>
                </w:tcPr>
                <w:p w14:paraId="2354822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b w:val="0"/>
                      <w:bCs w:val="0"/>
                      <w:color w:val="000000" w:themeColor="text1"/>
                      <w:sz w:val="21"/>
                      <w:szCs w:val="21"/>
                      <w:highlight w:val="none"/>
                      <w:vertAlign w:val="baseline"/>
                      <w:lang w:val="en-US" w:eastAsia="zh-CN"/>
                      <w14:textFill>
                        <w14:solidFill>
                          <w14:schemeClr w14:val="tx1"/>
                        </w14:solidFill>
                      </w14:textFill>
                    </w:rPr>
                  </w:pPr>
                  <w:r>
                    <w:rPr>
                      <w:rFonts w:hint="eastAsia"/>
                      <w:b w:val="0"/>
                      <w:bCs w:val="0"/>
                      <w:color w:val="000000" w:themeColor="text1"/>
                      <w:sz w:val="21"/>
                      <w:szCs w:val="21"/>
                      <w:highlight w:val="none"/>
                      <w:vertAlign w:val="baseline"/>
                      <w:lang w:val="en-US" w:eastAsia="zh-CN"/>
                      <w14:textFill>
                        <w14:solidFill>
                          <w14:schemeClr w14:val="tx1"/>
                        </w14:solidFill>
                      </w14:textFill>
                    </w:rPr>
                    <w:t>1000万片/年</w:t>
                  </w:r>
                </w:p>
              </w:tc>
              <w:tc>
                <w:tcPr>
                  <w:tcW w:w="1922" w:type="dxa"/>
                  <w:noWrap w:val="0"/>
                  <w:vAlign w:val="center"/>
                </w:tcPr>
                <w:p w14:paraId="4CD021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b w:val="0"/>
                      <w:bCs w:val="0"/>
                      <w:color w:val="000000" w:themeColor="text1"/>
                      <w:sz w:val="21"/>
                      <w:szCs w:val="21"/>
                      <w:highlight w:val="none"/>
                      <w:vertAlign w:val="baseline"/>
                      <w:lang w:val="en-US" w:eastAsia="zh-CN"/>
                      <w14:textFill>
                        <w14:solidFill>
                          <w14:schemeClr w14:val="tx1"/>
                        </w14:solidFill>
                      </w14:textFill>
                    </w:rPr>
                  </w:pPr>
                  <w:r>
                    <w:rPr>
                      <w:rFonts w:hint="eastAsia"/>
                      <w:b w:val="0"/>
                      <w:bCs w:val="0"/>
                      <w:color w:val="000000" w:themeColor="text1"/>
                      <w:sz w:val="21"/>
                      <w:szCs w:val="21"/>
                      <w:highlight w:val="none"/>
                      <w:vertAlign w:val="baseline"/>
                      <w:lang w:val="en-US" w:eastAsia="zh-CN"/>
                      <w14:textFill>
                        <w14:solidFill>
                          <w14:schemeClr w14:val="tx1"/>
                        </w14:solidFill>
                      </w14:textFill>
                    </w:rPr>
                    <w:t>/</w:t>
                  </w:r>
                </w:p>
              </w:tc>
              <w:tc>
                <w:tcPr>
                  <w:tcW w:w="3298" w:type="dxa"/>
                  <w:noWrap w:val="0"/>
                  <w:vAlign w:val="center"/>
                </w:tcPr>
                <w:p w14:paraId="292213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b w:val="0"/>
                      <w:bCs w:val="0"/>
                      <w:color w:val="000000" w:themeColor="text1"/>
                      <w:sz w:val="21"/>
                      <w:szCs w:val="21"/>
                      <w:highlight w:val="none"/>
                      <w:vertAlign w:val="baseline"/>
                      <w:lang w:val="en-US" w:eastAsia="zh-CN"/>
                      <w14:textFill>
                        <w14:solidFill>
                          <w14:schemeClr w14:val="tx1"/>
                        </w14:solidFill>
                      </w14:textFill>
                    </w:rPr>
                  </w:pPr>
                  <w:r>
                    <w:rPr>
                      <w:rFonts w:hint="eastAsia"/>
                      <w:b w:val="0"/>
                      <w:bCs w:val="0"/>
                      <w:color w:val="000000" w:themeColor="text1"/>
                      <w:sz w:val="21"/>
                      <w:szCs w:val="21"/>
                      <w:highlight w:val="none"/>
                      <w:vertAlign w:val="baseline"/>
                      <w:lang w:val="en-US" w:eastAsia="zh-CN"/>
                      <w14:textFill>
                        <w14:solidFill>
                          <w14:schemeClr w14:val="tx1"/>
                        </w14:solidFill>
                      </w14:textFill>
                    </w:rPr>
                    <w:t>3000万片/年</w:t>
                  </w:r>
                </w:p>
              </w:tc>
            </w:tr>
          </w:tbl>
          <w:p w14:paraId="294C5E5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2" w:firstLineChars="200"/>
              <w:textAlignment w:val="auto"/>
              <w:outlineLvl w:val="9"/>
              <w:rPr>
                <w:rFonts w:hint="default"/>
                <w:color w:val="000000" w:themeColor="text1"/>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项目投资</w:t>
            </w:r>
            <w:r>
              <w:rPr>
                <w:rFonts w:hint="eastAsia"/>
                <w:b/>
                <w:bCs/>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项目总投资4</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7.5万元，其中环保投资27.5万元，占总投资的56.9%。</w:t>
            </w:r>
          </w:p>
          <w:p w14:paraId="10900AC1">
            <w:pPr>
              <w:keepNext w:val="0"/>
              <w:keepLines w:val="0"/>
              <w:pageBreakBefore w:val="0"/>
              <w:kinsoku/>
              <w:overflowPunct/>
              <w:topLinePunct w:val="0"/>
              <w:bidi w:val="0"/>
              <w:adjustRightInd w:val="0"/>
              <w:snapToGrid w:val="0"/>
              <w:spacing w:line="360" w:lineRule="auto"/>
              <w:ind w:firstLine="472" w:firstLineChars="196"/>
              <w:outlineLvl w:val="9"/>
              <w:rPr>
                <w:rFonts w:hint="eastAsia" w:ascii="Times New Roman" w:hAnsi="Times New Roman" w:eastAsia="宋体" w:cs="Times New Roman"/>
                <w:b/>
                <w:bCs/>
                <w:color w:val="000000" w:themeColor="text1"/>
                <w:kern w:val="0"/>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4"/>
                <w:szCs w:val="24"/>
                <w:lang w:val="en-US" w:eastAsia="zh-CN"/>
                <w14:textFill>
                  <w14:solidFill>
                    <w14:schemeClr w14:val="tx1"/>
                  </w14:solidFill>
                </w14:textFill>
              </w:rPr>
              <w:t>2、项目建设内容</w:t>
            </w:r>
          </w:p>
          <w:p w14:paraId="0BB243F1">
            <w:pPr>
              <w:spacing w:line="360" w:lineRule="auto"/>
              <w:ind w:firstLine="480" w:firstLineChars="200"/>
              <w:rPr>
                <w:color w:val="000000" w:themeColor="text1"/>
                <w:sz w:val="24"/>
                <w:shd w:val="clear" w:color="auto" w:fill="FFFFFF"/>
                <w14:textFill>
                  <w14:solidFill>
                    <w14:schemeClr w14:val="tx1"/>
                  </w14:solidFill>
                </w14:textFill>
              </w:rPr>
            </w:pPr>
            <w:r>
              <w:rPr>
                <w:color w:val="000000" w:themeColor="text1"/>
                <w:sz w:val="24"/>
                <w14:textFill>
                  <w14:solidFill>
                    <w14:schemeClr w14:val="tx1"/>
                  </w14:solidFill>
                </w14:textFill>
              </w:rPr>
              <w:t>项目主要由主体工程、辅助工程、公用工程、环保工程组成。项目建设内容组成详见表</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2</w:t>
            </w:r>
            <w:r>
              <w:rPr>
                <w:color w:val="000000" w:themeColor="text1"/>
                <w:sz w:val="24"/>
                <w14:textFill>
                  <w14:solidFill>
                    <w14:schemeClr w14:val="tx1"/>
                  </w14:solidFill>
                </w14:textFill>
              </w:rPr>
              <w:t>。</w:t>
            </w:r>
          </w:p>
          <w:p w14:paraId="5F935A1B">
            <w:pPr>
              <w:keepNext w:val="0"/>
              <w:keepLines w:val="0"/>
              <w:pageBreakBefore w:val="0"/>
              <w:widowControl w:val="0"/>
              <w:kinsoku/>
              <w:wordWrap/>
              <w:overflowPunct/>
              <w:topLinePunct w:val="0"/>
              <w:autoSpaceDE w:val="0"/>
              <w:autoSpaceDN w:val="0"/>
              <w:bidi w:val="0"/>
              <w:adjustRightInd w:val="0"/>
              <w:snapToGrid/>
              <w:spacing w:line="276" w:lineRule="auto"/>
              <w:ind w:firstLine="0" w:firstLineChars="0"/>
              <w:jc w:val="center"/>
              <w:textAlignment w:val="auto"/>
              <w:outlineLvl w:val="9"/>
              <w:rPr>
                <w:rFonts w:hint="eastAsia"/>
                <w:b/>
                <w:color w:val="000000" w:themeColor="text1"/>
                <w:sz w:val="24"/>
                <w:szCs w:val="24"/>
                <w14:textFill>
                  <w14:solidFill>
                    <w14:schemeClr w14:val="tx1"/>
                  </w14:solidFill>
                </w14:textFill>
              </w:rPr>
            </w:pPr>
            <w:r>
              <w:rPr>
                <w:b/>
                <w:color w:val="000000" w:themeColor="text1"/>
                <w:sz w:val="24"/>
                <w:shd w:val="clear" w:color="auto" w:fill="FFFFFF"/>
                <w14:textFill>
                  <w14:solidFill>
                    <w14:schemeClr w14:val="tx1"/>
                  </w14:solidFill>
                </w14:textFill>
              </w:rPr>
              <w:t>表</w:t>
            </w:r>
            <w:r>
              <w:rPr>
                <w:rFonts w:hint="eastAsia"/>
                <w:b/>
                <w:color w:val="000000" w:themeColor="text1"/>
                <w:sz w:val="24"/>
                <w:shd w:val="clear" w:color="auto" w:fill="FFFFFF"/>
                <w14:textFill>
                  <w14:solidFill>
                    <w14:schemeClr w14:val="tx1"/>
                  </w14:solidFill>
                </w14:textFill>
              </w:rPr>
              <w:t>2</w:t>
            </w:r>
            <w:r>
              <w:rPr>
                <w:b/>
                <w:color w:val="000000" w:themeColor="text1"/>
                <w:sz w:val="24"/>
                <w:shd w:val="clear" w:color="auto" w:fill="FFFFFF"/>
                <w14:textFill>
                  <w14:solidFill>
                    <w14:schemeClr w14:val="tx1"/>
                  </w14:solidFill>
                </w14:textFill>
              </w:rPr>
              <w:t>-</w:t>
            </w:r>
            <w:r>
              <w:rPr>
                <w:rFonts w:hint="eastAsia"/>
                <w:b/>
                <w:color w:val="000000" w:themeColor="text1"/>
                <w:sz w:val="24"/>
                <w:shd w:val="clear" w:color="auto" w:fill="FFFFFF"/>
                <w:lang w:val="en-US" w:eastAsia="zh-CN"/>
                <w14:textFill>
                  <w14:solidFill>
                    <w14:schemeClr w14:val="tx1"/>
                  </w14:solidFill>
                </w14:textFill>
              </w:rPr>
              <w:t>2</w:t>
            </w:r>
            <w:r>
              <w:rPr>
                <w:b/>
                <w:color w:val="000000" w:themeColor="text1"/>
                <w:sz w:val="24"/>
                <w:shd w:val="clear" w:color="auto" w:fill="FFFFFF"/>
                <w14:textFill>
                  <w14:solidFill>
                    <w14:schemeClr w14:val="tx1"/>
                  </w14:solidFill>
                </w14:textFill>
              </w:rPr>
              <w:t xml:space="preserve">   项目工程组成一览表</w:t>
            </w:r>
          </w:p>
          <w:tbl>
            <w:tblPr>
              <w:tblStyle w:val="28"/>
              <w:tblW w:w="49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419"/>
              <w:gridCol w:w="696"/>
              <w:gridCol w:w="5127"/>
              <w:gridCol w:w="1525"/>
            </w:tblGrid>
            <w:tr w14:paraId="3C34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tblHeader/>
                <w:jc w:val="center"/>
              </w:trPr>
              <w:tc>
                <w:tcPr>
                  <w:tcW w:w="432" w:type="pct"/>
                  <w:noWrap w:val="0"/>
                  <w:vAlign w:val="center"/>
                </w:tcPr>
                <w:p w14:paraId="51BDF0F6">
                  <w:pPr>
                    <w:jc w:val="center"/>
                    <w:rPr>
                      <w:rFonts w:eastAsia="宋体"/>
                      <w:b/>
                      <w:snapToGrid w:val="0"/>
                      <w:color w:val="000000" w:themeColor="text1"/>
                      <w:kern w:val="0"/>
                      <w:szCs w:val="21"/>
                      <w14:textFill>
                        <w14:solidFill>
                          <w14:schemeClr w14:val="tx1"/>
                        </w14:solidFill>
                      </w14:textFill>
                    </w:rPr>
                  </w:pPr>
                  <w:r>
                    <w:rPr>
                      <w:rFonts w:eastAsia="宋体"/>
                      <w:b/>
                      <w:snapToGrid w:val="0"/>
                      <w:color w:val="000000" w:themeColor="text1"/>
                      <w:kern w:val="0"/>
                      <w:szCs w:val="21"/>
                      <w14:textFill>
                        <w14:solidFill>
                          <w14:schemeClr w14:val="tx1"/>
                        </w14:solidFill>
                      </w14:textFill>
                    </w:rPr>
                    <w:t>分类</w:t>
                  </w:r>
                </w:p>
              </w:tc>
              <w:tc>
                <w:tcPr>
                  <w:tcW w:w="655" w:type="pct"/>
                  <w:gridSpan w:val="2"/>
                  <w:noWrap w:val="0"/>
                  <w:vAlign w:val="center"/>
                </w:tcPr>
                <w:p w14:paraId="27952096">
                  <w:pPr>
                    <w:jc w:val="center"/>
                    <w:rPr>
                      <w:rFonts w:eastAsia="宋体"/>
                      <w:b/>
                      <w:snapToGrid w:val="0"/>
                      <w:color w:val="000000" w:themeColor="text1"/>
                      <w:kern w:val="0"/>
                      <w:szCs w:val="21"/>
                      <w14:textFill>
                        <w14:solidFill>
                          <w14:schemeClr w14:val="tx1"/>
                        </w14:solidFill>
                      </w14:textFill>
                    </w:rPr>
                  </w:pPr>
                  <w:r>
                    <w:rPr>
                      <w:rFonts w:hint="eastAsia" w:eastAsia="宋体"/>
                      <w:b/>
                      <w:snapToGrid w:val="0"/>
                      <w:color w:val="000000" w:themeColor="text1"/>
                      <w:kern w:val="0"/>
                      <w:szCs w:val="21"/>
                      <w14:textFill>
                        <w14:solidFill>
                          <w14:schemeClr w14:val="tx1"/>
                        </w14:solidFill>
                      </w14:textFill>
                    </w:rPr>
                    <w:t>工程名称</w:t>
                  </w:r>
                </w:p>
              </w:tc>
              <w:tc>
                <w:tcPr>
                  <w:tcW w:w="3014" w:type="pct"/>
                  <w:noWrap w:val="0"/>
                  <w:vAlign w:val="center"/>
                </w:tcPr>
                <w:p w14:paraId="1973684F">
                  <w:pPr>
                    <w:jc w:val="center"/>
                    <w:rPr>
                      <w:rFonts w:eastAsia="宋体"/>
                      <w:b/>
                      <w:snapToGrid w:val="0"/>
                      <w:color w:val="000000" w:themeColor="text1"/>
                      <w:kern w:val="0"/>
                      <w:szCs w:val="21"/>
                      <w14:textFill>
                        <w14:solidFill>
                          <w14:schemeClr w14:val="tx1"/>
                        </w14:solidFill>
                      </w14:textFill>
                    </w:rPr>
                  </w:pPr>
                  <w:r>
                    <w:rPr>
                      <w:rFonts w:eastAsia="宋体"/>
                      <w:b/>
                      <w:snapToGrid w:val="0"/>
                      <w:color w:val="000000" w:themeColor="text1"/>
                      <w:kern w:val="0"/>
                      <w:szCs w:val="21"/>
                      <w14:textFill>
                        <w14:solidFill>
                          <w14:schemeClr w14:val="tx1"/>
                        </w14:solidFill>
                      </w14:textFill>
                    </w:rPr>
                    <w:t>建设内容</w:t>
                  </w:r>
                </w:p>
              </w:tc>
              <w:tc>
                <w:tcPr>
                  <w:tcW w:w="896" w:type="pct"/>
                  <w:noWrap w:val="0"/>
                  <w:vAlign w:val="center"/>
                </w:tcPr>
                <w:p w14:paraId="19B3F3AD">
                  <w:pPr>
                    <w:jc w:val="center"/>
                    <w:rPr>
                      <w:rFonts w:eastAsia="宋体"/>
                      <w:b/>
                      <w:snapToGrid w:val="0"/>
                      <w:color w:val="000000" w:themeColor="text1"/>
                      <w:kern w:val="0"/>
                      <w:szCs w:val="21"/>
                      <w14:textFill>
                        <w14:solidFill>
                          <w14:schemeClr w14:val="tx1"/>
                        </w14:solidFill>
                      </w14:textFill>
                    </w:rPr>
                  </w:pPr>
                  <w:r>
                    <w:rPr>
                      <w:rFonts w:eastAsia="宋体"/>
                      <w:b/>
                      <w:snapToGrid w:val="0"/>
                      <w:color w:val="000000" w:themeColor="text1"/>
                      <w:kern w:val="0"/>
                      <w:szCs w:val="21"/>
                      <w14:textFill>
                        <w14:solidFill>
                          <w14:schemeClr w14:val="tx1"/>
                        </w14:solidFill>
                      </w14:textFill>
                    </w:rPr>
                    <w:t>备注</w:t>
                  </w:r>
                </w:p>
              </w:tc>
            </w:tr>
            <w:tr w14:paraId="31D5C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blHeader/>
                <w:jc w:val="center"/>
              </w:trPr>
              <w:tc>
                <w:tcPr>
                  <w:tcW w:w="432" w:type="pct"/>
                  <w:vMerge w:val="restart"/>
                  <w:noWrap w:val="0"/>
                  <w:vAlign w:val="center"/>
                </w:tcPr>
                <w:p w14:paraId="12CB509C">
                  <w:pPr>
                    <w:jc w:val="center"/>
                    <w:rPr>
                      <w:rFonts w:eastAsia="宋体"/>
                      <w:snapToGrid w:val="0"/>
                      <w:color w:val="000000" w:themeColor="text1"/>
                      <w:kern w:val="0"/>
                      <w:szCs w:val="21"/>
                      <w14:textFill>
                        <w14:solidFill>
                          <w14:schemeClr w14:val="tx1"/>
                        </w14:solidFill>
                      </w14:textFill>
                    </w:rPr>
                  </w:pPr>
                  <w:r>
                    <w:rPr>
                      <w:rFonts w:eastAsia="宋体"/>
                      <w:snapToGrid w:val="0"/>
                      <w:color w:val="000000" w:themeColor="text1"/>
                      <w:kern w:val="0"/>
                      <w:szCs w:val="21"/>
                      <w14:textFill>
                        <w14:solidFill>
                          <w14:schemeClr w14:val="tx1"/>
                        </w14:solidFill>
                      </w14:textFill>
                    </w:rPr>
                    <w:t>主体工程</w:t>
                  </w:r>
                </w:p>
              </w:tc>
              <w:tc>
                <w:tcPr>
                  <w:tcW w:w="655" w:type="pct"/>
                  <w:gridSpan w:val="2"/>
                  <w:vMerge w:val="restart"/>
                  <w:noWrap w:val="0"/>
                  <w:vAlign w:val="center"/>
                </w:tcPr>
                <w:p w14:paraId="5F3F70A9">
                  <w:pPr>
                    <w:widowControl/>
                    <w:jc w:val="center"/>
                    <w:textAlignment w:val="center"/>
                    <w:rPr>
                      <w:rFonts w:hint="default" w:eastAsia="宋体"/>
                      <w:color w:val="000000" w:themeColor="text1"/>
                      <w:szCs w:val="21"/>
                      <w:lang w:val="en-US" w:eastAsia="zh-CN"/>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烧制车间</w:t>
                  </w:r>
                </w:p>
              </w:tc>
              <w:tc>
                <w:tcPr>
                  <w:tcW w:w="3911" w:type="pct"/>
                  <w:gridSpan w:val="2"/>
                  <w:noWrap w:val="0"/>
                  <w:vAlign w:val="center"/>
                </w:tcPr>
                <w:p w14:paraId="6C9439D3">
                  <w:pPr>
                    <w:rPr>
                      <w:rFonts w:hint="default" w:eastAsia="宋体"/>
                      <w:snapToGrid w:val="0"/>
                      <w:color w:val="000000" w:themeColor="text1"/>
                      <w:kern w:val="0"/>
                      <w:szCs w:val="21"/>
                      <w:lang w:val="en-US" w:eastAsia="zh-CN"/>
                      <w14:textFill>
                        <w14:solidFill>
                          <w14:schemeClr w14:val="tx1"/>
                        </w14:solidFill>
                      </w14:textFill>
                    </w:rPr>
                  </w:pPr>
                  <w:r>
                    <w:rPr>
                      <w:rFonts w:hint="eastAsia" w:eastAsia="宋体"/>
                      <w:color w:val="000000" w:themeColor="text1"/>
                      <w:kern w:val="0"/>
                      <w:szCs w:val="21"/>
                      <w:lang w:val="en-US" w:eastAsia="zh-CN"/>
                      <w14:textFill>
                        <w14:solidFill>
                          <w14:schemeClr w14:val="tx1"/>
                        </w14:solidFill>
                      </w14:textFill>
                    </w:rPr>
                    <w:t>位于南侧，占地面积约3000m</w:t>
                  </w:r>
                  <w:r>
                    <w:rPr>
                      <w:rFonts w:hint="eastAsia" w:eastAsia="宋体"/>
                      <w:color w:val="000000" w:themeColor="text1"/>
                      <w:kern w:val="0"/>
                      <w:szCs w:val="21"/>
                      <w:vertAlign w:val="superscript"/>
                      <w:lang w:val="en-US" w:eastAsia="zh-CN"/>
                      <w14:textFill>
                        <w14:solidFill>
                          <w14:schemeClr w14:val="tx1"/>
                        </w14:solidFill>
                      </w14:textFill>
                    </w:rPr>
                    <w:t>2</w:t>
                  </w:r>
                  <w:r>
                    <w:rPr>
                      <w:rFonts w:hint="eastAsia" w:eastAsia="宋体"/>
                      <w:color w:val="000000" w:themeColor="text1"/>
                      <w:kern w:val="0"/>
                      <w:szCs w:val="21"/>
                      <w:vertAlign w:val="baseline"/>
                      <w:lang w:val="en-US" w:eastAsia="zh-CN"/>
                      <w14:textFill>
                        <w14:solidFill>
                          <w14:schemeClr w14:val="tx1"/>
                        </w14:solidFill>
                      </w14:textFill>
                    </w:rPr>
                    <w:t>，设置有6座古建青瓦烧制窑（仿古窑），燃料为生物质，设置有彩钢瓦顶棚。具体如下所示：</w:t>
                  </w:r>
                </w:p>
              </w:tc>
            </w:tr>
            <w:tr w14:paraId="558A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blHeader/>
                <w:jc w:val="center"/>
              </w:trPr>
              <w:tc>
                <w:tcPr>
                  <w:tcW w:w="432" w:type="pct"/>
                  <w:vMerge w:val="continue"/>
                  <w:noWrap w:val="0"/>
                  <w:vAlign w:val="center"/>
                </w:tcPr>
                <w:p w14:paraId="628BCC96">
                  <w:pPr>
                    <w:rPr>
                      <w:color w:val="000000" w:themeColor="text1"/>
                      <w14:textFill>
                        <w14:solidFill>
                          <w14:schemeClr w14:val="tx1"/>
                        </w14:solidFill>
                      </w14:textFill>
                    </w:rPr>
                  </w:pPr>
                </w:p>
              </w:tc>
              <w:tc>
                <w:tcPr>
                  <w:tcW w:w="655" w:type="pct"/>
                  <w:gridSpan w:val="2"/>
                  <w:vMerge w:val="continue"/>
                  <w:noWrap w:val="0"/>
                  <w:vAlign w:val="center"/>
                </w:tcPr>
                <w:p w14:paraId="055CA826">
                  <w:pPr>
                    <w:rPr>
                      <w:rFonts w:hint="eastAsia" w:eastAsia="宋体"/>
                      <w:color w:val="000000" w:themeColor="text1"/>
                      <w:szCs w:val="21"/>
                      <w:lang w:val="en-US" w:eastAsia="zh-CN"/>
                      <w14:textFill>
                        <w14:solidFill>
                          <w14:schemeClr w14:val="tx1"/>
                        </w14:solidFill>
                      </w14:textFill>
                    </w:rPr>
                  </w:pPr>
                </w:p>
              </w:tc>
              <w:tc>
                <w:tcPr>
                  <w:tcW w:w="3014" w:type="pct"/>
                  <w:noWrap w:val="0"/>
                  <w:vAlign w:val="center"/>
                </w:tcPr>
                <w:p w14:paraId="004DC78D">
                  <w:pPr>
                    <w:rPr>
                      <w:rFonts w:hint="default" w:eastAsia="宋体"/>
                      <w:color w:val="000000" w:themeColor="text1"/>
                      <w:szCs w:val="21"/>
                      <w:lang w:val="en-US" w:eastAsia="zh-CN"/>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1#、2#仿古窑：位于烧制车间西南面，为</w:t>
                  </w:r>
                  <w:r>
                    <w:rPr>
                      <w:rFonts w:hint="eastAsia"/>
                      <w:color w:val="000000" w:themeColor="text1"/>
                      <w:szCs w:val="21"/>
                      <w:lang w:val="en-US" w:eastAsia="zh-CN"/>
                      <w14:textFill>
                        <w14:solidFill>
                          <w14:schemeClr w14:val="tx1"/>
                        </w14:solidFill>
                      </w14:textFill>
                    </w:rPr>
                    <w:t>2</w:t>
                  </w:r>
                  <w:r>
                    <w:rPr>
                      <w:rFonts w:hint="eastAsia" w:eastAsia="宋体"/>
                      <w:color w:val="000000" w:themeColor="text1"/>
                      <w:szCs w:val="21"/>
                      <w:lang w:val="en-US" w:eastAsia="zh-CN"/>
                      <w14:textFill>
                        <w14:solidFill>
                          <w14:schemeClr w14:val="tx1"/>
                        </w14:solidFill>
                      </w14:textFill>
                    </w:rPr>
                    <w:t>门仿古圆窑，内径6m，高10m，砖混结构。本次修葺后处理能力为25万片青瓦/窑。</w:t>
                  </w:r>
                </w:p>
              </w:tc>
              <w:tc>
                <w:tcPr>
                  <w:tcW w:w="896" w:type="pct"/>
                  <w:vMerge w:val="restart"/>
                  <w:noWrap w:val="0"/>
                  <w:vAlign w:val="center"/>
                </w:tcPr>
                <w:p w14:paraId="2EEBAC1B">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Cs w:val="21"/>
                      <w:lang w:val="en-US" w:eastAsia="zh-CN"/>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现有项目已建，本次修葺（未实施）</w:t>
                  </w:r>
                </w:p>
              </w:tc>
            </w:tr>
            <w:tr w14:paraId="7FBC7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blHeader/>
                <w:jc w:val="center"/>
              </w:trPr>
              <w:tc>
                <w:tcPr>
                  <w:tcW w:w="432" w:type="pct"/>
                  <w:vMerge w:val="continue"/>
                  <w:noWrap w:val="0"/>
                  <w:vAlign w:val="center"/>
                </w:tcPr>
                <w:p w14:paraId="39086AFC">
                  <w:pPr>
                    <w:rPr>
                      <w:rFonts w:hint="eastAsia" w:eastAsia="宋体"/>
                      <w:color w:val="000000" w:themeColor="text1"/>
                      <w:szCs w:val="21"/>
                      <w:lang w:val="en-US" w:eastAsia="zh-CN"/>
                      <w14:textFill>
                        <w14:solidFill>
                          <w14:schemeClr w14:val="tx1"/>
                        </w14:solidFill>
                      </w14:textFill>
                    </w:rPr>
                  </w:pPr>
                </w:p>
              </w:tc>
              <w:tc>
                <w:tcPr>
                  <w:tcW w:w="655" w:type="pct"/>
                  <w:gridSpan w:val="2"/>
                  <w:vMerge w:val="continue"/>
                  <w:noWrap w:val="0"/>
                  <w:vAlign w:val="center"/>
                </w:tcPr>
                <w:p w14:paraId="2A9FCB6E">
                  <w:pPr>
                    <w:rPr>
                      <w:rFonts w:hint="eastAsia" w:eastAsia="宋体"/>
                      <w:color w:val="000000" w:themeColor="text1"/>
                      <w:szCs w:val="21"/>
                      <w:lang w:val="en-US" w:eastAsia="zh-CN"/>
                      <w14:textFill>
                        <w14:solidFill>
                          <w14:schemeClr w14:val="tx1"/>
                        </w14:solidFill>
                      </w14:textFill>
                    </w:rPr>
                  </w:pPr>
                </w:p>
              </w:tc>
              <w:tc>
                <w:tcPr>
                  <w:tcW w:w="3014" w:type="pct"/>
                  <w:noWrap w:val="0"/>
                  <w:vAlign w:val="center"/>
                </w:tcPr>
                <w:p w14:paraId="6B955665">
                  <w:pPr>
                    <w:rPr>
                      <w:rFonts w:hint="default" w:eastAsia="宋体"/>
                      <w:color w:val="000000" w:themeColor="text1"/>
                      <w:szCs w:val="21"/>
                      <w:lang w:val="en-US" w:eastAsia="zh-CN"/>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3#、4#、5#仿古窑：位于烧制车间东南面，为</w:t>
                  </w:r>
                  <w:r>
                    <w:rPr>
                      <w:rFonts w:hint="eastAsia"/>
                      <w:color w:val="000000" w:themeColor="text1"/>
                      <w:szCs w:val="21"/>
                      <w:lang w:val="en-US" w:eastAsia="zh-CN"/>
                      <w14:textFill>
                        <w14:solidFill>
                          <w14:schemeClr w14:val="tx1"/>
                        </w14:solidFill>
                      </w14:textFill>
                    </w:rPr>
                    <w:t>2</w:t>
                  </w:r>
                  <w:r>
                    <w:rPr>
                      <w:rFonts w:hint="eastAsia" w:eastAsia="宋体"/>
                      <w:color w:val="000000" w:themeColor="text1"/>
                      <w:szCs w:val="21"/>
                      <w:lang w:val="en-US" w:eastAsia="zh-CN"/>
                      <w14:textFill>
                        <w14:solidFill>
                          <w14:schemeClr w14:val="tx1"/>
                        </w14:solidFill>
                      </w14:textFill>
                    </w:rPr>
                    <w:t>门仿古圆窑，长28m，宽8m，高10m，砖混结构。本次修葺后处理能力为65万片青瓦/窑。</w:t>
                  </w:r>
                </w:p>
              </w:tc>
              <w:tc>
                <w:tcPr>
                  <w:tcW w:w="896" w:type="pct"/>
                  <w:vMerge w:val="continue"/>
                  <w:noWrap w:val="0"/>
                  <w:vAlign w:val="center"/>
                </w:tcPr>
                <w:p w14:paraId="7CDEBFF6">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Cs w:val="21"/>
                      <w:lang w:val="en-US" w:eastAsia="zh-CN"/>
                      <w14:textFill>
                        <w14:solidFill>
                          <w14:schemeClr w14:val="tx1"/>
                        </w14:solidFill>
                      </w14:textFill>
                    </w:rPr>
                  </w:pPr>
                </w:p>
              </w:tc>
            </w:tr>
            <w:tr w14:paraId="7E50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blHeader/>
                <w:jc w:val="center"/>
              </w:trPr>
              <w:tc>
                <w:tcPr>
                  <w:tcW w:w="432" w:type="pct"/>
                  <w:vMerge w:val="continue"/>
                  <w:noWrap w:val="0"/>
                  <w:vAlign w:val="center"/>
                </w:tcPr>
                <w:p w14:paraId="3D7F6B2B">
                  <w:pPr>
                    <w:rPr>
                      <w:rFonts w:hint="eastAsia" w:eastAsia="宋体"/>
                      <w:color w:val="000000" w:themeColor="text1"/>
                      <w:szCs w:val="21"/>
                      <w:lang w:val="en-US" w:eastAsia="zh-CN"/>
                      <w14:textFill>
                        <w14:solidFill>
                          <w14:schemeClr w14:val="tx1"/>
                        </w14:solidFill>
                      </w14:textFill>
                    </w:rPr>
                  </w:pPr>
                </w:p>
              </w:tc>
              <w:tc>
                <w:tcPr>
                  <w:tcW w:w="655" w:type="pct"/>
                  <w:gridSpan w:val="2"/>
                  <w:vMerge w:val="continue"/>
                  <w:noWrap w:val="0"/>
                  <w:vAlign w:val="center"/>
                </w:tcPr>
                <w:p w14:paraId="2C86AE4E">
                  <w:pPr>
                    <w:rPr>
                      <w:rFonts w:hint="eastAsia" w:eastAsia="宋体"/>
                      <w:color w:val="000000" w:themeColor="text1"/>
                      <w:szCs w:val="21"/>
                      <w:lang w:val="en-US" w:eastAsia="zh-CN"/>
                      <w14:textFill>
                        <w14:solidFill>
                          <w14:schemeClr w14:val="tx1"/>
                        </w14:solidFill>
                      </w14:textFill>
                    </w:rPr>
                  </w:pPr>
                </w:p>
              </w:tc>
              <w:tc>
                <w:tcPr>
                  <w:tcW w:w="3014" w:type="pct"/>
                  <w:noWrap w:val="0"/>
                  <w:vAlign w:val="center"/>
                </w:tcPr>
                <w:p w14:paraId="63627E65">
                  <w:pPr>
                    <w:rPr>
                      <w:rFonts w:hint="default" w:eastAsia="宋体"/>
                      <w:color w:val="000000" w:themeColor="text1"/>
                      <w:szCs w:val="21"/>
                      <w:lang w:val="en-US" w:eastAsia="zh-CN"/>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6#仿古窑：位于烧制车间北面，为4门仿古方窑，长28m，宽6m，高8m，砖混结构。新建，处理能力为55万片青瓦/窑。</w:t>
                  </w:r>
                </w:p>
              </w:tc>
              <w:tc>
                <w:tcPr>
                  <w:tcW w:w="896" w:type="pct"/>
                  <w:noWrap w:val="0"/>
                  <w:vAlign w:val="center"/>
                </w:tcPr>
                <w:p w14:paraId="3F9F8D63">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Cs w:val="21"/>
                      <w:lang w:val="en-US" w:eastAsia="zh-CN"/>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新建（已建</w:t>
                  </w:r>
                  <w:r>
                    <w:rPr>
                      <w:rFonts w:hint="eastAsia"/>
                      <w:color w:val="000000" w:themeColor="text1"/>
                      <w:szCs w:val="21"/>
                      <w:lang w:val="en-US" w:eastAsia="zh-CN"/>
                      <w14:textFill>
                        <w14:solidFill>
                          <w14:schemeClr w14:val="tx1"/>
                        </w14:solidFill>
                      </w14:textFill>
                    </w:rPr>
                    <w:t>成</w:t>
                  </w:r>
                  <w:r>
                    <w:rPr>
                      <w:rFonts w:hint="eastAsia" w:eastAsia="宋体"/>
                      <w:color w:val="000000" w:themeColor="text1"/>
                      <w:szCs w:val="21"/>
                      <w:lang w:val="en-US" w:eastAsia="zh-CN"/>
                      <w14:textFill>
                        <w14:solidFill>
                          <w14:schemeClr w14:val="tx1"/>
                        </w14:solidFill>
                      </w14:textFill>
                    </w:rPr>
                    <w:t>）</w:t>
                  </w:r>
                </w:p>
              </w:tc>
            </w:tr>
            <w:tr w14:paraId="65D7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432" w:type="pct"/>
                  <w:vMerge w:val="continue"/>
                  <w:noWrap w:val="0"/>
                  <w:vAlign w:val="center"/>
                </w:tcPr>
                <w:p w14:paraId="1096837A">
                  <w:pPr>
                    <w:jc w:val="center"/>
                    <w:rPr>
                      <w:rFonts w:eastAsia="宋体"/>
                      <w:snapToGrid w:val="0"/>
                      <w:color w:val="000000" w:themeColor="text1"/>
                      <w:kern w:val="0"/>
                      <w:szCs w:val="21"/>
                      <w14:textFill>
                        <w14:solidFill>
                          <w14:schemeClr w14:val="tx1"/>
                        </w14:solidFill>
                      </w14:textFill>
                    </w:rPr>
                  </w:pPr>
                </w:p>
              </w:tc>
              <w:tc>
                <w:tcPr>
                  <w:tcW w:w="655" w:type="pct"/>
                  <w:gridSpan w:val="2"/>
                  <w:noWrap w:val="0"/>
                  <w:vAlign w:val="center"/>
                </w:tcPr>
                <w:p w14:paraId="27AE78DA">
                  <w:pPr>
                    <w:widowControl/>
                    <w:jc w:val="center"/>
                    <w:rPr>
                      <w:rFonts w:eastAsia="宋体"/>
                      <w:color w:val="000000" w:themeColor="text1"/>
                      <w:szCs w:val="21"/>
                      <w14:textFill>
                        <w14:solidFill>
                          <w14:schemeClr w14:val="tx1"/>
                        </w14:solidFill>
                      </w14:textFill>
                    </w:rPr>
                  </w:pPr>
                  <w:r>
                    <w:rPr>
                      <w:rFonts w:hint="eastAsia" w:eastAsia="宋体"/>
                      <w:color w:val="000000" w:themeColor="text1"/>
                      <w:kern w:val="0"/>
                      <w:szCs w:val="21"/>
                      <w:lang w:val="en-US" w:eastAsia="zh-CN"/>
                      <w14:textFill>
                        <w14:solidFill>
                          <w14:schemeClr w14:val="tx1"/>
                        </w14:solidFill>
                      </w14:textFill>
                    </w:rPr>
                    <w:t>制瓦车间</w:t>
                  </w:r>
                </w:p>
              </w:tc>
              <w:tc>
                <w:tcPr>
                  <w:tcW w:w="3014" w:type="pct"/>
                  <w:noWrap w:val="0"/>
                  <w:vAlign w:val="center"/>
                </w:tcPr>
                <w:p w14:paraId="778F6EE1">
                  <w:pPr>
                    <w:widowControl/>
                    <w:rPr>
                      <w:rFonts w:hint="default" w:eastAsia="宋体"/>
                      <w:color w:val="000000" w:themeColor="text1"/>
                      <w:kern w:val="0"/>
                      <w:szCs w:val="21"/>
                      <w:lang w:val="en-US" w:eastAsia="zh-CN"/>
                      <w14:textFill>
                        <w14:solidFill>
                          <w14:schemeClr w14:val="tx1"/>
                        </w14:solidFill>
                      </w14:textFill>
                    </w:rPr>
                  </w:pPr>
                  <w:r>
                    <w:rPr>
                      <w:rFonts w:hint="eastAsia" w:eastAsia="宋体"/>
                      <w:color w:val="000000" w:themeColor="text1"/>
                      <w:kern w:val="0"/>
                      <w:szCs w:val="21"/>
                      <w14:textFill>
                        <w14:solidFill>
                          <w14:schemeClr w14:val="tx1"/>
                        </w14:solidFill>
                      </w14:textFill>
                    </w:rPr>
                    <w:t>1座，</w:t>
                  </w:r>
                  <w:r>
                    <w:rPr>
                      <w:rFonts w:eastAsia="宋体"/>
                      <w:color w:val="000000" w:themeColor="text1"/>
                      <w:kern w:val="0"/>
                      <w:szCs w:val="21"/>
                      <w14:textFill>
                        <w14:solidFill>
                          <w14:schemeClr w14:val="tx1"/>
                        </w14:solidFill>
                      </w14:textFill>
                    </w:rPr>
                    <w:t>位于</w:t>
                  </w:r>
                  <w:r>
                    <w:rPr>
                      <w:rFonts w:hint="eastAsia" w:eastAsia="宋体"/>
                      <w:color w:val="000000" w:themeColor="text1"/>
                      <w:kern w:val="0"/>
                      <w:szCs w:val="21"/>
                      <w:lang w:val="en-US" w:eastAsia="zh-CN"/>
                      <w14:textFill>
                        <w14:solidFill>
                          <w14:schemeClr w14:val="tx1"/>
                        </w14:solidFill>
                      </w14:textFill>
                    </w:rPr>
                    <w:t>烧制车间东北面</w:t>
                  </w:r>
                  <w:r>
                    <w:rPr>
                      <w:rFonts w:eastAsia="宋体"/>
                      <w:color w:val="000000" w:themeColor="text1"/>
                      <w:kern w:val="0"/>
                      <w:szCs w:val="21"/>
                      <w14:textFill>
                        <w14:solidFill>
                          <w14:schemeClr w14:val="tx1"/>
                        </w14:solidFill>
                      </w14:textFill>
                    </w:rPr>
                    <w:t>，紧邻</w:t>
                  </w:r>
                  <w:r>
                    <w:rPr>
                      <w:rFonts w:hint="eastAsia" w:eastAsia="宋体"/>
                      <w:color w:val="000000" w:themeColor="text1"/>
                      <w:kern w:val="0"/>
                      <w:szCs w:val="21"/>
                      <w:lang w:val="en-US" w:eastAsia="zh-CN"/>
                      <w14:textFill>
                        <w14:solidFill>
                          <w14:schemeClr w14:val="tx1"/>
                        </w14:solidFill>
                      </w14:textFill>
                    </w:rPr>
                    <w:t>现有原料贮存库</w:t>
                  </w:r>
                  <w:r>
                    <w:rPr>
                      <w:rFonts w:eastAsia="宋体"/>
                      <w:color w:val="000000" w:themeColor="text1"/>
                      <w:kern w:val="0"/>
                      <w:szCs w:val="21"/>
                      <w14:textFill>
                        <w14:solidFill>
                          <w14:schemeClr w14:val="tx1"/>
                        </w14:solidFill>
                      </w14:textFill>
                    </w:rPr>
                    <w:t>，</w:t>
                  </w:r>
                  <w:r>
                    <w:rPr>
                      <w:rFonts w:hint="eastAsia" w:eastAsia="宋体"/>
                      <w:color w:val="000000" w:themeColor="text1"/>
                      <w:szCs w:val="21"/>
                      <w14:textFill>
                        <w14:solidFill>
                          <w14:schemeClr w14:val="tx1"/>
                        </w14:solidFill>
                      </w14:textFill>
                    </w:rPr>
                    <w:t>设</w:t>
                  </w:r>
                  <w:r>
                    <w:rPr>
                      <w:rFonts w:eastAsia="宋体"/>
                      <w:color w:val="000000" w:themeColor="text1"/>
                      <w:kern w:val="0"/>
                      <w:szCs w:val="21"/>
                      <w14:textFill>
                        <w14:solidFill>
                          <w14:schemeClr w14:val="tx1"/>
                        </w14:solidFill>
                      </w14:textFill>
                    </w:rPr>
                    <w:t>三面围挡</w:t>
                  </w:r>
                  <w:r>
                    <w:rPr>
                      <w:rFonts w:hint="eastAsia" w:eastAsia="宋体"/>
                      <w:color w:val="000000" w:themeColor="text1"/>
                      <w:kern w:val="0"/>
                      <w:szCs w:val="21"/>
                      <w14:textFill>
                        <w14:solidFill>
                          <w14:schemeClr w14:val="tx1"/>
                        </w14:solidFill>
                      </w14:textFill>
                    </w:rPr>
                    <w:t>+</w:t>
                  </w:r>
                  <w:r>
                    <w:rPr>
                      <w:rFonts w:eastAsia="宋体"/>
                      <w:color w:val="000000" w:themeColor="text1"/>
                      <w:kern w:val="0"/>
                      <w:szCs w:val="21"/>
                      <w14:textFill>
                        <w14:solidFill>
                          <w14:schemeClr w14:val="tx1"/>
                        </w14:solidFill>
                      </w14:textFill>
                    </w:rPr>
                    <w:t>彩钢瓦顶棚，占地面积</w:t>
                  </w:r>
                  <w:r>
                    <w:rPr>
                      <w:rFonts w:hint="eastAsia" w:eastAsia="宋体"/>
                      <w:color w:val="000000" w:themeColor="text1"/>
                      <w:kern w:val="0"/>
                      <w:szCs w:val="21"/>
                      <w:lang w:val="en-US" w:eastAsia="zh-CN"/>
                      <w14:textFill>
                        <w14:solidFill>
                          <w14:schemeClr w14:val="tx1"/>
                        </w14:solidFill>
                      </w14:textFill>
                    </w:rPr>
                    <w:t>1250</w:t>
                  </w:r>
                  <w:r>
                    <w:rPr>
                      <w:rFonts w:eastAsia="宋体"/>
                      <w:color w:val="000000" w:themeColor="text1"/>
                      <w:kern w:val="0"/>
                      <w:szCs w:val="21"/>
                      <w14:textFill>
                        <w14:solidFill>
                          <w14:schemeClr w14:val="tx1"/>
                        </w14:solidFill>
                      </w14:textFill>
                    </w:rPr>
                    <w:t>m</w:t>
                  </w:r>
                  <w:r>
                    <w:rPr>
                      <w:rFonts w:eastAsia="宋体"/>
                      <w:color w:val="000000" w:themeColor="text1"/>
                      <w:kern w:val="0"/>
                      <w:szCs w:val="21"/>
                      <w:vertAlign w:val="superscript"/>
                      <w14:textFill>
                        <w14:solidFill>
                          <w14:schemeClr w14:val="tx1"/>
                        </w14:solidFill>
                      </w14:textFill>
                    </w:rPr>
                    <w:t>2</w:t>
                  </w:r>
                  <w:r>
                    <w:rPr>
                      <w:rFonts w:eastAsia="宋体"/>
                      <w:color w:val="000000" w:themeColor="text1"/>
                      <w:kern w:val="0"/>
                      <w:szCs w:val="21"/>
                      <w14:textFill>
                        <w14:solidFill>
                          <w14:schemeClr w14:val="tx1"/>
                        </w14:solidFill>
                      </w14:textFill>
                    </w:rPr>
                    <w:t>，地面已硬化，</w:t>
                  </w:r>
                  <w:r>
                    <w:rPr>
                      <w:rFonts w:hint="eastAsia" w:eastAsia="宋体"/>
                      <w:color w:val="000000" w:themeColor="text1"/>
                      <w:kern w:val="0"/>
                      <w:szCs w:val="21"/>
                      <w:lang w:val="en-US" w:eastAsia="zh-CN"/>
                      <w14:textFill>
                        <w14:solidFill>
                          <w14:schemeClr w14:val="tx1"/>
                        </w14:solidFill>
                      </w14:textFill>
                    </w:rPr>
                    <w:t>现有真空瓦机2台、切条机2台、切坯机2台、皮带输送机3台</w:t>
                  </w:r>
                  <w:r>
                    <w:rPr>
                      <w:rFonts w:eastAsia="宋体"/>
                      <w:color w:val="000000" w:themeColor="text1"/>
                      <w:kern w:val="0"/>
                      <w:szCs w:val="21"/>
                      <w14:textFill>
                        <w14:solidFill>
                          <w14:schemeClr w14:val="tx1"/>
                        </w14:solidFill>
                      </w14:textFill>
                    </w:rPr>
                    <w:t>。</w:t>
                  </w:r>
                </w:p>
              </w:tc>
              <w:tc>
                <w:tcPr>
                  <w:tcW w:w="896" w:type="pct"/>
                  <w:noWrap w:val="0"/>
                  <w:vAlign w:val="center"/>
                </w:tcPr>
                <w:p w14:paraId="6297E243">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napToGrid w:val="0"/>
                      <w:color w:val="000000" w:themeColor="text1"/>
                      <w:kern w:val="0"/>
                      <w:szCs w:val="21"/>
                      <w:lang w:val="en-US" w:eastAsia="zh-CN"/>
                      <w14:textFill>
                        <w14:solidFill>
                          <w14:schemeClr w14:val="tx1"/>
                        </w14:solidFill>
                      </w14:textFill>
                    </w:rPr>
                  </w:pPr>
                  <w:r>
                    <w:rPr>
                      <w:rFonts w:hint="eastAsia" w:eastAsia="宋体"/>
                      <w:snapToGrid w:val="0"/>
                      <w:color w:val="000000" w:themeColor="text1"/>
                      <w:kern w:val="0"/>
                      <w:szCs w:val="21"/>
                      <w:lang w:val="en-US" w:eastAsia="zh-CN"/>
                      <w14:textFill>
                        <w14:solidFill>
                          <w14:schemeClr w14:val="tx1"/>
                        </w14:solidFill>
                      </w14:textFill>
                    </w:rPr>
                    <w:t>依托现有</w:t>
                  </w:r>
                </w:p>
              </w:tc>
            </w:tr>
            <w:tr w14:paraId="42E9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432" w:type="pct"/>
                  <w:vMerge w:val="continue"/>
                  <w:noWrap w:val="0"/>
                  <w:vAlign w:val="center"/>
                </w:tcPr>
                <w:p w14:paraId="168A7D7B">
                  <w:pPr>
                    <w:jc w:val="center"/>
                    <w:rPr>
                      <w:rFonts w:eastAsia="宋体"/>
                      <w:snapToGrid w:val="0"/>
                      <w:color w:val="000000" w:themeColor="text1"/>
                      <w:kern w:val="0"/>
                      <w:szCs w:val="21"/>
                      <w14:textFill>
                        <w14:solidFill>
                          <w14:schemeClr w14:val="tx1"/>
                        </w14:solidFill>
                      </w14:textFill>
                    </w:rPr>
                  </w:pPr>
                </w:p>
              </w:tc>
              <w:tc>
                <w:tcPr>
                  <w:tcW w:w="655" w:type="pct"/>
                  <w:gridSpan w:val="2"/>
                  <w:noWrap w:val="0"/>
                  <w:vAlign w:val="center"/>
                </w:tcPr>
                <w:p w14:paraId="16F5905F">
                  <w:pPr>
                    <w:widowControl/>
                    <w:jc w:val="center"/>
                    <w:rPr>
                      <w:rFonts w:hint="default" w:eastAsia="宋体"/>
                      <w:color w:val="000000" w:themeColor="text1"/>
                      <w:szCs w:val="21"/>
                      <w:lang w:val="en-US" w:eastAsia="zh-CN"/>
                      <w14:textFill>
                        <w14:solidFill>
                          <w14:schemeClr w14:val="tx1"/>
                        </w14:solidFill>
                      </w14:textFill>
                    </w:rPr>
                  </w:pPr>
                  <w:r>
                    <w:rPr>
                      <w:rFonts w:hint="eastAsia" w:eastAsia="宋体"/>
                      <w:color w:val="000000" w:themeColor="text1"/>
                      <w:kern w:val="0"/>
                      <w:szCs w:val="21"/>
                      <w:lang w:val="en-US" w:eastAsia="zh-CN"/>
                      <w14:textFill>
                        <w14:solidFill>
                          <w14:schemeClr w14:val="tx1"/>
                        </w14:solidFill>
                      </w14:textFill>
                    </w:rPr>
                    <w:t>瓦坯晾晒陈化区</w:t>
                  </w:r>
                </w:p>
              </w:tc>
              <w:tc>
                <w:tcPr>
                  <w:tcW w:w="3014" w:type="pct"/>
                  <w:noWrap w:val="0"/>
                  <w:vAlign w:val="center"/>
                </w:tcPr>
                <w:p w14:paraId="334A92E2">
                  <w:pPr>
                    <w:widowControl/>
                    <w:rPr>
                      <w:rFonts w:hint="default" w:eastAsia="宋体"/>
                      <w:color w:val="000000" w:themeColor="text1"/>
                      <w:kern w:val="0"/>
                      <w:szCs w:val="21"/>
                      <w:vertAlign w:val="baseline"/>
                      <w:lang w:val="en-US" w:eastAsia="zh-CN"/>
                      <w14:textFill>
                        <w14:solidFill>
                          <w14:schemeClr w14:val="tx1"/>
                        </w14:solidFill>
                      </w14:textFill>
                    </w:rPr>
                  </w:pPr>
                  <w:r>
                    <w:rPr>
                      <w:rFonts w:hint="eastAsia" w:eastAsia="宋体"/>
                      <w:color w:val="000000" w:themeColor="text1"/>
                      <w:kern w:val="0"/>
                      <w:szCs w:val="21"/>
                      <w:lang w:val="en-US" w:eastAsia="zh-CN"/>
                      <w14:textFill>
                        <w14:solidFill>
                          <w14:schemeClr w14:val="tx1"/>
                        </w14:solidFill>
                      </w14:textFill>
                    </w:rPr>
                    <w:t>2座，1#紧邻制瓦车间北侧，占地面积约为470m</w:t>
                  </w:r>
                  <w:r>
                    <w:rPr>
                      <w:rFonts w:hint="eastAsia" w:eastAsia="宋体"/>
                      <w:color w:val="000000" w:themeColor="text1"/>
                      <w:kern w:val="0"/>
                      <w:szCs w:val="21"/>
                      <w:vertAlign w:val="superscript"/>
                      <w:lang w:val="en-US" w:eastAsia="zh-CN"/>
                      <w14:textFill>
                        <w14:solidFill>
                          <w14:schemeClr w14:val="tx1"/>
                        </w14:solidFill>
                      </w14:textFill>
                    </w:rPr>
                    <w:t>2</w:t>
                  </w:r>
                  <w:r>
                    <w:rPr>
                      <w:rFonts w:hint="eastAsia" w:eastAsia="宋体"/>
                      <w:color w:val="000000" w:themeColor="text1"/>
                      <w:kern w:val="0"/>
                      <w:szCs w:val="21"/>
                      <w:vertAlign w:val="baseline"/>
                      <w:lang w:val="en-US" w:eastAsia="zh-CN"/>
                      <w14:textFill>
                        <w14:solidFill>
                          <w14:schemeClr w14:val="tx1"/>
                        </w14:solidFill>
                      </w14:textFill>
                    </w:rPr>
                    <w:t>，</w:t>
                  </w:r>
                  <w:r>
                    <w:rPr>
                      <w:rFonts w:hint="eastAsia" w:eastAsia="宋体"/>
                      <w:color w:val="000000" w:themeColor="text1"/>
                      <w:szCs w:val="21"/>
                      <w14:textFill>
                        <w14:solidFill>
                          <w14:schemeClr w14:val="tx1"/>
                        </w14:solidFill>
                      </w14:textFill>
                    </w:rPr>
                    <w:t>设</w:t>
                  </w:r>
                  <w:r>
                    <w:rPr>
                      <w:rFonts w:eastAsia="宋体"/>
                      <w:color w:val="000000" w:themeColor="text1"/>
                      <w:kern w:val="0"/>
                      <w:szCs w:val="21"/>
                      <w14:textFill>
                        <w14:solidFill>
                          <w14:schemeClr w14:val="tx1"/>
                        </w14:solidFill>
                      </w14:textFill>
                    </w:rPr>
                    <w:t>三面围挡</w:t>
                  </w:r>
                  <w:r>
                    <w:rPr>
                      <w:rFonts w:hint="eastAsia" w:eastAsia="宋体"/>
                      <w:color w:val="000000" w:themeColor="text1"/>
                      <w:kern w:val="0"/>
                      <w:szCs w:val="21"/>
                      <w14:textFill>
                        <w14:solidFill>
                          <w14:schemeClr w14:val="tx1"/>
                        </w14:solidFill>
                      </w14:textFill>
                    </w:rPr>
                    <w:t>+</w:t>
                  </w:r>
                  <w:r>
                    <w:rPr>
                      <w:rFonts w:hint="eastAsia" w:eastAsia="宋体"/>
                      <w:color w:val="000000" w:themeColor="text1"/>
                      <w:kern w:val="0"/>
                      <w:szCs w:val="21"/>
                      <w:lang w:val="en-US" w:eastAsia="zh-CN"/>
                      <w14:textFill>
                        <w14:solidFill>
                          <w14:schemeClr w14:val="tx1"/>
                        </w14:solidFill>
                      </w14:textFill>
                    </w:rPr>
                    <w:t>石棉瓦</w:t>
                  </w:r>
                  <w:r>
                    <w:rPr>
                      <w:rFonts w:eastAsia="宋体"/>
                      <w:color w:val="000000" w:themeColor="text1"/>
                      <w:kern w:val="0"/>
                      <w:szCs w:val="21"/>
                      <w14:textFill>
                        <w14:solidFill>
                          <w14:schemeClr w14:val="tx1"/>
                        </w14:solidFill>
                      </w14:textFill>
                    </w:rPr>
                    <w:t>顶棚</w:t>
                  </w:r>
                  <w:r>
                    <w:rPr>
                      <w:rFonts w:hint="eastAsia" w:eastAsia="宋体"/>
                      <w:color w:val="000000" w:themeColor="text1"/>
                      <w:kern w:val="0"/>
                      <w:szCs w:val="21"/>
                      <w:lang w:eastAsia="zh-CN"/>
                      <w14:textFill>
                        <w14:solidFill>
                          <w14:schemeClr w14:val="tx1"/>
                        </w14:solidFill>
                      </w14:textFill>
                    </w:rPr>
                    <w:t>。</w:t>
                  </w:r>
                  <w:r>
                    <w:rPr>
                      <w:rFonts w:hint="eastAsia" w:eastAsia="宋体"/>
                      <w:color w:val="000000" w:themeColor="text1"/>
                      <w:kern w:val="0"/>
                      <w:szCs w:val="21"/>
                      <w:lang w:val="en-US" w:eastAsia="zh-CN"/>
                      <w14:textFill>
                        <w14:solidFill>
                          <w14:schemeClr w14:val="tx1"/>
                        </w14:solidFill>
                      </w14:textFill>
                    </w:rPr>
                    <w:t>2#位于项目区西南面，占地面积为2400m</w:t>
                  </w:r>
                  <w:r>
                    <w:rPr>
                      <w:rFonts w:hint="eastAsia" w:eastAsia="宋体"/>
                      <w:color w:val="000000" w:themeColor="text1"/>
                      <w:kern w:val="0"/>
                      <w:szCs w:val="21"/>
                      <w:vertAlign w:val="superscript"/>
                      <w:lang w:val="en-US" w:eastAsia="zh-CN"/>
                      <w14:textFill>
                        <w14:solidFill>
                          <w14:schemeClr w14:val="tx1"/>
                        </w14:solidFill>
                      </w14:textFill>
                    </w:rPr>
                    <w:t>2</w:t>
                  </w:r>
                  <w:r>
                    <w:rPr>
                      <w:rFonts w:hint="eastAsia" w:eastAsia="宋体"/>
                      <w:color w:val="000000" w:themeColor="text1"/>
                      <w:kern w:val="0"/>
                      <w:szCs w:val="21"/>
                      <w:vertAlign w:val="baseline"/>
                      <w:lang w:val="en-US" w:eastAsia="zh-CN"/>
                      <w14:textFill>
                        <w14:solidFill>
                          <w14:schemeClr w14:val="tx1"/>
                        </w14:solidFill>
                      </w14:textFill>
                    </w:rPr>
                    <w:t>，建设7个遮阳网大棚（有大棚薄膜覆盖）</w:t>
                  </w:r>
                  <w:r>
                    <w:rPr>
                      <w:rFonts w:hint="eastAsia" w:eastAsia="宋体"/>
                      <w:color w:val="000000" w:themeColor="text1"/>
                      <w:kern w:val="0"/>
                      <w:szCs w:val="21"/>
                      <w:highlight w:val="none"/>
                      <w:vertAlign w:val="baseline"/>
                      <w:lang w:val="en-US" w:eastAsia="zh-CN"/>
                      <w14:textFill>
                        <w14:solidFill>
                          <w14:schemeClr w14:val="tx1"/>
                        </w14:solidFill>
                      </w14:textFill>
                    </w:rPr>
                    <w:t>，总贮存能力为300万片青瓦。</w:t>
                  </w:r>
                </w:p>
              </w:tc>
              <w:tc>
                <w:tcPr>
                  <w:tcW w:w="896" w:type="pct"/>
                  <w:noWrap w:val="0"/>
                  <w:vAlign w:val="center"/>
                </w:tcPr>
                <w:p w14:paraId="32573333">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snapToGrid w:val="0"/>
                      <w:color w:val="000000" w:themeColor="text1"/>
                      <w:kern w:val="0"/>
                      <w:szCs w:val="21"/>
                      <w:lang w:eastAsia="zh-CN"/>
                      <w14:textFill>
                        <w14:solidFill>
                          <w14:schemeClr w14:val="tx1"/>
                        </w14:solidFill>
                      </w14:textFill>
                    </w:rPr>
                  </w:pPr>
                  <w:r>
                    <w:rPr>
                      <w:rFonts w:hint="eastAsia" w:eastAsia="宋体"/>
                      <w:snapToGrid w:val="0"/>
                      <w:color w:val="000000" w:themeColor="text1"/>
                      <w:kern w:val="0"/>
                      <w:szCs w:val="21"/>
                      <w:lang w:val="en-US" w:eastAsia="zh-CN"/>
                      <w14:textFill>
                        <w14:solidFill>
                          <w14:schemeClr w14:val="tx1"/>
                        </w14:solidFill>
                      </w14:textFill>
                    </w:rPr>
                    <w:t>依托现有</w:t>
                  </w:r>
                </w:p>
              </w:tc>
            </w:tr>
            <w:tr w14:paraId="195B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432" w:type="pct"/>
                  <w:vMerge w:val="restart"/>
                  <w:noWrap w:val="0"/>
                  <w:vAlign w:val="center"/>
                </w:tcPr>
                <w:p w14:paraId="175381E4">
                  <w:pPr>
                    <w:jc w:val="center"/>
                    <w:rPr>
                      <w:rFonts w:eastAsia="宋体"/>
                      <w:snapToGrid w:val="0"/>
                      <w:color w:val="000000" w:themeColor="text1"/>
                      <w:kern w:val="0"/>
                      <w:szCs w:val="21"/>
                      <w14:textFill>
                        <w14:solidFill>
                          <w14:schemeClr w14:val="tx1"/>
                        </w14:solidFill>
                      </w14:textFill>
                    </w:rPr>
                  </w:pPr>
                  <w:r>
                    <w:rPr>
                      <w:rFonts w:hint="eastAsia" w:eastAsia="宋体"/>
                      <w:snapToGrid w:val="0"/>
                      <w:color w:val="000000" w:themeColor="text1"/>
                      <w:kern w:val="0"/>
                      <w:szCs w:val="21"/>
                      <w14:textFill>
                        <w14:solidFill>
                          <w14:schemeClr w14:val="tx1"/>
                        </w14:solidFill>
                      </w14:textFill>
                    </w:rPr>
                    <w:t>储运工程</w:t>
                  </w:r>
                </w:p>
              </w:tc>
              <w:tc>
                <w:tcPr>
                  <w:tcW w:w="655" w:type="pct"/>
                  <w:gridSpan w:val="2"/>
                  <w:noWrap w:val="0"/>
                  <w:vAlign w:val="center"/>
                </w:tcPr>
                <w:p w14:paraId="0BC8ADB0">
                  <w:pPr>
                    <w:widowControl/>
                    <w:jc w:val="center"/>
                    <w:rPr>
                      <w:rFonts w:hint="default" w:eastAsia="宋体"/>
                      <w:color w:val="000000" w:themeColor="text1"/>
                      <w:kern w:val="0"/>
                      <w:szCs w:val="21"/>
                      <w:lang w:val="en-US" w:eastAsia="zh-CN"/>
                      <w14:textFill>
                        <w14:solidFill>
                          <w14:schemeClr w14:val="tx1"/>
                        </w14:solidFill>
                      </w14:textFill>
                    </w:rPr>
                  </w:pPr>
                  <w:r>
                    <w:rPr>
                      <w:rFonts w:hint="eastAsia" w:eastAsia="宋体"/>
                      <w:color w:val="000000" w:themeColor="text1"/>
                      <w:kern w:val="0"/>
                      <w:szCs w:val="21"/>
                      <w:lang w:val="en-US" w:eastAsia="zh-CN"/>
                      <w14:textFill>
                        <w14:solidFill>
                          <w14:schemeClr w14:val="tx1"/>
                        </w14:solidFill>
                      </w14:textFill>
                    </w:rPr>
                    <w:t>原料贮存库</w:t>
                  </w:r>
                </w:p>
              </w:tc>
              <w:tc>
                <w:tcPr>
                  <w:tcW w:w="3014" w:type="pct"/>
                  <w:noWrap w:val="0"/>
                  <w:vAlign w:val="center"/>
                </w:tcPr>
                <w:p w14:paraId="0D6584F4">
                  <w:pPr>
                    <w:widowControl/>
                    <w:jc w:val="left"/>
                    <w:rPr>
                      <w:rFonts w:hint="default" w:eastAsia="宋体"/>
                      <w:color w:val="000000" w:themeColor="text1"/>
                      <w:kern w:val="0"/>
                      <w:szCs w:val="21"/>
                      <w:vertAlign w:val="baseline"/>
                      <w:lang w:val="en-US" w:eastAsia="zh-CN"/>
                      <w14:textFill>
                        <w14:solidFill>
                          <w14:schemeClr w14:val="tx1"/>
                        </w14:solidFill>
                      </w14:textFill>
                    </w:rPr>
                  </w:pPr>
                  <w:r>
                    <w:rPr>
                      <w:rFonts w:hint="eastAsia" w:eastAsia="宋体"/>
                      <w:color w:val="000000" w:themeColor="text1"/>
                      <w:kern w:val="0"/>
                      <w:szCs w:val="21"/>
                      <w:lang w:val="en-US" w:eastAsia="zh-CN"/>
                      <w14:textFill>
                        <w14:solidFill>
                          <w14:schemeClr w14:val="tx1"/>
                        </w14:solidFill>
                      </w14:textFill>
                    </w:rPr>
                    <w:t>1座，位于项目区东侧，占地面积为1200m</w:t>
                  </w:r>
                  <w:r>
                    <w:rPr>
                      <w:rFonts w:hint="eastAsia" w:eastAsia="宋体"/>
                      <w:color w:val="000000" w:themeColor="text1"/>
                      <w:kern w:val="0"/>
                      <w:szCs w:val="21"/>
                      <w:vertAlign w:val="superscript"/>
                      <w:lang w:val="en-US" w:eastAsia="zh-CN"/>
                      <w14:textFill>
                        <w14:solidFill>
                          <w14:schemeClr w14:val="tx1"/>
                        </w14:solidFill>
                      </w14:textFill>
                    </w:rPr>
                    <w:t>2</w:t>
                  </w:r>
                  <w:r>
                    <w:rPr>
                      <w:rFonts w:hint="eastAsia" w:eastAsia="宋体"/>
                      <w:color w:val="000000" w:themeColor="text1"/>
                      <w:kern w:val="0"/>
                      <w:szCs w:val="21"/>
                      <w:vertAlign w:val="baseline"/>
                      <w:lang w:val="en-US" w:eastAsia="zh-CN"/>
                      <w14:textFill>
                        <w14:solidFill>
                          <w14:schemeClr w14:val="tx1"/>
                        </w14:solidFill>
                      </w14:textFill>
                    </w:rPr>
                    <w:t>，贮存能力为2400m</w:t>
                  </w:r>
                  <w:r>
                    <w:rPr>
                      <w:rFonts w:hint="eastAsia" w:eastAsia="宋体"/>
                      <w:color w:val="000000" w:themeColor="text1"/>
                      <w:kern w:val="0"/>
                      <w:szCs w:val="21"/>
                      <w:vertAlign w:val="superscript"/>
                      <w:lang w:val="en-US" w:eastAsia="zh-CN"/>
                      <w14:textFill>
                        <w14:solidFill>
                          <w14:schemeClr w14:val="tx1"/>
                        </w14:solidFill>
                      </w14:textFill>
                    </w:rPr>
                    <w:t>3</w:t>
                  </w:r>
                  <w:r>
                    <w:rPr>
                      <w:rFonts w:hint="eastAsia"/>
                      <w:color w:val="000000" w:themeColor="text1"/>
                      <w:vertAlign w:val="baseline"/>
                      <w:lang w:eastAsia="zh-CN"/>
                      <w14:textFill>
                        <w14:solidFill>
                          <w14:schemeClr w14:val="tx1"/>
                        </w14:solidFill>
                      </w14:textFill>
                    </w:rPr>
                    <w:t>，</w:t>
                  </w:r>
                  <w:r>
                    <w:rPr>
                      <w:rFonts w:hint="eastAsia"/>
                      <w:color w:val="000000" w:themeColor="text1"/>
                      <w:sz w:val="21"/>
                      <w:lang w:val="en-US" w:eastAsia="zh-CN"/>
                      <w14:textFill>
                        <w14:solidFill>
                          <w14:schemeClr w14:val="tx1"/>
                        </w14:solidFill>
                      </w14:textFill>
                    </w:rPr>
                    <w:t>原料贮存库北侧和东侧设置封闭围挡</w:t>
                  </w:r>
                  <w:r>
                    <w:rPr>
                      <w:rFonts w:hint="eastAsia" w:eastAsia="宋体"/>
                      <w:color w:val="000000" w:themeColor="text1"/>
                      <w:kern w:val="0"/>
                      <w:szCs w:val="21"/>
                      <w:vertAlign w:val="baseline"/>
                      <w:lang w:val="en-US" w:eastAsia="zh-CN"/>
                      <w14:textFill>
                        <w14:solidFill>
                          <w14:schemeClr w14:val="tx1"/>
                        </w14:solidFill>
                      </w14:textFill>
                    </w:rPr>
                    <w:t>，顶棚设置有喷雾降尘设施，用于原料堆放。现有</w:t>
                  </w:r>
                  <w:r>
                    <w:rPr>
                      <w:rFonts w:hint="eastAsia" w:eastAsia="宋体"/>
                      <w:color w:val="000000" w:themeColor="text1"/>
                      <w:kern w:val="0"/>
                      <w:szCs w:val="21"/>
                      <w:lang w:val="en-US" w:eastAsia="zh-CN"/>
                      <w14:textFill>
                        <w14:solidFill>
                          <w14:schemeClr w14:val="tx1"/>
                        </w14:solidFill>
                      </w14:textFill>
                    </w:rPr>
                    <w:t>筛分机1台、磨粉机1台。</w:t>
                  </w:r>
                  <w:r>
                    <w:rPr>
                      <w:rFonts w:eastAsia="宋体"/>
                      <w:color w:val="000000" w:themeColor="text1"/>
                      <w:kern w:val="0"/>
                      <w:szCs w:val="21"/>
                      <w14:textFill>
                        <w14:solidFill>
                          <w14:schemeClr w14:val="tx1"/>
                        </w14:solidFill>
                      </w14:textFill>
                    </w:rPr>
                    <w:t>本次</w:t>
                  </w:r>
                  <w:r>
                    <w:rPr>
                      <w:rFonts w:hint="eastAsia" w:eastAsia="宋体"/>
                      <w:color w:val="000000" w:themeColor="text1"/>
                      <w:kern w:val="0"/>
                      <w:szCs w:val="21"/>
                      <w:lang w:eastAsia="zh-CN"/>
                      <w14:textFill>
                        <w14:solidFill>
                          <w14:schemeClr w14:val="tx1"/>
                        </w14:solidFill>
                      </w14:textFill>
                    </w:rPr>
                    <w:t>改建</w:t>
                  </w:r>
                  <w:r>
                    <w:rPr>
                      <w:rFonts w:eastAsia="宋体"/>
                      <w:color w:val="000000" w:themeColor="text1"/>
                      <w:kern w:val="0"/>
                      <w:szCs w:val="21"/>
                      <w14:textFill>
                        <w14:solidFill>
                          <w14:schemeClr w14:val="tx1"/>
                        </w14:solidFill>
                      </w14:textFill>
                    </w:rPr>
                    <w:t>新增</w:t>
                  </w:r>
                  <w:r>
                    <w:rPr>
                      <w:rFonts w:hint="eastAsia" w:eastAsia="宋体"/>
                      <w:color w:val="000000" w:themeColor="text1"/>
                      <w:kern w:val="0"/>
                      <w:szCs w:val="21"/>
                      <w:lang w:val="en-US" w:eastAsia="zh-CN"/>
                      <w14:textFill>
                        <w14:solidFill>
                          <w14:schemeClr w14:val="tx1"/>
                        </w14:solidFill>
                      </w14:textFill>
                    </w:rPr>
                    <w:t>风选粉碎机1台。</w:t>
                  </w:r>
                </w:p>
              </w:tc>
              <w:tc>
                <w:tcPr>
                  <w:tcW w:w="896" w:type="pct"/>
                  <w:noWrap w:val="0"/>
                  <w:vAlign w:val="center"/>
                </w:tcPr>
                <w:p w14:paraId="2C9A2925">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新增破碎机，整改（围挡），其他依托</w:t>
                  </w:r>
                </w:p>
              </w:tc>
            </w:tr>
            <w:tr w14:paraId="11551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432" w:type="pct"/>
                  <w:vMerge w:val="continue"/>
                  <w:noWrap w:val="0"/>
                  <w:vAlign w:val="center"/>
                </w:tcPr>
                <w:p w14:paraId="55FEC6F1">
                  <w:pPr>
                    <w:jc w:val="center"/>
                    <w:rPr>
                      <w:rFonts w:eastAsia="宋体"/>
                      <w:snapToGrid w:val="0"/>
                      <w:color w:val="000000" w:themeColor="text1"/>
                      <w:kern w:val="0"/>
                      <w:szCs w:val="21"/>
                      <w14:textFill>
                        <w14:solidFill>
                          <w14:schemeClr w14:val="tx1"/>
                        </w14:solidFill>
                      </w14:textFill>
                    </w:rPr>
                  </w:pPr>
                </w:p>
              </w:tc>
              <w:tc>
                <w:tcPr>
                  <w:tcW w:w="655" w:type="pct"/>
                  <w:gridSpan w:val="2"/>
                  <w:noWrap w:val="0"/>
                  <w:vAlign w:val="center"/>
                </w:tcPr>
                <w:p w14:paraId="70C54226">
                  <w:pPr>
                    <w:widowControl/>
                    <w:jc w:val="center"/>
                    <w:rPr>
                      <w:rFonts w:hint="default" w:eastAsia="宋体"/>
                      <w:color w:val="000000" w:themeColor="text1"/>
                      <w:kern w:val="0"/>
                      <w:szCs w:val="21"/>
                      <w:lang w:val="en-US" w:eastAsia="zh-CN"/>
                      <w14:textFill>
                        <w14:solidFill>
                          <w14:schemeClr w14:val="tx1"/>
                        </w14:solidFill>
                      </w14:textFill>
                    </w:rPr>
                  </w:pPr>
                  <w:r>
                    <w:rPr>
                      <w:rFonts w:hint="eastAsia" w:eastAsia="宋体"/>
                      <w:color w:val="000000" w:themeColor="text1"/>
                      <w:kern w:val="0"/>
                      <w:szCs w:val="21"/>
                      <w:lang w:val="en-US" w:eastAsia="zh-CN"/>
                      <w14:textFill>
                        <w14:solidFill>
                          <w14:schemeClr w14:val="tx1"/>
                        </w14:solidFill>
                      </w14:textFill>
                    </w:rPr>
                    <w:t>成品堆存区</w:t>
                  </w:r>
                </w:p>
              </w:tc>
              <w:tc>
                <w:tcPr>
                  <w:tcW w:w="3014" w:type="pct"/>
                  <w:noWrap w:val="0"/>
                  <w:vAlign w:val="center"/>
                </w:tcPr>
                <w:p w14:paraId="23154A28">
                  <w:pPr>
                    <w:widowControl/>
                    <w:rPr>
                      <w:rFonts w:hint="default" w:eastAsia="宋体"/>
                      <w:color w:val="000000" w:themeColor="text1"/>
                      <w:kern w:val="0"/>
                      <w:szCs w:val="21"/>
                      <w:lang w:val="en-US" w:eastAsia="zh-CN"/>
                      <w14:textFill>
                        <w14:solidFill>
                          <w14:schemeClr w14:val="tx1"/>
                        </w14:solidFill>
                      </w14:textFill>
                    </w:rPr>
                  </w:pPr>
                  <w:r>
                    <w:rPr>
                      <w:rFonts w:eastAsia="宋体"/>
                      <w:color w:val="000000" w:themeColor="text1"/>
                      <w:kern w:val="0"/>
                      <w:szCs w:val="21"/>
                      <w14:textFill>
                        <w14:solidFill>
                          <w14:schemeClr w14:val="tx1"/>
                        </w14:solidFill>
                      </w14:textFill>
                    </w:rPr>
                    <w:t>露天堆场</w:t>
                  </w:r>
                  <w:r>
                    <w:rPr>
                      <w:rFonts w:hint="eastAsia" w:eastAsia="宋体"/>
                      <w:color w:val="000000" w:themeColor="text1"/>
                      <w:kern w:val="0"/>
                      <w:szCs w:val="21"/>
                      <w14:textFill>
                        <w14:solidFill>
                          <w14:schemeClr w14:val="tx1"/>
                        </w14:solidFill>
                      </w14:textFill>
                    </w:rPr>
                    <w:t>，</w:t>
                  </w:r>
                  <w:r>
                    <w:rPr>
                      <w:rFonts w:hint="eastAsia" w:eastAsia="宋体"/>
                      <w:color w:val="000000" w:themeColor="text1"/>
                      <w:kern w:val="0"/>
                      <w:szCs w:val="21"/>
                      <w:lang w:val="en-US" w:eastAsia="zh-CN"/>
                      <w14:textFill>
                        <w14:solidFill>
                          <w14:schemeClr w14:val="tx1"/>
                        </w14:solidFill>
                      </w14:textFill>
                    </w:rPr>
                    <w:t>位于厂区北侧，占地面积为4500</w:t>
                  </w:r>
                  <w:r>
                    <w:rPr>
                      <w:rFonts w:hint="eastAsia" w:eastAsia="宋体"/>
                      <w:color w:val="000000" w:themeColor="text1"/>
                      <w:kern w:val="0"/>
                      <w:szCs w:val="21"/>
                      <w14:textFill>
                        <w14:solidFill>
                          <w14:schemeClr w14:val="tx1"/>
                        </w14:solidFill>
                      </w14:textFill>
                    </w:rPr>
                    <w:t>m</w:t>
                  </w:r>
                  <w:r>
                    <w:rPr>
                      <w:rFonts w:hint="eastAsia" w:eastAsia="宋体"/>
                      <w:color w:val="000000" w:themeColor="text1"/>
                      <w:kern w:val="0"/>
                      <w:szCs w:val="21"/>
                      <w:vertAlign w:val="superscript"/>
                      <w14:textFill>
                        <w14:solidFill>
                          <w14:schemeClr w14:val="tx1"/>
                        </w14:solidFill>
                      </w14:textFill>
                    </w:rPr>
                    <w:t>2</w:t>
                  </w:r>
                  <w:r>
                    <w:rPr>
                      <w:rFonts w:hint="eastAsia" w:eastAsia="宋体"/>
                      <w:color w:val="000000" w:themeColor="text1"/>
                      <w:kern w:val="0"/>
                      <w:szCs w:val="21"/>
                      <w14:textFill>
                        <w14:solidFill>
                          <w14:schemeClr w14:val="tx1"/>
                        </w14:solidFill>
                      </w14:textFill>
                    </w:rPr>
                    <w:t>，用于</w:t>
                  </w:r>
                  <w:r>
                    <w:rPr>
                      <w:rFonts w:hint="eastAsia" w:eastAsia="宋体"/>
                      <w:color w:val="000000" w:themeColor="text1"/>
                      <w:kern w:val="0"/>
                      <w:szCs w:val="21"/>
                      <w:lang w:val="en-US" w:eastAsia="zh-CN"/>
                      <w14:textFill>
                        <w14:solidFill>
                          <w14:schemeClr w14:val="tx1"/>
                        </w14:solidFill>
                      </w14:textFill>
                    </w:rPr>
                    <w:t>堆存成品青瓦，贮存能力为500万片青瓦。</w:t>
                  </w:r>
                </w:p>
              </w:tc>
              <w:tc>
                <w:tcPr>
                  <w:tcW w:w="896" w:type="pct"/>
                  <w:noWrap w:val="0"/>
                  <w:vAlign w:val="center"/>
                </w:tcPr>
                <w:p w14:paraId="584932FB">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kern w:val="0"/>
                      <w:szCs w:val="21"/>
                      <w:lang w:val="en-US" w:eastAsia="zh-CN"/>
                      <w14:textFill>
                        <w14:solidFill>
                          <w14:schemeClr w14:val="tx1"/>
                        </w14:solidFill>
                      </w14:textFill>
                    </w:rPr>
                  </w:pPr>
                  <w:r>
                    <w:rPr>
                      <w:rFonts w:hint="eastAsia" w:eastAsia="宋体"/>
                      <w:color w:val="000000" w:themeColor="text1"/>
                      <w:kern w:val="0"/>
                      <w:szCs w:val="21"/>
                      <w:lang w:val="en-US" w:eastAsia="zh-CN"/>
                      <w14:textFill>
                        <w14:solidFill>
                          <w14:schemeClr w14:val="tx1"/>
                        </w14:solidFill>
                      </w14:textFill>
                    </w:rPr>
                    <w:t>依托现有</w:t>
                  </w:r>
                </w:p>
              </w:tc>
            </w:tr>
            <w:tr w14:paraId="634C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432" w:type="pct"/>
                  <w:noWrap w:val="0"/>
                  <w:vAlign w:val="center"/>
                </w:tcPr>
                <w:p w14:paraId="22A3C927">
                  <w:pPr>
                    <w:jc w:val="center"/>
                    <w:rPr>
                      <w:rFonts w:eastAsia="宋体"/>
                      <w:snapToGrid w:val="0"/>
                      <w:color w:val="000000" w:themeColor="text1"/>
                      <w:kern w:val="0"/>
                      <w:szCs w:val="21"/>
                      <w14:textFill>
                        <w14:solidFill>
                          <w14:schemeClr w14:val="tx1"/>
                        </w14:solidFill>
                      </w14:textFill>
                    </w:rPr>
                  </w:pPr>
                  <w:r>
                    <w:rPr>
                      <w:rFonts w:eastAsia="宋体"/>
                      <w:snapToGrid w:val="0"/>
                      <w:color w:val="000000" w:themeColor="text1"/>
                      <w:kern w:val="0"/>
                      <w:szCs w:val="21"/>
                      <w14:textFill>
                        <w14:solidFill>
                          <w14:schemeClr w14:val="tx1"/>
                        </w14:solidFill>
                      </w14:textFill>
                    </w:rPr>
                    <w:t>辅助工程</w:t>
                  </w:r>
                </w:p>
              </w:tc>
              <w:tc>
                <w:tcPr>
                  <w:tcW w:w="655" w:type="pct"/>
                  <w:gridSpan w:val="2"/>
                  <w:noWrap w:val="0"/>
                  <w:vAlign w:val="center"/>
                </w:tcPr>
                <w:p w14:paraId="2F6E082B">
                  <w:pPr>
                    <w:jc w:val="center"/>
                    <w:rPr>
                      <w:rFonts w:hint="default" w:eastAsia="宋体"/>
                      <w:snapToGrid w:val="0"/>
                      <w:color w:val="000000" w:themeColor="text1"/>
                      <w:kern w:val="0"/>
                      <w:szCs w:val="21"/>
                      <w:lang w:val="en-US" w:eastAsia="zh-CN"/>
                      <w14:textFill>
                        <w14:solidFill>
                          <w14:schemeClr w14:val="tx1"/>
                        </w14:solidFill>
                      </w14:textFill>
                    </w:rPr>
                  </w:pPr>
                  <w:r>
                    <w:rPr>
                      <w:rFonts w:hint="eastAsia" w:eastAsia="宋体"/>
                      <w:snapToGrid w:val="0"/>
                      <w:color w:val="000000" w:themeColor="text1"/>
                      <w:kern w:val="0"/>
                      <w:szCs w:val="21"/>
                      <w:lang w:val="en-US" w:eastAsia="zh-CN"/>
                      <w14:textFill>
                        <w14:solidFill>
                          <w14:schemeClr w14:val="tx1"/>
                        </w14:solidFill>
                      </w14:textFill>
                    </w:rPr>
                    <w:t>生活办公区</w:t>
                  </w:r>
                </w:p>
              </w:tc>
              <w:tc>
                <w:tcPr>
                  <w:tcW w:w="3014" w:type="pct"/>
                  <w:noWrap w:val="0"/>
                  <w:vAlign w:val="center"/>
                </w:tcPr>
                <w:p w14:paraId="5B52D806">
                  <w:pPr>
                    <w:widowControl/>
                    <w:jc w:val="left"/>
                    <w:rPr>
                      <w:rFonts w:eastAsia="宋体"/>
                      <w:snapToGrid w:val="0"/>
                      <w:color w:val="000000" w:themeColor="text1"/>
                      <w:kern w:val="0"/>
                      <w:szCs w:val="21"/>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位于生产区南侧，总占地面积为960m</w:t>
                  </w:r>
                  <w:r>
                    <w:rPr>
                      <w:rFonts w:hint="eastAsia" w:eastAsia="宋体"/>
                      <w:color w:val="000000" w:themeColor="text1"/>
                      <w:szCs w:val="21"/>
                      <w:vertAlign w:val="superscript"/>
                      <w:lang w:val="en-US" w:eastAsia="zh-CN"/>
                      <w14:textFill>
                        <w14:solidFill>
                          <w14:schemeClr w14:val="tx1"/>
                        </w14:solidFill>
                      </w14:textFill>
                    </w:rPr>
                    <w:t>2</w:t>
                  </w:r>
                  <w:r>
                    <w:rPr>
                      <w:rFonts w:hint="eastAsia" w:eastAsia="宋体"/>
                      <w:color w:val="000000" w:themeColor="text1"/>
                      <w:szCs w:val="21"/>
                      <w:vertAlign w:val="baseline"/>
                      <w:lang w:val="en-US" w:eastAsia="zh-CN"/>
                      <w14:textFill>
                        <w14:solidFill>
                          <w14:schemeClr w14:val="tx1"/>
                        </w14:solidFill>
                      </w14:textFill>
                    </w:rPr>
                    <w:t>，2层建筑</w:t>
                  </w:r>
                  <w:r>
                    <w:rPr>
                      <w:rFonts w:hint="eastAsia" w:eastAsia="宋体"/>
                      <w:color w:val="000000" w:themeColor="text1"/>
                      <w:szCs w:val="21"/>
                      <w14:textFill>
                        <w14:solidFill>
                          <w14:schemeClr w14:val="tx1"/>
                        </w14:solidFill>
                      </w14:textFill>
                    </w:rPr>
                    <w:t>。</w:t>
                  </w:r>
                </w:p>
              </w:tc>
              <w:tc>
                <w:tcPr>
                  <w:tcW w:w="896" w:type="pct"/>
                  <w:noWrap w:val="0"/>
                  <w:vAlign w:val="center"/>
                </w:tcPr>
                <w:p w14:paraId="782DE7A4">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bCs/>
                      <w:snapToGrid w:val="0"/>
                      <w:color w:val="000000" w:themeColor="text1"/>
                      <w:kern w:val="0"/>
                      <w:szCs w:val="21"/>
                      <w:lang w:val="en-US" w:eastAsia="zh-CN"/>
                      <w14:textFill>
                        <w14:solidFill>
                          <w14:schemeClr w14:val="tx1"/>
                        </w14:solidFill>
                      </w14:textFill>
                    </w:rPr>
                  </w:pPr>
                  <w:r>
                    <w:rPr>
                      <w:rFonts w:hint="eastAsia" w:eastAsia="宋体"/>
                      <w:snapToGrid w:val="0"/>
                      <w:color w:val="000000" w:themeColor="text1"/>
                      <w:kern w:val="0"/>
                      <w:szCs w:val="21"/>
                      <w:lang w:val="en-US" w:eastAsia="zh-CN"/>
                      <w14:textFill>
                        <w14:solidFill>
                          <w14:schemeClr w14:val="tx1"/>
                        </w14:solidFill>
                      </w14:textFill>
                    </w:rPr>
                    <w:t>依托现有</w:t>
                  </w:r>
                </w:p>
              </w:tc>
            </w:tr>
            <w:tr w14:paraId="1472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432" w:type="pct"/>
                  <w:vMerge w:val="restart"/>
                  <w:noWrap w:val="0"/>
                  <w:vAlign w:val="center"/>
                </w:tcPr>
                <w:p w14:paraId="246C2B99">
                  <w:pPr>
                    <w:jc w:val="center"/>
                    <w:rPr>
                      <w:rFonts w:eastAsia="宋体"/>
                      <w:snapToGrid w:val="0"/>
                      <w:color w:val="000000" w:themeColor="text1"/>
                      <w:kern w:val="0"/>
                      <w:szCs w:val="21"/>
                      <w14:textFill>
                        <w14:solidFill>
                          <w14:schemeClr w14:val="tx1"/>
                        </w14:solidFill>
                      </w14:textFill>
                    </w:rPr>
                  </w:pPr>
                  <w:r>
                    <w:rPr>
                      <w:rFonts w:eastAsia="宋体"/>
                      <w:snapToGrid w:val="0"/>
                      <w:color w:val="000000" w:themeColor="text1"/>
                      <w:kern w:val="0"/>
                      <w:szCs w:val="21"/>
                      <w14:textFill>
                        <w14:solidFill>
                          <w14:schemeClr w14:val="tx1"/>
                        </w14:solidFill>
                      </w14:textFill>
                    </w:rPr>
                    <w:t>公用工程</w:t>
                  </w:r>
                </w:p>
              </w:tc>
              <w:tc>
                <w:tcPr>
                  <w:tcW w:w="655" w:type="pct"/>
                  <w:gridSpan w:val="2"/>
                  <w:noWrap w:val="0"/>
                  <w:vAlign w:val="center"/>
                </w:tcPr>
                <w:p w14:paraId="107E9DE8">
                  <w:pPr>
                    <w:pStyle w:val="47"/>
                    <w:tabs>
                      <w:tab w:val="right" w:leader="dot" w:pos="8823"/>
                    </w:tabs>
                    <w:spacing w:before="24" w:after="24" w:line="240" w:lineRule="auto"/>
                    <w:rPr>
                      <w:rFonts w:hint="eastAsia"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t>供电</w:t>
                  </w:r>
                </w:p>
              </w:tc>
              <w:tc>
                <w:tcPr>
                  <w:tcW w:w="3014" w:type="pct"/>
                  <w:noWrap w:val="0"/>
                  <w:vAlign w:val="center"/>
                </w:tcPr>
                <w:p w14:paraId="6C8CBA4F">
                  <w:pPr>
                    <w:keepNext w:val="0"/>
                    <w:keepLines w:val="0"/>
                    <w:pageBreakBefore w:val="0"/>
                    <w:widowControl w:val="0"/>
                    <w:kinsoku/>
                    <w:wordWrap/>
                    <w:overflowPunct/>
                    <w:topLinePunct w:val="0"/>
                    <w:autoSpaceDE/>
                    <w:autoSpaceDN/>
                    <w:bidi w:val="0"/>
                    <w:adjustRightInd w:val="0"/>
                    <w:snapToGrid w:val="0"/>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由阿岗镇市政供电线路供给</w:t>
                  </w:r>
                </w:p>
              </w:tc>
              <w:tc>
                <w:tcPr>
                  <w:tcW w:w="896" w:type="pct"/>
                  <w:noWrap w:val="0"/>
                  <w:vAlign w:val="center"/>
                </w:tcPr>
                <w:p w14:paraId="01F9E1BA">
                  <w:pPr>
                    <w:keepNext w:val="0"/>
                    <w:keepLines w:val="0"/>
                    <w:pageBreakBefore w:val="0"/>
                    <w:widowControl w:val="0"/>
                    <w:kinsoku/>
                    <w:wordWrap/>
                    <w:overflowPunct/>
                    <w:topLinePunct w:val="0"/>
                    <w:autoSpaceDE/>
                    <w:autoSpaceDN/>
                    <w:bidi w:val="0"/>
                    <w:adjustRightInd/>
                    <w:snapToGrid/>
                    <w:jc w:val="center"/>
                    <w:textAlignment w:val="auto"/>
                    <w:rPr>
                      <w:rFonts w:eastAsia="宋体"/>
                      <w:color w:val="000000" w:themeColor="text1"/>
                      <w:szCs w:val="21"/>
                      <w14:textFill>
                        <w14:solidFill>
                          <w14:schemeClr w14:val="tx1"/>
                        </w14:solidFill>
                      </w14:textFill>
                    </w:rPr>
                  </w:pPr>
                  <w:r>
                    <w:rPr>
                      <w:rFonts w:hint="eastAsia" w:eastAsia="宋体"/>
                      <w:snapToGrid w:val="0"/>
                      <w:color w:val="000000" w:themeColor="text1"/>
                      <w:kern w:val="0"/>
                      <w:szCs w:val="21"/>
                      <w:lang w:val="en-US" w:eastAsia="zh-CN"/>
                      <w14:textFill>
                        <w14:solidFill>
                          <w14:schemeClr w14:val="tx1"/>
                        </w14:solidFill>
                      </w14:textFill>
                    </w:rPr>
                    <w:t>依托现有</w:t>
                  </w:r>
                </w:p>
              </w:tc>
            </w:tr>
            <w:tr w14:paraId="2AEBC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432" w:type="pct"/>
                  <w:vMerge w:val="continue"/>
                  <w:noWrap w:val="0"/>
                  <w:vAlign w:val="center"/>
                </w:tcPr>
                <w:p w14:paraId="37B27B5B">
                  <w:pPr>
                    <w:jc w:val="center"/>
                    <w:rPr>
                      <w:rFonts w:eastAsia="宋体"/>
                      <w:snapToGrid w:val="0"/>
                      <w:color w:val="000000" w:themeColor="text1"/>
                      <w:kern w:val="0"/>
                      <w:szCs w:val="21"/>
                      <w14:textFill>
                        <w14:solidFill>
                          <w14:schemeClr w14:val="tx1"/>
                        </w14:solidFill>
                      </w14:textFill>
                    </w:rPr>
                  </w:pPr>
                </w:p>
              </w:tc>
              <w:tc>
                <w:tcPr>
                  <w:tcW w:w="655" w:type="pct"/>
                  <w:gridSpan w:val="2"/>
                  <w:noWrap w:val="0"/>
                  <w:vAlign w:val="center"/>
                </w:tcPr>
                <w:p w14:paraId="440B317A">
                  <w:pPr>
                    <w:pStyle w:val="47"/>
                    <w:tabs>
                      <w:tab w:val="right" w:leader="dot" w:pos="8823"/>
                    </w:tabs>
                    <w:spacing w:before="24" w:after="24" w:line="240" w:lineRule="auto"/>
                    <w:rPr>
                      <w:rFonts w:hint="default"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t>供水</w:t>
                  </w:r>
                </w:p>
              </w:tc>
              <w:tc>
                <w:tcPr>
                  <w:tcW w:w="3014" w:type="pct"/>
                  <w:noWrap w:val="0"/>
                  <w:vAlign w:val="center"/>
                </w:tcPr>
                <w:p w14:paraId="5F166514">
                  <w:pPr>
                    <w:keepNext w:val="0"/>
                    <w:keepLines w:val="0"/>
                    <w:pageBreakBefore w:val="0"/>
                    <w:widowControl w:val="0"/>
                    <w:kinsoku/>
                    <w:wordWrap/>
                    <w:overflowPunct/>
                    <w:topLinePunct w:val="0"/>
                    <w:autoSpaceDE/>
                    <w:autoSpaceDN/>
                    <w:bidi w:val="0"/>
                    <w:adjustRightInd w:val="0"/>
                    <w:snapToGrid w:val="0"/>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由阿岗镇市政供水管网供给</w:t>
                  </w:r>
                </w:p>
              </w:tc>
              <w:tc>
                <w:tcPr>
                  <w:tcW w:w="896" w:type="pct"/>
                  <w:noWrap w:val="0"/>
                  <w:vAlign w:val="center"/>
                </w:tcPr>
                <w:p w14:paraId="76CD75A0">
                  <w:pPr>
                    <w:keepNext w:val="0"/>
                    <w:keepLines w:val="0"/>
                    <w:pageBreakBefore w:val="0"/>
                    <w:widowControl w:val="0"/>
                    <w:kinsoku/>
                    <w:wordWrap/>
                    <w:overflowPunct/>
                    <w:topLinePunct w:val="0"/>
                    <w:autoSpaceDE/>
                    <w:autoSpaceDN/>
                    <w:bidi w:val="0"/>
                    <w:adjustRightInd/>
                    <w:snapToGrid/>
                    <w:jc w:val="center"/>
                    <w:textAlignment w:val="auto"/>
                    <w:rPr>
                      <w:rFonts w:eastAsia="宋体"/>
                      <w:color w:val="000000" w:themeColor="text1"/>
                      <w:szCs w:val="21"/>
                      <w14:textFill>
                        <w14:solidFill>
                          <w14:schemeClr w14:val="tx1"/>
                        </w14:solidFill>
                      </w14:textFill>
                    </w:rPr>
                  </w:pPr>
                  <w:r>
                    <w:rPr>
                      <w:rFonts w:hint="eastAsia" w:eastAsia="宋体"/>
                      <w:snapToGrid w:val="0"/>
                      <w:color w:val="000000" w:themeColor="text1"/>
                      <w:kern w:val="0"/>
                      <w:szCs w:val="21"/>
                      <w:lang w:val="en-US" w:eastAsia="zh-CN"/>
                      <w14:textFill>
                        <w14:solidFill>
                          <w14:schemeClr w14:val="tx1"/>
                        </w14:solidFill>
                      </w14:textFill>
                    </w:rPr>
                    <w:t>依托现有</w:t>
                  </w:r>
                </w:p>
              </w:tc>
            </w:tr>
            <w:tr w14:paraId="0251C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432" w:type="pct"/>
                  <w:vMerge w:val="continue"/>
                  <w:noWrap w:val="0"/>
                  <w:vAlign w:val="center"/>
                </w:tcPr>
                <w:p w14:paraId="4B10F4E8">
                  <w:pPr>
                    <w:jc w:val="center"/>
                    <w:rPr>
                      <w:rFonts w:eastAsia="宋体"/>
                      <w:snapToGrid w:val="0"/>
                      <w:color w:val="000000" w:themeColor="text1"/>
                      <w:kern w:val="0"/>
                      <w:szCs w:val="21"/>
                      <w14:textFill>
                        <w14:solidFill>
                          <w14:schemeClr w14:val="tx1"/>
                        </w14:solidFill>
                      </w14:textFill>
                    </w:rPr>
                  </w:pPr>
                </w:p>
              </w:tc>
              <w:tc>
                <w:tcPr>
                  <w:tcW w:w="655" w:type="pct"/>
                  <w:gridSpan w:val="2"/>
                  <w:noWrap w:val="0"/>
                  <w:vAlign w:val="center"/>
                </w:tcPr>
                <w:p w14:paraId="1C10F4E2">
                  <w:pPr>
                    <w:pStyle w:val="47"/>
                    <w:tabs>
                      <w:tab w:val="right" w:leader="dot" w:pos="8823"/>
                    </w:tabs>
                    <w:spacing w:before="24" w:after="24" w:line="240" w:lineRule="auto"/>
                    <w:rPr>
                      <w:rFonts w:hint="eastAsia"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kern w:val="0"/>
                      <w:sz w:val="21"/>
                      <w:szCs w:val="21"/>
                      <w:lang w:val="en-US" w:eastAsia="zh-CN" w:bidi="ar-SA"/>
                      <w14:textFill>
                        <w14:solidFill>
                          <w14:schemeClr w14:val="tx1"/>
                        </w14:solidFill>
                      </w14:textFill>
                    </w:rPr>
                    <w:t>排水</w:t>
                  </w:r>
                </w:p>
              </w:tc>
              <w:tc>
                <w:tcPr>
                  <w:tcW w:w="3014" w:type="pct"/>
                  <w:noWrap w:val="0"/>
                  <w:vAlign w:val="center"/>
                </w:tcPr>
                <w:p w14:paraId="26A9056E">
                  <w:pPr>
                    <w:widowControl/>
                    <w:rPr>
                      <w:rFonts w:hint="default" w:eastAsia="宋体"/>
                      <w:color w:val="000000" w:themeColor="text1"/>
                      <w:szCs w:val="21"/>
                      <w:vertAlign w:val="baseline"/>
                      <w:lang w:val="en-US" w:eastAsia="zh-CN"/>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现有项目建设有雨污分流排水系统，初期雨水设置有1个容积为20m</w:t>
                  </w:r>
                  <w:r>
                    <w:rPr>
                      <w:rFonts w:hint="eastAsia" w:eastAsia="宋体"/>
                      <w:color w:val="000000" w:themeColor="text1"/>
                      <w:szCs w:val="21"/>
                      <w:vertAlign w:val="superscript"/>
                      <w:lang w:val="en-US" w:eastAsia="zh-CN"/>
                      <w14:textFill>
                        <w14:solidFill>
                          <w14:schemeClr w14:val="tx1"/>
                        </w14:solidFill>
                      </w14:textFill>
                    </w:rPr>
                    <w:t>3</w:t>
                  </w:r>
                  <w:r>
                    <w:rPr>
                      <w:rFonts w:hint="eastAsia" w:eastAsia="宋体"/>
                      <w:color w:val="000000" w:themeColor="text1"/>
                      <w:szCs w:val="21"/>
                      <w:vertAlign w:val="baseline"/>
                      <w:lang w:val="en-US" w:eastAsia="zh-CN"/>
                      <w14:textFill>
                        <w14:solidFill>
                          <w14:schemeClr w14:val="tx1"/>
                        </w14:solidFill>
                      </w14:textFill>
                    </w:rPr>
                    <w:t>的初期雨水收集池收集沉淀后全部回用于项目洒水降尘用水及搅拌用水，不外排。项目无废水外排，生活区生活污水设置1个容积为10m</w:t>
                  </w:r>
                  <w:r>
                    <w:rPr>
                      <w:rFonts w:hint="eastAsia" w:eastAsia="宋体"/>
                      <w:color w:val="000000" w:themeColor="text1"/>
                      <w:szCs w:val="21"/>
                      <w:vertAlign w:val="superscript"/>
                      <w:lang w:val="en-US" w:eastAsia="zh-CN"/>
                      <w14:textFill>
                        <w14:solidFill>
                          <w14:schemeClr w14:val="tx1"/>
                        </w14:solidFill>
                      </w14:textFill>
                    </w:rPr>
                    <w:t>3</w:t>
                  </w:r>
                  <w:r>
                    <w:rPr>
                      <w:rFonts w:hint="eastAsia" w:eastAsia="宋体"/>
                      <w:color w:val="000000" w:themeColor="text1"/>
                      <w:szCs w:val="21"/>
                      <w:vertAlign w:val="baseline"/>
                      <w:lang w:val="en-US" w:eastAsia="zh-CN"/>
                      <w14:textFill>
                        <w14:solidFill>
                          <w14:schemeClr w14:val="tx1"/>
                        </w14:solidFill>
                      </w14:textFill>
                    </w:rPr>
                    <w:t>的化粪池处理后定期清掏用作农肥。</w:t>
                  </w:r>
                </w:p>
              </w:tc>
              <w:tc>
                <w:tcPr>
                  <w:tcW w:w="896" w:type="pct"/>
                  <w:noWrap w:val="0"/>
                  <w:vAlign w:val="center"/>
                </w:tcPr>
                <w:p w14:paraId="6777C06B">
                  <w:pPr>
                    <w:keepNext w:val="0"/>
                    <w:keepLines w:val="0"/>
                    <w:pageBreakBefore w:val="0"/>
                    <w:widowControl w:val="0"/>
                    <w:kinsoku/>
                    <w:wordWrap/>
                    <w:overflowPunct/>
                    <w:topLinePunct w:val="0"/>
                    <w:autoSpaceDE/>
                    <w:autoSpaceDN/>
                    <w:bidi w:val="0"/>
                    <w:adjustRightInd/>
                    <w:snapToGrid/>
                    <w:jc w:val="center"/>
                    <w:textAlignment w:val="auto"/>
                    <w:rPr>
                      <w:rFonts w:eastAsia="宋体"/>
                      <w:color w:val="000000" w:themeColor="text1"/>
                      <w:szCs w:val="21"/>
                      <w14:textFill>
                        <w14:solidFill>
                          <w14:schemeClr w14:val="tx1"/>
                        </w14:solidFill>
                      </w14:textFill>
                    </w:rPr>
                  </w:pPr>
                  <w:r>
                    <w:rPr>
                      <w:rFonts w:hint="eastAsia" w:eastAsia="宋体"/>
                      <w:snapToGrid w:val="0"/>
                      <w:color w:val="000000" w:themeColor="text1"/>
                      <w:kern w:val="0"/>
                      <w:szCs w:val="21"/>
                      <w:lang w:val="en-US" w:eastAsia="zh-CN"/>
                      <w14:textFill>
                        <w14:solidFill>
                          <w14:schemeClr w14:val="tx1"/>
                        </w14:solidFill>
                      </w14:textFill>
                    </w:rPr>
                    <w:t>依托现有</w:t>
                  </w:r>
                </w:p>
              </w:tc>
            </w:tr>
            <w:tr w14:paraId="6B627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blHeader/>
                <w:jc w:val="center"/>
              </w:trPr>
              <w:tc>
                <w:tcPr>
                  <w:tcW w:w="432" w:type="pct"/>
                  <w:vMerge w:val="restart"/>
                  <w:noWrap w:val="0"/>
                  <w:vAlign w:val="center"/>
                </w:tcPr>
                <w:p w14:paraId="1511CBAD">
                  <w:pPr>
                    <w:keepNext w:val="0"/>
                    <w:keepLines w:val="0"/>
                    <w:pageBreakBefore w:val="0"/>
                    <w:kinsoku/>
                    <w:wordWrap/>
                    <w:overflowPunct/>
                    <w:topLinePunct w:val="0"/>
                    <w:autoSpaceDE/>
                    <w:autoSpaceDN/>
                    <w:bidi w:val="0"/>
                    <w:adjustRightInd/>
                    <w:snapToGrid/>
                    <w:jc w:val="center"/>
                    <w:textAlignment w:val="auto"/>
                    <w:rPr>
                      <w:rFonts w:eastAsia="宋体"/>
                      <w:snapToGrid w:val="0"/>
                      <w:color w:val="000000" w:themeColor="text1"/>
                      <w:kern w:val="0"/>
                      <w:szCs w:val="21"/>
                      <w14:textFill>
                        <w14:solidFill>
                          <w14:schemeClr w14:val="tx1"/>
                        </w14:solidFill>
                      </w14:textFill>
                    </w:rPr>
                  </w:pPr>
                  <w:r>
                    <w:rPr>
                      <w:rFonts w:eastAsia="宋体"/>
                      <w:snapToGrid w:val="0"/>
                      <w:color w:val="000000" w:themeColor="text1"/>
                      <w:kern w:val="0"/>
                      <w:szCs w:val="21"/>
                      <w14:textFill>
                        <w14:solidFill>
                          <w14:schemeClr w14:val="tx1"/>
                        </w14:solidFill>
                      </w14:textFill>
                    </w:rPr>
                    <w:t>环保工程</w:t>
                  </w:r>
                </w:p>
              </w:tc>
              <w:tc>
                <w:tcPr>
                  <w:tcW w:w="246" w:type="pct"/>
                  <w:vMerge w:val="restart"/>
                  <w:noWrap w:val="0"/>
                  <w:vAlign w:val="center"/>
                </w:tcPr>
                <w:p w14:paraId="5261C5C6">
                  <w:pPr>
                    <w:keepNext w:val="0"/>
                    <w:keepLines w:val="0"/>
                    <w:pageBreakBefore w:val="0"/>
                    <w:kinsoku/>
                    <w:wordWrap/>
                    <w:overflowPunct/>
                    <w:topLinePunct w:val="0"/>
                    <w:autoSpaceDE/>
                    <w:autoSpaceDN/>
                    <w:bidi w:val="0"/>
                    <w:adjustRightInd/>
                    <w:snapToGrid/>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废气</w:t>
                  </w:r>
                </w:p>
              </w:tc>
              <w:tc>
                <w:tcPr>
                  <w:tcW w:w="409" w:type="pct"/>
                  <w:noWrap w:val="0"/>
                  <w:vAlign w:val="center"/>
                </w:tcPr>
                <w:p w14:paraId="66DEF31F">
                  <w:pPr>
                    <w:keepNext w:val="0"/>
                    <w:keepLines w:val="0"/>
                    <w:pageBreakBefore w:val="0"/>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原料贮存库扬尘</w:t>
                  </w:r>
                </w:p>
              </w:tc>
              <w:tc>
                <w:tcPr>
                  <w:tcW w:w="3014" w:type="pct"/>
                  <w:noWrap w:val="0"/>
                  <w:vAlign w:val="center"/>
                </w:tcPr>
                <w:p w14:paraId="6B5FEDA2">
                  <w:pPr>
                    <w:keepNext w:val="0"/>
                    <w:keepLines w:val="0"/>
                    <w:pageBreakBefore w:val="0"/>
                    <w:kinsoku/>
                    <w:wordWrap/>
                    <w:overflowPunct/>
                    <w:topLinePunct w:val="0"/>
                    <w:autoSpaceDE/>
                    <w:autoSpaceDN/>
                    <w:bidi w:val="0"/>
                    <w:adjustRightInd/>
                    <w:snapToGrid/>
                    <w:jc w:val="left"/>
                    <w:textAlignment w:val="auto"/>
                    <w:rPr>
                      <w:rFonts w:hint="default"/>
                      <w:color w:val="000000" w:themeColor="text1"/>
                      <w:sz w:val="2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原有：原料贮存库北侧、东侧围挡未封闭，库顶设置有喷雾降尘设施。</w:t>
                  </w:r>
                </w:p>
                <w:p w14:paraId="3F57A2BD">
                  <w:pPr>
                    <w:keepNext w:val="0"/>
                    <w:keepLines w:val="0"/>
                    <w:pageBreakBefore w:val="0"/>
                    <w:kinsoku/>
                    <w:wordWrap/>
                    <w:overflowPunct/>
                    <w:topLinePunct w:val="0"/>
                    <w:autoSpaceDE/>
                    <w:autoSpaceDN/>
                    <w:bidi w:val="0"/>
                    <w:adjustRightInd/>
                    <w:snapToGrid/>
                    <w:jc w:val="left"/>
                    <w:textAlignment w:val="auto"/>
                    <w:rPr>
                      <w:rFonts w:hint="eastAsia"/>
                      <w:color w:val="000000" w:themeColor="text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整改：原料贮存库北侧和东侧设置封闭围挡（南侧作为出入口，西侧靠近筛分设施因生产需要无法封闭）+库顶喷雾降尘1套。</w:t>
                  </w:r>
                </w:p>
              </w:tc>
              <w:tc>
                <w:tcPr>
                  <w:tcW w:w="896" w:type="pct"/>
                  <w:noWrap w:val="0"/>
                  <w:vAlign w:val="center"/>
                </w:tcPr>
                <w:p w14:paraId="6AA25758">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napToGrid w:val="0"/>
                      <w:color w:val="000000" w:themeColor="text1"/>
                      <w:kern w:val="0"/>
                      <w:szCs w:val="21"/>
                      <w:lang w:val="en-US" w:eastAsia="zh-CN"/>
                      <w14:textFill>
                        <w14:solidFill>
                          <w14:schemeClr w14:val="tx1"/>
                        </w14:solidFill>
                      </w14:textFill>
                    </w:rPr>
                  </w:pPr>
                  <w:r>
                    <w:rPr>
                      <w:rFonts w:hint="eastAsia" w:eastAsia="宋体"/>
                      <w:snapToGrid w:val="0"/>
                      <w:color w:val="000000" w:themeColor="text1"/>
                      <w:kern w:val="0"/>
                      <w:szCs w:val="21"/>
                      <w:lang w:val="en-US" w:eastAsia="zh-CN"/>
                      <w14:textFill>
                        <w14:solidFill>
                          <w14:schemeClr w14:val="tx1"/>
                        </w14:solidFill>
                      </w14:textFill>
                    </w:rPr>
                    <w:t>环评提出整改，</w:t>
                  </w:r>
                  <w:r>
                    <w:rPr>
                      <w:rFonts w:hint="eastAsia"/>
                      <w:snapToGrid w:val="0"/>
                      <w:color w:val="000000" w:themeColor="text1"/>
                      <w:kern w:val="0"/>
                      <w:szCs w:val="21"/>
                      <w:lang w:val="en-US" w:eastAsia="zh-CN"/>
                      <w14:textFill>
                        <w14:solidFill>
                          <w14:schemeClr w14:val="tx1"/>
                        </w14:solidFill>
                      </w14:textFill>
                    </w:rPr>
                    <w:t>改扩建项目试生产前完成整改</w:t>
                  </w:r>
                </w:p>
              </w:tc>
            </w:tr>
            <w:tr w14:paraId="306C8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432" w:type="pct"/>
                  <w:vMerge w:val="continue"/>
                  <w:noWrap w:val="0"/>
                  <w:vAlign w:val="center"/>
                </w:tcPr>
                <w:p w14:paraId="6646A236">
                  <w:pPr>
                    <w:keepNext w:val="0"/>
                    <w:keepLines w:val="0"/>
                    <w:pageBreakBefore w:val="0"/>
                    <w:kinsoku/>
                    <w:wordWrap/>
                    <w:overflowPunct/>
                    <w:topLinePunct w:val="0"/>
                    <w:autoSpaceDE/>
                    <w:autoSpaceDN/>
                    <w:bidi w:val="0"/>
                    <w:adjustRightInd/>
                    <w:snapToGrid/>
                    <w:jc w:val="center"/>
                    <w:textAlignment w:val="auto"/>
                    <w:rPr>
                      <w:rFonts w:eastAsia="宋体"/>
                      <w:snapToGrid w:val="0"/>
                      <w:color w:val="000000" w:themeColor="text1"/>
                      <w:kern w:val="0"/>
                      <w:szCs w:val="21"/>
                      <w14:textFill>
                        <w14:solidFill>
                          <w14:schemeClr w14:val="tx1"/>
                        </w14:solidFill>
                      </w14:textFill>
                    </w:rPr>
                  </w:pPr>
                </w:p>
              </w:tc>
              <w:tc>
                <w:tcPr>
                  <w:tcW w:w="246" w:type="pct"/>
                  <w:vMerge w:val="continue"/>
                  <w:noWrap w:val="0"/>
                  <w:vAlign w:val="center"/>
                </w:tcPr>
                <w:p w14:paraId="2B17B094">
                  <w:pPr>
                    <w:keepNext w:val="0"/>
                    <w:keepLines w:val="0"/>
                    <w:pageBreakBefore w:val="0"/>
                    <w:kinsoku/>
                    <w:wordWrap/>
                    <w:overflowPunct/>
                    <w:topLinePunct w:val="0"/>
                    <w:autoSpaceDE/>
                    <w:autoSpaceDN/>
                    <w:bidi w:val="0"/>
                    <w:adjustRightInd/>
                    <w:snapToGrid/>
                    <w:jc w:val="center"/>
                    <w:textAlignment w:val="auto"/>
                    <w:rPr>
                      <w:rFonts w:hint="eastAsia"/>
                      <w:color w:val="000000" w:themeColor="text1"/>
                      <w:lang w:val="en-US" w:eastAsia="zh-CN"/>
                      <w14:textFill>
                        <w14:solidFill>
                          <w14:schemeClr w14:val="tx1"/>
                        </w14:solidFill>
                      </w14:textFill>
                    </w:rPr>
                  </w:pPr>
                </w:p>
              </w:tc>
              <w:tc>
                <w:tcPr>
                  <w:tcW w:w="409" w:type="pct"/>
                  <w:noWrap w:val="0"/>
                  <w:vAlign w:val="center"/>
                </w:tcPr>
                <w:p w14:paraId="094D905E">
                  <w:pPr>
                    <w:keepNext w:val="0"/>
                    <w:keepLines w:val="0"/>
                    <w:pageBreakBefore w:val="0"/>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原料制备废气</w:t>
                  </w:r>
                </w:p>
              </w:tc>
              <w:tc>
                <w:tcPr>
                  <w:tcW w:w="3014" w:type="pct"/>
                  <w:noWrap w:val="0"/>
                  <w:vAlign w:val="center"/>
                </w:tcPr>
                <w:p w14:paraId="41AFD954">
                  <w:pPr>
                    <w:keepNext w:val="0"/>
                    <w:keepLines w:val="0"/>
                    <w:pageBreakBefore w:val="0"/>
                    <w:kinsoku/>
                    <w:wordWrap/>
                    <w:overflowPunct/>
                    <w:topLinePunct w:val="0"/>
                    <w:autoSpaceDE/>
                    <w:autoSpaceDN/>
                    <w:bidi w:val="0"/>
                    <w:adjustRightInd/>
                    <w:snapToGrid/>
                    <w:jc w:val="left"/>
                    <w:textAlignment w:val="auto"/>
                    <w:rPr>
                      <w:rFonts w:hint="default"/>
                      <w:color w:val="000000" w:themeColor="text1"/>
                      <w:sz w:val="2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原有：筛分机设置集气罩收集，粉磨废气设置管道收集，设置有1套袋式收尘器收集后无组织排放。</w:t>
                  </w:r>
                </w:p>
                <w:p w14:paraId="7CF73814">
                  <w:pPr>
                    <w:keepNext w:val="0"/>
                    <w:keepLines w:val="0"/>
                    <w:pageBreakBefore w:val="0"/>
                    <w:kinsoku/>
                    <w:wordWrap/>
                    <w:overflowPunct/>
                    <w:topLinePunct w:val="0"/>
                    <w:autoSpaceDE/>
                    <w:autoSpaceDN/>
                    <w:bidi w:val="0"/>
                    <w:adjustRightInd/>
                    <w:snapToGrid/>
                    <w:jc w:val="left"/>
                    <w:textAlignment w:val="auto"/>
                    <w:rPr>
                      <w:rFonts w:hint="eastAsia"/>
                      <w:color w:val="000000" w:themeColor="text1"/>
                      <w:sz w:val="2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整改：破碎、筛分各设置1个集气罩（收集效率不低于60%）收集，粉磨废气设置管道收集，进入1套脉冲袋式除尘器处理后设置1根高15m的排气筒</w:t>
                  </w:r>
                  <w:r>
                    <w:rPr>
                      <w:rFonts w:hint="eastAsia" w:cs="Times New Roman"/>
                      <w:color w:val="000000" w:themeColor="text1"/>
                      <w:lang w:val="en-US" w:eastAsia="zh-CN"/>
                      <w14:textFill>
                        <w14:solidFill>
                          <w14:schemeClr w14:val="tx1"/>
                        </w14:solidFill>
                      </w14:textFill>
                    </w:rPr>
                    <w:t>（内径为0.5m）</w:t>
                  </w:r>
                  <w:r>
                    <w:rPr>
                      <w:rFonts w:hint="eastAsia"/>
                      <w:color w:val="000000" w:themeColor="text1"/>
                      <w:sz w:val="21"/>
                      <w:lang w:val="en-US" w:eastAsia="zh-CN"/>
                      <w14:textFill>
                        <w14:solidFill>
                          <w14:schemeClr w14:val="tx1"/>
                        </w14:solidFill>
                      </w14:textFill>
                    </w:rPr>
                    <w:t>（DA002）排放。</w:t>
                  </w:r>
                </w:p>
              </w:tc>
              <w:tc>
                <w:tcPr>
                  <w:tcW w:w="896" w:type="pct"/>
                  <w:noWrap w:val="0"/>
                  <w:vAlign w:val="center"/>
                </w:tcPr>
                <w:p w14:paraId="5E504855">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napToGrid w:val="0"/>
                      <w:color w:val="000000" w:themeColor="text1"/>
                      <w:kern w:val="0"/>
                      <w:szCs w:val="21"/>
                      <w:lang w:val="en-US" w:eastAsia="zh-CN"/>
                      <w14:textFill>
                        <w14:solidFill>
                          <w14:schemeClr w14:val="tx1"/>
                        </w14:solidFill>
                      </w14:textFill>
                    </w:rPr>
                  </w:pPr>
                  <w:r>
                    <w:rPr>
                      <w:rFonts w:hint="eastAsia" w:eastAsia="宋体"/>
                      <w:snapToGrid w:val="0"/>
                      <w:color w:val="000000" w:themeColor="text1"/>
                      <w:kern w:val="0"/>
                      <w:szCs w:val="21"/>
                      <w:lang w:val="en-US" w:eastAsia="zh-CN"/>
                      <w14:textFill>
                        <w14:solidFill>
                          <w14:schemeClr w14:val="tx1"/>
                        </w14:solidFill>
                      </w14:textFill>
                    </w:rPr>
                    <w:t>环评提出整改，</w:t>
                  </w:r>
                  <w:r>
                    <w:rPr>
                      <w:rFonts w:hint="eastAsia"/>
                      <w:snapToGrid w:val="0"/>
                      <w:color w:val="000000" w:themeColor="text1"/>
                      <w:kern w:val="0"/>
                      <w:szCs w:val="21"/>
                      <w:lang w:val="en-US" w:eastAsia="zh-CN"/>
                      <w14:textFill>
                        <w14:solidFill>
                          <w14:schemeClr w14:val="tx1"/>
                        </w14:solidFill>
                      </w14:textFill>
                    </w:rPr>
                    <w:t>改扩建项目试生产前完成整改</w:t>
                  </w:r>
                </w:p>
              </w:tc>
            </w:tr>
            <w:tr w14:paraId="23B8E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432" w:type="pct"/>
                  <w:vMerge w:val="continue"/>
                  <w:noWrap w:val="0"/>
                  <w:vAlign w:val="center"/>
                </w:tcPr>
                <w:p w14:paraId="195E56A2">
                  <w:pPr>
                    <w:keepNext w:val="0"/>
                    <w:keepLines w:val="0"/>
                    <w:pageBreakBefore w:val="0"/>
                    <w:kinsoku/>
                    <w:wordWrap/>
                    <w:overflowPunct/>
                    <w:topLinePunct w:val="0"/>
                    <w:autoSpaceDE/>
                    <w:autoSpaceDN/>
                    <w:bidi w:val="0"/>
                    <w:adjustRightInd/>
                    <w:snapToGrid/>
                    <w:jc w:val="center"/>
                    <w:textAlignment w:val="auto"/>
                    <w:rPr>
                      <w:rFonts w:eastAsia="宋体"/>
                      <w:snapToGrid w:val="0"/>
                      <w:color w:val="000000" w:themeColor="text1"/>
                      <w:kern w:val="0"/>
                      <w:szCs w:val="21"/>
                      <w14:textFill>
                        <w14:solidFill>
                          <w14:schemeClr w14:val="tx1"/>
                        </w14:solidFill>
                      </w14:textFill>
                    </w:rPr>
                  </w:pPr>
                </w:p>
              </w:tc>
              <w:tc>
                <w:tcPr>
                  <w:tcW w:w="246" w:type="pct"/>
                  <w:vMerge w:val="continue"/>
                  <w:noWrap w:val="0"/>
                  <w:vAlign w:val="center"/>
                </w:tcPr>
                <w:p w14:paraId="6F04D053">
                  <w:pPr>
                    <w:keepNext w:val="0"/>
                    <w:keepLines w:val="0"/>
                    <w:pageBreakBefore w:val="0"/>
                    <w:kinsoku/>
                    <w:wordWrap/>
                    <w:overflowPunct/>
                    <w:topLinePunct w:val="0"/>
                    <w:autoSpaceDE/>
                    <w:autoSpaceDN/>
                    <w:bidi w:val="0"/>
                    <w:adjustRightInd/>
                    <w:snapToGrid/>
                    <w:jc w:val="center"/>
                    <w:textAlignment w:val="auto"/>
                    <w:rPr>
                      <w:rFonts w:hint="eastAsia"/>
                      <w:color w:val="000000" w:themeColor="text1"/>
                      <w:lang w:val="en-US" w:eastAsia="zh-CN"/>
                      <w14:textFill>
                        <w14:solidFill>
                          <w14:schemeClr w14:val="tx1"/>
                        </w14:solidFill>
                      </w14:textFill>
                    </w:rPr>
                  </w:pPr>
                </w:p>
              </w:tc>
              <w:tc>
                <w:tcPr>
                  <w:tcW w:w="409" w:type="pct"/>
                  <w:noWrap w:val="0"/>
                  <w:vAlign w:val="center"/>
                </w:tcPr>
                <w:p w14:paraId="350C28FA">
                  <w:pPr>
                    <w:keepNext w:val="0"/>
                    <w:keepLines w:val="0"/>
                    <w:pageBreakBefore w:val="0"/>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炉窑废气</w:t>
                  </w:r>
                </w:p>
              </w:tc>
              <w:tc>
                <w:tcPr>
                  <w:tcW w:w="3014" w:type="pct"/>
                  <w:noWrap w:val="0"/>
                  <w:vAlign w:val="center"/>
                </w:tcPr>
                <w:p w14:paraId="0646758E">
                  <w:pPr>
                    <w:keepNext w:val="0"/>
                    <w:keepLines w:val="0"/>
                    <w:pageBreakBefore w:val="0"/>
                    <w:kinsoku/>
                    <w:wordWrap/>
                    <w:overflowPunct/>
                    <w:topLinePunct w:val="0"/>
                    <w:autoSpaceDE/>
                    <w:autoSpaceDN/>
                    <w:bidi w:val="0"/>
                    <w:adjustRightInd/>
                    <w:snapToGrid/>
                    <w:jc w:val="left"/>
                    <w:textAlignment w:val="auto"/>
                    <w:rPr>
                      <w:rFonts w:hint="eastAsia"/>
                      <w:color w:val="000000" w:themeColor="text1"/>
                      <w:sz w:val="2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原有：</w:t>
                  </w:r>
                  <w:r>
                    <w:rPr>
                      <w:rFonts w:hint="eastAsia" w:ascii="Times New Roman" w:hAnsi="Times New Roman" w:eastAsia="宋体" w:cs="Times New Roman"/>
                      <w:color w:val="000000" w:themeColor="text1"/>
                      <w:lang w:val="en-US" w:eastAsia="zh-CN"/>
                      <w14:textFill>
                        <w14:solidFill>
                          <w14:schemeClr w14:val="tx1"/>
                        </w14:solidFill>
                      </w14:textFill>
                    </w:rPr>
                    <w:t>由DN800</w:t>
                  </w:r>
                  <w:r>
                    <w:rPr>
                      <w:rFonts w:hint="default" w:ascii="Times New Roman" w:hAnsi="Times New Roman" w:eastAsia="宋体" w:cs="Times New Roman"/>
                      <w:color w:val="000000" w:themeColor="text1"/>
                      <w:lang w:val="en-US" w:eastAsia="zh-CN"/>
                      <w14:textFill>
                        <w14:solidFill>
                          <w14:schemeClr w14:val="tx1"/>
                        </w14:solidFill>
                      </w14:textFill>
                    </w:rPr>
                    <w:t>管道收集后经1套脱硫塔（</w:t>
                  </w:r>
                  <w:r>
                    <w:rPr>
                      <w:rFonts w:hint="eastAsia" w:cs="Times New Roman"/>
                      <w:color w:val="000000" w:themeColor="text1"/>
                      <w:lang w:val="en-US" w:eastAsia="zh-CN"/>
                      <w14:textFill>
                        <w14:solidFill>
                          <w14:schemeClr w14:val="tx1"/>
                        </w14:solidFill>
                      </w14:textFill>
                    </w:rPr>
                    <w:t>钠碱法</w:t>
                  </w:r>
                  <w:r>
                    <w:rPr>
                      <w:rFonts w:hint="default" w:ascii="Times New Roman" w:hAnsi="Times New Roman" w:eastAsia="宋体" w:cs="Times New Roman"/>
                      <w:color w:val="000000" w:themeColor="text1"/>
                      <w:lang w:val="en-US" w:eastAsia="zh-CN"/>
                      <w14:textFill>
                        <w14:solidFill>
                          <w14:schemeClr w14:val="tx1"/>
                        </w14:solidFill>
                      </w14:textFill>
                    </w:rPr>
                    <w:t>）处理后由1根15m高的排气筒</w:t>
                  </w:r>
                  <w:r>
                    <w:rPr>
                      <w:rFonts w:hint="eastAsia" w:cs="Times New Roman"/>
                      <w:color w:val="000000" w:themeColor="text1"/>
                      <w:lang w:val="en-US" w:eastAsia="zh-CN"/>
                      <w14:textFill>
                        <w14:solidFill>
                          <w14:schemeClr w14:val="tx1"/>
                        </w14:solidFill>
                      </w14:textFill>
                    </w:rPr>
                    <w:t>（内径为0.35m）</w:t>
                  </w:r>
                  <w:r>
                    <w:rPr>
                      <w:rFonts w:hint="default" w:ascii="Times New Roman" w:hAnsi="Times New Roman" w:eastAsia="宋体" w:cs="Times New Roman"/>
                      <w:color w:val="000000" w:themeColor="text1"/>
                      <w:lang w:val="en-US" w:eastAsia="zh-CN"/>
                      <w14:textFill>
                        <w14:solidFill>
                          <w14:schemeClr w14:val="tx1"/>
                        </w14:solidFill>
                      </w14:textFill>
                    </w:rPr>
                    <w:t>排放。</w:t>
                  </w:r>
                </w:p>
                <w:p w14:paraId="2129B314">
                  <w:pPr>
                    <w:keepNext w:val="0"/>
                    <w:keepLines w:val="0"/>
                    <w:pageBreakBefore w:val="0"/>
                    <w:kinsoku/>
                    <w:wordWrap/>
                    <w:overflowPunct/>
                    <w:topLinePunct w:val="0"/>
                    <w:autoSpaceDE/>
                    <w:autoSpaceDN/>
                    <w:bidi w:val="0"/>
                    <w:adjustRightInd/>
                    <w:snapToGrid/>
                    <w:jc w:val="left"/>
                    <w:textAlignment w:val="auto"/>
                    <w:rPr>
                      <w:rFonts w:hint="default"/>
                      <w:color w:val="000000" w:themeColor="text1"/>
                      <w:sz w:val="2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整改：</w:t>
                  </w:r>
                  <w:r>
                    <w:rPr>
                      <w:rFonts w:hint="eastAsia" w:ascii="Times New Roman" w:hAnsi="Times New Roman" w:eastAsia="宋体" w:cs="Times New Roman"/>
                      <w:color w:val="000000" w:themeColor="text1"/>
                      <w:lang w:val="en-US" w:eastAsia="zh-CN"/>
                      <w14:textFill>
                        <w14:solidFill>
                          <w14:schemeClr w14:val="tx1"/>
                        </w14:solidFill>
                      </w14:textFill>
                    </w:rPr>
                    <w:t>由DN800</w:t>
                  </w:r>
                  <w:r>
                    <w:rPr>
                      <w:rFonts w:hint="default" w:ascii="Times New Roman" w:hAnsi="Times New Roman" w:eastAsia="宋体" w:cs="Times New Roman"/>
                      <w:color w:val="000000" w:themeColor="text1"/>
                      <w:lang w:val="en-US" w:eastAsia="zh-CN"/>
                      <w14:textFill>
                        <w14:solidFill>
                          <w14:schemeClr w14:val="tx1"/>
                        </w14:solidFill>
                      </w14:textFill>
                    </w:rPr>
                    <w:t>管道收集后</w:t>
                  </w:r>
                  <w:r>
                    <w:rPr>
                      <w:rFonts w:hint="eastAsia" w:ascii="Times New Roman" w:hAnsi="Times New Roman" w:eastAsia="宋体" w:cs="Times New Roman"/>
                      <w:color w:val="000000" w:themeColor="text1"/>
                      <w:lang w:val="en-US" w:eastAsia="zh-CN"/>
                      <w14:textFill>
                        <w14:solidFill>
                          <w14:schemeClr w14:val="tx1"/>
                        </w14:solidFill>
                      </w14:textFill>
                    </w:rPr>
                    <w:t>设置1套“高温脉冲</w:t>
                  </w:r>
                  <w:r>
                    <w:rPr>
                      <w:rFonts w:hint="eastAsia" w:cs="Times New Roman"/>
                      <w:color w:val="000000" w:themeColor="text1"/>
                      <w:lang w:val="en-US" w:eastAsia="zh-CN"/>
                      <w14:textFill>
                        <w14:solidFill>
                          <w14:schemeClr w14:val="tx1"/>
                        </w14:solidFill>
                      </w14:textFill>
                    </w:rPr>
                    <w:t>袋式</w:t>
                  </w:r>
                  <w:r>
                    <w:rPr>
                      <w:rFonts w:hint="eastAsia" w:ascii="Times New Roman" w:hAnsi="Times New Roman" w:eastAsia="宋体" w:cs="Times New Roman"/>
                      <w:color w:val="000000" w:themeColor="text1"/>
                      <w:lang w:val="en-US" w:eastAsia="zh-CN"/>
                      <w14:textFill>
                        <w14:solidFill>
                          <w14:schemeClr w14:val="tx1"/>
                        </w14:solidFill>
                      </w14:textFill>
                    </w:rPr>
                    <w:t>除尘+脱硫塔（石灰石石膏法）”处理后，由1根15m高的排气筒</w:t>
                  </w:r>
                  <w:r>
                    <w:rPr>
                      <w:rFonts w:hint="eastAsia" w:cs="Times New Roman"/>
                      <w:color w:val="000000" w:themeColor="text1"/>
                      <w:lang w:val="en-US" w:eastAsia="zh-CN"/>
                      <w14:textFill>
                        <w14:solidFill>
                          <w14:schemeClr w14:val="tx1"/>
                        </w14:solidFill>
                      </w14:textFill>
                    </w:rPr>
                    <w:t>（内径为0.8m）</w:t>
                  </w:r>
                  <w:r>
                    <w:rPr>
                      <w:rFonts w:hint="eastAsia" w:ascii="Times New Roman" w:hAnsi="Times New Roman" w:eastAsia="宋体"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DA00</w:t>
                  </w:r>
                  <w:r>
                    <w:rPr>
                      <w:rFonts w:hint="eastAsia" w:cs="Times New Roman"/>
                      <w:color w:val="000000" w:themeColor="text1"/>
                      <w:lang w:val="en-US" w:eastAsia="zh-CN"/>
                      <w14:textFill>
                        <w14:solidFill>
                          <w14:schemeClr w14:val="tx1"/>
                        </w14:solidFill>
                      </w14:textFill>
                    </w:rPr>
                    <w:t>1</w:t>
                  </w:r>
                  <w:r>
                    <w:rPr>
                      <w:rFonts w:hint="eastAsia" w:ascii="Times New Roman" w:hAnsi="Times New Roman" w:eastAsia="宋体" w:cs="Times New Roman"/>
                      <w:color w:val="000000" w:themeColor="text1"/>
                      <w:lang w:val="en-US" w:eastAsia="zh-CN"/>
                      <w14:textFill>
                        <w14:solidFill>
                          <w14:schemeClr w14:val="tx1"/>
                        </w14:solidFill>
                      </w14:textFill>
                    </w:rPr>
                    <w:t>）排放</w:t>
                  </w:r>
                  <w:r>
                    <w:rPr>
                      <w:rFonts w:hint="eastAsia" w:cs="Times New Roman"/>
                      <w:color w:val="000000" w:themeColor="text1"/>
                      <w:lang w:val="en-US" w:eastAsia="zh-CN"/>
                      <w14:textFill>
                        <w14:solidFill>
                          <w14:schemeClr w14:val="tx1"/>
                        </w14:solidFill>
                      </w14:textFill>
                    </w:rPr>
                    <w:t>。</w:t>
                  </w:r>
                </w:p>
              </w:tc>
              <w:tc>
                <w:tcPr>
                  <w:tcW w:w="896" w:type="pct"/>
                  <w:noWrap w:val="0"/>
                  <w:vAlign w:val="center"/>
                </w:tcPr>
                <w:p w14:paraId="27169E06">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napToGrid w:val="0"/>
                      <w:color w:val="000000" w:themeColor="text1"/>
                      <w:kern w:val="0"/>
                      <w:szCs w:val="21"/>
                      <w:lang w:val="en-US" w:eastAsia="zh-CN"/>
                      <w14:textFill>
                        <w14:solidFill>
                          <w14:schemeClr w14:val="tx1"/>
                        </w14:solidFill>
                      </w14:textFill>
                    </w:rPr>
                  </w:pPr>
                  <w:r>
                    <w:rPr>
                      <w:rFonts w:hint="eastAsia" w:eastAsia="宋体"/>
                      <w:snapToGrid w:val="0"/>
                      <w:color w:val="000000" w:themeColor="text1"/>
                      <w:kern w:val="0"/>
                      <w:szCs w:val="21"/>
                      <w:lang w:val="en-US" w:eastAsia="zh-CN"/>
                      <w14:textFill>
                        <w14:solidFill>
                          <w14:schemeClr w14:val="tx1"/>
                        </w14:solidFill>
                      </w14:textFill>
                    </w:rPr>
                    <w:t>环评提出整改，</w:t>
                  </w:r>
                  <w:r>
                    <w:rPr>
                      <w:rFonts w:hint="eastAsia"/>
                      <w:snapToGrid w:val="0"/>
                      <w:color w:val="000000" w:themeColor="text1"/>
                      <w:kern w:val="0"/>
                      <w:szCs w:val="21"/>
                      <w:lang w:val="en-US" w:eastAsia="zh-CN"/>
                      <w14:textFill>
                        <w14:solidFill>
                          <w14:schemeClr w14:val="tx1"/>
                        </w14:solidFill>
                      </w14:textFill>
                    </w:rPr>
                    <w:t>改扩建项目试生产前完成整改</w:t>
                  </w:r>
                </w:p>
              </w:tc>
            </w:tr>
            <w:tr w14:paraId="47F3C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432" w:type="pct"/>
                  <w:vMerge w:val="continue"/>
                  <w:noWrap w:val="0"/>
                  <w:vAlign w:val="center"/>
                </w:tcPr>
                <w:p w14:paraId="6C48D6F4">
                  <w:pPr>
                    <w:keepNext w:val="0"/>
                    <w:keepLines w:val="0"/>
                    <w:pageBreakBefore w:val="0"/>
                    <w:kinsoku/>
                    <w:wordWrap/>
                    <w:overflowPunct/>
                    <w:topLinePunct w:val="0"/>
                    <w:autoSpaceDE/>
                    <w:autoSpaceDN/>
                    <w:bidi w:val="0"/>
                    <w:adjustRightInd/>
                    <w:snapToGrid/>
                    <w:jc w:val="center"/>
                    <w:textAlignment w:val="auto"/>
                    <w:rPr>
                      <w:rFonts w:eastAsia="宋体"/>
                      <w:snapToGrid w:val="0"/>
                      <w:color w:val="000000" w:themeColor="text1"/>
                      <w:kern w:val="0"/>
                      <w:szCs w:val="21"/>
                      <w14:textFill>
                        <w14:solidFill>
                          <w14:schemeClr w14:val="tx1"/>
                        </w14:solidFill>
                      </w14:textFill>
                    </w:rPr>
                  </w:pPr>
                </w:p>
              </w:tc>
              <w:tc>
                <w:tcPr>
                  <w:tcW w:w="246" w:type="pct"/>
                  <w:vMerge w:val="continue"/>
                  <w:noWrap w:val="0"/>
                  <w:vAlign w:val="center"/>
                </w:tcPr>
                <w:p w14:paraId="7324C3A9">
                  <w:pPr>
                    <w:keepNext w:val="0"/>
                    <w:keepLines w:val="0"/>
                    <w:pageBreakBefore w:val="0"/>
                    <w:kinsoku/>
                    <w:wordWrap/>
                    <w:overflowPunct/>
                    <w:topLinePunct w:val="0"/>
                    <w:autoSpaceDE/>
                    <w:autoSpaceDN/>
                    <w:bidi w:val="0"/>
                    <w:adjustRightInd/>
                    <w:snapToGrid/>
                    <w:jc w:val="center"/>
                    <w:textAlignment w:val="auto"/>
                    <w:rPr>
                      <w:rFonts w:hint="eastAsia"/>
                      <w:color w:val="000000" w:themeColor="text1"/>
                      <w:lang w:val="en-US" w:eastAsia="zh-CN"/>
                      <w14:textFill>
                        <w14:solidFill>
                          <w14:schemeClr w14:val="tx1"/>
                        </w14:solidFill>
                      </w14:textFill>
                    </w:rPr>
                  </w:pPr>
                </w:p>
              </w:tc>
              <w:tc>
                <w:tcPr>
                  <w:tcW w:w="409" w:type="pct"/>
                  <w:noWrap w:val="0"/>
                  <w:vAlign w:val="center"/>
                </w:tcPr>
                <w:p w14:paraId="07AA7D71">
                  <w:pPr>
                    <w:keepNext w:val="0"/>
                    <w:keepLines w:val="0"/>
                    <w:pageBreakBefore w:val="0"/>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运输扬尘</w:t>
                  </w:r>
                </w:p>
              </w:tc>
              <w:tc>
                <w:tcPr>
                  <w:tcW w:w="3014" w:type="pct"/>
                  <w:noWrap w:val="0"/>
                  <w:vAlign w:val="center"/>
                </w:tcPr>
                <w:p w14:paraId="654BEEE7">
                  <w:pPr>
                    <w:keepNext w:val="0"/>
                    <w:keepLines w:val="0"/>
                    <w:pageBreakBefore w:val="0"/>
                    <w:kinsoku/>
                    <w:wordWrap/>
                    <w:overflowPunct/>
                    <w:topLinePunct w:val="0"/>
                    <w:autoSpaceDE/>
                    <w:autoSpaceDN/>
                    <w:bidi w:val="0"/>
                    <w:adjustRightInd/>
                    <w:snapToGrid/>
                    <w:jc w:val="left"/>
                    <w:textAlignment w:val="auto"/>
                    <w:rPr>
                      <w:rFonts w:hint="eastAsia"/>
                      <w:color w:val="000000" w:themeColor="text1"/>
                      <w:lang w:val="zh-CN" w:eastAsia="zh-CN"/>
                      <w14:textFill>
                        <w14:solidFill>
                          <w14:schemeClr w14:val="tx1"/>
                        </w14:solidFill>
                      </w14:textFill>
                    </w:rPr>
                  </w:pPr>
                  <w:r>
                    <w:rPr>
                      <w:rFonts w:hint="eastAsia"/>
                      <w:color w:val="000000" w:themeColor="text1"/>
                      <w:lang w:val="zh-CN" w:eastAsia="zh-CN"/>
                      <w14:textFill>
                        <w14:solidFill>
                          <w14:schemeClr w14:val="tx1"/>
                        </w14:solidFill>
                      </w14:textFill>
                    </w:rPr>
                    <w:t>物料密闭运输、道路定期洒水降尘。</w:t>
                  </w:r>
                </w:p>
              </w:tc>
              <w:tc>
                <w:tcPr>
                  <w:tcW w:w="896" w:type="pct"/>
                  <w:noWrap w:val="0"/>
                  <w:vAlign w:val="center"/>
                </w:tcPr>
                <w:p w14:paraId="66AB77CE">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napToGrid w:val="0"/>
                      <w:color w:val="000000" w:themeColor="text1"/>
                      <w:kern w:val="0"/>
                      <w:szCs w:val="21"/>
                      <w:lang w:val="en-US" w:eastAsia="zh-CN"/>
                      <w14:textFill>
                        <w14:solidFill>
                          <w14:schemeClr w14:val="tx1"/>
                        </w14:solidFill>
                      </w14:textFill>
                    </w:rPr>
                  </w:pPr>
                  <w:r>
                    <w:rPr>
                      <w:rFonts w:hint="eastAsia" w:eastAsia="宋体"/>
                      <w:snapToGrid w:val="0"/>
                      <w:color w:val="000000" w:themeColor="text1"/>
                      <w:kern w:val="0"/>
                      <w:szCs w:val="21"/>
                      <w:lang w:val="en-US" w:eastAsia="zh-CN"/>
                      <w14:textFill>
                        <w14:solidFill>
                          <w14:schemeClr w14:val="tx1"/>
                        </w14:solidFill>
                      </w14:textFill>
                    </w:rPr>
                    <w:t>依托现有</w:t>
                  </w:r>
                </w:p>
              </w:tc>
            </w:tr>
            <w:tr w14:paraId="63C39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432" w:type="pct"/>
                  <w:vMerge w:val="continue"/>
                  <w:noWrap w:val="0"/>
                  <w:vAlign w:val="center"/>
                </w:tcPr>
                <w:p w14:paraId="26F67201">
                  <w:pPr>
                    <w:keepNext w:val="0"/>
                    <w:keepLines w:val="0"/>
                    <w:pageBreakBefore w:val="0"/>
                    <w:kinsoku/>
                    <w:wordWrap/>
                    <w:overflowPunct/>
                    <w:topLinePunct w:val="0"/>
                    <w:autoSpaceDE/>
                    <w:autoSpaceDN/>
                    <w:bidi w:val="0"/>
                    <w:adjustRightInd/>
                    <w:snapToGrid/>
                    <w:jc w:val="center"/>
                    <w:textAlignment w:val="auto"/>
                    <w:rPr>
                      <w:rFonts w:eastAsia="宋体"/>
                      <w:snapToGrid w:val="0"/>
                      <w:color w:val="000000" w:themeColor="text1"/>
                      <w:kern w:val="0"/>
                      <w:szCs w:val="21"/>
                      <w14:textFill>
                        <w14:solidFill>
                          <w14:schemeClr w14:val="tx1"/>
                        </w14:solidFill>
                      </w14:textFill>
                    </w:rPr>
                  </w:pPr>
                </w:p>
              </w:tc>
              <w:tc>
                <w:tcPr>
                  <w:tcW w:w="246" w:type="pct"/>
                  <w:vMerge w:val="restart"/>
                  <w:noWrap w:val="0"/>
                  <w:vAlign w:val="center"/>
                </w:tcPr>
                <w:p w14:paraId="226EADD2">
                  <w:pPr>
                    <w:keepNext w:val="0"/>
                    <w:keepLines w:val="0"/>
                    <w:pageBreakBefore w:val="0"/>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废水</w:t>
                  </w:r>
                </w:p>
              </w:tc>
              <w:tc>
                <w:tcPr>
                  <w:tcW w:w="409" w:type="pct"/>
                  <w:noWrap w:val="0"/>
                  <w:vAlign w:val="center"/>
                </w:tcPr>
                <w:p w14:paraId="7FDD4472">
                  <w:pPr>
                    <w:keepNext w:val="0"/>
                    <w:keepLines w:val="0"/>
                    <w:pageBreakBefore w:val="0"/>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初期雨水</w:t>
                  </w:r>
                </w:p>
              </w:tc>
              <w:tc>
                <w:tcPr>
                  <w:tcW w:w="3014" w:type="pct"/>
                  <w:noWrap w:val="0"/>
                  <w:vAlign w:val="center"/>
                </w:tcPr>
                <w:p w14:paraId="0612D57D">
                  <w:pPr>
                    <w:keepNext w:val="0"/>
                    <w:keepLines w:val="0"/>
                    <w:pageBreakBefore w:val="0"/>
                    <w:kinsoku/>
                    <w:wordWrap/>
                    <w:overflowPunct/>
                    <w:topLinePunct w:val="0"/>
                    <w:autoSpaceDE/>
                    <w:autoSpaceDN/>
                    <w:bidi w:val="0"/>
                    <w:adjustRightInd/>
                    <w:snapToGrid/>
                    <w:jc w:val="left"/>
                    <w:textAlignment w:val="auto"/>
                    <w:rPr>
                      <w:rFonts w:hint="eastAsia"/>
                      <w:color w:val="000000" w:themeColor="text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原有：</w:t>
                  </w:r>
                  <w:r>
                    <w:rPr>
                      <w:rFonts w:hint="eastAsia"/>
                      <w:color w:val="000000" w:themeColor="text1"/>
                      <w:lang w:val="en-US" w:eastAsia="zh-CN"/>
                      <w14:textFill>
                        <w14:solidFill>
                          <w14:schemeClr w14:val="tx1"/>
                        </w14:solidFill>
                      </w14:textFill>
                    </w:rPr>
                    <w:t>初期雨水收集池，1个，容积为20m</w:t>
                  </w:r>
                  <w:r>
                    <w:rPr>
                      <w:rFonts w:hint="eastAsia"/>
                      <w:color w:val="000000" w:themeColor="text1"/>
                      <w:vertAlign w:val="superscript"/>
                      <w:lang w:val="en-US" w:eastAsia="zh-CN"/>
                      <w14:textFill>
                        <w14:solidFill>
                          <w14:schemeClr w14:val="tx1"/>
                        </w14:solidFill>
                      </w14:textFill>
                    </w:rPr>
                    <w:t>3</w:t>
                  </w:r>
                  <w:r>
                    <w:rPr>
                      <w:rFonts w:hint="eastAsia"/>
                      <w:color w:val="000000" w:themeColor="text1"/>
                      <w:vertAlign w:val="baseline"/>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位于项目区北侧。初期雨水收集沉淀后全部回用于项目洒水降尘用水及搅拌用水，不外排。</w:t>
                  </w:r>
                </w:p>
                <w:p w14:paraId="1BD4F64B">
                  <w:pPr>
                    <w:keepNext w:val="0"/>
                    <w:keepLines w:val="0"/>
                    <w:pageBreakBefore w:val="0"/>
                    <w:kinsoku/>
                    <w:wordWrap/>
                    <w:overflowPunct/>
                    <w:topLinePunct w:val="0"/>
                    <w:autoSpaceDE/>
                    <w:autoSpaceDN/>
                    <w:bidi w:val="0"/>
                    <w:adjustRightInd/>
                    <w:snapToGrid/>
                    <w:jc w:val="left"/>
                    <w:textAlignment w:val="auto"/>
                    <w:rPr>
                      <w:rFonts w:hint="default"/>
                      <w:color w:val="000000" w:themeColor="text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整改：</w:t>
                  </w:r>
                  <w:r>
                    <w:rPr>
                      <w:rFonts w:hint="eastAsia"/>
                      <w:color w:val="000000" w:themeColor="text1"/>
                      <w:lang w:val="en-US" w:eastAsia="zh-CN"/>
                      <w14:textFill>
                        <w14:solidFill>
                          <w14:schemeClr w14:val="tx1"/>
                        </w14:solidFill>
                      </w14:textFill>
                    </w:rPr>
                    <w:t>初期雨水收集池，1个，容积为20m</w:t>
                  </w:r>
                  <w:r>
                    <w:rPr>
                      <w:rFonts w:hint="eastAsia"/>
                      <w:color w:val="000000" w:themeColor="text1"/>
                      <w:vertAlign w:val="superscript"/>
                      <w:lang w:val="en-US" w:eastAsia="zh-CN"/>
                      <w14:textFill>
                        <w14:solidFill>
                          <w14:schemeClr w14:val="tx1"/>
                        </w14:solidFill>
                      </w14:textFill>
                    </w:rPr>
                    <w:t>3</w:t>
                  </w:r>
                  <w:r>
                    <w:rPr>
                      <w:rFonts w:hint="eastAsia"/>
                      <w:color w:val="000000" w:themeColor="text1"/>
                      <w:vertAlign w:val="baseline"/>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位于项目区北侧。</w:t>
                  </w:r>
                  <w:r>
                    <w:rPr>
                      <w:rFonts w:hint="eastAsia"/>
                      <w:b w:val="0"/>
                      <w:bCs w:val="0"/>
                      <w:color w:val="000000" w:themeColor="text1"/>
                      <w:sz w:val="21"/>
                      <w:szCs w:val="21"/>
                      <w:vertAlign w:val="baseline"/>
                      <w:lang w:val="en-US" w:eastAsia="zh-CN"/>
                      <w14:textFill>
                        <w14:solidFill>
                          <w14:schemeClr w14:val="tx1"/>
                        </w14:solidFill>
                      </w14:textFill>
                    </w:rPr>
                    <w:t>进水管设置切断阀，配套初期雨水回用管道，经沉淀后全部回用于项目洒水降尘及搅拌用水，不外排。</w:t>
                  </w:r>
                </w:p>
              </w:tc>
              <w:tc>
                <w:tcPr>
                  <w:tcW w:w="896" w:type="pct"/>
                  <w:noWrap w:val="0"/>
                  <w:vAlign w:val="center"/>
                </w:tcPr>
                <w:p w14:paraId="4F1FB550">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napToGrid w:val="0"/>
                      <w:color w:val="000000" w:themeColor="text1"/>
                      <w:kern w:val="0"/>
                      <w:szCs w:val="21"/>
                      <w:lang w:val="en-US" w:eastAsia="zh-CN"/>
                      <w14:textFill>
                        <w14:solidFill>
                          <w14:schemeClr w14:val="tx1"/>
                        </w14:solidFill>
                      </w14:textFill>
                    </w:rPr>
                  </w:pPr>
                  <w:r>
                    <w:rPr>
                      <w:rFonts w:hint="eastAsia" w:eastAsia="宋体"/>
                      <w:snapToGrid w:val="0"/>
                      <w:color w:val="000000" w:themeColor="text1"/>
                      <w:kern w:val="0"/>
                      <w:szCs w:val="21"/>
                      <w:lang w:val="en-US" w:eastAsia="zh-CN"/>
                      <w14:textFill>
                        <w14:solidFill>
                          <w14:schemeClr w14:val="tx1"/>
                        </w14:solidFill>
                      </w14:textFill>
                    </w:rPr>
                    <w:t>环评提出整改，</w:t>
                  </w:r>
                  <w:r>
                    <w:rPr>
                      <w:rFonts w:hint="eastAsia"/>
                      <w:snapToGrid w:val="0"/>
                      <w:color w:val="000000" w:themeColor="text1"/>
                      <w:kern w:val="0"/>
                      <w:szCs w:val="21"/>
                      <w:lang w:val="en-US" w:eastAsia="zh-CN"/>
                      <w14:textFill>
                        <w14:solidFill>
                          <w14:schemeClr w14:val="tx1"/>
                        </w14:solidFill>
                      </w14:textFill>
                    </w:rPr>
                    <w:t>改扩建项目试生产前完成整改</w:t>
                  </w:r>
                </w:p>
              </w:tc>
            </w:tr>
            <w:tr w14:paraId="5D84A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blHeader/>
                <w:jc w:val="center"/>
              </w:trPr>
              <w:tc>
                <w:tcPr>
                  <w:tcW w:w="432" w:type="pct"/>
                  <w:vMerge w:val="continue"/>
                  <w:noWrap w:val="0"/>
                  <w:vAlign w:val="center"/>
                </w:tcPr>
                <w:p w14:paraId="188EDBB7">
                  <w:pPr>
                    <w:keepNext w:val="0"/>
                    <w:keepLines w:val="0"/>
                    <w:pageBreakBefore w:val="0"/>
                    <w:kinsoku/>
                    <w:wordWrap/>
                    <w:overflowPunct/>
                    <w:topLinePunct w:val="0"/>
                    <w:autoSpaceDE/>
                    <w:autoSpaceDN/>
                    <w:bidi w:val="0"/>
                    <w:adjustRightInd/>
                    <w:snapToGrid/>
                    <w:jc w:val="center"/>
                    <w:textAlignment w:val="auto"/>
                    <w:rPr>
                      <w:rFonts w:eastAsia="宋体"/>
                      <w:snapToGrid w:val="0"/>
                      <w:color w:val="000000" w:themeColor="text1"/>
                      <w:kern w:val="0"/>
                      <w:szCs w:val="21"/>
                      <w14:textFill>
                        <w14:solidFill>
                          <w14:schemeClr w14:val="tx1"/>
                        </w14:solidFill>
                      </w14:textFill>
                    </w:rPr>
                  </w:pPr>
                </w:p>
              </w:tc>
              <w:tc>
                <w:tcPr>
                  <w:tcW w:w="246" w:type="pct"/>
                  <w:vMerge w:val="continue"/>
                  <w:noWrap w:val="0"/>
                  <w:vAlign w:val="center"/>
                </w:tcPr>
                <w:p w14:paraId="12CE85C2">
                  <w:pPr>
                    <w:keepNext w:val="0"/>
                    <w:keepLines w:val="0"/>
                    <w:pageBreakBefore w:val="0"/>
                    <w:kinsoku/>
                    <w:wordWrap/>
                    <w:overflowPunct/>
                    <w:topLinePunct w:val="0"/>
                    <w:autoSpaceDE/>
                    <w:autoSpaceDN/>
                    <w:bidi w:val="0"/>
                    <w:adjustRightInd/>
                    <w:snapToGrid/>
                    <w:jc w:val="center"/>
                    <w:textAlignment w:val="auto"/>
                    <w:rPr>
                      <w:rFonts w:hint="eastAsia"/>
                      <w:color w:val="000000" w:themeColor="text1"/>
                      <w:lang w:val="en-US" w:eastAsia="zh-CN"/>
                      <w14:textFill>
                        <w14:solidFill>
                          <w14:schemeClr w14:val="tx1"/>
                        </w14:solidFill>
                      </w14:textFill>
                    </w:rPr>
                  </w:pPr>
                </w:p>
              </w:tc>
              <w:tc>
                <w:tcPr>
                  <w:tcW w:w="409" w:type="pct"/>
                  <w:noWrap w:val="0"/>
                  <w:vAlign w:val="center"/>
                </w:tcPr>
                <w:p w14:paraId="1D9E8E88">
                  <w:pPr>
                    <w:keepNext w:val="0"/>
                    <w:keepLines w:val="0"/>
                    <w:pageBreakBefore w:val="0"/>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脱硫废水</w:t>
                  </w:r>
                </w:p>
              </w:tc>
              <w:tc>
                <w:tcPr>
                  <w:tcW w:w="3014" w:type="pct"/>
                  <w:noWrap w:val="0"/>
                  <w:vAlign w:val="center"/>
                </w:tcPr>
                <w:p w14:paraId="6A22641B">
                  <w:pPr>
                    <w:keepNext w:val="0"/>
                    <w:keepLines w:val="0"/>
                    <w:pageBreakBefore w:val="0"/>
                    <w:kinsoku/>
                    <w:wordWrap/>
                    <w:overflowPunct/>
                    <w:topLinePunct w:val="0"/>
                    <w:autoSpaceDE/>
                    <w:autoSpaceDN/>
                    <w:bidi w:val="0"/>
                    <w:adjustRightInd/>
                    <w:snapToGrid/>
                    <w:jc w:val="left"/>
                    <w:textAlignment w:val="auto"/>
                    <w:rPr>
                      <w:rFonts w:hint="eastAsia"/>
                      <w:color w:val="000000" w:themeColor="text1"/>
                      <w:sz w:val="21"/>
                      <w:vertAlign w:val="baseline"/>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原有：脱硫塔循环沉淀池，1个，容积为80m</w:t>
                  </w:r>
                  <w:r>
                    <w:rPr>
                      <w:rFonts w:hint="eastAsia"/>
                      <w:color w:val="000000" w:themeColor="text1"/>
                      <w:sz w:val="21"/>
                      <w:vertAlign w:val="superscript"/>
                      <w:lang w:val="en-US" w:eastAsia="zh-CN"/>
                      <w14:textFill>
                        <w14:solidFill>
                          <w14:schemeClr w14:val="tx1"/>
                        </w14:solidFill>
                      </w14:textFill>
                    </w:rPr>
                    <w:t>3</w:t>
                  </w:r>
                  <w:r>
                    <w:rPr>
                      <w:rFonts w:hint="eastAsia"/>
                      <w:color w:val="000000" w:themeColor="text1"/>
                      <w:sz w:val="21"/>
                      <w:vertAlign w:val="baseline"/>
                      <w:lang w:val="en-US" w:eastAsia="zh-CN"/>
                      <w14:textFill>
                        <w14:solidFill>
                          <w14:schemeClr w14:val="tx1"/>
                        </w14:solidFill>
                      </w14:textFill>
                    </w:rPr>
                    <w:t>，位于烟气处理系统，产生的脱硫废水经沉淀后全部回用于搅拌用水，不外排。</w:t>
                  </w:r>
                </w:p>
                <w:p w14:paraId="70600411">
                  <w:pPr>
                    <w:keepNext w:val="0"/>
                    <w:keepLines w:val="0"/>
                    <w:pageBreakBefore w:val="0"/>
                    <w:kinsoku/>
                    <w:wordWrap/>
                    <w:overflowPunct/>
                    <w:topLinePunct w:val="0"/>
                    <w:autoSpaceDE/>
                    <w:autoSpaceDN/>
                    <w:bidi w:val="0"/>
                    <w:adjustRightInd/>
                    <w:snapToGrid/>
                    <w:jc w:val="left"/>
                    <w:textAlignment w:val="auto"/>
                    <w:rPr>
                      <w:rFonts w:hint="default"/>
                      <w:color w:val="000000" w:themeColor="text1"/>
                      <w:sz w:val="21"/>
                      <w:vertAlign w:val="baseline"/>
                      <w:lang w:val="en-US" w:eastAsia="zh-CN"/>
                      <w14:textFill>
                        <w14:solidFill>
                          <w14:schemeClr w14:val="tx1"/>
                        </w14:solidFill>
                      </w14:textFill>
                    </w:rPr>
                  </w:pPr>
                  <w:r>
                    <w:rPr>
                      <w:rFonts w:hint="eastAsia"/>
                      <w:color w:val="000000" w:themeColor="text1"/>
                      <w:sz w:val="21"/>
                      <w:vertAlign w:val="baseline"/>
                      <w:lang w:val="en-US" w:eastAsia="zh-CN"/>
                      <w14:textFill>
                        <w14:solidFill>
                          <w14:schemeClr w14:val="tx1"/>
                        </w14:solidFill>
                      </w14:textFill>
                    </w:rPr>
                    <w:t>整改：脱硫塔</w:t>
                  </w:r>
                  <w:r>
                    <w:rPr>
                      <w:rFonts w:hint="eastAsia"/>
                      <w:color w:val="000000" w:themeColor="text1"/>
                      <w:sz w:val="21"/>
                      <w:lang w:val="en-US" w:eastAsia="zh-CN"/>
                      <w14:textFill>
                        <w14:solidFill>
                          <w14:schemeClr w14:val="tx1"/>
                        </w14:solidFill>
                      </w14:textFill>
                    </w:rPr>
                    <w:t>循环沉淀池，1个，总容积为80m</w:t>
                  </w:r>
                  <w:r>
                    <w:rPr>
                      <w:rFonts w:hint="eastAsia"/>
                      <w:color w:val="000000" w:themeColor="text1"/>
                      <w:sz w:val="21"/>
                      <w:vertAlign w:val="superscript"/>
                      <w:lang w:val="en-US" w:eastAsia="zh-CN"/>
                      <w14:textFill>
                        <w14:solidFill>
                          <w14:schemeClr w14:val="tx1"/>
                        </w14:solidFill>
                      </w14:textFill>
                    </w:rPr>
                    <w:t>3</w:t>
                  </w:r>
                  <w:r>
                    <w:rPr>
                      <w:rFonts w:hint="eastAsia"/>
                      <w:color w:val="000000" w:themeColor="text1"/>
                      <w:sz w:val="21"/>
                      <w:vertAlign w:val="baseline"/>
                      <w:lang w:val="en-US" w:eastAsia="zh-CN"/>
                      <w14:textFill>
                        <w14:solidFill>
                          <w14:schemeClr w14:val="tx1"/>
                        </w14:solidFill>
                      </w14:textFill>
                    </w:rPr>
                    <w:t>，采用中和絮凝沉淀处理后全部回用于搅拌用水，不外排。</w:t>
                  </w:r>
                </w:p>
              </w:tc>
              <w:tc>
                <w:tcPr>
                  <w:tcW w:w="896" w:type="pct"/>
                  <w:noWrap w:val="0"/>
                  <w:vAlign w:val="center"/>
                </w:tcPr>
                <w:p w14:paraId="0B5C79C6">
                  <w:pPr>
                    <w:keepNext w:val="0"/>
                    <w:keepLines w:val="0"/>
                    <w:pageBreakBefore w:val="0"/>
                    <w:widowControl w:val="0"/>
                    <w:kinsoku/>
                    <w:wordWrap/>
                    <w:overflowPunct/>
                    <w:topLinePunct w:val="0"/>
                    <w:autoSpaceDE/>
                    <w:autoSpaceDN/>
                    <w:bidi w:val="0"/>
                    <w:adjustRightInd/>
                    <w:snapToGrid/>
                    <w:jc w:val="center"/>
                    <w:textAlignment w:val="auto"/>
                    <w:rPr>
                      <w:rFonts w:hint="default"/>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环评提出整改，改扩建项目试生产前完成整改</w:t>
                  </w:r>
                </w:p>
              </w:tc>
            </w:tr>
            <w:tr w14:paraId="58A5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432" w:type="pct"/>
                  <w:vMerge w:val="continue"/>
                  <w:noWrap w:val="0"/>
                  <w:vAlign w:val="center"/>
                </w:tcPr>
                <w:p w14:paraId="0E734B1E">
                  <w:pPr>
                    <w:keepNext w:val="0"/>
                    <w:keepLines w:val="0"/>
                    <w:pageBreakBefore w:val="0"/>
                    <w:kinsoku/>
                    <w:wordWrap/>
                    <w:overflowPunct/>
                    <w:topLinePunct w:val="0"/>
                    <w:autoSpaceDE/>
                    <w:autoSpaceDN/>
                    <w:bidi w:val="0"/>
                    <w:adjustRightInd/>
                    <w:snapToGrid/>
                    <w:jc w:val="center"/>
                    <w:textAlignment w:val="auto"/>
                    <w:rPr>
                      <w:rFonts w:eastAsia="宋体"/>
                      <w:snapToGrid w:val="0"/>
                      <w:color w:val="000000" w:themeColor="text1"/>
                      <w:kern w:val="0"/>
                      <w:szCs w:val="21"/>
                      <w14:textFill>
                        <w14:solidFill>
                          <w14:schemeClr w14:val="tx1"/>
                        </w14:solidFill>
                      </w14:textFill>
                    </w:rPr>
                  </w:pPr>
                </w:p>
              </w:tc>
              <w:tc>
                <w:tcPr>
                  <w:tcW w:w="246" w:type="pct"/>
                  <w:vMerge w:val="continue"/>
                  <w:noWrap w:val="0"/>
                  <w:vAlign w:val="center"/>
                </w:tcPr>
                <w:p w14:paraId="5F47F953">
                  <w:pPr>
                    <w:keepNext w:val="0"/>
                    <w:keepLines w:val="0"/>
                    <w:pageBreakBefore w:val="0"/>
                    <w:kinsoku/>
                    <w:wordWrap/>
                    <w:overflowPunct/>
                    <w:topLinePunct w:val="0"/>
                    <w:autoSpaceDE/>
                    <w:autoSpaceDN/>
                    <w:bidi w:val="0"/>
                    <w:adjustRightInd/>
                    <w:snapToGrid/>
                    <w:jc w:val="center"/>
                    <w:textAlignment w:val="auto"/>
                    <w:rPr>
                      <w:rFonts w:hint="eastAsia"/>
                      <w:color w:val="000000" w:themeColor="text1"/>
                      <w:lang w:val="en-US" w:eastAsia="zh-CN"/>
                      <w14:textFill>
                        <w14:solidFill>
                          <w14:schemeClr w14:val="tx1"/>
                        </w14:solidFill>
                      </w14:textFill>
                    </w:rPr>
                  </w:pPr>
                </w:p>
              </w:tc>
              <w:tc>
                <w:tcPr>
                  <w:tcW w:w="409" w:type="pct"/>
                  <w:noWrap w:val="0"/>
                  <w:vAlign w:val="center"/>
                </w:tcPr>
                <w:p w14:paraId="03A7EE0F">
                  <w:pPr>
                    <w:keepNext w:val="0"/>
                    <w:keepLines w:val="0"/>
                    <w:pageBreakBefore w:val="0"/>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生活污水</w:t>
                  </w:r>
                </w:p>
              </w:tc>
              <w:tc>
                <w:tcPr>
                  <w:tcW w:w="3014" w:type="pct"/>
                  <w:noWrap w:val="0"/>
                  <w:vAlign w:val="center"/>
                </w:tcPr>
                <w:p w14:paraId="59047C1D">
                  <w:pPr>
                    <w:keepNext w:val="0"/>
                    <w:keepLines w:val="0"/>
                    <w:pageBreakBefore w:val="0"/>
                    <w:kinsoku/>
                    <w:wordWrap/>
                    <w:overflowPunct/>
                    <w:topLinePunct w:val="0"/>
                    <w:autoSpaceDE/>
                    <w:autoSpaceDN/>
                    <w:bidi w:val="0"/>
                    <w:adjustRightInd/>
                    <w:snapToGrid/>
                    <w:jc w:val="left"/>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化粪池，1个，容积为10m</w:t>
                  </w:r>
                  <w:r>
                    <w:rPr>
                      <w:rFonts w:hint="eastAsia"/>
                      <w:color w:val="000000" w:themeColor="text1"/>
                      <w:vertAlign w:val="superscript"/>
                      <w:lang w:val="en-US" w:eastAsia="zh-CN"/>
                      <w14:textFill>
                        <w14:solidFill>
                          <w14:schemeClr w14:val="tx1"/>
                        </w14:solidFill>
                      </w14:textFill>
                    </w:rPr>
                    <w:t>3</w:t>
                  </w:r>
                  <w:r>
                    <w:rPr>
                      <w:rFonts w:hint="eastAsia"/>
                      <w:color w:val="000000" w:themeColor="text1"/>
                      <w:vertAlign w:val="baseline"/>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位于生活区北侧。生活污水经处理后定期清掏用作农肥。</w:t>
                  </w:r>
                </w:p>
              </w:tc>
              <w:tc>
                <w:tcPr>
                  <w:tcW w:w="896" w:type="pct"/>
                  <w:noWrap w:val="0"/>
                  <w:vAlign w:val="center"/>
                </w:tcPr>
                <w:p w14:paraId="53EAFA53">
                  <w:pPr>
                    <w:keepNext w:val="0"/>
                    <w:keepLines w:val="0"/>
                    <w:pageBreakBefore w:val="0"/>
                    <w:widowControl w:val="0"/>
                    <w:kinsoku/>
                    <w:wordWrap/>
                    <w:overflowPunct/>
                    <w:topLinePunct w:val="0"/>
                    <w:autoSpaceDE/>
                    <w:autoSpaceDN/>
                    <w:bidi w:val="0"/>
                    <w:adjustRightInd/>
                    <w:snapToGrid/>
                    <w:jc w:val="center"/>
                    <w:textAlignment w:val="auto"/>
                    <w:rPr>
                      <w:rFonts w:eastAsia="宋体"/>
                      <w:snapToGrid w:val="0"/>
                      <w:color w:val="000000" w:themeColor="text1"/>
                      <w:kern w:val="0"/>
                      <w:szCs w:val="21"/>
                      <w14:textFill>
                        <w14:solidFill>
                          <w14:schemeClr w14:val="tx1"/>
                        </w14:solidFill>
                      </w14:textFill>
                    </w:rPr>
                  </w:pPr>
                  <w:r>
                    <w:rPr>
                      <w:rFonts w:hint="eastAsia" w:eastAsia="宋体"/>
                      <w:snapToGrid w:val="0"/>
                      <w:color w:val="000000" w:themeColor="text1"/>
                      <w:kern w:val="0"/>
                      <w:szCs w:val="21"/>
                      <w:lang w:val="en-US" w:eastAsia="zh-CN"/>
                      <w14:textFill>
                        <w14:solidFill>
                          <w14:schemeClr w14:val="tx1"/>
                        </w14:solidFill>
                      </w14:textFill>
                    </w:rPr>
                    <w:t>依托现有</w:t>
                  </w:r>
                </w:p>
              </w:tc>
            </w:tr>
            <w:tr w14:paraId="17C3B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432" w:type="pct"/>
                  <w:vMerge w:val="continue"/>
                  <w:noWrap w:val="0"/>
                  <w:vAlign w:val="center"/>
                </w:tcPr>
                <w:p w14:paraId="177EF570">
                  <w:pPr>
                    <w:keepNext w:val="0"/>
                    <w:keepLines w:val="0"/>
                    <w:pageBreakBefore w:val="0"/>
                    <w:kinsoku/>
                    <w:wordWrap/>
                    <w:overflowPunct/>
                    <w:topLinePunct w:val="0"/>
                    <w:autoSpaceDE/>
                    <w:autoSpaceDN/>
                    <w:bidi w:val="0"/>
                    <w:adjustRightInd/>
                    <w:snapToGrid/>
                    <w:jc w:val="center"/>
                    <w:textAlignment w:val="auto"/>
                    <w:rPr>
                      <w:rFonts w:eastAsia="宋体"/>
                      <w:snapToGrid w:val="0"/>
                      <w:color w:val="000000" w:themeColor="text1"/>
                      <w:kern w:val="0"/>
                      <w:szCs w:val="21"/>
                      <w14:textFill>
                        <w14:solidFill>
                          <w14:schemeClr w14:val="tx1"/>
                        </w14:solidFill>
                      </w14:textFill>
                    </w:rPr>
                  </w:pPr>
                </w:p>
              </w:tc>
              <w:tc>
                <w:tcPr>
                  <w:tcW w:w="246" w:type="pct"/>
                  <w:noWrap w:val="0"/>
                  <w:vAlign w:val="center"/>
                </w:tcPr>
                <w:p w14:paraId="290654F9">
                  <w:pPr>
                    <w:keepNext w:val="0"/>
                    <w:keepLines w:val="0"/>
                    <w:pageBreakBefore w:val="0"/>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噪声</w:t>
                  </w:r>
                </w:p>
              </w:tc>
              <w:tc>
                <w:tcPr>
                  <w:tcW w:w="409" w:type="pct"/>
                  <w:noWrap w:val="0"/>
                  <w:vAlign w:val="center"/>
                </w:tcPr>
                <w:p w14:paraId="52D4083D">
                  <w:pPr>
                    <w:keepNext w:val="0"/>
                    <w:keepLines w:val="0"/>
                    <w:pageBreakBefore w:val="0"/>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设备噪声</w:t>
                  </w:r>
                </w:p>
              </w:tc>
              <w:tc>
                <w:tcPr>
                  <w:tcW w:w="3014" w:type="pct"/>
                  <w:noWrap w:val="0"/>
                  <w:vAlign w:val="center"/>
                </w:tcPr>
                <w:p w14:paraId="56D3DD0C">
                  <w:pPr>
                    <w:keepNext w:val="0"/>
                    <w:keepLines w:val="0"/>
                    <w:pageBreakBefore w:val="0"/>
                    <w:kinsoku/>
                    <w:wordWrap/>
                    <w:overflowPunct/>
                    <w:topLinePunct w:val="0"/>
                    <w:autoSpaceDE/>
                    <w:autoSpaceDN/>
                    <w:bidi w:val="0"/>
                    <w:adjustRightInd/>
                    <w:snapToGrid/>
                    <w:jc w:val="left"/>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新增破碎机基础减振，设置在建筑物内，厂房隔声。</w:t>
                  </w:r>
                </w:p>
              </w:tc>
              <w:tc>
                <w:tcPr>
                  <w:tcW w:w="896" w:type="pct"/>
                  <w:noWrap w:val="0"/>
                  <w:vAlign w:val="center"/>
                </w:tcPr>
                <w:p w14:paraId="0A726145">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napToGrid w:val="0"/>
                      <w:color w:val="000000" w:themeColor="text1"/>
                      <w:kern w:val="0"/>
                      <w:szCs w:val="21"/>
                      <w:lang w:val="en-US" w:eastAsia="zh-CN"/>
                      <w14:textFill>
                        <w14:solidFill>
                          <w14:schemeClr w14:val="tx1"/>
                        </w14:solidFill>
                      </w14:textFill>
                    </w:rPr>
                  </w:pPr>
                  <w:r>
                    <w:rPr>
                      <w:rFonts w:hint="eastAsia" w:eastAsia="宋体"/>
                      <w:snapToGrid w:val="0"/>
                      <w:color w:val="000000" w:themeColor="text1"/>
                      <w:kern w:val="0"/>
                      <w:szCs w:val="21"/>
                      <w:lang w:val="en-US" w:eastAsia="zh-CN"/>
                      <w14:textFill>
                        <w14:solidFill>
                          <w14:schemeClr w14:val="tx1"/>
                        </w14:solidFill>
                      </w14:textFill>
                    </w:rPr>
                    <w:t>依托现有厂房</w:t>
                  </w:r>
                </w:p>
              </w:tc>
            </w:tr>
            <w:tr w14:paraId="6EEF8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432" w:type="pct"/>
                  <w:vMerge w:val="continue"/>
                  <w:noWrap w:val="0"/>
                  <w:vAlign w:val="center"/>
                </w:tcPr>
                <w:p w14:paraId="0D3C9391">
                  <w:pPr>
                    <w:keepNext w:val="0"/>
                    <w:keepLines w:val="0"/>
                    <w:pageBreakBefore w:val="0"/>
                    <w:kinsoku/>
                    <w:wordWrap/>
                    <w:overflowPunct/>
                    <w:topLinePunct w:val="0"/>
                    <w:autoSpaceDE/>
                    <w:autoSpaceDN/>
                    <w:bidi w:val="0"/>
                    <w:adjustRightInd/>
                    <w:snapToGrid/>
                    <w:jc w:val="center"/>
                    <w:textAlignment w:val="auto"/>
                    <w:rPr>
                      <w:rFonts w:eastAsia="宋体"/>
                      <w:snapToGrid w:val="0"/>
                      <w:color w:val="000000" w:themeColor="text1"/>
                      <w:kern w:val="0"/>
                      <w:szCs w:val="21"/>
                      <w14:textFill>
                        <w14:solidFill>
                          <w14:schemeClr w14:val="tx1"/>
                        </w14:solidFill>
                      </w14:textFill>
                    </w:rPr>
                  </w:pPr>
                </w:p>
              </w:tc>
              <w:tc>
                <w:tcPr>
                  <w:tcW w:w="246" w:type="pct"/>
                  <w:vMerge w:val="restart"/>
                  <w:noWrap w:val="0"/>
                  <w:vAlign w:val="center"/>
                </w:tcPr>
                <w:p w14:paraId="42424512">
                  <w:pPr>
                    <w:keepNext w:val="0"/>
                    <w:keepLines w:val="0"/>
                    <w:pageBreakBefore w:val="0"/>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固体废物</w:t>
                  </w:r>
                </w:p>
              </w:tc>
              <w:tc>
                <w:tcPr>
                  <w:tcW w:w="409" w:type="pct"/>
                  <w:noWrap w:val="0"/>
                  <w:vAlign w:val="center"/>
                </w:tcPr>
                <w:p w14:paraId="770351EE">
                  <w:pPr>
                    <w:keepNext w:val="0"/>
                    <w:keepLines w:val="0"/>
                    <w:pageBreakBefore w:val="0"/>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脱硫石膏、炉渣</w:t>
                  </w:r>
                </w:p>
              </w:tc>
              <w:tc>
                <w:tcPr>
                  <w:tcW w:w="3014" w:type="pct"/>
                  <w:noWrap w:val="0"/>
                  <w:vAlign w:val="center"/>
                </w:tcPr>
                <w:p w14:paraId="47B9EACB">
                  <w:pPr>
                    <w:keepNext w:val="0"/>
                    <w:keepLines w:val="0"/>
                    <w:pageBreakBefore w:val="0"/>
                    <w:kinsoku/>
                    <w:wordWrap/>
                    <w:overflowPunct/>
                    <w:topLinePunct w:val="0"/>
                    <w:autoSpaceDE/>
                    <w:autoSpaceDN/>
                    <w:bidi w:val="0"/>
                    <w:adjustRightInd/>
                    <w:snapToGrid/>
                    <w:jc w:val="left"/>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设置1间一般固体废物暂存间，位于制瓦车间北侧，按照一般防渗要求建设，即防渗标准及要求达到等效黏土防渗层厚度Mb≥1.5m，渗透系数K≤等于1.0×10</w:t>
                  </w:r>
                  <w:r>
                    <w:rPr>
                      <w:rFonts w:hint="eastAsia"/>
                      <w:color w:val="000000" w:themeColor="text1"/>
                      <w:vertAlign w:val="superscript"/>
                      <w:lang w:val="en-US" w:eastAsia="zh-CN"/>
                      <w14:textFill>
                        <w14:solidFill>
                          <w14:schemeClr w14:val="tx1"/>
                        </w14:solidFill>
                      </w14:textFill>
                    </w:rPr>
                    <w:t>-7</w:t>
                  </w:r>
                  <w:r>
                    <w:rPr>
                      <w:rFonts w:hint="eastAsia"/>
                      <w:color w:val="000000" w:themeColor="text1"/>
                      <w:lang w:val="en-US" w:eastAsia="zh-CN"/>
                      <w14:textFill>
                        <w14:solidFill>
                          <w14:schemeClr w14:val="tx1"/>
                        </w14:solidFill>
                      </w14:textFill>
                    </w:rPr>
                    <w:t>cm/s，并设置一般固废暂存间标识，固废分区存放。</w:t>
                  </w:r>
                </w:p>
              </w:tc>
              <w:tc>
                <w:tcPr>
                  <w:tcW w:w="896" w:type="pct"/>
                  <w:noWrap w:val="0"/>
                  <w:vAlign w:val="center"/>
                </w:tcPr>
                <w:p w14:paraId="5B4B23DB">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环评提出新增</w:t>
                  </w:r>
                </w:p>
              </w:tc>
            </w:tr>
            <w:tr w14:paraId="4220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432" w:type="pct"/>
                  <w:vMerge w:val="continue"/>
                  <w:noWrap w:val="0"/>
                  <w:vAlign w:val="center"/>
                </w:tcPr>
                <w:p w14:paraId="23F4E769">
                  <w:pPr>
                    <w:keepNext w:val="0"/>
                    <w:keepLines w:val="0"/>
                    <w:pageBreakBefore w:val="0"/>
                    <w:kinsoku/>
                    <w:wordWrap/>
                    <w:overflowPunct/>
                    <w:topLinePunct w:val="0"/>
                    <w:autoSpaceDE/>
                    <w:autoSpaceDN/>
                    <w:bidi w:val="0"/>
                    <w:adjustRightInd/>
                    <w:snapToGrid/>
                    <w:jc w:val="center"/>
                    <w:textAlignment w:val="auto"/>
                    <w:rPr>
                      <w:rFonts w:eastAsia="宋体"/>
                      <w:snapToGrid w:val="0"/>
                      <w:color w:val="000000" w:themeColor="text1"/>
                      <w:kern w:val="0"/>
                      <w:szCs w:val="21"/>
                      <w14:textFill>
                        <w14:solidFill>
                          <w14:schemeClr w14:val="tx1"/>
                        </w14:solidFill>
                      </w14:textFill>
                    </w:rPr>
                  </w:pPr>
                </w:p>
              </w:tc>
              <w:tc>
                <w:tcPr>
                  <w:tcW w:w="246" w:type="pct"/>
                  <w:vMerge w:val="continue"/>
                  <w:noWrap w:val="0"/>
                  <w:vAlign w:val="center"/>
                </w:tcPr>
                <w:p w14:paraId="393E328B">
                  <w:pPr>
                    <w:keepNext w:val="0"/>
                    <w:keepLines w:val="0"/>
                    <w:pageBreakBefore w:val="0"/>
                    <w:kinsoku/>
                    <w:wordWrap/>
                    <w:overflowPunct/>
                    <w:topLinePunct w:val="0"/>
                    <w:autoSpaceDE/>
                    <w:autoSpaceDN/>
                    <w:bidi w:val="0"/>
                    <w:adjustRightInd/>
                    <w:snapToGrid/>
                    <w:jc w:val="center"/>
                    <w:textAlignment w:val="auto"/>
                    <w:rPr>
                      <w:rFonts w:hint="eastAsia"/>
                      <w:color w:val="000000" w:themeColor="text1"/>
                      <w:lang w:val="en-US" w:eastAsia="zh-CN"/>
                      <w14:textFill>
                        <w14:solidFill>
                          <w14:schemeClr w14:val="tx1"/>
                        </w14:solidFill>
                      </w14:textFill>
                    </w:rPr>
                  </w:pPr>
                </w:p>
              </w:tc>
              <w:tc>
                <w:tcPr>
                  <w:tcW w:w="409" w:type="pct"/>
                  <w:noWrap w:val="0"/>
                  <w:vAlign w:val="center"/>
                </w:tcPr>
                <w:p w14:paraId="0BC681E2">
                  <w:pPr>
                    <w:keepNext w:val="0"/>
                    <w:keepLines w:val="0"/>
                    <w:pageBreakBefore w:val="0"/>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废机油、废润滑油</w:t>
                  </w:r>
                </w:p>
              </w:tc>
              <w:tc>
                <w:tcPr>
                  <w:tcW w:w="3014" w:type="pct"/>
                  <w:noWrap w:val="0"/>
                  <w:vAlign w:val="center"/>
                </w:tcPr>
                <w:p w14:paraId="3741183E">
                  <w:pPr>
                    <w:keepNext w:val="0"/>
                    <w:keepLines w:val="0"/>
                    <w:pageBreakBefore w:val="0"/>
                    <w:kinsoku/>
                    <w:wordWrap/>
                    <w:overflowPunct/>
                    <w:topLinePunct w:val="0"/>
                    <w:autoSpaceDE/>
                    <w:autoSpaceDN/>
                    <w:bidi w:val="0"/>
                    <w:adjustRightInd/>
                    <w:snapToGrid/>
                    <w:jc w:val="left"/>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设置1间危险废物暂存间，位于制瓦车间北侧，按照重点防渗要求建设，即</w:t>
                  </w:r>
                  <w:r>
                    <w:rPr>
                      <w:rFonts w:hint="eastAsia" w:cs="宋体"/>
                      <w:snapToGrid/>
                      <w:color w:val="000000" w:themeColor="text1"/>
                      <w:spacing w:val="0"/>
                      <w:kern w:val="0"/>
                      <w:sz w:val="21"/>
                      <w:szCs w:val="21"/>
                      <w:lang w:val="en-US" w:eastAsia="zh-CN"/>
                      <w14:textFill>
                        <w14:solidFill>
                          <w14:schemeClr w14:val="tx1"/>
                        </w14:solidFill>
                      </w14:textFill>
                    </w:rPr>
                    <w:t>防渗标准及要求达到</w:t>
                  </w:r>
                  <w:r>
                    <w:rPr>
                      <w:color w:val="000000" w:themeColor="text1"/>
                      <w:sz w:val="21"/>
                      <w:szCs w:val="21"/>
                      <w14:textFill>
                        <w14:solidFill>
                          <w14:schemeClr w14:val="tx1"/>
                        </w14:solidFill>
                      </w14:textFill>
                    </w:rPr>
                    <w:t>等效黏土防渗层Mb≥6m，K≤1×10</w:t>
                  </w:r>
                  <w:r>
                    <w:rPr>
                      <w:color w:val="000000" w:themeColor="text1"/>
                      <w:sz w:val="21"/>
                      <w:szCs w:val="21"/>
                      <w:vertAlign w:val="superscript"/>
                      <w14:textFill>
                        <w14:solidFill>
                          <w14:schemeClr w14:val="tx1"/>
                        </w14:solidFill>
                      </w14:textFill>
                    </w:rPr>
                    <w:t>-7</w:t>
                  </w:r>
                  <w:r>
                    <w:rPr>
                      <w:color w:val="000000" w:themeColor="text1"/>
                      <w:sz w:val="21"/>
                      <w:szCs w:val="21"/>
                      <w14:textFill>
                        <w14:solidFill>
                          <w14:schemeClr w14:val="tx1"/>
                        </w14:solidFill>
                      </w14:textFill>
                    </w:rPr>
                    <w:t>cm/s</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并设置危险废物贮存设施标识牌，委托有资质的单位清运处置。</w:t>
                  </w:r>
                </w:p>
              </w:tc>
              <w:tc>
                <w:tcPr>
                  <w:tcW w:w="896" w:type="pct"/>
                  <w:noWrap w:val="0"/>
                  <w:vAlign w:val="center"/>
                </w:tcPr>
                <w:p w14:paraId="74DA3C80">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napToGrid w:val="0"/>
                      <w:color w:val="000000" w:themeColor="text1"/>
                      <w:kern w:val="0"/>
                      <w:szCs w:val="21"/>
                      <w:lang w:val="en-US" w:eastAsia="zh-CN"/>
                      <w14:textFill>
                        <w14:solidFill>
                          <w14:schemeClr w14:val="tx1"/>
                        </w14:solidFill>
                      </w14:textFill>
                    </w:rPr>
                  </w:pPr>
                  <w:r>
                    <w:rPr>
                      <w:rFonts w:hint="eastAsia"/>
                      <w:snapToGrid w:val="0"/>
                      <w:color w:val="000000" w:themeColor="text1"/>
                      <w:kern w:val="0"/>
                      <w:szCs w:val="21"/>
                      <w:lang w:val="en-US" w:eastAsia="zh-CN"/>
                      <w14:textFill>
                        <w14:solidFill>
                          <w14:schemeClr w14:val="tx1"/>
                        </w14:solidFill>
                      </w14:textFill>
                    </w:rPr>
                    <w:t>环评提出新增</w:t>
                  </w:r>
                </w:p>
              </w:tc>
            </w:tr>
            <w:tr w14:paraId="6F00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432" w:type="pct"/>
                  <w:vMerge w:val="continue"/>
                  <w:noWrap w:val="0"/>
                  <w:vAlign w:val="center"/>
                </w:tcPr>
                <w:p w14:paraId="65504CFE">
                  <w:pPr>
                    <w:keepNext w:val="0"/>
                    <w:keepLines w:val="0"/>
                    <w:pageBreakBefore w:val="0"/>
                    <w:kinsoku/>
                    <w:wordWrap/>
                    <w:overflowPunct/>
                    <w:topLinePunct w:val="0"/>
                    <w:autoSpaceDE/>
                    <w:autoSpaceDN/>
                    <w:bidi w:val="0"/>
                    <w:adjustRightInd/>
                    <w:snapToGrid/>
                    <w:jc w:val="center"/>
                    <w:textAlignment w:val="auto"/>
                    <w:rPr>
                      <w:rFonts w:eastAsia="宋体"/>
                      <w:snapToGrid w:val="0"/>
                      <w:color w:val="000000" w:themeColor="text1"/>
                      <w:kern w:val="0"/>
                      <w:szCs w:val="21"/>
                      <w14:textFill>
                        <w14:solidFill>
                          <w14:schemeClr w14:val="tx1"/>
                        </w14:solidFill>
                      </w14:textFill>
                    </w:rPr>
                  </w:pPr>
                </w:p>
              </w:tc>
              <w:tc>
                <w:tcPr>
                  <w:tcW w:w="246" w:type="pct"/>
                  <w:vMerge w:val="continue"/>
                  <w:noWrap w:val="0"/>
                  <w:vAlign w:val="center"/>
                </w:tcPr>
                <w:p w14:paraId="6B8E4FDC">
                  <w:pPr>
                    <w:keepNext w:val="0"/>
                    <w:keepLines w:val="0"/>
                    <w:pageBreakBefore w:val="0"/>
                    <w:kinsoku/>
                    <w:wordWrap/>
                    <w:overflowPunct/>
                    <w:topLinePunct w:val="0"/>
                    <w:autoSpaceDE/>
                    <w:autoSpaceDN/>
                    <w:bidi w:val="0"/>
                    <w:adjustRightInd/>
                    <w:snapToGrid/>
                    <w:jc w:val="center"/>
                    <w:textAlignment w:val="auto"/>
                    <w:rPr>
                      <w:rFonts w:hint="eastAsia"/>
                      <w:color w:val="000000" w:themeColor="text1"/>
                      <w:lang w:val="en-US" w:eastAsia="zh-CN"/>
                      <w14:textFill>
                        <w14:solidFill>
                          <w14:schemeClr w14:val="tx1"/>
                        </w14:solidFill>
                      </w14:textFill>
                    </w:rPr>
                  </w:pPr>
                </w:p>
              </w:tc>
              <w:tc>
                <w:tcPr>
                  <w:tcW w:w="409" w:type="pct"/>
                  <w:noWrap w:val="0"/>
                  <w:vAlign w:val="center"/>
                </w:tcPr>
                <w:p w14:paraId="07456B94">
                  <w:pPr>
                    <w:keepNext w:val="0"/>
                    <w:keepLines w:val="0"/>
                    <w:pageBreakBefore w:val="0"/>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生活垃圾</w:t>
                  </w:r>
                </w:p>
              </w:tc>
              <w:tc>
                <w:tcPr>
                  <w:tcW w:w="3014" w:type="pct"/>
                  <w:noWrap w:val="0"/>
                  <w:vAlign w:val="center"/>
                </w:tcPr>
                <w:p w14:paraId="1A44127D">
                  <w:pPr>
                    <w:keepNext w:val="0"/>
                    <w:keepLines w:val="0"/>
                    <w:pageBreakBefore w:val="0"/>
                    <w:kinsoku/>
                    <w:wordWrap/>
                    <w:overflowPunct/>
                    <w:topLinePunct w:val="0"/>
                    <w:autoSpaceDE/>
                    <w:autoSpaceDN/>
                    <w:bidi w:val="0"/>
                    <w:adjustRightInd/>
                    <w:snapToGrid/>
                    <w:jc w:val="left"/>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1个垃圾收集箱，收集后委托环卫部门定期清运处置。</w:t>
                  </w:r>
                </w:p>
              </w:tc>
              <w:tc>
                <w:tcPr>
                  <w:tcW w:w="896" w:type="pct"/>
                  <w:noWrap w:val="0"/>
                  <w:vAlign w:val="center"/>
                </w:tcPr>
                <w:p w14:paraId="5C2EE9D2">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napToGrid w:val="0"/>
                      <w:color w:val="000000" w:themeColor="text1"/>
                      <w:kern w:val="0"/>
                      <w:szCs w:val="21"/>
                      <w:lang w:val="en-US" w:eastAsia="zh-CN"/>
                      <w14:textFill>
                        <w14:solidFill>
                          <w14:schemeClr w14:val="tx1"/>
                        </w14:solidFill>
                      </w14:textFill>
                    </w:rPr>
                  </w:pPr>
                  <w:r>
                    <w:rPr>
                      <w:rFonts w:hint="eastAsia" w:eastAsia="宋体"/>
                      <w:snapToGrid w:val="0"/>
                      <w:color w:val="000000" w:themeColor="text1"/>
                      <w:kern w:val="0"/>
                      <w:szCs w:val="21"/>
                      <w:lang w:val="en-US" w:eastAsia="zh-CN"/>
                      <w14:textFill>
                        <w14:solidFill>
                          <w14:schemeClr w14:val="tx1"/>
                        </w14:solidFill>
                      </w14:textFill>
                    </w:rPr>
                    <w:t>依托现有</w:t>
                  </w:r>
                </w:p>
              </w:tc>
            </w:tr>
          </w:tbl>
          <w:p w14:paraId="1C3CF8E5">
            <w:pPr>
              <w:keepNext w:val="0"/>
              <w:keepLines w:val="0"/>
              <w:pageBreakBefore w:val="0"/>
              <w:kinsoku/>
              <w:overflowPunct/>
              <w:topLinePunct w:val="0"/>
              <w:bidi w:val="0"/>
              <w:adjustRightInd w:val="0"/>
              <w:snapToGrid w:val="0"/>
              <w:spacing w:line="360" w:lineRule="auto"/>
              <w:ind w:firstLine="472" w:firstLineChars="196"/>
              <w:outlineLvl w:val="9"/>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4"/>
                <w:szCs w:val="24"/>
                <w:lang w:val="en-US" w:eastAsia="zh-CN"/>
                <w14:textFill>
                  <w14:solidFill>
                    <w14:schemeClr w14:val="tx1"/>
                  </w14:solidFill>
                </w14:textFill>
              </w:rPr>
              <w:t>3、主要产品及产能</w:t>
            </w:r>
          </w:p>
          <w:p w14:paraId="34EBA906">
            <w:pPr>
              <w:keepNext w:val="0"/>
              <w:keepLines w:val="0"/>
              <w:pageBreakBefore w:val="0"/>
              <w:widowControl w:val="0"/>
              <w:kinsoku/>
              <w:wordWrap/>
              <w:overflowPunct/>
              <w:topLinePunct w:val="0"/>
              <w:autoSpaceDE/>
              <w:autoSpaceDN/>
              <w:bidi w:val="0"/>
              <w:adjustRightInd/>
              <w:snapToGrid/>
              <w:spacing w:line="360" w:lineRule="auto"/>
              <w:ind w:firstLine="600" w:firstLineChars="250"/>
              <w:textAlignment w:val="auto"/>
              <w:outlineLvl w:val="9"/>
              <w:rPr>
                <w:rFonts w:hint="default" w:ascii="Times New Roman"/>
                <w:color w:val="000000" w:themeColor="text1"/>
                <w:sz w:val="24"/>
                <w:szCs w:val="24"/>
                <w:lang w:val="en-US" w:eastAsia="zh-CN"/>
                <w14:textFill>
                  <w14:solidFill>
                    <w14:schemeClr w14:val="tx1"/>
                  </w14:solidFill>
                </w14:textFill>
              </w:rPr>
            </w:pPr>
            <w:r>
              <w:rPr>
                <w:rFonts w:hint="eastAsia" w:ascii="Times New Roman"/>
                <w:color w:val="000000" w:themeColor="text1"/>
                <w:sz w:val="24"/>
                <w:szCs w:val="24"/>
                <w:lang w:val="en-US" w:eastAsia="zh-CN"/>
                <w14:textFill>
                  <w14:solidFill>
                    <w14:schemeClr w14:val="tx1"/>
                  </w14:solidFill>
                </w14:textFill>
              </w:rPr>
              <w:t>本次改扩建完成后生产规模为3000万片/年</w:t>
            </w:r>
            <w:r>
              <w:rPr>
                <w:rFonts w:hint="eastAsia"/>
                <w:color w:val="000000" w:themeColor="text1"/>
                <w:sz w:val="24"/>
                <w:szCs w:val="24"/>
                <w:lang w:val="en-US" w:eastAsia="zh-CN"/>
                <w14:textFill>
                  <w14:solidFill>
                    <w14:schemeClr w14:val="tx1"/>
                  </w14:solidFill>
                </w14:textFill>
              </w:rPr>
              <w:t>，</w:t>
            </w:r>
            <w:r>
              <w:rPr>
                <w:rFonts w:hint="eastAsia" w:ascii="Times New Roman"/>
                <w:color w:val="000000" w:themeColor="text1"/>
                <w:sz w:val="24"/>
                <w:szCs w:val="24"/>
                <w:lang w:val="en-US" w:eastAsia="zh-CN"/>
                <w14:textFill>
                  <w14:solidFill>
                    <w14:schemeClr w14:val="tx1"/>
                  </w14:solidFill>
                </w14:textFill>
              </w:rPr>
              <w:t>主要产品产能如下表所示：</w:t>
            </w:r>
          </w:p>
          <w:p w14:paraId="1A4030A0">
            <w:pPr>
              <w:keepNext w:val="0"/>
              <w:keepLines w:val="0"/>
              <w:pageBreakBefore w:val="0"/>
              <w:widowControl w:val="0"/>
              <w:kinsoku/>
              <w:wordWrap/>
              <w:overflowPunct/>
              <w:topLinePunct w:val="0"/>
              <w:autoSpaceDE/>
              <w:autoSpaceDN/>
              <w:bidi w:val="0"/>
              <w:adjustRightInd w:val="0"/>
              <w:snapToGrid w:val="0"/>
              <w:spacing w:line="276" w:lineRule="auto"/>
              <w:ind w:firstLine="0" w:firstLineChars="0"/>
              <w:jc w:val="center"/>
              <w:textAlignment w:val="auto"/>
              <w:outlineLvl w:val="9"/>
              <w:rPr>
                <w:rFonts w:hint="default" w:ascii="Times New Roman" w:hAnsi="Times New Roman" w:eastAsia="宋体" w:cs="Times New Roman"/>
                <w:b/>
                <w:bCs/>
                <w:color w:val="000000" w:themeColor="text1"/>
                <w:kern w:val="0"/>
                <w:sz w:val="24"/>
                <w:szCs w:val="24"/>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4"/>
                <w:szCs w:val="24"/>
                <w:lang w:val="en-US" w:eastAsia="zh-CN"/>
                <w14:textFill>
                  <w14:solidFill>
                    <w14:schemeClr w14:val="tx1"/>
                  </w14:solidFill>
                </w14:textFill>
              </w:rPr>
              <w:t>表2-3  主要产品及产能</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573"/>
              <w:gridCol w:w="676"/>
              <w:gridCol w:w="916"/>
              <w:gridCol w:w="840"/>
              <w:gridCol w:w="911"/>
              <w:gridCol w:w="671"/>
              <w:gridCol w:w="693"/>
              <w:gridCol w:w="627"/>
              <w:gridCol w:w="666"/>
              <w:gridCol w:w="736"/>
              <w:gridCol w:w="658"/>
            </w:tblGrid>
            <w:tr w14:paraId="6667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7" w:type="dxa"/>
                  <w:vMerge w:val="restart"/>
                  <w:noWrap w:val="0"/>
                  <w:vAlign w:val="center"/>
                </w:tcPr>
                <w:p w14:paraId="2C07A8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行业类别</w:t>
                  </w:r>
                </w:p>
              </w:tc>
              <w:tc>
                <w:tcPr>
                  <w:tcW w:w="573" w:type="dxa"/>
                  <w:vMerge w:val="restart"/>
                  <w:noWrap w:val="0"/>
                  <w:vAlign w:val="center"/>
                </w:tcPr>
                <w:p w14:paraId="110BCF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主要生产单元名称</w:t>
                  </w:r>
                </w:p>
              </w:tc>
              <w:tc>
                <w:tcPr>
                  <w:tcW w:w="676" w:type="dxa"/>
                  <w:vMerge w:val="restart"/>
                  <w:noWrap w:val="0"/>
                  <w:vAlign w:val="center"/>
                </w:tcPr>
                <w:p w14:paraId="633E79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主要工艺名称</w:t>
                  </w:r>
                </w:p>
              </w:tc>
              <w:tc>
                <w:tcPr>
                  <w:tcW w:w="916" w:type="dxa"/>
                  <w:vMerge w:val="restart"/>
                  <w:noWrap w:val="0"/>
                  <w:vAlign w:val="center"/>
                </w:tcPr>
                <w:p w14:paraId="69D37B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生产设施名称</w:t>
                  </w:r>
                </w:p>
              </w:tc>
              <w:tc>
                <w:tcPr>
                  <w:tcW w:w="840" w:type="dxa"/>
                  <w:vMerge w:val="restart"/>
                  <w:noWrap w:val="0"/>
                  <w:vAlign w:val="center"/>
                </w:tcPr>
                <w:p w14:paraId="33AC4E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生产设施编号</w:t>
                  </w:r>
                </w:p>
              </w:tc>
              <w:tc>
                <w:tcPr>
                  <w:tcW w:w="2275" w:type="dxa"/>
                  <w:gridSpan w:val="3"/>
                  <w:noWrap w:val="0"/>
                  <w:vAlign w:val="center"/>
                </w:tcPr>
                <w:p w14:paraId="11CAF8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设施参数</w:t>
                  </w:r>
                </w:p>
              </w:tc>
              <w:tc>
                <w:tcPr>
                  <w:tcW w:w="627" w:type="dxa"/>
                  <w:vMerge w:val="restart"/>
                  <w:noWrap w:val="0"/>
                  <w:vAlign w:val="center"/>
                </w:tcPr>
                <w:p w14:paraId="1C079C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产品名称</w:t>
                  </w:r>
                </w:p>
              </w:tc>
              <w:tc>
                <w:tcPr>
                  <w:tcW w:w="666" w:type="dxa"/>
                  <w:vMerge w:val="restart"/>
                  <w:noWrap w:val="0"/>
                  <w:vAlign w:val="center"/>
                </w:tcPr>
                <w:p w14:paraId="71D523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计量单位</w:t>
                  </w:r>
                </w:p>
              </w:tc>
              <w:tc>
                <w:tcPr>
                  <w:tcW w:w="736" w:type="dxa"/>
                  <w:vMerge w:val="restart"/>
                  <w:noWrap w:val="0"/>
                  <w:vAlign w:val="center"/>
                </w:tcPr>
                <w:p w14:paraId="5C0426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生产能力</w:t>
                  </w:r>
                </w:p>
              </w:tc>
              <w:tc>
                <w:tcPr>
                  <w:tcW w:w="658" w:type="dxa"/>
                  <w:vMerge w:val="restart"/>
                  <w:noWrap w:val="0"/>
                  <w:vAlign w:val="center"/>
                </w:tcPr>
                <w:p w14:paraId="1D52F2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设计年生产时间（h）</w:t>
                  </w:r>
                </w:p>
              </w:tc>
            </w:tr>
            <w:tr w14:paraId="6BE8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058EF0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01D034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16C3D4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p>
              </w:tc>
              <w:tc>
                <w:tcPr>
                  <w:tcW w:w="916" w:type="dxa"/>
                  <w:vMerge w:val="continue"/>
                  <w:noWrap w:val="0"/>
                  <w:vAlign w:val="center"/>
                </w:tcPr>
                <w:p w14:paraId="0D2E1A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p>
              </w:tc>
              <w:tc>
                <w:tcPr>
                  <w:tcW w:w="840" w:type="dxa"/>
                  <w:vMerge w:val="continue"/>
                  <w:noWrap w:val="0"/>
                  <w:vAlign w:val="center"/>
                </w:tcPr>
                <w:p w14:paraId="7C475A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p>
              </w:tc>
              <w:tc>
                <w:tcPr>
                  <w:tcW w:w="911" w:type="dxa"/>
                  <w:noWrap w:val="0"/>
                  <w:vAlign w:val="center"/>
                </w:tcPr>
                <w:p w14:paraId="4CF8C0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参数名称</w:t>
                  </w:r>
                </w:p>
              </w:tc>
              <w:tc>
                <w:tcPr>
                  <w:tcW w:w="671" w:type="dxa"/>
                  <w:noWrap w:val="0"/>
                  <w:vAlign w:val="center"/>
                </w:tcPr>
                <w:p w14:paraId="2202C5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计量单位</w:t>
                  </w:r>
                </w:p>
              </w:tc>
              <w:tc>
                <w:tcPr>
                  <w:tcW w:w="693" w:type="dxa"/>
                  <w:noWrap w:val="0"/>
                  <w:vAlign w:val="center"/>
                </w:tcPr>
                <w:p w14:paraId="5B5F99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t>设计值</w:t>
                  </w:r>
                </w:p>
              </w:tc>
              <w:tc>
                <w:tcPr>
                  <w:tcW w:w="627" w:type="dxa"/>
                  <w:vMerge w:val="continue"/>
                  <w:noWrap w:val="0"/>
                  <w:vAlign w:val="center"/>
                </w:tcPr>
                <w:p w14:paraId="025BE3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p>
              </w:tc>
              <w:tc>
                <w:tcPr>
                  <w:tcW w:w="666" w:type="dxa"/>
                  <w:vMerge w:val="continue"/>
                  <w:noWrap w:val="0"/>
                  <w:vAlign w:val="center"/>
                </w:tcPr>
                <w:p w14:paraId="4CCDB3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p>
              </w:tc>
              <w:tc>
                <w:tcPr>
                  <w:tcW w:w="736" w:type="dxa"/>
                  <w:vMerge w:val="continue"/>
                  <w:noWrap w:val="0"/>
                  <w:vAlign w:val="center"/>
                </w:tcPr>
                <w:p w14:paraId="0D93E5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p>
              </w:tc>
              <w:tc>
                <w:tcPr>
                  <w:tcW w:w="658" w:type="dxa"/>
                  <w:vMerge w:val="continue"/>
                  <w:noWrap w:val="0"/>
                  <w:vAlign w:val="center"/>
                </w:tcPr>
                <w:p w14:paraId="318FB9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color w:val="000000" w:themeColor="text1"/>
                      <w:kern w:val="0"/>
                      <w:sz w:val="21"/>
                      <w:szCs w:val="21"/>
                      <w:vertAlign w:val="baseline"/>
                      <w:lang w:val="en-US" w:eastAsia="zh-CN"/>
                      <w14:textFill>
                        <w14:solidFill>
                          <w14:schemeClr w14:val="tx1"/>
                        </w14:solidFill>
                      </w14:textFill>
                    </w:rPr>
                  </w:pPr>
                </w:p>
              </w:tc>
            </w:tr>
            <w:tr w14:paraId="57060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restart"/>
                  <w:noWrap w:val="0"/>
                  <w:vAlign w:val="center"/>
                </w:tcPr>
                <w:p w14:paraId="1BCF84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粘土砖瓦及建筑砌块制造</w:t>
                  </w:r>
                </w:p>
              </w:tc>
              <w:tc>
                <w:tcPr>
                  <w:tcW w:w="573" w:type="dxa"/>
                  <w:vMerge w:val="restart"/>
                  <w:noWrap w:val="0"/>
                  <w:vAlign w:val="center"/>
                </w:tcPr>
                <w:p w14:paraId="7D1B1C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原辅料制备</w:t>
                  </w:r>
                </w:p>
              </w:tc>
              <w:tc>
                <w:tcPr>
                  <w:tcW w:w="676" w:type="dxa"/>
                  <w:noWrap w:val="0"/>
                  <w:vAlign w:val="center"/>
                </w:tcPr>
                <w:p w14:paraId="614326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贮存</w:t>
                  </w:r>
                </w:p>
              </w:tc>
              <w:tc>
                <w:tcPr>
                  <w:tcW w:w="916" w:type="dxa"/>
                  <w:noWrap w:val="0"/>
                  <w:vAlign w:val="center"/>
                </w:tcPr>
                <w:p w14:paraId="188839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原料堆场</w:t>
                  </w:r>
                </w:p>
              </w:tc>
              <w:tc>
                <w:tcPr>
                  <w:tcW w:w="840" w:type="dxa"/>
                  <w:noWrap w:val="0"/>
                  <w:vAlign w:val="center"/>
                </w:tcPr>
                <w:p w14:paraId="744F53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MF001</w:t>
                  </w:r>
                </w:p>
              </w:tc>
              <w:tc>
                <w:tcPr>
                  <w:tcW w:w="911" w:type="dxa"/>
                  <w:noWrap w:val="0"/>
                  <w:vAlign w:val="center"/>
                </w:tcPr>
                <w:p w14:paraId="5AA7D3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面积</w:t>
                  </w:r>
                </w:p>
              </w:tc>
              <w:tc>
                <w:tcPr>
                  <w:tcW w:w="671" w:type="dxa"/>
                  <w:noWrap w:val="0"/>
                  <w:vAlign w:val="center"/>
                </w:tcPr>
                <w:p w14:paraId="140C50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superscript"/>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w:t>
                  </w:r>
                  <w:r>
                    <w:rPr>
                      <w:rFonts w:hint="eastAsia" w:ascii="Times New Roman" w:hAnsi="Times New Roman" w:eastAsia="宋体" w:cs="Times New Roman"/>
                      <w:b w:val="0"/>
                      <w:bCs w:val="0"/>
                      <w:color w:val="000000" w:themeColor="text1"/>
                      <w:kern w:val="0"/>
                      <w:sz w:val="21"/>
                      <w:szCs w:val="21"/>
                      <w:vertAlign w:val="superscript"/>
                      <w:lang w:val="en-US" w:eastAsia="zh-CN"/>
                      <w14:textFill>
                        <w14:solidFill>
                          <w14:schemeClr w14:val="tx1"/>
                        </w14:solidFill>
                      </w14:textFill>
                    </w:rPr>
                    <w:t>2</w:t>
                  </w:r>
                </w:p>
              </w:tc>
              <w:tc>
                <w:tcPr>
                  <w:tcW w:w="693" w:type="dxa"/>
                  <w:noWrap w:val="0"/>
                  <w:vAlign w:val="center"/>
                </w:tcPr>
                <w:p w14:paraId="70B4B7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1200</w:t>
                  </w:r>
                </w:p>
              </w:tc>
              <w:tc>
                <w:tcPr>
                  <w:tcW w:w="627" w:type="dxa"/>
                  <w:noWrap w:val="0"/>
                  <w:vAlign w:val="center"/>
                </w:tcPr>
                <w:p w14:paraId="16D73C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666" w:type="dxa"/>
                  <w:noWrap w:val="0"/>
                  <w:vAlign w:val="center"/>
                </w:tcPr>
                <w:p w14:paraId="7D8070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736" w:type="dxa"/>
                  <w:noWrap w:val="0"/>
                  <w:vAlign w:val="center"/>
                </w:tcPr>
                <w:p w14:paraId="3C92D0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658" w:type="dxa"/>
                  <w:noWrap w:val="0"/>
                  <w:vAlign w:val="center"/>
                </w:tcPr>
                <w:p w14:paraId="59C8EA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r>
            <w:tr w14:paraId="1DCEC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34256B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367CB0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restart"/>
                  <w:noWrap w:val="0"/>
                  <w:vAlign w:val="center"/>
                </w:tcPr>
                <w:p w14:paraId="1A1A47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原料制备</w:t>
                  </w:r>
                </w:p>
              </w:tc>
              <w:tc>
                <w:tcPr>
                  <w:tcW w:w="916" w:type="dxa"/>
                  <w:noWrap w:val="0"/>
                  <w:vAlign w:val="center"/>
                </w:tcPr>
                <w:p w14:paraId="4D81D9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风选粉碎机</w:t>
                  </w:r>
                </w:p>
              </w:tc>
              <w:tc>
                <w:tcPr>
                  <w:tcW w:w="840" w:type="dxa"/>
                  <w:noWrap w:val="0"/>
                  <w:vAlign w:val="center"/>
                </w:tcPr>
                <w:p w14:paraId="2D3740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MF002</w:t>
                  </w:r>
                </w:p>
              </w:tc>
              <w:tc>
                <w:tcPr>
                  <w:tcW w:w="911" w:type="dxa"/>
                  <w:noWrap w:val="0"/>
                  <w:vAlign w:val="center"/>
                </w:tcPr>
                <w:p w14:paraId="0A29CB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台时产量</w:t>
                  </w:r>
                </w:p>
              </w:tc>
              <w:tc>
                <w:tcPr>
                  <w:tcW w:w="671" w:type="dxa"/>
                  <w:noWrap w:val="0"/>
                  <w:vAlign w:val="center"/>
                </w:tcPr>
                <w:p w14:paraId="5F0834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t/h</w:t>
                  </w:r>
                </w:p>
              </w:tc>
              <w:tc>
                <w:tcPr>
                  <w:tcW w:w="693" w:type="dxa"/>
                  <w:noWrap w:val="0"/>
                  <w:vAlign w:val="center"/>
                </w:tcPr>
                <w:p w14:paraId="03169C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15</w:t>
                  </w:r>
                </w:p>
              </w:tc>
              <w:tc>
                <w:tcPr>
                  <w:tcW w:w="627" w:type="dxa"/>
                  <w:noWrap w:val="0"/>
                  <w:vAlign w:val="center"/>
                </w:tcPr>
                <w:p w14:paraId="705FFB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666" w:type="dxa"/>
                  <w:noWrap w:val="0"/>
                  <w:vAlign w:val="center"/>
                </w:tcPr>
                <w:p w14:paraId="2E52E8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736" w:type="dxa"/>
                  <w:noWrap w:val="0"/>
                  <w:vAlign w:val="center"/>
                </w:tcPr>
                <w:p w14:paraId="0F0751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658" w:type="dxa"/>
                  <w:vMerge w:val="restart"/>
                  <w:noWrap w:val="0"/>
                  <w:vAlign w:val="center"/>
                </w:tcPr>
                <w:p w14:paraId="65E2FA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4800</w:t>
                  </w:r>
                </w:p>
              </w:tc>
            </w:tr>
            <w:tr w14:paraId="5C641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486E16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7BC4EF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51A0C4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noWrap w:val="0"/>
                  <w:vAlign w:val="center"/>
                </w:tcPr>
                <w:p w14:paraId="095AE5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筛分机</w:t>
                  </w:r>
                </w:p>
              </w:tc>
              <w:tc>
                <w:tcPr>
                  <w:tcW w:w="840" w:type="dxa"/>
                  <w:noWrap w:val="0"/>
                  <w:vAlign w:val="center"/>
                </w:tcPr>
                <w:p w14:paraId="3FD22F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MF003</w:t>
                  </w:r>
                </w:p>
              </w:tc>
              <w:tc>
                <w:tcPr>
                  <w:tcW w:w="911" w:type="dxa"/>
                  <w:noWrap w:val="0"/>
                  <w:vAlign w:val="center"/>
                </w:tcPr>
                <w:p w14:paraId="237BB7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台时产量</w:t>
                  </w:r>
                </w:p>
              </w:tc>
              <w:tc>
                <w:tcPr>
                  <w:tcW w:w="671" w:type="dxa"/>
                  <w:noWrap w:val="0"/>
                  <w:vAlign w:val="center"/>
                </w:tcPr>
                <w:p w14:paraId="68354D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t/h</w:t>
                  </w:r>
                </w:p>
              </w:tc>
              <w:tc>
                <w:tcPr>
                  <w:tcW w:w="693" w:type="dxa"/>
                  <w:noWrap w:val="0"/>
                  <w:vAlign w:val="center"/>
                </w:tcPr>
                <w:p w14:paraId="62E8F2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21"/>
                      <w:szCs w:val="21"/>
                      <w:highlight w:val="none"/>
                      <w:vertAlign w:val="baseline"/>
                      <w:lang w:val="en-US" w:eastAsia="zh-CN"/>
                      <w14:textFill>
                        <w14:solidFill>
                          <w14:schemeClr w14:val="tx1"/>
                        </w14:solidFill>
                      </w14:textFill>
                    </w:rPr>
                    <w:t>30</w:t>
                  </w:r>
                </w:p>
              </w:tc>
              <w:tc>
                <w:tcPr>
                  <w:tcW w:w="627" w:type="dxa"/>
                  <w:noWrap w:val="0"/>
                  <w:vAlign w:val="center"/>
                </w:tcPr>
                <w:p w14:paraId="526068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666" w:type="dxa"/>
                  <w:noWrap w:val="0"/>
                  <w:vAlign w:val="center"/>
                </w:tcPr>
                <w:p w14:paraId="5E6381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736" w:type="dxa"/>
                  <w:noWrap w:val="0"/>
                  <w:vAlign w:val="center"/>
                </w:tcPr>
                <w:p w14:paraId="14FFD7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658" w:type="dxa"/>
                  <w:vMerge w:val="continue"/>
                  <w:noWrap w:val="0"/>
                  <w:vAlign w:val="center"/>
                </w:tcPr>
                <w:p w14:paraId="5661EB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7597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2DF5A5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5A792E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4188E9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noWrap w:val="0"/>
                  <w:vAlign w:val="center"/>
                </w:tcPr>
                <w:p w14:paraId="1482AB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粉磨机</w:t>
                  </w:r>
                </w:p>
              </w:tc>
              <w:tc>
                <w:tcPr>
                  <w:tcW w:w="840" w:type="dxa"/>
                  <w:noWrap w:val="0"/>
                  <w:vAlign w:val="center"/>
                </w:tcPr>
                <w:p w14:paraId="4E93C3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MF004</w:t>
                  </w:r>
                </w:p>
              </w:tc>
              <w:tc>
                <w:tcPr>
                  <w:tcW w:w="911" w:type="dxa"/>
                  <w:noWrap w:val="0"/>
                  <w:vAlign w:val="center"/>
                </w:tcPr>
                <w:p w14:paraId="5967C3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台时产量</w:t>
                  </w:r>
                </w:p>
              </w:tc>
              <w:tc>
                <w:tcPr>
                  <w:tcW w:w="671" w:type="dxa"/>
                  <w:noWrap w:val="0"/>
                  <w:vAlign w:val="center"/>
                </w:tcPr>
                <w:p w14:paraId="6961B3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t/h</w:t>
                  </w:r>
                </w:p>
              </w:tc>
              <w:tc>
                <w:tcPr>
                  <w:tcW w:w="693" w:type="dxa"/>
                  <w:noWrap w:val="0"/>
                  <w:vAlign w:val="center"/>
                </w:tcPr>
                <w:p w14:paraId="274276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21"/>
                      <w:szCs w:val="21"/>
                      <w:highlight w:val="none"/>
                      <w:vertAlign w:val="baseline"/>
                      <w:lang w:val="en-US" w:eastAsia="zh-CN"/>
                      <w14:textFill>
                        <w14:solidFill>
                          <w14:schemeClr w14:val="tx1"/>
                        </w14:solidFill>
                      </w14:textFill>
                    </w:rPr>
                    <w:t>30</w:t>
                  </w:r>
                </w:p>
              </w:tc>
              <w:tc>
                <w:tcPr>
                  <w:tcW w:w="627" w:type="dxa"/>
                  <w:noWrap w:val="0"/>
                  <w:vAlign w:val="center"/>
                </w:tcPr>
                <w:p w14:paraId="73E55F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666" w:type="dxa"/>
                  <w:noWrap w:val="0"/>
                  <w:vAlign w:val="center"/>
                </w:tcPr>
                <w:p w14:paraId="57A3E8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736" w:type="dxa"/>
                  <w:noWrap w:val="0"/>
                  <w:vAlign w:val="center"/>
                </w:tcPr>
                <w:p w14:paraId="703EC9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658" w:type="dxa"/>
                  <w:vMerge w:val="continue"/>
                  <w:noWrap w:val="0"/>
                  <w:vAlign w:val="center"/>
                </w:tcPr>
                <w:p w14:paraId="0DCAF5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05D0F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694FA9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0C9766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53138D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noWrap w:val="0"/>
                  <w:vAlign w:val="center"/>
                </w:tcPr>
                <w:p w14:paraId="333C71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螺旋搅拌机</w:t>
                  </w:r>
                </w:p>
              </w:tc>
              <w:tc>
                <w:tcPr>
                  <w:tcW w:w="840" w:type="dxa"/>
                  <w:noWrap w:val="0"/>
                  <w:vAlign w:val="center"/>
                </w:tcPr>
                <w:p w14:paraId="2046F8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MF005</w:t>
                  </w:r>
                </w:p>
              </w:tc>
              <w:tc>
                <w:tcPr>
                  <w:tcW w:w="911" w:type="dxa"/>
                  <w:noWrap w:val="0"/>
                  <w:vAlign w:val="center"/>
                </w:tcPr>
                <w:p w14:paraId="77B52E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台时产量</w:t>
                  </w:r>
                </w:p>
              </w:tc>
              <w:tc>
                <w:tcPr>
                  <w:tcW w:w="671" w:type="dxa"/>
                  <w:noWrap w:val="0"/>
                  <w:vAlign w:val="center"/>
                </w:tcPr>
                <w:p w14:paraId="33CCE7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t/h</w:t>
                  </w:r>
                </w:p>
              </w:tc>
              <w:tc>
                <w:tcPr>
                  <w:tcW w:w="693" w:type="dxa"/>
                  <w:noWrap w:val="0"/>
                  <w:vAlign w:val="center"/>
                </w:tcPr>
                <w:p w14:paraId="5FB13D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21"/>
                      <w:szCs w:val="21"/>
                      <w:highlight w:val="none"/>
                      <w:vertAlign w:val="baseline"/>
                      <w:lang w:val="en-US" w:eastAsia="zh-CN"/>
                      <w14:textFill>
                        <w14:solidFill>
                          <w14:schemeClr w14:val="tx1"/>
                        </w14:solidFill>
                      </w14:textFill>
                    </w:rPr>
                    <w:t>30</w:t>
                  </w:r>
                </w:p>
              </w:tc>
              <w:tc>
                <w:tcPr>
                  <w:tcW w:w="627" w:type="dxa"/>
                  <w:noWrap w:val="0"/>
                  <w:vAlign w:val="center"/>
                </w:tcPr>
                <w:p w14:paraId="5787D8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666" w:type="dxa"/>
                  <w:noWrap w:val="0"/>
                  <w:vAlign w:val="center"/>
                </w:tcPr>
                <w:p w14:paraId="374410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736" w:type="dxa"/>
                  <w:noWrap w:val="0"/>
                  <w:vAlign w:val="center"/>
                </w:tcPr>
                <w:p w14:paraId="0F9DE2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658" w:type="dxa"/>
                  <w:vMerge w:val="continue"/>
                  <w:noWrap w:val="0"/>
                  <w:vAlign w:val="center"/>
                </w:tcPr>
                <w:p w14:paraId="444718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10CBB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724261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restart"/>
                  <w:noWrap w:val="0"/>
                  <w:vAlign w:val="center"/>
                </w:tcPr>
                <w:p w14:paraId="2079E8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成型系统</w:t>
                  </w:r>
                </w:p>
              </w:tc>
              <w:tc>
                <w:tcPr>
                  <w:tcW w:w="676" w:type="dxa"/>
                  <w:vMerge w:val="restart"/>
                  <w:noWrap w:val="0"/>
                  <w:vAlign w:val="center"/>
                </w:tcPr>
                <w:p w14:paraId="79306C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成型</w:t>
                  </w:r>
                </w:p>
              </w:tc>
              <w:tc>
                <w:tcPr>
                  <w:tcW w:w="916" w:type="dxa"/>
                  <w:noWrap w:val="0"/>
                  <w:vAlign w:val="center"/>
                </w:tcPr>
                <w:p w14:paraId="6C6FE4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真空瓦机</w:t>
                  </w:r>
                </w:p>
              </w:tc>
              <w:tc>
                <w:tcPr>
                  <w:tcW w:w="840" w:type="dxa"/>
                  <w:noWrap w:val="0"/>
                  <w:vAlign w:val="center"/>
                </w:tcPr>
                <w:p w14:paraId="771575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MF006</w:t>
                  </w:r>
                </w:p>
              </w:tc>
              <w:tc>
                <w:tcPr>
                  <w:tcW w:w="911" w:type="dxa"/>
                  <w:noWrap w:val="0"/>
                  <w:vAlign w:val="center"/>
                </w:tcPr>
                <w:p w14:paraId="7A63F0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台时产量</w:t>
                  </w:r>
                </w:p>
              </w:tc>
              <w:tc>
                <w:tcPr>
                  <w:tcW w:w="671" w:type="dxa"/>
                  <w:noWrap w:val="0"/>
                  <w:vAlign w:val="center"/>
                </w:tcPr>
                <w:p w14:paraId="56F004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万片/h</w:t>
                  </w:r>
                </w:p>
              </w:tc>
              <w:tc>
                <w:tcPr>
                  <w:tcW w:w="693" w:type="dxa"/>
                  <w:noWrap w:val="0"/>
                  <w:vAlign w:val="center"/>
                </w:tcPr>
                <w:p w14:paraId="71F418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1.5</w:t>
                  </w:r>
                </w:p>
              </w:tc>
              <w:tc>
                <w:tcPr>
                  <w:tcW w:w="627" w:type="dxa"/>
                  <w:vMerge w:val="restart"/>
                  <w:noWrap w:val="0"/>
                  <w:vAlign w:val="center"/>
                </w:tcPr>
                <w:p w14:paraId="5CE75F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瓦坯</w:t>
                  </w:r>
                </w:p>
              </w:tc>
              <w:tc>
                <w:tcPr>
                  <w:tcW w:w="666" w:type="dxa"/>
                  <w:vMerge w:val="restart"/>
                  <w:noWrap w:val="0"/>
                  <w:vAlign w:val="center"/>
                </w:tcPr>
                <w:p w14:paraId="666BE1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万片/a</w:t>
                  </w:r>
                </w:p>
              </w:tc>
              <w:tc>
                <w:tcPr>
                  <w:tcW w:w="736" w:type="dxa"/>
                  <w:vMerge w:val="restart"/>
                  <w:noWrap w:val="0"/>
                  <w:vAlign w:val="center"/>
                </w:tcPr>
                <w:p w14:paraId="06E931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3000</w:t>
                  </w:r>
                </w:p>
              </w:tc>
              <w:tc>
                <w:tcPr>
                  <w:tcW w:w="658" w:type="dxa"/>
                  <w:vMerge w:val="restart"/>
                  <w:noWrap w:val="0"/>
                  <w:vAlign w:val="center"/>
                </w:tcPr>
                <w:p w14:paraId="6B85B0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4800</w:t>
                  </w:r>
                </w:p>
              </w:tc>
            </w:tr>
            <w:tr w14:paraId="2B50C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7" w:type="dxa"/>
                  <w:vMerge w:val="continue"/>
                  <w:noWrap w:val="0"/>
                  <w:vAlign w:val="center"/>
                </w:tcPr>
                <w:p w14:paraId="51C752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14FFB0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44DA43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noWrap w:val="0"/>
                  <w:vAlign w:val="center"/>
                </w:tcPr>
                <w:p w14:paraId="42A982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切条机</w:t>
                  </w:r>
                </w:p>
              </w:tc>
              <w:tc>
                <w:tcPr>
                  <w:tcW w:w="840" w:type="dxa"/>
                  <w:noWrap w:val="0"/>
                  <w:vAlign w:val="center"/>
                </w:tcPr>
                <w:p w14:paraId="08417C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MF007</w:t>
                  </w:r>
                </w:p>
              </w:tc>
              <w:tc>
                <w:tcPr>
                  <w:tcW w:w="911" w:type="dxa"/>
                  <w:noWrap w:val="0"/>
                  <w:vAlign w:val="center"/>
                </w:tcPr>
                <w:p w14:paraId="4D0C52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台时产量</w:t>
                  </w:r>
                </w:p>
              </w:tc>
              <w:tc>
                <w:tcPr>
                  <w:tcW w:w="671" w:type="dxa"/>
                  <w:noWrap w:val="0"/>
                  <w:vAlign w:val="center"/>
                </w:tcPr>
                <w:p w14:paraId="43768A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万片/h</w:t>
                  </w:r>
                </w:p>
              </w:tc>
              <w:tc>
                <w:tcPr>
                  <w:tcW w:w="693" w:type="dxa"/>
                  <w:noWrap w:val="0"/>
                  <w:vAlign w:val="center"/>
                </w:tcPr>
                <w:p w14:paraId="6B5ADD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1.5</w:t>
                  </w:r>
                </w:p>
              </w:tc>
              <w:tc>
                <w:tcPr>
                  <w:tcW w:w="627" w:type="dxa"/>
                  <w:vMerge w:val="continue"/>
                  <w:noWrap w:val="0"/>
                  <w:vAlign w:val="center"/>
                </w:tcPr>
                <w:p w14:paraId="3D0666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66" w:type="dxa"/>
                  <w:vMerge w:val="continue"/>
                  <w:noWrap w:val="0"/>
                  <w:vAlign w:val="center"/>
                </w:tcPr>
                <w:p w14:paraId="4829B8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736" w:type="dxa"/>
                  <w:vMerge w:val="continue"/>
                  <w:noWrap w:val="0"/>
                  <w:vAlign w:val="center"/>
                </w:tcPr>
                <w:p w14:paraId="3CD18E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58" w:type="dxa"/>
                  <w:vMerge w:val="continue"/>
                  <w:noWrap w:val="0"/>
                  <w:vAlign w:val="center"/>
                </w:tcPr>
                <w:p w14:paraId="6D9420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7B175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22A0E2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2DC005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52D56D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noWrap w:val="0"/>
                  <w:vAlign w:val="center"/>
                </w:tcPr>
                <w:p w14:paraId="0C7315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切坯机</w:t>
                  </w:r>
                </w:p>
              </w:tc>
              <w:tc>
                <w:tcPr>
                  <w:tcW w:w="840" w:type="dxa"/>
                  <w:noWrap w:val="0"/>
                  <w:vAlign w:val="center"/>
                </w:tcPr>
                <w:p w14:paraId="419C7F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MF008</w:t>
                  </w:r>
                </w:p>
              </w:tc>
              <w:tc>
                <w:tcPr>
                  <w:tcW w:w="911" w:type="dxa"/>
                  <w:noWrap w:val="0"/>
                  <w:vAlign w:val="center"/>
                </w:tcPr>
                <w:p w14:paraId="45B3BF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台时产量</w:t>
                  </w:r>
                </w:p>
              </w:tc>
              <w:tc>
                <w:tcPr>
                  <w:tcW w:w="671" w:type="dxa"/>
                  <w:noWrap w:val="0"/>
                  <w:vAlign w:val="center"/>
                </w:tcPr>
                <w:p w14:paraId="284536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万片/h</w:t>
                  </w:r>
                </w:p>
              </w:tc>
              <w:tc>
                <w:tcPr>
                  <w:tcW w:w="693" w:type="dxa"/>
                  <w:noWrap w:val="0"/>
                  <w:vAlign w:val="center"/>
                </w:tcPr>
                <w:p w14:paraId="26EAAE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1.5</w:t>
                  </w:r>
                </w:p>
              </w:tc>
              <w:tc>
                <w:tcPr>
                  <w:tcW w:w="627" w:type="dxa"/>
                  <w:vMerge w:val="continue"/>
                  <w:noWrap w:val="0"/>
                  <w:vAlign w:val="center"/>
                </w:tcPr>
                <w:p w14:paraId="5BC3AB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66" w:type="dxa"/>
                  <w:vMerge w:val="continue"/>
                  <w:noWrap w:val="0"/>
                  <w:vAlign w:val="center"/>
                </w:tcPr>
                <w:p w14:paraId="7BD9EB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736" w:type="dxa"/>
                  <w:vMerge w:val="continue"/>
                  <w:noWrap w:val="0"/>
                  <w:vAlign w:val="center"/>
                </w:tcPr>
                <w:p w14:paraId="6CF055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58" w:type="dxa"/>
                  <w:vMerge w:val="continue"/>
                  <w:noWrap w:val="0"/>
                  <w:vAlign w:val="center"/>
                </w:tcPr>
                <w:p w14:paraId="1B326D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5C10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66CCCC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69B23F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restart"/>
                  <w:noWrap w:val="0"/>
                  <w:vAlign w:val="center"/>
                </w:tcPr>
                <w:p w14:paraId="051EE9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陈化</w:t>
                  </w:r>
                </w:p>
              </w:tc>
              <w:tc>
                <w:tcPr>
                  <w:tcW w:w="916" w:type="dxa"/>
                  <w:noWrap w:val="0"/>
                  <w:vAlign w:val="center"/>
                </w:tcPr>
                <w:p w14:paraId="025377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1#瓦坯晾晒陈化区</w:t>
                  </w:r>
                </w:p>
              </w:tc>
              <w:tc>
                <w:tcPr>
                  <w:tcW w:w="840" w:type="dxa"/>
                  <w:noWrap w:val="0"/>
                  <w:vAlign w:val="center"/>
                </w:tcPr>
                <w:p w14:paraId="1E7FCB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MF009</w:t>
                  </w:r>
                </w:p>
              </w:tc>
              <w:tc>
                <w:tcPr>
                  <w:tcW w:w="911" w:type="dxa"/>
                  <w:noWrap w:val="0"/>
                  <w:vAlign w:val="center"/>
                </w:tcPr>
                <w:p w14:paraId="46DC52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面积</w:t>
                  </w:r>
                </w:p>
              </w:tc>
              <w:tc>
                <w:tcPr>
                  <w:tcW w:w="671" w:type="dxa"/>
                  <w:noWrap w:val="0"/>
                  <w:vAlign w:val="center"/>
                </w:tcPr>
                <w:p w14:paraId="785C94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w:t>
                  </w:r>
                  <w:r>
                    <w:rPr>
                      <w:rFonts w:hint="eastAsia" w:ascii="Times New Roman" w:hAnsi="Times New Roman" w:eastAsia="宋体" w:cs="Times New Roman"/>
                      <w:b w:val="0"/>
                      <w:bCs w:val="0"/>
                      <w:color w:val="000000" w:themeColor="text1"/>
                      <w:kern w:val="0"/>
                      <w:sz w:val="21"/>
                      <w:szCs w:val="21"/>
                      <w:vertAlign w:val="superscript"/>
                      <w:lang w:val="en-US" w:eastAsia="zh-CN"/>
                      <w14:textFill>
                        <w14:solidFill>
                          <w14:schemeClr w14:val="tx1"/>
                        </w14:solidFill>
                      </w14:textFill>
                    </w:rPr>
                    <w:t>2</w:t>
                  </w:r>
                </w:p>
              </w:tc>
              <w:tc>
                <w:tcPr>
                  <w:tcW w:w="693" w:type="dxa"/>
                  <w:noWrap w:val="0"/>
                  <w:vAlign w:val="center"/>
                </w:tcPr>
                <w:p w14:paraId="671564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470</w:t>
                  </w:r>
                </w:p>
              </w:tc>
              <w:tc>
                <w:tcPr>
                  <w:tcW w:w="627" w:type="dxa"/>
                  <w:noWrap w:val="0"/>
                  <w:vAlign w:val="center"/>
                </w:tcPr>
                <w:p w14:paraId="31C507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666" w:type="dxa"/>
                  <w:noWrap w:val="0"/>
                  <w:vAlign w:val="center"/>
                </w:tcPr>
                <w:p w14:paraId="59D148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736" w:type="dxa"/>
                  <w:noWrap w:val="0"/>
                  <w:vAlign w:val="center"/>
                </w:tcPr>
                <w:p w14:paraId="59E1D7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658" w:type="dxa"/>
                  <w:noWrap w:val="0"/>
                  <w:vAlign w:val="center"/>
                </w:tcPr>
                <w:p w14:paraId="137F82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r>
            <w:tr w14:paraId="5AA8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08C36B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071CC1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61E0E0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noWrap w:val="0"/>
                  <w:vAlign w:val="center"/>
                </w:tcPr>
                <w:p w14:paraId="52B639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2#瓦坯晾晒陈化区</w:t>
                  </w:r>
                </w:p>
              </w:tc>
              <w:tc>
                <w:tcPr>
                  <w:tcW w:w="840" w:type="dxa"/>
                  <w:noWrap w:val="0"/>
                  <w:vAlign w:val="center"/>
                </w:tcPr>
                <w:p w14:paraId="55AC65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MF010</w:t>
                  </w:r>
                </w:p>
              </w:tc>
              <w:tc>
                <w:tcPr>
                  <w:tcW w:w="911" w:type="dxa"/>
                  <w:noWrap w:val="0"/>
                  <w:vAlign w:val="center"/>
                </w:tcPr>
                <w:p w14:paraId="0F16EB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面积</w:t>
                  </w:r>
                </w:p>
              </w:tc>
              <w:tc>
                <w:tcPr>
                  <w:tcW w:w="671" w:type="dxa"/>
                  <w:noWrap w:val="0"/>
                  <w:vAlign w:val="center"/>
                </w:tcPr>
                <w:p w14:paraId="4BE66B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w:t>
                  </w:r>
                  <w:r>
                    <w:rPr>
                      <w:rFonts w:hint="eastAsia" w:ascii="Times New Roman" w:hAnsi="Times New Roman" w:eastAsia="宋体" w:cs="Times New Roman"/>
                      <w:b w:val="0"/>
                      <w:bCs w:val="0"/>
                      <w:color w:val="000000" w:themeColor="text1"/>
                      <w:kern w:val="0"/>
                      <w:sz w:val="21"/>
                      <w:szCs w:val="21"/>
                      <w:vertAlign w:val="superscript"/>
                      <w:lang w:val="en-US" w:eastAsia="zh-CN"/>
                      <w14:textFill>
                        <w14:solidFill>
                          <w14:schemeClr w14:val="tx1"/>
                        </w14:solidFill>
                      </w14:textFill>
                    </w:rPr>
                    <w:t>2</w:t>
                  </w:r>
                </w:p>
              </w:tc>
              <w:tc>
                <w:tcPr>
                  <w:tcW w:w="693" w:type="dxa"/>
                  <w:noWrap w:val="0"/>
                  <w:vAlign w:val="center"/>
                </w:tcPr>
                <w:p w14:paraId="5EB541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2400</w:t>
                  </w:r>
                </w:p>
              </w:tc>
              <w:tc>
                <w:tcPr>
                  <w:tcW w:w="627" w:type="dxa"/>
                  <w:noWrap w:val="0"/>
                  <w:vAlign w:val="center"/>
                </w:tcPr>
                <w:p w14:paraId="3F3945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666" w:type="dxa"/>
                  <w:noWrap w:val="0"/>
                  <w:vAlign w:val="center"/>
                </w:tcPr>
                <w:p w14:paraId="51AF57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736" w:type="dxa"/>
                  <w:noWrap w:val="0"/>
                  <w:vAlign w:val="center"/>
                </w:tcPr>
                <w:p w14:paraId="65F47E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658" w:type="dxa"/>
                  <w:noWrap w:val="0"/>
                  <w:vAlign w:val="center"/>
                </w:tcPr>
                <w:p w14:paraId="3321F8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r>
            <w:tr w14:paraId="6DFD8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3D7917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restart"/>
                  <w:noWrap w:val="0"/>
                  <w:vAlign w:val="center"/>
                </w:tcPr>
                <w:p w14:paraId="32FCD5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烧成系统</w:t>
                  </w:r>
                </w:p>
              </w:tc>
              <w:tc>
                <w:tcPr>
                  <w:tcW w:w="676" w:type="dxa"/>
                  <w:vMerge w:val="restart"/>
                  <w:noWrap w:val="0"/>
                  <w:vAlign w:val="center"/>
                </w:tcPr>
                <w:p w14:paraId="75F005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窑烧成</w:t>
                  </w:r>
                </w:p>
              </w:tc>
              <w:tc>
                <w:tcPr>
                  <w:tcW w:w="916" w:type="dxa"/>
                  <w:vMerge w:val="restart"/>
                  <w:noWrap w:val="0"/>
                  <w:vAlign w:val="center"/>
                </w:tcPr>
                <w:p w14:paraId="5550AD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1#仿古窑</w:t>
                  </w:r>
                </w:p>
              </w:tc>
              <w:tc>
                <w:tcPr>
                  <w:tcW w:w="840" w:type="dxa"/>
                  <w:vMerge w:val="restart"/>
                  <w:noWrap w:val="0"/>
                  <w:vAlign w:val="center"/>
                </w:tcPr>
                <w:p w14:paraId="481FB3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MF011</w:t>
                  </w:r>
                </w:p>
              </w:tc>
              <w:tc>
                <w:tcPr>
                  <w:tcW w:w="911" w:type="dxa"/>
                  <w:noWrap w:val="0"/>
                  <w:vAlign w:val="center"/>
                </w:tcPr>
                <w:p w14:paraId="0824D4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产能</w:t>
                  </w:r>
                </w:p>
              </w:tc>
              <w:tc>
                <w:tcPr>
                  <w:tcW w:w="671" w:type="dxa"/>
                  <w:noWrap w:val="0"/>
                  <w:vAlign w:val="center"/>
                </w:tcPr>
                <w:p w14:paraId="6DCB05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万片</w:t>
                  </w:r>
                </w:p>
              </w:tc>
              <w:tc>
                <w:tcPr>
                  <w:tcW w:w="693" w:type="dxa"/>
                  <w:noWrap w:val="0"/>
                  <w:vAlign w:val="center"/>
                </w:tcPr>
                <w:p w14:paraId="3AAB00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25</w:t>
                  </w:r>
                </w:p>
              </w:tc>
              <w:tc>
                <w:tcPr>
                  <w:tcW w:w="627" w:type="dxa"/>
                  <w:vMerge w:val="restart"/>
                  <w:noWrap w:val="0"/>
                  <w:vAlign w:val="center"/>
                </w:tcPr>
                <w:p w14:paraId="272D86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青瓦</w:t>
                  </w:r>
                </w:p>
              </w:tc>
              <w:tc>
                <w:tcPr>
                  <w:tcW w:w="666" w:type="dxa"/>
                  <w:vMerge w:val="restart"/>
                  <w:noWrap w:val="0"/>
                  <w:vAlign w:val="center"/>
                </w:tcPr>
                <w:p w14:paraId="05D40C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万片/a</w:t>
                  </w:r>
                </w:p>
              </w:tc>
              <w:tc>
                <w:tcPr>
                  <w:tcW w:w="736" w:type="dxa"/>
                  <w:vMerge w:val="restart"/>
                  <w:noWrap w:val="0"/>
                  <w:vAlign w:val="center"/>
                </w:tcPr>
                <w:p w14:paraId="77C510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3000</w:t>
                  </w:r>
                </w:p>
              </w:tc>
              <w:tc>
                <w:tcPr>
                  <w:tcW w:w="658" w:type="dxa"/>
                  <w:vMerge w:val="restart"/>
                  <w:noWrap w:val="0"/>
                  <w:vAlign w:val="center"/>
                </w:tcPr>
                <w:p w14:paraId="1E69C9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7200</w:t>
                  </w:r>
                </w:p>
              </w:tc>
            </w:tr>
            <w:tr w14:paraId="5539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32266D2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179B43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5ED030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vMerge w:val="continue"/>
                  <w:noWrap w:val="0"/>
                  <w:vAlign w:val="center"/>
                </w:tcPr>
                <w:p w14:paraId="10D583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840" w:type="dxa"/>
                  <w:vMerge w:val="continue"/>
                  <w:noWrap w:val="0"/>
                  <w:vAlign w:val="center"/>
                </w:tcPr>
                <w:p w14:paraId="784F90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1" w:type="dxa"/>
                  <w:noWrap w:val="0"/>
                  <w:vAlign w:val="center"/>
                </w:tcPr>
                <w:p w14:paraId="535934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窑内径</w:t>
                  </w:r>
                </w:p>
              </w:tc>
              <w:tc>
                <w:tcPr>
                  <w:tcW w:w="671" w:type="dxa"/>
                  <w:noWrap w:val="0"/>
                  <w:vAlign w:val="center"/>
                </w:tcPr>
                <w:p w14:paraId="3E6F11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w:t>
                  </w:r>
                </w:p>
              </w:tc>
              <w:tc>
                <w:tcPr>
                  <w:tcW w:w="693" w:type="dxa"/>
                  <w:noWrap w:val="0"/>
                  <w:vAlign w:val="center"/>
                </w:tcPr>
                <w:p w14:paraId="3DE5DF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6</w:t>
                  </w:r>
                </w:p>
              </w:tc>
              <w:tc>
                <w:tcPr>
                  <w:tcW w:w="627" w:type="dxa"/>
                  <w:vMerge w:val="continue"/>
                  <w:noWrap w:val="0"/>
                  <w:vAlign w:val="center"/>
                </w:tcPr>
                <w:p w14:paraId="113FFA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66" w:type="dxa"/>
                  <w:vMerge w:val="continue"/>
                  <w:noWrap w:val="0"/>
                  <w:vAlign w:val="center"/>
                </w:tcPr>
                <w:p w14:paraId="3A5D87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736" w:type="dxa"/>
                  <w:vMerge w:val="continue"/>
                  <w:noWrap w:val="0"/>
                  <w:vAlign w:val="center"/>
                </w:tcPr>
                <w:p w14:paraId="4EBA50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58" w:type="dxa"/>
                  <w:vMerge w:val="continue"/>
                  <w:noWrap w:val="0"/>
                  <w:vAlign w:val="center"/>
                </w:tcPr>
                <w:p w14:paraId="32B6B9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25ED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676C80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1DACCA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47E8C3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vMerge w:val="continue"/>
                  <w:noWrap w:val="0"/>
                  <w:vAlign w:val="center"/>
                </w:tcPr>
                <w:p w14:paraId="4F9D82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840" w:type="dxa"/>
                  <w:vMerge w:val="continue"/>
                  <w:noWrap w:val="0"/>
                  <w:vAlign w:val="center"/>
                </w:tcPr>
                <w:p w14:paraId="6CA282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1" w:type="dxa"/>
                  <w:noWrap w:val="0"/>
                  <w:vAlign w:val="center"/>
                </w:tcPr>
                <w:p w14:paraId="3C77D8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窑高</w:t>
                  </w:r>
                </w:p>
              </w:tc>
              <w:tc>
                <w:tcPr>
                  <w:tcW w:w="671" w:type="dxa"/>
                  <w:noWrap w:val="0"/>
                  <w:vAlign w:val="center"/>
                </w:tcPr>
                <w:p w14:paraId="53028F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w:t>
                  </w:r>
                </w:p>
              </w:tc>
              <w:tc>
                <w:tcPr>
                  <w:tcW w:w="693" w:type="dxa"/>
                  <w:noWrap w:val="0"/>
                  <w:vAlign w:val="center"/>
                </w:tcPr>
                <w:p w14:paraId="5EC08F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10</w:t>
                  </w:r>
                </w:p>
              </w:tc>
              <w:tc>
                <w:tcPr>
                  <w:tcW w:w="627" w:type="dxa"/>
                  <w:vMerge w:val="continue"/>
                  <w:noWrap w:val="0"/>
                  <w:vAlign w:val="center"/>
                </w:tcPr>
                <w:p w14:paraId="3B8ED9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66" w:type="dxa"/>
                  <w:vMerge w:val="continue"/>
                  <w:noWrap w:val="0"/>
                  <w:vAlign w:val="center"/>
                </w:tcPr>
                <w:p w14:paraId="43E6B8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736" w:type="dxa"/>
                  <w:vMerge w:val="continue"/>
                  <w:noWrap w:val="0"/>
                  <w:vAlign w:val="center"/>
                </w:tcPr>
                <w:p w14:paraId="0A4BC8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58" w:type="dxa"/>
                  <w:vMerge w:val="continue"/>
                  <w:noWrap w:val="0"/>
                  <w:vAlign w:val="center"/>
                </w:tcPr>
                <w:p w14:paraId="5D9050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1CCC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00E8A2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712661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75242E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vMerge w:val="restart"/>
                  <w:noWrap w:val="0"/>
                  <w:vAlign w:val="center"/>
                </w:tcPr>
                <w:p w14:paraId="38350B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2#仿古窑</w:t>
                  </w:r>
                </w:p>
              </w:tc>
              <w:tc>
                <w:tcPr>
                  <w:tcW w:w="840" w:type="dxa"/>
                  <w:vMerge w:val="restart"/>
                  <w:noWrap w:val="0"/>
                  <w:vAlign w:val="center"/>
                </w:tcPr>
                <w:p w14:paraId="1811D8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MF012</w:t>
                  </w:r>
                </w:p>
              </w:tc>
              <w:tc>
                <w:tcPr>
                  <w:tcW w:w="911" w:type="dxa"/>
                  <w:noWrap w:val="0"/>
                  <w:vAlign w:val="center"/>
                </w:tcPr>
                <w:p w14:paraId="5091C3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产能</w:t>
                  </w:r>
                </w:p>
              </w:tc>
              <w:tc>
                <w:tcPr>
                  <w:tcW w:w="671" w:type="dxa"/>
                  <w:noWrap w:val="0"/>
                  <w:vAlign w:val="center"/>
                </w:tcPr>
                <w:p w14:paraId="2A11D6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万片</w:t>
                  </w:r>
                </w:p>
              </w:tc>
              <w:tc>
                <w:tcPr>
                  <w:tcW w:w="693" w:type="dxa"/>
                  <w:noWrap w:val="0"/>
                  <w:vAlign w:val="center"/>
                </w:tcPr>
                <w:p w14:paraId="741590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25</w:t>
                  </w:r>
                </w:p>
              </w:tc>
              <w:tc>
                <w:tcPr>
                  <w:tcW w:w="627" w:type="dxa"/>
                  <w:vMerge w:val="continue"/>
                  <w:noWrap w:val="0"/>
                  <w:vAlign w:val="center"/>
                </w:tcPr>
                <w:p w14:paraId="261B24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66" w:type="dxa"/>
                  <w:vMerge w:val="continue"/>
                  <w:noWrap w:val="0"/>
                  <w:vAlign w:val="center"/>
                </w:tcPr>
                <w:p w14:paraId="1D9DE4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736" w:type="dxa"/>
                  <w:vMerge w:val="continue"/>
                  <w:noWrap w:val="0"/>
                  <w:vAlign w:val="center"/>
                </w:tcPr>
                <w:p w14:paraId="2B10B9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58" w:type="dxa"/>
                  <w:vMerge w:val="continue"/>
                  <w:noWrap w:val="0"/>
                  <w:vAlign w:val="center"/>
                </w:tcPr>
                <w:p w14:paraId="745680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44FB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193008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5EB2C6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77BCC8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vMerge w:val="continue"/>
                  <w:noWrap w:val="0"/>
                  <w:vAlign w:val="center"/>
                </w:tcPr>
                <w:p w14:paraId="66719B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840" w:type="dxa"/>
                  <w:vMerge w:val="continue"/>
                  <w:noWrap w:val="0"/>
                  <w:vAlign w:val="center"/>
                </w:tcPr>
                <w:p w14:paraId="48B3A0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1" w:type="dxa"/>
                  <w:noWrap w:val="0"/>
                  <w:vAlign w:val="center"/>
                </w:tcPr>
                <w:p w14:paraId="1224A1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窑内径</w:t>
                  </w:r>
                </w:p>
              </w:tc>
              <w:tc>
                <w:tcPr>
                  <w:tcW w:w="671" w:type="dxa"/>
                  <w:noWrap w:val="0"/>
                  <w:vAlign w:val="center"/>
                </w:tcPr>
                <w:p w14:paraId="015B49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w:t>
                  </w:r>
                </w:p>
              </w:tc>
              <w:tc>
                <w:tcPr>
                  <w:tcW w:w="693" w:type="dxa"/>
                  <w:noWrap w:val="0"/>
                  <w:vAlign w:val="center"/>
                </w:tcPr>
                <w:p w14:paraId="60C0A9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6</w:t>
                  </w:r>
                </w:p>
              </w:tc>
              <w:tc>
                <w:tcPr>
                  <w:tcW w:w="627" w:type="dxa"/>
                  <w:vMerge w:val="continue"/>
                  <w:noWrap w:val="0"/>
                  <w:vAlign w:val="center"/>
                </w:tcPr>
                <w:p w14:paraId="6A2299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66" w:type="dxa"/>
                  <w:vMerge w:val="continue"/>
                  <w:noWrap w:val="0"/>
                  <w:vAlign w:val="center"/>
                </w:tcPr>
                <w:p w14:paraId="1F5CAB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736" w:type="dxa"/>
                  <w:vMerge w:val="continue"/>
                  <w:noWrap w:val="0"/>
                  <w:vAlign w:val="center"/>
                </w:tcPr>
                <w:p w14:paraId="4BE26E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58" w:type="dxa"/>
                  <w:vMerge w:val="continue"/>
                  <w:noWrap w:val="0"/>
                  <w:vAlign w:val="center"/>
                </w:tcPr>
                <w:p w14:paraId="2A4EC4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1B865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4CCC8E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517E0E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2E6FE1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vMerge w:val="continue"/>
                  <w:noWrap w:val="0"/>
                  <w:vAlign w:val="center"/>
                </w:tcPr>
                <w:p w14:paraId="5BCC54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840" w:type="dxa"/>
                  <w:vMerge w:val="continue"/>
                  <w:noWrap w:val="0"/>
                  <w:vAlign w:val="center"/>
                </w:tcPr>
                <w:p w14:paraId="185E5E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1" w:type="dxa"/>
                  <w:noWrap w:val="0"/>
                  <w:vAlign w:val="center"/>
                </w:tcPr>
                <w:p w14:paraId="057829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窑高</w:t>
                  </w:r>
                </w:p>
              </w:tc>
              <w:tc>
                <w:tcPr>
                  <w:tcW w:w="671" w:type="dxa"/>
                  <w:noWrap w:val="0"/>
                  <w:vAlign w:val="center"/>
                </w:tcPr>
                <w:p w14:paraId="64F36E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w:t>
                  </w:r>
                </w:p>
              </w:tc>
              <w:tc>
                <w:tcPr>
                  <w:tcW w:w="693" w:type="dxa"/>
                  <w:noWrap w:val="0"/>
                  <w:vAlign w:val="center"/>
                </w:tcPr>
                <w:p w14:paraId="4931FC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10</w:t>
                  </w:r>
                </w:p>
              </w:tc>
              <w:tc>
                <w:tcPr>
                  <w:tcW w:w="627" w:type="dxa"/>
                  <w:vMerge w:val="continue"/>
                  <w:noWrap w:val="0"/>
                  <w:vAlign w:val="center"/>
                </w:tcPr>
                <w:p w14:paraId="3B69D8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66" w:type="dxa"/>
                  <w:vMerge w:val="continue"/>
                  <w:noWrap w:val="0"/>
                  <w:vAlign w:val="center"/>
                </w:tcPr>
                <w:p w14:paraId="4E593E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736" w:type="dxa"/>
                  <w:vMerge w:val="continue"/>
                  <w:noWrap w:val="0"/>
                  <w:vAlign w:val="center"/>
                </w:tcPr>
                <w:p w14:paraId="1FBA4B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58" w:type="dxa"/>
                  <w:vMerge w:val="continue"/>
                  <w:noWrap w:val="0"/>
                  <w:vAlign w:val="center"/>
                </w:tcPr>
                <w:p w14:paraId="188624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2358C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099A86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2B0158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111978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vMerge w:val="restart"/>
                  <w:noWrap w:val="0"/>
                  <w:vAlign w:val="center"/>
                </w:tcPr>
                <w:p w14:paraId="1A59D8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3#仿古窑</w:t>
                  </w:r>
                </w:p>
              </w:tc>
              <w:tc>
                <w:tcPr>
                  <w:tcW w:w="840" w:type="dxa"/>
                  <w:vMerge w:val="restart"/>
                  <w:noWrap w:val="0"/>
                  <w:vAlign w:val="center"/>
                </w:tcPr>
                <w:p w14:paraId="58EDE9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MF013</w:t>
                  </w:r>
                </w:p>
              </w:tc>
              <w:tc>
                <w:tcPr>
                  <w:tcW w:w="911" w:type="dxa"/>
                  <w:noWrap w:val="0"/>
                  <w:vAlign w:val="center"/>
                </w:tcPr>
                <w:p w14:paraId="1BB8B12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产能</w:t>
                  </w:r>
                </w:p>
              </w:tc>
              <w:tc>
                <w:tcPr>
                  <w:tcW w:w="671" w:type="dxa"/>
                  <w:noWrap w:val="0"/>
                  <w:vAlign w:val="center"/>
                </w:tcPr>
                <w:p w14:paraId="76C363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万片</w:t>
                  </w:r>
                </w:p>
              </w:tc>
              <w:tc>
                <w:tcPr>
                  <w:tcW w:w="693" w:type="dxa"/>
                  <w:noWrap w:val="0"/>
                  <w:vAlign w:val="center"/>
                </w:tcPr>
                <w:p w14:paraId="067F4B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65</w:t>
                  </w:r>
                </w:p>
              </w:tc>
              <w:tc>
                <w:tcPr>
                  <w:tcW w:w="627" w:type="dxa"/>
                  <w:vMerge w:val="continue"/>
                  <w:noWrap w:val="0"/>
                  <w:vAlign w:val="center"/>
                </w:tcPr>
                <w:p w14:paraId="0AD04B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66" w:type="dxa"/>
                  <w:vMerge w:val="continue"/>
                  <w:noWrap w:val="0"/>
                  <w:vAlign w:val="center"/>
                </w:tcPr>
                <w:p w14:paraId="2862CE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736" w:type="dxa"/>
                  <w:vMerge w:val="continue"/>
                  <w:noWrap w:val="0"/>
                  <w:vAlign w:val="center"/>
                </w:tcPr>
                <w:p w14:paraId="7F2A6B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58" w:type="dxa"/>
                  <w:vMerge w:val="continue"/>
                  <w:noWrap w:val="0"/>
                  <w:vAlign w:val="center"/>
                </w:tcPr>
                <w:p w14:paraId="587D90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5AC5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2D5B07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6E454C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365718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vMerge w:val="continue"/>
                  <w:noWrap w:val="0"/>
                  <w:vAlign w:val="center"/>
                </w:tcPr>
                <w:p w14:paraId="50CE74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840" w:type="dxa"/>
                  <w:vMerge w:val="continue"/>
                  <w:noWrap w:val="0"/>
                  <w:vAlign w:val="center"/>
                </w:tcPr>
                <w:p w14:paraId="1A44C3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1" w:type="dxa"/>
                  <w:noWrap w:val="0"/>
                  <w:vAlign w:val="center"/>
                </w:tcPr>
                <w:p w14:paraId="17EEA4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窑内径</w:t>
                  </w:r>
                </w:p>
              </w:tc>
              <w:tc>
                <w:tcPr>
                  <w:tcW w:w="671" w:type="dxa"/>
                  <w:noWrap w:val="0"/>
                  <w:vAlign w:val="center"/>
                </w:tcPr>
                <w:p w14:paraId="52F3F6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w:t>
                  </w:r>
                </w:p>
              </w:tc>
              <w:tc>
                <w:tcPr>
                  <w:tcW w:w="693" w:type="dxa"/>
                  <w:noWrap w:val="0"/>
                  <w:vAlign w:val="center"/>
                </w:tcPr>
                <w:p w14:paraId="52408F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8</w:t>
                  </w:r>
                </w:p>
              </w:tc>
              <w:tc>
                <w:tcPr>
                  <w:tcW w:w="627" w:type="dxa"/>
                  <w:vMerge w:val="continue"/>
                  <w:noWrap w:val="0"/>
                  <w:vAlign w:val="center"/>
                </w:tcPr>
                <w:p w14:paraId="0C3FBB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66" w:type="dxa"/>
                  <w:vMerge w:val="continue"/>
                  <w:noWrap w:val="0"/>
                  <w:vAlign w:val="center"/>
                </w:tcPr>
                <w:p w14:paraId="2A2DE0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736" w:type="dxa"/>
                  <w:vMerge w:val="continue"/>
                  <w:noWrap w:val="0"/>
                  <w:vAlign w:val="center"/>
                </w:tcPr>
                <w:p w14:paraId="585078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58" w:type="dxa"/>
                  <w:vMerge w:val="continue"/>
                  <w:noWrap w:val="0"/>
                  <w:vAlign w:val="center"/>
                </w:tcPr>
                <w:p w14:paraId="585839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2BD2E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7A77C1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74056A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432833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vMerge w:val="continue"/>
                  <w:noWrap w:val="0"/>
                  <w:vAlign w:val="center"/>
                </w:tcPr>
                <w:p w14:paraId="45DE4F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840" w:type="dxa"/>
                  <w:vMerge w:val="continue"/>
                  <w:noWrap w:val="0"/>
                  <w:vAlign w:val="center"/>
                </w:tcPr>
                <w:p w14:paraId="4D2079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1" w:type="dxa"/>
                  <w:noWrap w:val="0"/>
                  <w:vAlign w:val="center"/>
                </w:tcPr>
                <w:p w14:paraId="16E92C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窑高</w:t>
                  </w:r>
                </w:p>
              </w:tc>
              <w:tc>
                <w:tcPr>
                  <w:tcW w:w="671" w:type="dxa"/>
                  <w:noWrap w:val="0"/>
                  <w:vAlign w:val="center"/>
                </w:tcPr>
                <w:p w14:paraId="15585C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w:t>
                  </w:r>
                </w:p>
              </w:tc>
              <w:tc>
                <w:tcPr>
                  <w:tcW w:w="693" w:type="dxa"/>
                  <w:noWrap w:val="0"/>
                  <w:vAlign w:val="center"/>
                </w:tcPr>
                <w:p w14:paraId="2C7D14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10</w:t>
                  </w:r>
                </w:p>
              </w:tc>
              <w:tc>
                <w:tcPr>
                  <w:tcW w:w="627" w:type="dxa"/>
                  <w:vMerge w:val="continue"/>
                  <w:noWrap w:val="0"/>
                  <w:vAlign w:val="center"/>
                </w:tcPr>
                <w:p w14:paraId="720834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66" w:type="dxa"/>
                  <w:vMerge w:val="continue"/>
                  <w:noWrap w:val="0"/>
                  <w:vAlign w:val="center"/>
                </w:tcPr>
                <w:p w14:paraId="07A2FF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736" w:type="dxa"/>
                  <w:vMerge w:val="continue"/>
                  <w:noWrap w:val="0"/>
                  <w:vAlign w:val="center"/>
                </w:tcPr>
                <w:p w14:paraId="5C1303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58" w:type="dxa"/>
                  <w:vMerge w:val="continue"/>
                  <w:noWrap w:val="0"/>
                  <w:vAlign w:val="center"/>
                </w:tcPr>
                <w:p w14:paraId="1D1F95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68D6F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707" w:type="dxa"/>
                  <w:vMerge w:val="continue"/>
                  <w:noWrap w:val="0"/>
                  <w:vAlign w:val="center"/>
                </w:tcPr>
                <w:p w14:paraId="5D9BBC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712010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368787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vMerge w:val="restart"/>
                  <w:noWrap w:val="0"/>
                  <w:vAlign w:val="center"/>
                </w:tcPr>
                <w:p w14:paraId="18EF16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4#仿古窑</w:t>
                  </w:r>
                </w:p>
              </w:tc>
              <w:tc>
                <w:tcPr>
                  <w:tcW w:w="840" w:type="dxa"/>
                  <w:vMerge w:val="restart"/>
                  <w:noWrap w:val="0"/>
                  <w:vAlign w:val="center"/>
                </w:tcPr>
                <w:p w14:paraId="2502B6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MF014</w:t>
                  </w:r>
                </w:p>
              </w:tc>
              <w:tc>
                <w:tcPr>
                  <w:tcW w:w="911" w:type="dxa"/>
                  <w:noWrap w:val="0"/>
                  <w:vAlign w:val="center"/>
                </w:tcPr>
                <w:p w14:paraId="6CC659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产能</w:t>
                  </w:r>
                </w:p>
              </w:tc>
              <w:tc>
                <w:tcPr>
                  <w:tcW w:w="671" w:type="dxa"/>
                  <w:noWrap w:val="0"/>
                  <w:vAlign w:val="center"/>
                </w:tcPr>
                <w:p w14:paraId="691BD4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万片</w:t>
                  </w:r>
                </w:p>
              </w:tc>
              <w:tc>
                <w:tcPr>
                  <w:tcW w:w="693" w:type="dxa"/>
                  <w:noWrap w:val="0"/>
                  <w:vAlign w:val="center"/>
                </w:tcPr>
                <w:p w14:paraId="12EAA8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65</w:t>
                  </w:r>
                </w:p>
              </w:tc>
              <w:tc>
                <w:tcPr>
                  <w:tcW w:w="627" w:type="dxa"/>
                  <w:vMerge w:val="continue"/>
                  <w:noWrap w:val="0"/>
                  <w:vAlign w:val="center"/>
                </w:tcPr>
                <w:p w14:paraId="4C594A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66" w:type="dxa"/>
                  <w:vMerge w:val="continue"/>
                  <w:noWrap w:val="0"/>
                  <w:vAlign w:val="center"/>
                </w:tcPr>
                <w:p w14:paraId="3999C8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736" w:type="dxa"/>
                  <w:vMerge w:val="continue"/>
                  <w:noWrap w:val="0"/>
                  <w:vAlign w:val="center"/>
                </w:tcPr>
                <w:p w14:paraId="5837F6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58" w:type="dxa"/>
                  <w:vMerge w:val="continue"/>
                  <w:noWrap w:val="0"/>
                  <w:vAlign w:val="center"/>
                </w:tcPr>
                <w:p w14:paraId="41ADDF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5FEC9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7238D3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3F2457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51F153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vMerge w:val="continue"/>
                  <w:noWrap w:val="0"/>
                  <w:vAlign w:val="center"/>
                </w:tcPr>
                <w:p w14:paraId="7DAFDA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840" w:type="dxa"/>
                  <w:vMerge w:val="continue"/>
                  <w:noWrap w:val="0"/>
                  <w:vAlign w:val="center"/>
                </w:tcPr>
                <w:p w14:paraId="48D8D6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1" w:type="dxa"/>
                  <w:noWrap w:val="0"/>
                  <w:vAlign w:val="center"/>
                </w:tcPr>
                <w:p w14:paraId="0BD153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窑内径</w:t>
                  </w:r>
                </w:p>
              </w:tc>
              <w:tc>
                <w:tcPr>
                  <w:tcW w:w="671" w:type="dxa"/>
                  <w:noWrap w:val="0"/>
                  <w:vAlign w:val="center"/>
                </w:tcPr>
                <w:p w14:paraId="62976C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w:t>
                  </w:r>
                </w:p>
              </w:tc>
              <w:tc>
                <w:tcPr>
                  <w:tcW w:w="693" w:type="dxa"/>
                  <w:noWrap w:val="0"/>
                  <w:vAlign w:val="center"/>
                </w:tcPr>
                <w:p w14:paraId="191CF6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8</w:t>
                  </w:r>
                </w:p>
              </w:tc>
              <w:tc>
                <w:tcPr>
                  <w:tcW w:w="627" w:type="dxa"/>
                  <w:vMerge w:val="continue"/>
                  <w:noWrap w:val="0"/>
                  <w:vAlign w:val="center"/>
                </w:tcPr>
                <w:p w14:paraId="0B070E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66" w:type="dxa"/>
                  <w:vMerge w:val="continue"/>
                  <w:noWrap w:val="0"/>
                  <w:vAlign w:val="center"/>
                </w:tcPr>
                <w:p w14:paraId="1BD625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736" w:type="dxa"/>
                  <w:vMerge w:val="continue"/>
                  <w:noWrap w:val="0"/>
                  <w:vAlign w:val="center"/>
                </w:tcPr>
                <w:p w14:paraId="65D1E3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58" w:type="dxa"/>
                  <w:vMerge w:val="continue"/>
                  <w:noWrap w:val="0"/>
                  <w:vAlign w:val="center"/>
                </w:tcPr>
                <w:p w14:paraId="2D32D1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6039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17879E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50BC2B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29D3BC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vMerge w:val="continue"/>
                  <w:noWrap w:val="0"/>
                  <w:vAlign w:val="center"/>
                </w:tcPr>
                <w:p w14:paraId="491FB4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840" w:type="dxa"/>
                  <w:vMerge w:val="continue"/>
                  <w:noWrap w:val="0"/>
                  <w:vAlign w:val="center"/>
                </w:tcPr>
                <w:p w14:paraId="6BF797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1" w:type="dxa"/>
                  <w:noWrap w:val="0"/>
                  <w:vAlign w:val="center"/>
                </w:tcPr>
                <w:p w14:paraId="6681EB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窑高</w:t>
                  </w:r>
                </w:p>
              </w:tc>
              <w:tc>
                <w:tcPr>
                  <w:tcW w:w="671" w:type="dxa"/>
                  <w:noWrap w:val="0"/>
                  <w:vAlign w:val="center"/>
                </w:tcPr>
                <w:p w14:paraId="4C5E19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w:t>
                  </w:r>
                </w:p>
              </w:tc>
              <w:tc>
                <w:tcPr>
                  <w:tcW w:w="693" w:type="dxa"/>
                  <w:noWrap w:val="0"/>
                  <w:vAlign w:val="center"/>
                </w:tcPr>
                <w:p w14:paraId="72842F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10</w:t>
                  </w:r>
                </w:p>
              </w:tc>
              <w:tc>
                <w:tcPr>
                  <w:tcW w:w="627" w:type="dxa"/>
                  <w:vMerge w:val="continue"/>
                  <w:noWrap w:val="0"/>
                  <w:vAlign w:val="center"/>
                </w:tcPr>
                <w:p w14:paraId="533717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66" w:type="dxa"/>
                  <w:vMerge w:val="continue"/>
                  <w:noWrap w:val="0"/>
                  <w:vAlign w:val="center"/>
                </w:tcPr>
                <w:p w14:paraId="21EC74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736" w:type="dxa"/>
                  <w:vMerge w:val="continue"/>
                  <w:noWrap w:val="0"/>
                  <w:vAlign w:val="center"/>
                </w:tcPr>
                <w:p w14:paraId="3F2FAD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58" w:type="dxa"/>
                  <w:vMerge w:val="continue"/>
                  <w:noWrap w:val="0"/>
                  <w:vAlign w:val="center"/>
                </w:tcPr>
                <w:p w14:paraId="71192E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718D2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5378BE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774F17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1F865B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vMerge w:val="restart"/>
                  <w:noWrap w:val="0"/>
                  <w:vAlign w:val="center"/>
                </w:tcPr>
                <w:p w14:paraId="72A63ED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5#仿古窑</w:t>
                  </w:r>
                </w:p>
              </w:tc>
              <w:tc>
                <w:tcPr>
                  <w:tcW w:w="840" w:type="dxa"/>
                  <w:vMerge w:val="restart"/>
                  <w:noWrap w:val="0"/>
                  <w:vAlign w:val="center"/>
                </w:tcPr>
                <w:p w14:paraId="2FF2AB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MF015</w:t>
                  </w:r>
                </w:p>
              </w:tc>
              <w:tc>
                <w:tcPr>
                  <w:tcW w:w="911" w:type="dxa"/>
                  <w:noWrap w:val="0"/>
                  <w:vAlign w:val="center"/>
                </w:tcPr>
                <w:p w14:paraId="632606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产能</w:t>
                  </w:r>
                </w:p>
              </w:tc>
              <w:tc>
                <w:tcPr>
                  <w:tcW w:w="671" w:type="dxa"/>
                  <w:noWrap w:val="0"/>
                  <w:vAlign w:val="center"/>
                </w:tcPr>
                <w:p w14:paraId="01472C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万片</w:t>
                  </w:r>
                </w:p>
              </w:tc>
              <w:tc>
                <w:tcPr>
                  <w:tcW w:w="693" w:type="dxa"/>
                  <w:noWrap w:val="0"/>
                  <w:vAlign w:val="center"/>
                </w:tcPr>
                <w:p w14:paraId="03886F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65</w:t>
                  </w:r>
                </w:p>
              </w:tc>
              <w:tc>
                <w:tcPr>
                  <w:tcW w:w="627" w:type="dxa"/>
                  <w:vMerge w:val="continue"/>
                  <w:noWrap w:val="0"/>
                  <w:vAlign w:val="center"/>
                </w:tcPr>
                <w:p w14:paraId="072494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66" w:type="dxa"/>
                  <w:vMerge w:val="continue"/>
                  <w:noWrap w:val="0"/>
                  <w:vAlign w:val="center"/>
                </w:tcPr>
                <w:p w14:paraId="7F9621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736" w:type="dxa"/>
                  <w:vMerge w:val="continue"/>
                  <w:noWrap w:val="0"/>
                  <w:vAlign w:val="center"/>
                </w:tcPr>
                <w:p w14:paraId="729A0B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58" w:type="dxa"/>
                  <w:vMerge w:val="continue"/>
                  <w:noWrap w:val="0"/>
                  <w:vAlign w:val="center"/>
                </w:tcPr>
                <w:p w14:paraId="3F5FB2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15ADC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044B9E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460A79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65ED33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vMerge w:val="continue"/>
                  <w:noWrap w:val="0"/>
                  <w:vAlign w:val="center"/>
                </w:tcPr>
                <w:p w14:paraId="133C4A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840" w:type="dxa"/>
                  <w:vMerge w:val="continue"/>
                  <w:noWrap w:val="0"/>
                  <w:vAlign w:val="center"/>
                </w:tcPr>
                <w:p w14:paraId="796D66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1" w:type="dxa"/>
                  <w:noWrap w:val="0"/>
                  <w:vAlign w:val="center"/>
                </w:tcPr>
                <w:p w14:paraId="6DD3BF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窑内径</w:t>
                  </w:r>
                </w:p>
              </w:tc>
              <w:tc>
                <w:tcPr>
                  <w:tcW w:w="671" w:type="dxa"/>
                  <w:noWrap w:val="0"/>
                  <w:vAlign w:val="center"/>
                </w:tcPr>
                <w:p w14:paraId="36B9F5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w:t>
                  </w:r>
                </w:p>
              </w:tc>
              <w:tc>
                <w:tcPr>
                  <w:tcW w:w="693" w:type="dxa"/>
                  <w:noWrap w:val="0"/>
                  <w:vAlign w:val="center"/>
                </w:tcPr>
                <w:p w14:paraId="2ADAD9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8</w:t>
                  </w:r>
                </w:p>
              </w:tc>
              <w:tc>
                <w:tcPr>
                  <w:tcW w:w="627" w:type="dxa"/>
                  <w:vMerge w:val="continue"/>
                  <w:noWrap w:val="0"/>
                  <w:vAlign w:val="center"/>
                </w:tcPr>
                <w:p w14:paraId="4CEEED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66" w:type="dxa"/>
                  <w:vMerge w:val="continue"/>
                  <w:noWrap w:val="0"/>
                  <w:vAlign w:val="center"/>
                </w:tcPr>
                <w:p w14:paraId="1AEAF4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736" w:type="dxa"/>
                  <w:vMerge w:val="continue"/>
                  <w:noWrap w:val="0"/>
                  <w:vAlign w:val="center"/>
                </w:tcPr>
                <w:p w14:paraId="499F56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58" w:type="dxa"/>
                  <w:vMerge w:val="continue"/>
                  <w:noWrap w:val="0"/>
                  <w:vAlign w:val="center"/>
                </w:tcPr>
                <w:p w14:paraId="67D0BA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0A493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0E850E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334EA4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620438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vMerge w:val="continue"/>
                  <w:noWrap w:val="0"/>
                  <w:vAlign w:val="center"/>
                </w:tcPr>
                <w:p w14:paraId="2C5889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840" w:type="dxa"/>
                  <w:vMerge w:val="continue"/>
                  <w:noWrap w:val="0"/>
                  <w:vAlign w:val="center"/>
                </w:tcPr>
                <w:p w14:paraId="051F69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1" w:type="dxa"/>
                  <w:noWrap w:val="0"/>
                  <w:vAlign w:val="center"/>
                </w:tcPr>
                <w:p w14:paraId="3F8A29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窑高</w:t>
                  </w:r>
                </w:p>
              </w:tc>
              <w:tc>
                <w:tcPr>
                  <w:tcW w:w="671" w:type="dxa"/>
                  <w:noWrap w:val="0"/>
                  <w:vAlign w:val="center"/>
                </w:tcPr>
                <w:p w14:paraId="2A2329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w:t>
                  </w:r>
                </w:p>
              </w:tc>
              <w:tc>
                <w:tcPr>
                  <w:tcW w:w="693" w:type="dxa"/>
                  <w:noWrap w:val="0"/>
                  <w:vAlign w:val="center"/>
                </w:tcPr>
                <w:p w14:paraId="4C4AF7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10</w:t>
                  </w:r>
                </w:p>
              </w:tc>
              <w:tc>
                <w:tcPr>
                  <w:tcW w:w="627" w:type="dxa"/>
                  <w:vMerge w:val="continue"/>
                  <w:noWrap w:val="0"/>
                  <w:vAlign w:val="center"/>
                </w:tcPr>
                <w:p w14:paraId="158723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66" w:type="dxa"/>
                  <w:vMerge w:val="continue"/>
                  <w:noWrap w:val="0"/>
                  <w:vAlign w:val="center"/>
                </w:tcPr>
                <w:p w14:paraId="553E0FB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736" w:type="dxa"/>
                  <w:vMerge w:val="continue"/>
                  <w:noWrap w:val="0"/>
                  <w:vAlign w:val="center"/>
                </w:tcPr>
                <w:p w14:paraId="08EE4C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58" w:type="dxa"/>
                  <w:vMerge w:val="continue"/>
                  <w:noWrap w:val="0"/>
                  <w:vAlign w:val="center"/>
                </w:tcPr>
                <w:p w14:paraId="04E754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07157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6FA617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25CCB8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2C1C9D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vMerge w:val="restart"/>
                  <w:noWrap w:val="0"/>
                  <w:vAlign w:val="center"/>
                </w:tcPr>
                <w:p w14:paraId="7B9C49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6#仿古窑</w:t>
                  </w:r>
                </w:p>
              </w:tc>
              <w:tc>
                <w:tcPr>
                  <w:tcW w:w="840" w:type="dxa"/>
                  <w:vMerge w:val="restart"/>
                  <w:noWrap w:val="0"/>
                  <w:vAlign w:val="center"/>
                </w:tcPr>
                <w:p w14:paraId="7923EA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MF016</w:t>
                  </w:r>
                </w:p>
              </w:tc>
              <w:tc>
                <w:tcPr>
                  <w:tcW w:w="911" w:type="dxa"/>
                  <w:noWrap w:val="0"/>
                  <w:vAlign w:val="center"/>
                </w:tcPr>
                <w:p w14:paraId="3C467E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产能</w:t>
                  </w:r>
                </w:p>
              </w:tc>
              <w:tc>
                <w:tcPr>
                  <w:tcW w:w="671" w:type="dxa"/>
                  <w:noWrap w:val="0"/>
                  <w:vAlign w:val="center"/>
                </w:tcPr>
                <w:p w14:paraId="77FD4B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万片</w:t>
                  </w:r>
                </w:p>
              </w:tc>
              <w:tc>
                <w:tcPr>
                  <w:tcW w:w="693" w:type="dxa"/>
                  <w:noWrap w:val="0"/>
                  <w:vAlign w:val="center"/>
                </w:tcPr>
                <w:p w14:paraId="6318C5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55</w:t>
                  </w:r>
                </w:p>
              </w:tc>
              <w:tc>
                <w:tcPr>
                  <w:tcW w:w="627" w:type="dxa"/>
                  <w:vMerge w:val="continue"/>
                  <w:noWrap w:val="0"/>
                  <w:vAlign w:val="center"/>
                </w:tcPr>
                <w:p w14:paraId="0DD18C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66" w:type="dxa"/>
                  <w:vMerge w:val="continue"/>
                  <w:noWrap w:val="0"/>
                  <w:vAlign w:val="center"/>
                </w:tcPr>
                <w:p w14:paraId="54984F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736" w:type="dxa"/>
                  <w:vMerge w:val="continue"/>
                  <w:noWrap w:val="0"/>
                  <w:vAlign w:val="center"/>
                </w:tcPr>
                <w:p w14:paraId="19C652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58" w:type="dxa"/>
                  <w:vMerge w:val="continue"/>
                  <w:noWrap w:val="0"/>
                  <w:vAlign w:val="center"/>
                </w:tcPr>
                <w:p w14:paraId="43F103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1833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43DCE5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078DCD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15A8CE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vMerge w:val="continue"/>
                  <w:noWrap w:val="0"/>
                  <w:vAlign w:val="center"/>
                </w:tcPr>
                <w:p w14:paraId="2CEDEB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840" w:type="dxa"/>
                  <w:vMerge w:val="continue"/>
                  <w:noWrap w:val="0"/>
                  <w:vAlign w:val="center"/>
                </w:tcPr>
                <w:p w14:paraId="082C99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1" w:type="dxa"/>
                  <w:noWrap w:val="0"/>
                  <w:vAlign w:val="center"/>
                </w:tcPr>
                <w:p w14:paraId="1AFA41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窑内径</w:t>
                  </w:r>
                </w:p>
              </w:tc>
              <w:tc>
                <w:tcPr>
                  <w:tcW w:w="671" w:type="dxa"/>
                  <w:noWrap w:val="0"/>
                  <w:vAlign w:val="center"/>
                </w:tcPr>
                <w:p w14:paraId="31A737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w:t>
                  </w:r>
                </w:p>
              </w:tc>
              <w:tc>
                <w:tcPr>
                  <w:tcW w:w="693" w:type="dxa"/>
                  <w:noWrap w:val="0"/>
                  <w:vAlign w:val="center"/>
                </w:tcPr>
                <w:p w14:paraId="773281B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6</w:t>
                  </w:r>
                </w:p>
              </w:tc>
              <w:tc>
                <w:tcPr>
                  <w:tcW w:w="627" w:type="dxa"/>
                  <w:vMerge w:val="continue"/>
                  <w:noWrap w:val="0"/>
                  <w:vAlign w:val="center"/>
                </w:tcPr>
                <w:p w14:paraId="430804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66" w:type="dxa"/>
                  <w:vMerge w:val="continue"/>
                  <w:noWrap w:val="0"/>
                  <w:vAlign w:val="center"/>
                </w:tcPr>
                <w:p w14:paraId="4B9A09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736" w:type="dxa"/>
                  <w:vMerge w:val="continue"/>
                  <w:noWrap w:val="0"/>
                  <w:vAlign w:val="center"/>
                </w:tcPr>
                <w:p w14:paraId="2E6739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58" w:type="dxa"/>
                  <w:vMerge w:val="continue"/>
                  <w:noWrap w:val="0"/>
                  <w:vAlign w:val="center"/>
                </w:tcPr>
                <w:p w14:paraId="513108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5FE4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16A866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vMerge w:val="continue"/>
                  <w:noWrap w:val="0"/>
                  <w:vAlign w:val="center"/>
                </w:tcPr>
                <w:p w14:paraId="6DC541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76" w:type="dxa"/>
                  <w:vMerge w:val="continue"/>
                  <w:noWrap w:val="0"/>
                  <w:vAlign w:val="center"/>
                </w:tcPr>
                <w:p w14:paraId="59466E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6" w:type="dxa"/>
                  <w:vMerge w:val="continue"/>
                  <w:noWrap w:val="0"/>
                  <w:vAlign w:val="center"/>
                </w:tcPr>
                <w:p w14:paraId="527F03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840" w:type="dxa"/>
                  <w:vMerge w:val="continue"/>
                  <w:noWrap w:val="0"/>
                  <w:vAlign w:val="center"/>
                </w:tcPr>
                <w:p w14:paraId="7B4475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911" w:type="dxa"/>
                  <w:noWrap w:val="0"/>
                  <w:vAlign w:val="center"/>
                </w:tcPr>
                <w:p w14:paraId="2584CD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窑高</w:t>
                  </w:r>
                </w:p>
              </w:tc>
              <w:tc>
                <w:tcPr>
                  <w:tcW w:w="671" w:type="dxa"/>
                  <w:noWrap w:val="0"/>
                  <w:vAlign w:val="center"/>
                </w:tcPr>
                <w:p w14:paraId="3C8A9A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w:t>
                  </w:r>
                </w:p>
              </w:tc>
              <w:tc>
                <w:tcPr>
                  <w:tcW w:w="693" w:type="dxa"/>
                  <w:noWrap w:val="0"/>
                  <w:vAlign w:val="center"/>
                </w:tcPr>
                <w:p w14:paraId="1B29FE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8</w:t>
                  </w:r>
                </w:p>
              </w:tc>
              <w:tc>
                <w:tcPr>
                  <w:tcW w:w="627" w:type="dxa"/>
                  <w:vMerge w:val="continue"/>
                  <w:noWrap w:val="0"/>
                  <w:vAlign w:val="center"/>
                </w:tcPr>
                <w:p w14:paraId="24AFF7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66" w:type="dxa"/>
                  <w:vMerge w:val="continue"/>
                  <w:noWrap w:val="0"/>
                  <w:vAlign w:val="center"/>
                </w:tcPr>
                <w:p w14:paraId="56E9CC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736" w:type="dxa"/>
                  <w:vMerge w:val="continue"/>
                  <w:noWrap w:val="0"/>
                  <w:vAlign w:val="center"/>
                </w:tcPr>
                <w:p w14:paraId="6A86BA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658" w:type="dxa"/>
                  <w:vMerge w:val="continue"/>
                  <w:noWrap w:val="0"/>
                  <w:vAlign w:val="center"/>
                </w:tcPr>
                <w:p w14:paraId="435A90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r>
            <w:tr w14:paraId="5B56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vMerge w:val="continue"/>
                  <w:noWrap w:val="0"/>
                  <w:vAlign w:val="center"/>
                </w:tcPr>
                <w:p w14:paraId="3BA95C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p>
              </w:tc>
              <w:tc>
                <w:tcPr>
                  <w:tcW w:w="573" w:type="dxa"/>
                  <w:noWrap w:val="0"/>
                  <w:vAlign w:val="center"/>
                </w:tcPr>
                <w:p w14:paraId="2D619C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成品贮存</w:t>
                  </w:r>
                </w:p>
              </w:tc>
              <w:tc>
                <w:tcPr>
                  <w:tcW w:w="676" w:type="dxa"/>
                  <w:noWrap w:val="0"/>
                  <w:vAlign w:val="center"/>
                </w:tcPr>
                <w:p w14:paraId="7351FF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贮存</w:t>
                  </w:r>
                </w:p>
              </w:tc>
              <w:tc>
                <w:tcPr>
                  <w:tcW w:w="916" w:type="dxa"/>
                  <w:noWrap w:val="0"/>
                  <w:vAlign w:val="center"/>
                </w:tcPr>
                <w:p w14:paraId="277E97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成品堆存区</w:t>
                  </w:r>
                </w:p>
              </w:tc>
              <w:tc>
                <w:tcPr>
                  <w:tcW w:w="840" w:type="dxa"/>
                  <w:noWrap w:val="0"/>
                  <w:vAlign w:val="center"/>
                </w:tcPr>
                <w:p w14:paraId="2ECE33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MF017</w:t>
                  </w:r>
                </w:p>
              </w:tc>
              <w:tc>
                <w:tcPr>
                  <w:tcW w:w="911" w:type="dxa"/>
                  <w:noWrap w:val="0"/>
                  <w:vAlign w:val="center"/>
                </w:tcPr>
                <w:p w14:paraId="37A79E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面积</w:t>
                  </w:r>
                </w:p>
              </w:tc>
              <w:tc>
                <w:tcPr>
                  <w:tcW w:w="671" w:type="dxa"/>
                  <w:noWrap w:val="0"/>
                  <w:vAlign w:val="center"/>
                </w:tcPr>
                <w:p w14:paraId="634A17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w:t>
                  </w:r>
                  <w:r>
                    <w:rPr>
                      <w:rFonts w:hint="eastAsia" w:ascii="Times New Roman" w:hAnsi="Times New Roman" w:eastAsia="宋体" w:cs="Times New Roman"/>
                      <w:b w:val="0"/>
                      <w:bCs w:val="0"/>
                      <w:color w:val="000000" w:themeColor="text1"/>
                      <w:kern w:val="0"/>
                      <w:sz w:val="21"/>
                      <w:szCs w:val="21"/>
                      <w:vertAlign w:val="superscript"/>
                      <w:lang w:val="en-US" w:eastAsia="zh-CN"/>
                      <w14:textFill>
                        <w14:solidFill>
                          <w14:schemeClr w14:val="tx1"/>
                        </w14:solidFill>
                      </w14:textFill>
                    </w:rPr>
                    <w:t>2</w:t>
                  </w:r>
                </w:p>
              </w:tc>
              <w:tc>
                <w:tcPr>
                  <w:tcW w:w="693" w:type="dxa"/>
                  <w:noWrap w:val="0"/>
                  <w:vAlign w:val="center"/>
                </w:tcPr>
                <w:p w14:paraId="545CE0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4500</w:t>
                  </w:r>
                </w:p>
              </w:tc>
              <w:tc>
                <w:tcPr>
                  <w:tcW w:w="627" w:type="dxa"/>
                  <w:noWrap w:val="0"/>
                  <w:vAlign w:val="center"/>
                </w:tcPr>
                <w:p w14:paraId="64967D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666" w:type="dxa"/>
                  <w:noWrap w:val="0"/>
                  <w:vAlign w:val="center"/>
                </w:tcPr>
                <w:p w14:paraId="1EE99C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736" w:type="dxa"/>
                  <w:noWrap w:val="0"/>
                  <w:vAlign w:val="center"/>
                </w:tcPr>
                <w:p w14:paraId="5E055A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c>
                <w:tcPr>
                  <w:tcW w:w="658" w:type="dxa"/>
                  <w:noWrap w:val="0"/>
                  <w:vAlign w:val="center"/>
                </w:tcPr>
                <w:p w14:paraId="202253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w:t>
                  </w:r>
                </w:p>
              </w:tc>
            </w:tr>
          </w:tbl>
          <w:p w14:paraId="2BE3C62F">
            <w:pPr>
              <w:keepNext w:val="0"/>
              <w:keepLines w:val="0"/>
              <w:pageBreakBefore w:val="0"/>
              <w:widowControl w:val="0"/>
              <w:kinsoku/>
              <w:wordWrap/>
              <w:overflowPunct/>
              <w:topLinePunct w:val="0"/>
              <w:autoSpaceDE/>
              <w:autoSpaceDN/>
              <w:bidi w:val="0"/>
              <w:adjustRightInd/>
              <w:snapToGrid/>
              <w:spacing w:line="360" w:lineRule="auto"/>
              <w:ind w:firstLine="600" w:firstLineChars="250"/>
              <w:textAlignment w:val="auto"/>
              <w:outlineLvl w:val="9"/>
              <w:rPr>
                <w:rFonts w:hint="default" w:ascii="Times New Roman" w:eastAsia="宋体"/>
                <w:color w:val="000000" w:themeColor="text1"/>
                <w:sz w:val="24"/>
                <w:szCs w:val="24"/>
                <w:lang w:val="en-US" w:eastAsia="zh-CN"/>
                <w14:textFill>
                  <w14:solidFill>
                    <w14:schemeClr w14:val="tx1"/>
                  </w14:solidFill>
                </w14:textFill>
              </w:rPr>
            </w:pPr>
            <w:r>
              <w:rPr>
                <w:rFonts w:hint="eastAsia" w:ascii="Times New Roman"/>
                <w:color w:val="000000" w:themeColor="text1"/>
                <w:sz w:val="24"/>
                <w:szCs w:val="24"/>
                <w:lang w:val="en-US" w:eastAsia="zh-CN"/>
                <w14:textFill>
                  <w14:solidFill>
                    <w14:schemeClr w14:val="tx1"/>
                  </w14:solidFill>
                </w14:textFill>
              </w:rPr>
              <w:t>项目产品方案变化情况如下表所示：</w:t>
            </w:r>
          </w:p>
          <w:p w14:paraId="5DB2E507">
            <w:pPr>
              <w:pStyle w:val="76"/>
              <w:keepNext w:val="0"/>
              <w:keepLines w:val="0"/>
              <w:pageBreakBefore w:val="0"/>
              <w:widowControl w:val="0"/>
              <w:kinsoku/>
              <w:wordWrap/>
              <w:overflowPunct/>
              <w:topLinePunct w:val="0"/>
              <w:autoSpaceDE/>
              <w:autoSpaceDN/>
              <w:bidi w:val="0"/>
              <w:adjustRightInd/>
              <w:snapToGrid/>
              <w:spacing w:line="276" w:lineRule="auto"/>
              <w:textAlignment w:val="auto"/>
              <w:rPr>
                <w:rFonts w:hint="eastAsia" w:ascii="Times New Roman" w:hAnsi="Times New Roman" w:eastAsia="宋体" w:cs="Times New Roman"/>
                <w:b/>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2"/>
                <w:sz w:val="24"/>
                <w:szCs w:val="24"/>
                <w:lang w:val="en-US" w:eastAsia="zh-CN" w:bidi="ar-SA"/>
                <w14:textFill>
                  <w14:solidFill>
                    <w14:schemeClr w14:val="tx1"/>
                  </w14:solidFill>
                </w14:textFill>
              </w:rPr>
              <w:t>表2-4  本项目产品方案变化情况表</w:t>
            </w:r>
          </w:p>
          <w:tbl>
            <w:tblPr>
              <w:tblStyle w:val="28"/>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6"/>
              <w:gridCol w:w="2298"/>
              <w:gridCol w:w="2111"/>
              <w:gridCol w:w="2109"/>
            </w:tblGrid>
            <w:tr w14:paraId="7829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8" w:type="pct"/>
                  <w:noWrap w:val="0"/>
                  <w:vAlign w:val="top"/>
                </w:tcPr>
                <w:p w14:paraId="4E84BCA0">
                  <w:pPr>
                    <w:adjustRightInd w:val="0"/>
                    <w:snapToGrid w:val="0"/>
                    <w:spacing w:line="240" w:lineRule="auto"/>
                    <w:ind w:firstLine="0" w:firstLineChars="0"/>
                    <w:jc w:val="center"/>
                    <w:rPr>
                      <w:rFonts w:eastAsia="宋体"/>
                      <w:b/>
                      <w:bCs/>
                      <w:color w:val="000000" w:themeColor="text1"/>
                      <w:sz w:val="21"/>
                      <w:szCs w:val="21"/>
                      <w14:textFill>
                        <w14:solidFill>
                          <w14:schemeClr w14:val="tx1"/>
                        </w14:solidFill>
                      </w14:textFill>
                    </w:rPr>
                  </w:pPr>
                  <w:r>
                    <w:rPr>
                      <w:rFonts w:eastAsia="宋体"/>
                      <w:b/>
                      <w:bCs/>
                      <w:color w:val="000000" w:themeColor="text1"/>
                      <w:sz w:val="21"/>
                      <w:szCs w:val="21"/>
                      <w14:textFill>
                        <w14:solidFill>
                          <w14:schemeClr w14:val="tx1"/>
                        </w14:solidFill>
                      </w14:textFill>
                    </w:rPr>
                    <w:t>产品</w:t>
                  </w:r>
                </w:p>
              </w:tc>
              <w:tc>
                <w:tcPr>
                  <w:tcW w:w="1351" w:type="pct"/>
                  <w:noWrap w:val="0"/>
                  <w:vAlign w:val="top"/>
                </w:tcPr>
                <w:p w14:paraId="5AC5F634">
                  <w:pPr>
                    <w:adjustRightInd w:val="0"/>
                    <w:snapToGrid w:val="0"/>
                    <w:spacing w:line="240" w:lineRule="auto"/>
                    <w:ind w:firstLine="0" w:firstLineChars="0"/>
                    <w:jc w:val="center"/>
                    <w:rPr>
                      <w:rFonts w:eastAsia="宋体"/>
                      <w:b/>
                      <w:bCs/>
                      <w:color w:val="000000" w:themeColor="text1"/>
                      <w:sz w:val="21"/>
                      <w:szCs w:val="21"/>
                      <w14:textFill>
                        <w14:solidFill>
                          <w14:schemeClr w14:val="tx1"/>
                        </w14:solidFill>
                      </w14:textFill>
                    </w:rPr>
                  </w:pPr>
                  <w:r>
                    <w:rPr>
                      <w:rFonts w:eastAsia="宋体"/>
                      <w:b/>
                      <w:bCs/>
                      <w:color w:val="000000" w:themeColor="text1"/>
                      <w:sz w:val="21"/>
                      <w:szCs w:val="21"/>
                      <w14:textFill>
                        <w14:solidFill>
                          <w14:schemeClr w14:val="tx1"/>
                        </w14:solidFill>
                      </w14:textFill>
                    </w:rPr>
                    <w:t>原项目产能</w:t>
                  </w:r>
                </w:p>
              </w:tc>
              <w:tc>
                <w:tcPr>
                  <w:tcW w:w="1241" w:type="pct"/>
                  <w:noWrap w:val="0"/>
                  <w:vAlign w:val="top"/>
                </w:tcPr>
                <w:p w14:paraId="2CAB9C80">
                  <w:pPr>
                    <w:adjustRightInd w:val="0"/>
                    <w:snapToGrid w:val="0"/>
                    <w:spacing w:line="240" w:lineRule="auto"/>
                    <w:ind w:firstLine="0" w:firstLineChars="0"/>
                    <w:jc w:val="center"/>
                    <w:rPr>
                      <w:rFonts w:eastAsia="宋体"/>
                      <w:b/>
                      <w:bCs/>
                      <w:color w:val="000000" w:themeColor="text1"/>
                      <w:sz w:val="21"/>
                      <w:szCs w:val="21"/>
                      <w14:textFill>
                        <w14:solidFill>
                          <w14:schemeClr w14:val="tx1"/>
                        </w14:solidFill>
                      </w14:textFill>
                    </w:rPr>
                  </w:pPr>
                  <w:r>
                    <w:rPr>
                      <w:rFonts w:hint="eastAsia" w:eastAsia="宋体"/>
                      <w:b/>
                      <w:bCs/>
                      <w:color w:val="000000" w:themeColor="text1"/>
                      <w:sz w:val="21"/>
                      <w:szCs w:val="21"/>
                      <w:lang w:val="en-US" w:eastAsia="zh-CN"/>
                      <w14:textFill>
                        <w14:solidFill>
                          <w14:schemeClr w14:val="tx1"/>
                        </w14:solidFill>
                      </w14:textFill>
                    </w:rPr>
                    <w:t>改扩建</w:t>
                  </w:r>
                  <w:r>
                    <w:rPr>
                      <w:rFonts w:eastAsia="宋体"/>
                      <w:b/>
                      <w:bCs/>
                      <w:color w:val="000000" w:themeColor="text1"/>
                      <w:sz w:val="21"/>
                      <w:szCs w:val="21"/>
                      <w14:textFill>
                        <w14:solidFill>
                          <w14:schemeClr w14:val="tx1"/>
                        </w14:solidFill>
                      </w14:textFill>
                    </w:rPr>
                    <w:t>后产能</w:t>
                  </w:r>
                </w:p>
              </w:tc>
              <w:tc>
                <w:tcPr>
                  <w:tcW w:w="1240" w:type="pct"/>
                  <w:noWrap w:val="0"/>
                  <w:vAlign w:val="top"/>
                </w:tcPr>
                <w:p w14:paraId="1BD4763C">
                  <w:pPr>
                    <w:adjustRightInd w:val="0"/>
                    <w:snapToGrid w:val="0"/>
                    <w:spacing w:line="240" w:lineRule="auto"/>
                    <w:ind w:firstLine="0" w:firstLineChars="0"/>
                    <w:jc w:val="center"/>
                    <w:rPr>
                      <w:rFonts w:eastAsia="宋体"/>
                      <w:b/>
                      <w:bCs/>
                      <w:color w:val="000000" w:themeColor="text1"/>
                      <w:sz w:val="21"/>
                      <w:szCs w:val="21"/>
                      <w14:textFill>
                        <w14:solidFill>
                          <w14:schemeClr w14:val="tx1"/>
                        </w14:solidFill>
                      </w14:textFill>
                    </w:rPr>
                  </w:pPr>
                  <w:r>
                    <w:rPr>
                      <w:rFonts w:eastAsia="宋体"/>
                      <w:b/>
                      <w:bCs/>
                      <w:color w:val="000000" w:themeColor="text1"/>
                      <w:sz w:val="21"/>
                      <w:szCs w:val="21"/>
                      <w14:textFill>
                        <w14:solidFill>
                          <w14:schemeClr w14:val="tx1"/>
                        </w14:solidFill>
                      </w14:textFill>
                    </w:rPr>
                    <w:t>变化量</w:t>
                  </w:r>
                </w:p>
              </w:tc>
            </w:tr>
            <w:tr w14:paraId="3510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8" w:type="pct"/>
                  <w:noWrap w:val="0"/>
                  <w:vAlign w:val="top"/>
                </w:tcPr>
                <w:p w14:paraId="53B6DFE8">
                  <w:pPr>
                    <w:adjustRightInd w:val="0"/>
                    <w:snapToGrid w:val="0"/>
                    <w:spacing w:line="240" w:lineRule="auto"/>
                    <w:ind w:firstLine="0" w:firstLineChars="0"/>
                    <w:jc w:val="center"/>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仿古青瓦</w:t>
                  </w:r>
                </w:p>
              </w:tc>
              <w:tc>
                <w:tcPr>
                  <w:tcW w:w="1351" w:type="pct"/>
                  <w:noWrap w:val="0"/>
                  <w:vAlign w:val="top"/>
                </w:tcPr>
                <w:p w14:paraId="3B2EBFB3">
                  <w:pPr>
                    <w:adjustRightInd w:val="0"/>
                    <w:snapToGrid w:val="0"/>
                    <w:spacing w:line="240" w:lineRule="auto"/>
                    <w:ind w:firstLine="0" w:firstLineChars="0"/>
                    <w:jc w:val="center"/>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1000万片/a</w:t>
                  </w:r>
                </w:p>
              </w:tc>
              <w:tc>
                <w:tcPr>
                  <w:tcW w:w="1241" w:type="pct"/>
                  <w:noWrap w:val="0"/>
                  <w:vAlign w:val="top"/>
                </w:tcPr>
                <w:p w14:paraId="7A404046">
                  <w:pPr>
                    <w:adjustRightInd w:val="0"/>
                    <w:snapToGrid w:val="0"/>
                    <w:spacing w:line="240" w:lineRule="auto"/>
                    <w:ind w:firstLine="0" w:firstLineChars="0"/>
                    <w:jc w:val="center"/>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3000万片/a</w:t>
                  </w:r>
                </w:p>
              </w:tc>
              <w:tc>
                <w:tcPr>
                  <w:tcW w:w="1240" w:type="pct"/>
                  <w:noWrap w:val="0"/>
                  <w:vAlign w:val="top"/>
                </w:tcPr>
                <w:p w14:paraId="4B9C49BC">
                  <w:pPr>
                    <w:adjustRightInd w:val="0"/>
                    <w:snapToGrid w:val="0"/>
                    <w:spacing w:line="240" w:lineRule="auto"/>
                    <w:ind w:firstLine="0" w:firstLineChars="0"/>
                    <w:jc w:val="center"/>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+2000万片/a</w:t>
                  </w:r>
                </w:p>
              </w:tc>
            </w:tr>
          </w:tbl>
          <w:p w14:paraId="00688F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eastAsia="宋体"/>
                <w:b w:val="0"/>
                <w:bCs/>
                <w:color w:val="000000" w:themeColor="text1"/>
                <w:sz w:val="24"/>
                <w:szCs w:val="24"/>
                <w:lang w:val="en-US" w:eastAsia="zh-CN"/>
                <w14:textFill>
                  <w14:solidFill>
                    <w14:schemeClr w14:val="tx1"/>
                  </w14:solidFill>
                </w14:textFill>
              </w:rPr>
            </w:pPr>
            <w:r>
              <w:rPr>
                <w:rFonts w:hint="eastAsia"/>
                <w:b w:val="0"/>
                <w:bCs/>
                <w:color w:val="000000" w:themeColor="text1"/>
                <w:sz w:val="24"/>
                <w:szCs w:val="24"/>
                <w:lang w:val="en-US" w:eastAsia="zh-CN"/>
                <w14:textFill>
                  <w14:solidFill>
                    <w14:schemeClr w14:val="tx1"/>
                  </w14:solidFill>
                </w14:textFill>
              </w:rPr>
              <w:t>项目产品每个品类有不同规格尺寸的模具，根据客户需求制作，本次环评按每个品类的最大规格统计，项目改扩建完成后产品明细如下表所示：</w:t>
            </w:r>
          </w:p>
          <w:p w14:paraId="43243F26">
            <w:pPr>
              <w:keepNext w:val="0"/>
              <w:keepLines w:val="0"/>
              <w:pageBreakBefore w:val="0"/>
              <w:widowControl w:val="0"/>
              <w:kinsoku/>
              <w:wordWrap/>
              <w:overflowPunct/>
              <w:topLinePunct w:val="0"/>
              <w:autoSpaceDE/>
              <w:autoSpaceDN/>
              <w:bidi w:val="0"/>
              <w:adjustRightInd w:val="0"/>
              <w:snapToGrid w:val="0"/>
              <w:spacing w:line="276" w:lineRule="auto"/>
              <w:ind w:firstLine="0"/>
              <w:jc w:val="center"/>
              <w:textAlignment w:val="auto"/>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表2-</w:t>
            </w:r>
            <w:r>
              <w:rPr>
                <w:rFonts w:hint="eastAsia"/>
                <w:b/>
                <w:color w:val="000000" w:themeColor="text1"/>
                <w:sz w:val="24"/>
                <w:szCs w:val="24"/>
                <w:lang w:val="en-US" w:eastAsia="zh-CN"/>
                <w14:textFill>
                  <w14:solidFill>
                    <w14:schemeClr w14:val="tx1"/>
                  </w14:solidFill>
                </w14:textFill>
              </w:rPr>
              <w:t>5</w:t>
            </w:r>
            <w:r>
              <w:rPr>
                <w:rFonts w:hint="eastAsia"/>
                <w:b/>
                <w:color w:val="000000" w:themeColor="text1"/>
                <w:sz w:val="24"/>
                <w:szCs w:val="24"/>
                <w14:textFill>
                  <w14:solidFill>
                    <w14:schemeClr w14:val="tx1"/>
                  </w14:solidFill>
                </w14:textFill>
              </w:rPr>
              <w:t xml:space="preserve">  </w:t>
            </w:r>
            <w:r>
              <w:rPr>
                <w:rFonts w:hint="eastAsia"/>
                <w:b/>
                <w:color w:val="000000" w:themeColor="text1"/>
                <w:sz w:val="24"/>
                <w:szCs w:val="24"/>
                <w:lang w:val="en-US" w:eastAsia="zh-CN"/>
                <w14:textFill>
                  <w14:solidFill>
                    <w14:schemeClr w14:val="tx1"/>
                  </w14:solidFill>
                </w14:textFill>
              </w:rPr>
              <w:t xml:space="preserve"> 改扩建完成后</w:t>
            </w:r>
            <w:r>
              <w:rPr>
                <w:rFonts w:hint="eastAsia"/>
                <w:b/>
                <w:color w:val="000000" w:themeColor="text1"/>
                <w:sz w:val="24"/>
                <w:szCs w:val="24"/>
                <w14:textFill>
                  <w14:solidFill>
                    <w14:schemeClr w14:val="tx1"/>
                  </w14:solidFill>
                </w14:textFill>
              </w:rPr>
              <w:t>项目产品方案表</w:t>
            </w:r>
          </w:p>
          <w:tbl>
            <w:tblPr>
              <w:tblStyle w:val="28"/>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6"/>
              <w:gridCol w:w="2298"/>
              <w:gridCol w:w="2111"/>
              <w:gridCol w:w="2109"/>
            </w:tblGrid>
            <w:tr w14:paraId="34AF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8" w:type="pct"/>
                  <w:noWrap w:val="0"/>
                  <w:vAlign w:val="top"/>
                </w:tcPr>
                <w:p w14:paraId="4748C7CC">
                  <w:pPr>
                    <w:adjustRightInd w:val="0"/>
                    <w:snapToGrid w:val="0"/>
                    <w:spacing w:line="240" w:lineRule="auto"/>
                    <w:ind w:firstLine="0" w:firstLineChars="0"/>
                    <w:jc w:val="center"/>
                    <w:rPr>
                      <w:rFonts w:eastAsia="宋体"/>
                      <w:b/>
                      <w:bCs/>
                      <w:color w:val="000000" w:themeColor="text1"/>
                      <w:sz w:val="21"/>
                      <w:szCs w:val="21"/>
                      <w14:textFill>
                        <w14:solidFill>
                          <w14:schemeClr w14:val="tx1"/>
                        </w14:solidFill>
                      </w14:textFill>
                    </w:rPr>
                  </w:pPr>
                  <w:r>
                    <w:rPr>
                      <w:rFonts w:eastAsia="宋体"/>
                      <w:b/>
                      <w:bCs/>
                      <w:color w:val="000000" w:themeColor="text1"/>
                      <w:sz w:val="21"/>
                      <w:szCs w:val="21"/>
                      <w14:textFill>
                        <w14:solidFill>
                          <w14:schemeClr w14:val="tx1"/>
                        </w14:solidFill>
                      </w14:textFill>
                    </w:rPr>
                    <w:t>产品</w:t>
                  </w:r>
                  <w:r>
                    <w:rPr>
                      <w:rFonts w:hint="eastAsia" w:eastAsia="宋体"/>
                      <w:b/>
                      <w:bCs/>
                      <w:color w:val="000000" w:themeColor="text1"/>
                      <w:sz w:val="21"/>
                      <w:szCs w:val="21"/>
                      <w14:textFill>
                        <w14:solidFill>
                          <w14:schemeClr w14:val="tx1"/>
                        </w14:solidFill>
                      </w14:textFill>
                    </w:rPr>
                    <w:t>类型</w:t>
                  </w:r>
                </w:p>
              </w:tc>
              <w:tc>
                <w:tcPr>
                  <w:tcW w:w="1351" w:type="pct"/>
                  <w:noWrap w:val="0"/>
                  <w:vAlign w:val="top"/>
                </w:tcPr>
                <w:p w14:paraId="7C0C6AC6">
                  <w:pPr>
                    <w:adjustRightInd w:val="0"/>
                    <w:snapToGrid w:val="0"/>
                    <w:spacing w:line="240" w:lineRule="auto"/>
                    <w:ind w:firstLine="0" w:firstLineChars="0"/>
                    <w:jc w:val="center"/>
                    <w:rPr>
                      <w:rFonts w:eastAsia="宋体"/>
                      <w:b/>
                      <w:bCs/>
                      <w:color w:val="000000" w:themeColor="text1"/>
                      <w:sz w:val="21"/>
                      <w:szCs w:val="21"/>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最大</w:t>
                  </w:r>
                  <w:r>
                    <w:rPr>
                      <w:rFonts w:hint="eastAsia" w:eastAsia="宋体"/>
                      <w:b/>
                      <w:bCs/>
                      <w:color w:val="000000" w:themeColor="text1"/>
                      <w:sz w:val="21"/>
                      <w:szCs w:val="21"/>
                      <w14:textFill>
                        <w14:solidFill>
                          <w14:schemeClr w14:val="tx1"/>
                        </w14:solidFill>
                      </w14:textFill>
                    </w:rPr>
                    <w:t>规格（cm）</w:t>
                  </w:r>
                </w:p>
              </w:tc>
              <w:tc>
                <w:tcPr>
                  <w:tcW w:w="1241" w:type="pct"/>
                  <w:noWrap w:val="0"/>
                  <w:vAlign w:val="top"/>
                </w:tcPr>
                <w:p w14:paraId="72381B72">
                  <w:pPr>
                    <w:adjustRightInd w:val="0"/>
                    <w:snapToGrid w:val="0"/>
                    <w:spacing w:line="240" w:lineRule="auto"/>
                    <w:ind w:firstLine="0" w:firstLineChars="0"/>
                    <w:jc w:val="center"/>
                    <w:rPr>
                      <w:rFonts w:eastAsia="宋体"/>
                      <w:b/>
                      <w:bCs/>
                      <w:color w:val="000000" w:themeColor="text1"/>
                      <w:sz w:val="21"/>
                      <w:szCs w:val="21"/>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单体最大</w:t>
                  </w:r>
                  <w:r>
                    <w:rPr>
                      <w:rFonts w:hint="eastAsia" w:eastAsia="宋体"/>
                      <w:b/>
                      <w:bCs/>
                      <w:color w:val="000000" w:themeColor="text1"/>
                      <w:sz w:val="21"/>
                      <w:szCs w:val="21"/>
                      <w14:textFill>
                        <w14:solidFill>
                          <w14:schemeClr w14:val="tx1"/>
                        </w14:solidFill>
                      </w14:textFill>
                    </w:rPr>
                    <w:t>质量（kg）</w:t>
                  </w:r>
                </w:p>
              </w:tc>
              <w:tc>
                <w:tcPr>
                  <w:tcW w:w="1240" w:type="pct"/>
                  <w:noWrap w:val="0"/>
                  <w:vAlign w:val="top"/>
                </w:tcPr>
                <w:p w14:paraId="24FE6ABF">
                  <w:pPr>
                    <w:adjustRightInd w:val="0"/>
                    <w:snapToGrid w:val="0"/>
                    <w:spacing w:line="240" w:lineRule="auto"/>
                    <w:ind w:firstLine="0" w:firstLineChars="0"/>
                    <w:jc w:val="center"/>
                    <w:rPr>
                      <w:rFonts w:eastAsia="宋体"/>
                      <w:b/>
                      <w:bCs/>
                      <w:color w:val="000000" w:themeColor="text1"/>
                      <w:sz w:val="21"/>
                      <w:szCs w:val="21"/>
                      <w14:textFill>
                        <w14:solidFill>
                          <w14:schemeClr w14:val="tx1"/>
                        </w14:solidFill>
                      </w14:textFill>
                    </w:rPr>
                  </w:pPr>
                  <w:r>
                    <w:rPr>
                      <w:rFonts w:hint="eastAsia" w:eastAsia="宋体"/>
                      <w:b/>
                      <w:bCs/>
                      <w:color w:val="000000" w:themeColor="text1"/>
                      <w:sz w:val="21"/>
                      <w:szCs w:val="21"/>
                      <w14:textFill>
                        <w14:solidFill>
                          <w14:schemeClr w14:val="tx1"/>
                        </w14:solidFill>
                      </w14:textFill>
                    </w:rPr>
                    <w:t>产量（万片/年）</w:t>
                  </w:r>
                </w:p>
              </w:tc>
            </w:tr>
            <w:tr w14:paraId="2E821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8" w:type="pct"/>
                  <w:noWrap w:val="0"/>
                  <w:vAlign w:val="top"/>
                </w:tcPr>
                <w:p w14:paraId="584C0831">
                  <w:pPr>
                    <w:adjustRightInd w:val="0"/>
                    <w:snapToGrid w:val="0"/>
                    <w:spacing w:line="240" w:lineRule="auto"/>
                    <w:ind w:firstLine="0" w:firstLineChars="0"/>
                    <w:jc w:val="center"/>
                    <w:rPr>
                      <w:rFonts w:hint="eastAsia"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大翘角</w:t>
                  </w:r>
                </w:p>
              </w:tc>
              <w:tc>
                <w:tcPr>
                  <w:tcW w:w="1351" w:type="pct"/>
                  <w:noWrap w:val="0"/>
                  <w:vAlign w:val="top"/>
                </w:tcPr>
                <w:p w14:paraId="2A680625">
                  <w:pPr>
                    <w:adjustRightInd w:val="0"/>
                    <w:snapToGri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26</w:t>
                  </w:r>
                  <w:r>
                    <w:rPr>
                      <w:rFonts w:eastAsia="宋体"/>
                      <w:color w:val="000000" w:themeColor="text1"/>
                      <w:sz w:val="21"/>
                      <w:szCs w:val="21"/>
                      <w14:textFill>
                        <w14:solidFill>
                          <w14:schemeClr w14:val="tx1"/>
                        </w14:solidFill>
                      </w14:textFill>
                    </w:rPr>
                    <w:t>*</w:t>
                  </w:r>
                  <w:r>
                    <w:rPr>
                      <w:rFonts w:hint="eastAsia" w:eastAsia="宋体"/>
                      <w:color w:val="000000" w:themeColor="text1"/>
                      <w:sz w:val="21"/>
                      <w:szCs w:val="21"/>
                      <w:lang w:val="en-US" w:eastAsia="zh-CN"/>
                      <w14:textFill>
                        <w14:solidFill>
                          <w14:schemeClr w14:val="tx1"/>
                        </w14:solidFill>
                      </w14:textFill>
                    </w:rPr>
                    <w:t>10</w:t>
                  </w:r>
                  <w:r>
                    <w:rPr>
                      <w:rFonts w:eastAsia="宋体"/>
                      <w:color w:val="000000" w:themeColor="text1"/>
                      <w:sz w:val="21"/>
                      <w:szCs w:val="21"/>
                      <w14:textFill>
                        <w14:solidFill>
                          <w14:schemeClr w14:val="tx1"/>
                        </w14:solidFill>
                      </w14:textFill>
                    </w:rPr>
                    <w:t>*</w:t>
                  </w:r>
                  <w:r>
                    <w:rPr>
                      <w:rFonts w:hint="eastAsia" w:eastAsia="宋体"/>
                      <w:color w:val="000000" w:themeColor="text1"/>
                      <w:sz w:val="21"/>
                      <w:szCs w:val="21"/>
                      <w:lang w:val="en-US" w:eastAsia="zh-CN"/>
                      <w14:textFill>
                        <w14:solidFill>
                          <w14:schemeClr w14:val="tx1"/>
                        </w14:solidFill>
                      </w14:textFill>
                    </w:rPr>
                    <w:t>2.8</w:t>
                  </w:r>
                </w:p>
              </w:tc>
              <w:tc>
                <w:tcPr>
                  <w:tcW w:w="2111" w:type="dxa"/>
                  <w:noWrap w:val="0"/>
                  <w:vAlign w:val="center"/>
                </w:tcPr>
                <w:p w14:paraId="2106C752">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25</w:t>
                  </w:r>
                </w:p>
              </w:tc>
              <w:tc>
                <w:tcPr>
                  <w:tcW w:w="1240" w:type="pct"/>
                  <w:noWrap w:val="0"/>
                  <w:vAlign w:val="top"/>
                </w:tcPr>
                <w:p w14:paraId="05000AF0">
                  <w:pPr>
                    <w:adjustRightInd w:val="0"/>
                    <w:snapToGri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100</w:t>
                  </w:r>
                </w:p>
              </w:tc>
            </w:tr>
            <w:tr w14:paraId="2927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8" w:type="pct"/>
                  <w:noWrap w:val="0"/>
                  <w:vAlign w:val="top"/>
                </w:tcPr>
                <w:p w14:paraId="2AC3B742">
                  <w:pPr>
                    <w:adjustRightInd w:val="0"/>
                    <w:snapToGrid w:val="0"/>
                    <w:spacing w:line="240" w:lineRule="auto"/>
                    <w:ind w:firstLine="0" w:firstLineChars="0"/>
                    <w:jc w:val="center"/>
                    <w:rPr>
                      <w:rFonts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中翘角</w:t>
                  </w:r>
                </w:p>
              </w:tc>
              <w:tc>
                <w:tcPr>
                  <w:tcW w:w="1351" w:type="pct"/>
                  <w:noWrap w:val="0"/>
                  <w:vAlign w:val="top"/>
                </w:tcPr>
                <w:p w14:paraId="156CBEFC">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25</w:t>
                  </w:r>
                  <w:r>
                    <w:rPr>
                      <w:rFonts w:eastAsia="宋体"/>
                      <w:color w:val="000000" w:themeColor="text1"/>
                      <w:sz w:val="21"/>
                      <w:szCs w:val="21"/>
                      <w14:textFill>
                        <w14:solidFill>
                          <w14:schemeClr w14:val="tx1"/>
                        </w14:solidFill>
                      </w14:textFill>
                    </w:rPr>
                    <w:t>*</w:t>
                  </w:r>
                  <w:r>
                    <w:rPr>
                      <w:rFonts w:hint="eastAsia" w:eastAsia="宋体"/>
                      <w:color w:val="000000" w:themeColor="text1"/>
                      <w:sz w:val="21"/>
                      <w:szCs w:val="21"/>
                      <w:lang w:val="en-US" w:eastAsia="zh-CN"/>
                      <w14:textFill>
                        <w14:solidFill>
                          <w14:schemeClr w14:val="tx1"/>
                        </w14:solidFill>
                      </w14:textFill>
                    </w:rPr>
                    <w:t>10</w:t>
                  </w:r>
                  <w:r>
                    <w:rPr>
                      <w:rFonts w:eastAsia="宋体"/>
                      <w:color w:val="000000" w:themeColor="text1"/>
                      <w:sz w:val="21"/>
                      <w:szCs w:val="21"/>
                      <w14:textFill>
                        <w14:solidFill>
                          <w14:schemeClr w14:val="tx1"/>
                        </w14:solidFill>
                      </w14:textFill>
                    </w:rPr>
                    <w:t>*</w:t>
                  </w:r>
                  <w:r>
                    <w:rPr>
                      <w:rFonts w:hint="eastAsia" w:eastAsia="宋体"/>
                      <w:color w:val="000000" w:themeColor="text1"/>
                      <w:sz w:val="21"/>
                      <w:szCs w:val="21"/>
                      <w:lang w:val="en-US" w:eastAsia="zh-CN"/>
                      <w14:textFill>
                        <w14:solidFill>
                          <w14:schemeClr w14:val="tx1"/>
                        </w14:solidFill>
                      </w14:textFill>
                    </w:rPr>
                    <w:t>4</w:t>
                  </w:r>
                </w:p>
              </w:tc>
              <w:tc>
                <w:tcPr>
                  <w:tcW w:w="2111" w:type="dxa"/>
                  <w:noWrap w:val="0"/>
                  <w:vAlign w:val="center"/>
                </w:tcPr>
                <w:p w14:paraId="05CE7EEA">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15</w:t>
                  </w:r>
                </w:p>
              </w:tc>
              <w:tc>
                <w:tcPr>
                  <w:tcW w:w="1240" w:type="pct"/>
                  <w:noWrap w:val="0"/>
                  <w:vAlign w:val="top"/>
                </w:tcPr>
                <w:p w14:paraId="4B82F420">
                  <w:pPr>
                    <w:adjustRightInd w:val="0"/>
                    <w:snapToGri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90</w:t>
                  </w:r>
                </w:p>
              </w:tc>
            </w:tr>
            <w:tr w14:paraId="0B5C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8" w:type="pct"/>
                  <w:noWrap w:val="0"/>
                  <w:vAlign w:val="top"/>
                </w:tcPr>
                <w:p w14:paraId="54143539">
                  <w:pPr>
                    <w:adjustRightInd w:val="0"/>
                    <w:snapToGrid w:val="0"/>
                    <w:spacing w:line="240" w:lineRule="auto"/>
                    <w:ind w:firstLine="0" w:firstLineChars="0"/>
                    <w:jc w:val="center"/>
                    <w:rPr>
                      <w:rFonts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小翘角</w:t>
                  </w:r>
                </w:p>
              </w:tc>
              <w:tc>
                <w:tcPr>
                  <w:tcW w:w="1351" w:type="pct"/>
                  <w:noWrap w:val="0"/>
                  <w:vAlign w:val="top"/>
                </w:tcPr>
                <w:p w14:paraId="5B6565C7">
                  <w:pPr>
                    <w:adjustRightInd w:val="0"/>
                    <w:snapToGrid w:val="0"/>
                    <w:spacing w:line="240" w:lineRule="auto"/>
                    <w:ind w:firstLine="0" w:firstLineChars="0"/>
                    <w:jc w:val="center"/>
                    <w:rPr>
                      <w:rFonts w:eastAsia="宋体"/>
                      <w:color w:val="000000" w:themeColor="text1"/>
                      <w:sz w:val="21"/>
                      <w:szCs w:val="21"/>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20</w:t>
                  </w:r>
                  <w:r>
                    <w:rPr>
                      <w:rFonts w:eastAsia="宋体"/>
                      <w:color w:val="000000" w:themeColor="text1"/>
                      <w:sz w:val="21"/>
                      <w:szCs w:val="21"/>
                      <w14:textFill>
                        <w14:solidFill>
                          <w14:schemeClr w14:val="tx1"/>
                        </w14:solidFill>
                      </w14:textFill>
                    </w:rPr>
                    <w:t>*6*1.5</w:t>
                  </w:r>
                </w:p>
              </w:tc>
              <w:tc>
                <w:tcPr>
                  <w:tcW w:w="2111" w:type="dxa"/>
                  <w:noWrap w:val="0"/>
                  <w:vAlign w:val="center"/>
                </w:tcPr>
                <w:p w14:paraId="1BF765F3">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10</w:t>
                  </w:r>
                </w:p>
              </w:tc>
              <w:tc>
                <w:tcPr>
                  <w:tcW w:w="1240" w:type="pct"/>
                  <w:noWrap w:val="0"/>
                  <w:vAlign w:val="top"/>
                </w:tcPr>
                <w:p w14:paraId="113563C9">
                  <w:pPr>
                    <w:adjustRightInd w:val="0"/>
                    <w:snapToGri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85</w:t>
                  </w:r>
                </w:p>
              </w:tc>
            </w:tr>
            <w:tr w14:paraId="3E33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8" w:type="pct"/>
                  <w:noWrap w:val="0"/>
                  <w:vAlign w:val="top"/>
                </w:tcPr>
                <w:p w14:paraId="310A3F2F">
                  <w:pPr>
                    <w:adjustRightInd w:val="0"/>
                    <w:snapToGrid w:val="0"/>
                    <w:spacing w:line="240" w:lineRule="auto"/>
                    <w:ind w:firstLine="0" w:firstLineChars="0"/>
                    <w:jc w:val="center"/>
                    <w:rPr>
                      <w:rFonts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托盘</w:t>
                  </w:r>
                </w:p>
              </w:tc>
              <w:tc>
                <w:tcPr>
                  <w:tcW w:w="1351" w:type="pct"/>
                  <w:noWrap w:val="0"/>
                  <w:vAlign w:val="top"/>
                </w:tcPr>
                <w:p w14:paraId="786F4F8E">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eastAsia="宋体"/>
                      <w:color w:val="000000" w:themeColor="text1"/>
                      <w:sz w:val="21"/>
                      <w:szCs w:val="21"/>
                      <w14:textFill>
                        <w14:solidFill>
                          <w14:schemeClr w14:val="tx1"/>
                        </w14:solidFill>
                      </w14:textFill>
                    </w:rPr>
                    <w:t>φ</w:t>
                  </w:r>
                  <w:r>
                    <w:rPr>
                      <w:rFonts w:eastAsia="宋体"/>
                      <w:color w:val="000000" w:themeColor="text1"/>
                      <w:sz w:val="21"/>
                      <w:szCs w:val="21"/>
                      <w14:textFill>
                        <w14:solidFill>
                          <w14:schemeClr w14:val="tx1"/>
                        </w14:solidFill>
                      </w14:textFill>
                    </w:rPr>
                    <w:t>22*</w:t>
                  </w:r>
                  <w:r>
                    <w:rPr>
                      <w:rFonts w:hint="eastAsia" w:eastAsia="宋体"/>
                      <w:color w:val="000000" w:themeColor="text1"/>
                      <w:sz w:val="21"/>
                      <w:szCs w:val="21"/>
                      <w:lang w:val="en-US" w:eastAsia="zh-CN"/>
                      <w14:textFill>
                        <w14:solidFill>
                          <w14:schemeClr w14:val="tx1"/>
                        </w14:solidFill>
                      </w14:textFill>
                    </w:rPr>
                    <w:t>2</w:t>
                  </w:r>
                </w:p>
              </w:tc>
              <w:tc>
                <w:tcPr>
                  <w:tcW w:w="2111" w:type="dxa"/>
                  <w:noWrap w:val="0"/>
                  <w:vAlign w:val="center"/>
                </w:tcPr>
                <w:p w14:paraId="0D48703B">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1.5</w:t>
                  </w:r>
                </w:p>
              </w:tc>
              <w:tc>
                <w:tcPr>
                  <w:tcW w:w="1240" w:type="pct"/>
                  <w:noWrap w:val="0"/>
                  <w:vAlign w:val="top"/>
                </w:tcPr>
                <w:p w14:paraId="6B50CB1A">
                  <w:pPr>
                    <w:adjustRightInd w:val="0"/>
                    <w:snapToGri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75</w:t>
                  </w:r>
                </w:p>
              </w:tc>
            </w:tr>
            <w:tr w14:paraId="372A5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8" w:type="pct"/>
                  <w:noWrap w:val="0"/>
                  <w:vAlign w:val="top"/>
                </w:tcPr>
                <w:p w14:paraId="77402088">
                  <w:pPr>
                    <w:adjustRightInd w:val="0"/>
                    <w:snapToGrid w:val="0"/>
                    <w:spacing w:line="240" w:lineRule="auto"/>
                    <w:ind w:firstLine="0" w:firstLineChars="0"/>
                    <w:jc w:val="center"/>
                    <w:rPr>
                      <w:rFonts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挡片</w:t>
                  </w:r>
                </w:p>
              </w:tc>
              <w:tc>
                <w:tcPr>
                  <w:tcW w:w="1351" w:type="pct"/>
                  <w:noWrap w:val="0"/>
                  <w:vAlign w:val="top"/>
                </w:tcPr>
                <w:p w14:paraId="767DF9A1">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eastAsia="宋体"/>
                      <w:color w:val="000000" w:themeColor="text1"/>
                      <w:sz w:val="21"/>
                      <w:szCs w:val="21"/>
                      <w14:textFill>
                        <w14:solidFill>
                          <w14:schemeClr w14:val="tx1"/>
                        </w14:solidFill>
                      </w14:textFill>
                    </w:rPr>
                    <w:t>Φ</w:t>
                  </w:r>
                  <w:r>
                    <w:rPr>
                      <w:rFonts w:hint="eastAsia" w:eastAsia="宋体"/>
                      <w:color w:val="000000" w:themeColor="text1"/>
                      <w:sz w:val="21"/>
                      <w:szCs w:val="21"/>
                      <w:lang w:val="en-US" w:eastAsia="zh-CN"/>
                      <w14:textFill>
                        <w14:solidFill>
                          <w14:schemeClr w14:val="tx1"/>
                        </w14:solidFill>
                      </w14:textFill>
                    </w:rPr>
                    <w:t>20</w:t>
                  </w:r>
                  <w:r>
                    <w:rPr>
                      <w:rFonts w:eastAsia="宋体"/>
                      <w:color w:val="000000" w:themeColor="text1"/>
                      <w:sz w:val="21"/>
                      <w:szCs w:val="21"/>
                      <w14:textFill>
                        <w14:solidFill>
                          <w14:schemeClr w14:val="tx1"/>
                        </w14:solidFill>
                      </w14:textFill>
                    </w:rPr>
                    <w:t>*</w:t>
                  </w:r>
                  <w:r>
                    <w:rPr>
                      <w:rFonts w:hint="eastAsia" w:eastAsia="宋体"/>
                      <w:color w:val="000000" w:themeColor="text1"/>
                      <w:sz w:val="21"/>
                      <w:szCs w:val="21"/>
                      <w:lang w:val="en-US" w:eastAsia="zh-CN"/>
                      <w14:textFill>
                        <w14:solidFill>
                          <w14:schemeClr w14:val="tx1"/>
                        </w14:solidFill>
                      </w14:textFill>
                    </w:rPr>
                    <w:t>2</w:t>
                  </w:r>
                </w:p>
              </w:tc>
              <w:tc>
                <w:tcPr>
                  <w:tcW w:w="2111" w:type="dxa"/>
                  <w:noWrap w:val="0"/>
                  <w:vAlign w:val="center"/>
                </w:tcPr>
                <w:p w14:paraId="1413EDFE">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1</w:t>
                  </w:r>
                  <w:r>
                    <w:rPr>
                      <w:rFonts w:hint="eastAsia" w:eastAsia="等线" w:cs="Times New Roman"/>
                      <w:i w:val="0"/>
                      <w:iCs w:val="0"/>
                      <w:color w:val="000000" w:themeColor="text1"/>
                      <w:kern w:val="0"/>
                      <w:sz w:val="21"/>
                      <w:szCs w:val="21"/>
                      <w:u w:val="none"/>
                      <w:lang w:val="en-US" w:eastAsia="zh-CN" w:bidi="ar"/>
                      <w14:textFill>
                        <w14:solidFill>
                          <w14:schemeClr w14:val="tx1"/>
                        </w14:solidFill>
                      </w14:textFill>
                    </w:rPr>
                    <w:t>.0</w:t>
                  </w:r>
                </w:p>
              </w:tc>
              <w:tc>
                <w:tcPr>
                  <w:tcW w:w="1240" w:type="pct"/>
                  <w:noWrap w:val="0"/>
                  <w:vAlign w:val="top"/>
                </w:tcPr>
                <w:p w14:paraId="5A6705B4">
                  <w:pPr>
                    <w:adjustRightInd w:val="0"/>
                    <w:snapToGri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50</w:t>
                  </w:r>
                </w:p>
              </w:tc>
            </w:tr>
            <w:tr w14:paraId="3F81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8" w:type="pct"/>
                  <w:noWrap w:val="0"/>
                  <w:vAlign w:val="top"/>
                </w:tcPr>
                <w:p w14:paraId="2607E872">
                  <w:pPr>
                    <w:adjustRightInd w:val="0"/>
                    <w:snapToGrid w:val="0"/>
                    <w:spacing w:line="240" w:lineRule="auto"/>
                    <w:ind w:firstLine="0" w:firstLineChars="0"/>
                    <w:jc w:val="center"/>
                    <w:rPr>
                      <w:rFonts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脊瓦</w:t>
                  </w:r>
                </w:p>
              </w:tc>
              <w:tc>
                <w:tcPr>
                  <w:tcW w:w="1351" w:type="pct"/>
                  <w:noWrap w:val="0"/>
                  <w:vAlign w:val="top"/>
                </w:tcPr>
                <w:p w14:paraId="1998495F">
                  <w:pPr>
                    <w:adjustRightInd w:val="0"/>
                    <w:snapToGrid w:val="0"/>
                    <w:spacing w:line="240" w:lineRule="auto"/>
                    <w:ind w:firstLine="0" w:firstLineChars="0"/>
                    <w:jc w:val="center"/>
                    <w:rPr>
                      <w:rFonts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3</w:t>
                  </w:r>
                  <w:r>
                    <w:rPr>
                      <w:rFonts w:eastAsia="宋体"/>
                      <w:color w:val="000000" w:themeColor="text1"/>
                      <w:sz w:val="21"/>
                      <w:szCs w:val="21"/>
                      <w14:textFill>
                        <w14:solidFill>
                          <w14:schemeClr w14:val="tx1"/>
                        </w14:solidFill>
                      </w14:textFill>
                    </w:rPr>
                    <w:t>0*10*2.5</w:t>
                  </w:r>
                </w:p>
              </w:tc>
              <w:tc>
                <w:tcPr>
                  <w:tcW w:w="2111" w:type="dxa"/>
                  <w:noWrap w:val="0"/>
                  <w:vAlign w:val="center"/>
                </w:tcPr>
                <w:p w14:paraId="15568DD6">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3</w:t>
                  </w:r>
                  <w:r>
                    <w:rPr>
                      <w:rFonts w:hint="eastAsia" w:eastAsia="等线" w:cs="Times New Roman"/>
                      <w:i w:val="0"/>
                      <w:iCs w:val="0"/>
                      <w:color w:val="000000" w:themeColor="text1"/>
                      <w:kern w:val="0"/>
                      <w:sz w:val="21"/>
                      <w:szCs w:val="21"/>
                      <w:u w:val="none"/>
                      <w:lang w:val="en-US" w:eastAsia="zh-CN" w:bidi="ar"/>
                      <w14:textFill>
                        <w14:solidFill>
                          <w14:schemeClr w14:val="tx1"/>
                        </w14:solidFill>
                      </w14:textFill>
                    </w:rPr>
                    <w:t>.0</w:t>
                  </w:r>
                </w:p>
              </w:tc>
              <w:tc>
                <w:tcPr>
                  <w:tcW w:w="1240" w:type="pct"/>
                  <w:noWrap w:val="0"/>
                  <w:vAlign w:val="top"/>
                </w:tcPr>
                <w:p w14:paraId="397A7344">
                  <w:pPr>
                    <w:adjustRightInd w:val="0"/>
                    <w:snapToGri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50</w:t>
                  </w:r>
                </w:p>
              </w:tc>
            </w:tr>
            <w:tr w14:paraId="22D9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8" w:type="pct"/>
                  <w:noWrap w:val="0"/>
                  <w:vAlign w:val="top"/>
                </w:tcPr>
                <w:p w14:paraId="77708E96">
                  <w:pPr>
                    <w:adjustRightInd w:val="0"/>
                    <w:snapToGrid w:val="0"/>
                    <w:spacing w:line="240" w:lineRule="auto"/>
                    <w:ind w:firstLine="0" w:firstLineChars="0"/>
                    <w:jc w:val="center"/>
                    <w:rPr>
                      <w:rFonts w:hint="eastAsia"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四角花</w:t>
                  </w:r>
                </w:p>
              </w:tc>
              <w:tc>
                <w:tcPr>
                  <w:tcW w:w="1351" w:type="pct"/>
                  <w:noWrap w:val="0"/>
                  <w:vAlign w:val="top"/>
                </w:tcPr>
                <w:p w14:paraId="5600C355">
                  <w:pPr>
                    <w:adjustRightInd w:val="0"/>
                    <w:snapToGri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14:textFill>
                        <w14:solidFill>
                          <w14:schemeClr w14:val="tx1"/>
                        </w14:solidFill>
                      </w14:textFill>
                    </w:rPr>
                    <w:t>2</w:t>
                  </w:r>
                  <w:r>
                    <w:rPr>
                      <w:rFonts w:eastAsia="宋体"/>
                      <w:color w:val="000000" w:themeColor="text1"/>
                      <w:sz w:val="21"/>
                      <w:szCs w:val="21"/>
                      <w14:textFill>
                        <w14:solidFill>
                          <w14:schemeClr w14:val="tx1"/>
                        </w14:solidFill>
                      </w14:textFill>
                    </w:rPr>
                    <w:t>0*20*2</w:t>
                  </w:r>
                  <w:r>
                    <w:rPr>
                      <w:rFonts w:hint="eastAsia" w:eastAsia="宋体"/>
                      <w:color w:val="000000" w:themeColor="text1"/>
                      <w:sz w:val="21"/>
                      <w:szCs w:val="21"/>
                      <w:lang w:val="en-US" w:eastAsia="zh-CN"/>
                      <w14:textFill>
                        <w14:solidFill>
                          <w14:schemeClr w14:val="tx1"/>
                        </w14:solidFill>
                      </w14:textFill>
                    </w:rPr>
                    <w:t>.5</w:t>
                  </w:r>
                </w:p>
              </w:tc>
              <w:tc>
                <w:tcPr>
                  <w:tcW w:w="2111" w:type="dxa"/>
                  <w:noWrap w:val="0"/>
                  <w:vAlign w:val="center"/>
                </w:tcPr>
                <w:p w14:paraId="30388B42">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3</w:t>
                  </w:r>
                  <w:r>
                    <w:rPr>
                      <w:rFonts w:hint="eastAsia" w:eastAsia="等线" w:cs="Times New Roman"/>
                      <w:i w:val="0"/>
                      <w:iCs w:val="0"/>
                      <w:color w:val="000000" w:themeColor="text1"/>
                      <w:kern w:val="0"/>
                      <w:sz w:val="21"/>
                      <w:szCs w:val="21"/>
                      <w:u w:val="none"/>
                      <w:lang w:val="en-US" w:eastAsia="zh-CN" w:bidi="ar"/>
                      <w14:textFill>
                        <w14:solidFill>
                          <w14:schemeClr w14:val="tx1"/>
                        </w14:solidFill>
                      </w14:textFill>
                    </w:rPr>
                    <w:t>.0</w:t>
                  </w:r>
                </w:p>
              </w:tc>
              <w:tc>
                <w:tcPr>
                  <w:tcW w:w="1240" w:type="pct"/>
                  <w:noWrap w:val="0"/>
                  <w:vAlign w:val="top"/>
                </w:tcPr>
                <w:p w14:paraId="73186F6F">
                  <w:pPr>
                    <w:adjustRightInd w:val="0"/>
                    <w:snapToGri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50</w:t>
                  </w:r>
                </w:p>
              </w:tc>
            </w:tr>
            <w:tr w14:paraId="1865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8" w:type="pct"/>
                  <w:noWrap w:val="0"/>
                  <w:vAlign w:val="top"/>
                </w:tcPr>
                <w:p w14:paraId="165D3FD8">
                  <w:pPr>
                    <w:adjustRightInd w:val="0"/>
                    <w:snapToGrid w:val="0"/>
                    <w:spacing w:line="240" w:lineRule="auto"/>
                    <w:ind w:firstLine="0" w:firstLineChars="0"/>
                    <w:jc w:val="center"/>
                    <w:rPr>
                      <w:rFonts w:hint="eastAsia"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筒瓦</w:t>
                  </w:r>
                </w:p>
              </w:tc>
              <w:tc>
                <w:tcPr>
                  <w:tcW w:w="1351" w:type="pct"/>
                  <w:noWrap w:val="0"/>
                  <w:vAlign w:val="top"/>
                </w:tcPr>
                <w:p w14:paraId="2D2DACD4">
                  <w:pPr>
                    <w:adjustRightInd w:val="0"/>
                    <w:snapToGrid w:val="0"/>
                    <w:spacing w:line="240" w:lineRule="auto"/>
                    <w:ind w:firstLine="0" w:firstLineChars="0"/>
                    <w:jc w:val="center"/>
                    <w:rPr>
                      <w:rFonts w:hint="default" w:eastAsia="宋体"/>
                      <w:color w:val="000000" w:themeColor="text1"/>
                      <w:sz w:val="21"/>
                      <w:szCs w:val="21"/>
                      <w:lang w:val="en-US"/>
                      <w14:textFill>
                        <w14:solidFill>
                          <w14:schemeClr w14:val="tx1"/>
                        </w14:solidFill>
                      </w14:textFill>
                    </w:rPr>
                  </w:pPr>
                  <w:r>
                    <w:rPr>
                      <w:rFonts w:hint="eastAsia" w:eastAsia="宋体"/>
                      <w:color w:val="000000" w:themeColor="text1"/>
                      <w:sz w:val="21"/>
                      <w:szCs w:val="21"/>
                      <w14:textFill>
                        <w14:solidFill>
                          <w14:schemeClr w14:val="tx1"/>
                        </w14:solidFill>
                      </w14:textFill>
                    </w:rPr>
                    <w:t>Φ</w:t>
                  </w:r>
                  <w:r>
                    <w:rPr>
                      <w:rFonts w:hint="eastAsia" w:eastAsia="宋体"/>
                      <w:color w:val="000000" w:themeColor="text1"/>
                      <w:sz w:val="21"/>
                      <w:szCs w:val="21"/>
                      <w:lang w:val="en-US" w:eastAsia="zh-CN"/>
                      <w14:textFill>
                        <w14:solidFill>
                          <w14:schemeClr w14:val="tx1"/>
                        </w14:solidFill>
                      </w14:textFill>
                    </w:rPr>
                    <w:t>115</w:t>
                  </w:r>
                  <w:r>
                    <w:rPr>
                      <w:rFonts w:eastAsia="宋体"/>
                      <w:color w:val="000000" w:themeColor="text1"/>
                      <w:sz w:val="21"/>
                      <w:szCs w:val="21"/>
                      <w14:textFill>
                        <w14:solidFill>
                          <w14:schemeClr w14:val="tx1"/>
                        </w14:solidFill>
                      </w14:textFill>
                    </w:rPr>
                    <w:t>*</w:t>
                  </w:r>
                  <w:r>
                    <w:rPr>
                      <w:rFonts w:hint="eastAsia" w:eastAsia="宋体"/>
                      <w:color w:val="000000" w:themeColor="text1"/>
                      <w:sz w:val="21"/>
                      <w:szCs w:val="21"/>
                      <w:lang w:val="en-US" w:eastAsia="zh-CN"/>
                      <w14:textFill>
                        <w14:solidFill>
                          <w14:schemeClr w14:val="tx1"/>
                        </w14:solidFill>
                      </w14:textFill>
                    </w:rPr>
                    <w:t>11</w:t>
                  </w:r>
                </w:p>
              </w:tc>
              <w:tc>
                <w:tcPr>
                  <w:tcW w:w="2111" w:type="dxa"/>
                  <w:noWrap w:val="0"/>
                  <w:vAlign w:val="center"/>
                </w:tcPr>
                <w:p w14:paraId="3FC3756F">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2.5</w:t>
                  </w:r>
                </w:p>
              </w:tc>
              <w:tc>
                <w:tcPr>
                  <w:tcW w:w="1240" w:type="pct"/>
                  <w:noWrap w:val="0"/>
                  <w:vAlign w:val="top"/>
                </w:tcPr>
                <w:p w14:paraId="43E27F1A">
                  <w:pPr>
                    <w:adjustRightInd w:val="0"/>
                    <w:snapToGri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1000</w:t>
                  </w:r>
                </w:p>
              </w:tc>
            </w:tr>
            <w:tr w14:paraId="488BE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8" w:type="pct"/>
                  <w:noWrap w:val="0"/>
                  <w:vAlign w:val="top"/>
                </w:tcPr>
                <w:p w14:paraId="7F814FFB">
                  <w:pPr>
                    <w:adjustRightInd w:val="0"/>
                    <w:snapToGrid w:val="0"/>
                    <w:spacing w:line="240" w:lineRule="auto"/>
                    <w:ind w:firstLine="0" w:firstLineChars="0"/>
                    <w:jc w:val="center"/>
                    <w:rPr>
                      <w:rFonts w:hint="eastAsia"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板瓦</w:t>
                  </w:r>
                </w:p>
              </w:tc>
              <w:tc>
                <w:tcPr>
                  <w:tcW w:w="1351" w:type="pct"/>
                  <w:noWrap w:val="0"/>
                  <w:vAlign w:val="top"/>
                </w:tcPr>
                <w:p w14:paraId="23B96A1C">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22</w:t>
                  </w:r>
                  <w:r>
                    <w:rPr>
                      <w:rFonts w:eastAsia="宋体"/>
                      <w:color w:val="000000" w:themeColor="text1"/>
                      <w:sz w:val="21"/>
                      <w:szCs w:val="21"/>
                      <w14:textFill>
                        <w14:solidFill>
                          <w14:schemeClr w14:val="tx1"/>
                        </w14:solidFill>
                      </w14:textFill>
                    </w:rPr>
                    <w:t>*</w:t>
                  </w:r>
                  <w:r>
                    <w:rPr>
                      <w:rFonts w:hint="eastAsia" w:eastAsia="宋体"/>
                      <w:color w:val="000000" w:themeColor="text1"/>
                      <w:sz w:val="21"/>
                      <w:szCs w:val="21"/>
                      <w:lang w:val="en-US" w:eastAsia="zh-CN"/>
                      <w14:textFill>
                        <w14:solidFill>
                          <w14:schemeClr w14:val="tx1"/>
                        </w14:solidFill>
                      </w14:textFill>
                    </w:rPr>
                    <w:t>22</w:t>
                  </w:r>
                  <w:r>
                    <w:rPr>
                      <w:rFonts w:eastAsia="宋体"/>
                      <w:color w:val="000000" w:themeColor="text1"/>
                      <w:sz w:val="21"/>
                      <w:szCs w:val="21"/>
                      <w14:textFill>
                        <w14:solidFill>
                          <w14:schemeClr w14:val="tx1"/>
                        </w14:solidFill>
                      </w14:textFill>
                    </w:rPr>
                    <w:t>*</w:t>
                  </w:r>
                  <w:r>
                    <w:rPr>
                      <w:rFonts w:hint="eastAsia" w:eastAsia="宋体"/>
                      <w:color w:val="000000" w:themeColor="text1"/>
                      <w:sz w:val="21"/>
                      <w:szCs w:val="21"/>
                      <w:lang w:val="en-US" w:eastAsia="zh-CN"/>
                      <w14:textFill>
                        <w14:solidFill>
                          <w14:schemeClr w14:val="tx1"/>
                        </w14:solidFill>
                      </w14:textFill>
                    </w:rPr>
                    <w:t>1</w:t>
                  </w:r>
                </w:p>
              </w:tc>
              <w:tc>
                <w:tcPr>
                  <w:tcW w:w="2111" w:type="dxa"/>
                  <w:noWrap w:val="0"/>
                  <w:vAlign w:val="center"/>
                </w:tcPr>
                <w:p w14:paraId="6984175E">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2.5</w:t>
                  </w:r>
                </w:p>
              </w:tc>
              <w:tc>
                <w:tcPr>
                  <w:tcW w:w="1240" w:type="pct"/>
                  <w:noWrap w:val="0"/>
                  <w:vAlign w:val="top"/>
                </w:tcPr>
                <w:p w14:paraId="030244AB">
                  <w:pPr>
                    <w:adjustRightInd w:val="0"/>
                    <w:snapToGrid w:val="0"/>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1500</w:t>
                  </w:r>
                </w:p>
              </w:tc>
            </w:tr>
            <w:tr w14:paraId="15037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8" w:type="pct"/>
                  <w:noWrap w:val="0"/>
                  <w:vAlign w:val="top"/>
                </w:tcPr>
                <w:p w14:paraId="7B9556A7">
                  <w:pPr>
                    <w:adjustRightInd w:val="0"/>
                    <w:snapToGrid w:val="0"/>
                    <w:spacing w:line="240" w:lineRule="auto"/>
                    <w:ind w:firstLine="0" w:firstLineChars="0"/>
                    <w:jc w:val="center"/>
                    <w:rPr>
                      <w:rFonts w:hint="eastAsia"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合计</w:t>
                  </w:r>
                </w:p>
              </w:tc>
              <w:tc>
                <w:tcPr>
                  <w:tcW w:w="1351" w:type="pct"/>
                  <w:noWrap w:val="0"/>
                  <w:vAlign w:val="top"/>
                </w:tcPr>
                <w:p w14:paraId="76E06532">
                  <w:pPr>
                    <w:adjustRightInd w:val="0"/>
                    <w:snapToGrid w:val="0"/>
                    <w:spacing w:line="240" w:lineRule="auto"/>
                    <w:ind w:firstLine="0" w:firstLineChars="0"/>
                    <w:jc w:val="center"/>
                    <w:rPr>
                      <w:rFonts w:eastAsia="宋体"/>
                      <w:color w:val="000000" w:themeColor="text1"/>
                      <w:sz w:val="21"/>
                      <w:szCs w:val="21"/>
                      <w14:textFill>
                        <w14:solidFill>
                          <w14:schemeClr w14:val="tx1"/>
                        </w14:solidFill>
                      </w14:textFill>
                    </w:rPr>
                  </w:pPr>
                </w:p>
              </w:tc>
              <w:tc>
                <w:tcPr>
                  <w:tcW w:w="1241" w:type="pct"/>
                  <w:noWrap w:val="0"/>
                  <w:vAlign w:val="top"/>
                </w:tcPr>
                <w:p w14:paraId="0380A8E2">
                  <w:pPr>
                    <w:adjustRightInd w:val="0"/>
                    <w:snapToGrid w:val="0"/>
                    <w:spacing w:line="240" w:lineRule="auto"/>
                    <w:ind w:firstLine="0" w:firstLineChars="0"/>
                    <w:jc w:val="center"/>
                    <w:rPr>
                      <w:rFonts w:eastAsia="宋体"/>
                      <w:color w:val="000000" w:themeColor="text1"/>
                      <w:sz w:val="21"/>
                      <w:szCs w:val="21"/>
                      <w14:textFill>
                        <w14:solidFill>
                          <w14:schemeClr w14:val="tx1"/>
                        </w14:solidFill>
                      </w14:textFill>
                    </w:rPr>
                  </w:pPr>
                </w:p>
              </w:tc>
              <w:tc>
                <w:tcPr>
                  <w:tcW w:w="1240" w:type="pct"/>
                  <w:noWrap w:val="0"/>
                  <w:vAlign w:val="top"/>
                </w:tcPr>
                <w:p w14:paraId="01418F37">
                  <w:pPr>
                    <w:adjustRightInd w:val="0"/>
                    <w:snapToGrid w:val="0"/>
                    <w:spacing w:line="240" w:lineRule="auto"/>
                    <w:ind w:firstLine="0" w:firstLineChars="0"/>
                    <w:jc w:val="center"/>
                    <w:rPr>
                      <w:rFonts w:eastAsia="宋体"/>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3</w:t>
                  </w:r>
                  <w:r>
                    <w:rPr>
                      <w:rFonts w:eastAsia="宋体"/>
                      <w:color w:val="000000" w:themeColor="text1"/>
                      <w:sz w:val="21"/>
                      <w:szCs w:val="21"/>
                      <w14:textFill>
                        <w14:solidFill>
                          <w14:schemeClr w14:val="tx1"/>
                        </w14:solidFill>
                      </w14:textFill>
                    </w:rPr>
                    <w:t>000</w:t>
                  </w:r>
                </w:p>
              </w:tc>
            </w:tr>
          </w:tbl>
          <w:p w14:paraId="35C10702">
            <w:pPr>
              <w:keepNext w:val="0"/>
              <w:keepLines w:val="0"/>
              <w:pageBreakBefore w:val="0"/>
              <w:kinsoku/>
              <w:overflowPunct/>
              <w:topLinePunct w:val="0"/>
              <w:bidi w:val="0"/>
              <w:adjustRightInd w:val="0"/>
              <w:snapToGrid w:val="0"/>
              <w:spacing w:line="360" w:lineRule="auto"/>
              <w:ind w:firstLine="472" w:firstLineChars="196"/>
              <w:outlineLvl w:val="9"/>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4"/>
                <w:szCs w:val="24"/>
                <w:lang w:val="en-US" w:eastAsia="zh-CN"/>
                <w14:textFill>
                  <w14:solidFill>
                    <w14:schemeClr w14:val="tx1"/>
                  </w14:solidFill>
                </w14:textFill>
              </w:rPr>
              <w:t>4、主要生产设备</w:t>
            </w:r>
          </w:p>
          <w:p w14:paraId="78F450CE">
            <w:pPr>
              <w:pStyle w:val="82"/>
              <w:adjustRightInd w:val="0"/>
              <w:snapToGrid w:val="0"/>
              <w:ind w:firstLine="480" w:firstLineChars="200"/>
              <w:outlineLvl w:val="2"/>
              <w:rPr>
                <w:color w:val="000000" w:themeColor="text1"/>
                <w:szCs w:val="24"/>
                <w14:textFill>
                  <w14:solidFill>
                    <w14:schemeClr w14:val="tx1"/>
                  </w14:solidFill>
                </w14:textFill>
              </w:rPr>
            </w:pPr>
            <w:r>
              <w:rPr>
                <w:rFonts w:hint="eastAsia"/>
                <w:color w:val="000000" w:themeColor="text1"/>
                <w:szCs w:val="24"/>
                <w:lang w:val="en-US" w:eastAsia="zh-CN"/>
                <w14:textFill>
                  <w14:solidFill>
                    <w14:schemeClr w14:val="tx1"/>
                  </w14:solidFill>
                </w14:textFill>
              </w:rPr>
              <w:t>改扩建完成后</w:t>
            </w:r>
            <w:r>
              <w:rPr>
                <w:rFonts w:hint="eastAsia"/>
                <w:color w:val="000000" w:themeColor="text1"/>
                <w:szCs w:val="24"/>
                <w14:textFill>
                  <w14:solidFill>
                    <w14:schemeClr w14:val="tx1"/>
                  </w14:solidFill>
                </w14:textFill>
              </w:rPr>
              <w:t>项目设备</w:t>
            </w:r>
            <w:r>
              <w:rPr>
                <w:rFonts w:hint="eastAsia"/>
                <w:color w:val="000000" w:themeColor="text1"/>
                <w:szCs w:val="24"/>
                <w:lang w:val="en-US" w:eastAsia="zh-CN"/>
                <w14:textFill>
                  <w14:solidFill>
                    <w14:schemeClr w14:val="tx1"/>
                  </w14:solidFill>
                </w14:textFill>
              </w:rPr>
              <w:t>明细</w:t>
            </w:r>
            <w:r>
              <w:rPr>
                <w:rFonts w:hint="eastAsia"/>
                <w:color w:val="000000" w:themeColor="text1"/>
                <w:szCs w:val="24"/>
                <w14:textFill>
                  <w14:solidFill>
                    <w14:schemeClr w14:val="tx1"/>
                  </w14:solidFill>
                </w14:textFill>
              </w:rPr>
              <w:t>如下所示：</w:t>
            </w:r>
          </w:p>
          <w:p w14:paraId="33444A67">
            <w:pPr>
              <w:keepNext w:val="0"/>
              <w:keepLines w:val="0"/>
              <w:pageBreakBefore w:val="0"/>
              <w:widowControl w:val="0"/>
              <w:kinsoku/>
              <w:wordWrap/>
              <w:overflowPunct/>
              <w:topLinePunct w:val="0"/>
              <w:autoSpaceDE/>
              <w:autoSpaceDN/>
              <w:bidi w:val="0"/>
              <w:adjustRightInd w:val="0"/>
              <w:snapToGrid w:val="0"/>
              <w:spacing w:line="276" w:lineRule="auto"/>
              <w:ind w:firstLine="0"/>
              <w:jc w:val="center"/>
              <w:textAlignment w:val="auto"/>
              <w:rPr>
                <w:rFonts w:hint="eastAsia" w:ascii="Times New Roman" w:hAnsi="Times New Roman" w:eastAsia="宋体" w:cs="Times New Roman"/>
                <w:b/>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color w:val="000000" w:themeColor="text1"/>
                <w:sz w:val="24"/>
                <w:szCs w:val="24"/>
                <w:lang w:val="en-US" w:eastAsia="zh-CN"/>
                <w14:textFill>
                  <w14:solidFill>
                    <w14:schemeClr w14:val="tx1"/>
                  </w14:solidFill>
                </w14:textFill>
              </w:rPr>
              <w:t>表2-6  改建后全厂设备表</w:t>
            </w:r>
          </w:p>
          <w:tbl>
            <w:tblPr>
              <w:tblStyle w:val="28"/>
              <w:tblW w:w="50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774"/>
              <w:gridCol w:w="1746"/>
              <w:gridCol w:w="1843"/>
              <w:gridCol w:w="917"/>
              <w:gridCol w:w="709"/>
              <w:gridCol w:w="884"/>
              <w:gridCol w:w="1128"/>
            </w:tblGrid>
            <w:tr w14:paraId="40CA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87" w:type="pct"/>
                  <w:tcBorders>
                    <w:tl2br w:val="nil"/>
                    <w:tr2bl w:val="nil"/>
                  </w:tcBorders>
                  <w:noWrap/>
                  <w:vAlign w:val="center"/>
                </w:tcPr>
                <w:p w14:paraId="2C3A9567">
                  <w:pPr>
                    <w:widowControl/>
                    <w:jc w:val="center"/>
                    <w:textAlignment w:val="center"/>
                    <w:rPr>
                      <w:b/>
                      <w:bCs/>
                      <w:color w:val="000000" w:themeColor="text1"/>
                      <w:szCs w:val="21"/>
                      <w14:textFill>
                        <w14:solidFill>
                          <w14:schemeClr w14:val="tx1"/>
                        </w14:solidFill>
                      </w14:textFill>
                    </w:rPr>
                  </w:pPr>
                  <w:r>
                    <w:rPr>
                      <w:b/>
                      <w:bCs/>
                      <w:color w:val="000000" w:themeColor="text1"/>
                      <w:kern w:val="0"/>
                      <w:szCs w:val="21"/>
                      <w:lang w:bidi="ar"/>
                      <w14:textFill>
                        <w14:solidFill>
                          <w14:schemeClr w14:val="tx1"/>
                        </w14:solidFill>
                      </w14:textFill>
                    </w:rPr>
                    <w:t>序号</w:t>
                  </w:r>
                </w:p>
              </w:tc>
              <w:tc>
                <w:tcPr>
                  <w:tcW w:w="446" w:type="pct"/>
                  <w:tcBorders>
                    <w:tl2br w:val="nil"/>
                    <w:tr2bl w:val="nil"/>
                  </w:tcBorders>
                  <w:noWrap/>
                  <w:vAlign w:val="center"/>
                </w:tcPr>
                <w:p w14:paraId="5B183C9F">
                  <w:pPr>
                    <w:widowControl/>
                    <w:jc w:val="center"/>
                    <w:textAlignment w:val="center"/>
                    <w:rPr>
                      <w:b/>
                      <w:bCs/>
                      <w:color w:val="000000" w:themeColor="text1"/>
                      <w:kern w:val="0"/>
                      <w:szCs w:val="21"/>
                      <w:lang w:bidi="ar"/>
                      <w14:textFill>
                        <w14:solidFill>
                          <w14:schemeClr w14:val="tx1"/>
                        </w14:solidFill>
                      </w14:textFill>
                    </w:rPr>
                  </w:pPr>
                  <w:r>
                    <w:rPr>
                      <w:rFonts w:hint="eastAsia"/>
                      <w:b/>
                      <w:bCs/>
                      <w:color w:val="000000" w:themeColor="text1"/>
                      <w:kern w:val="0"/>
                      <w:szCs w:val="21"/>
                      <w:lang w:bidi="ar"/>
                      <w14:textFill>
                        <w14:solidFill>
                          <w14:schemeClr w14:val="tx1"/>
                        </w14:solidFill>
                      </w14:textFill>
                    </w:rPr>
                    <w:t>生产单元</w:t>
                  </w:r>
                </w:p>
              </w:tc>
              <w:tc>
                <w:tcPr>
                  <w:tcW w:w="1006" w:type="pct"/>
                  <w:tcBorders>
                    <w:tl2br w:val="nil"/>
                    <w:tr2bl w:val="nil"/>
                  </w:tcBorders>
                  <w:noWrap/>
                  <w:vAlign w:val="center"/>
                </w:tcPr>
                <w:p w14:paraId="7BCCEF7B">
                  <w:pPr>
                    <w:widowControl/>
                    <w:jc w:val="center"/>
                    <w:textAlignment w:val="center"/>
                    <w:rPr>
                      <w:b/>
                      <w:bCs/>
                      <w:color w:val="000000" w:themeColor="text1"/>
                      <w:szCs w:val="21"/>
                      <w14:textFill>
                        <w14:solidFill>
                          <w14:schemeClr w14:val="tx1"/>
                        </w14:solidFill>
                      </w14:textFill>
                    </w:rPr>
                  </w:pPr>
                  <w:r>
                    <w:rPr>
                      <w:b/>
                      <w:bCs/>
                      <w:color w:val="000000" w:themeColor="text1"/>
                      <w:kern w:val="0"/>
                      <w:szCs w:val="21"/>
                      <w:lang w:bidi="ar"/>
                      <w14:textFill>
                        <w14:solidFill>
                          <w14:schemeClr w14:val="tx1"/>
                        </w14:solidFill>
                      </w14:textFill>
                    </w:rPr>
                    <w:t>设备名称</w:t>
                  </w:r>
                </w:p>
              </w:tc>
              <w:tc>
                <w:tcPr>
                  <w:tcW w:w="1062" w:type="pct"/>
                  <w:tcBorders>
                    <w:tl2br w:val="nil"/>
                    <w:tr2bl w:val="nil"/>
                  </w:tcBorders>
                  <w:noWrap/>
                  <w:vAlign w:val="center"/>
                </w:tcPr>
                <w:p w14:paraId="10F31E5C">
                  <w:pPr>
                    <w:widowControl/>
                    <w:jc w:val="center"/>
                    <w:textAlignment w:val="center"/>
                    <w:rPr>
                      <w:b/>
                      <w:bCs/>
                      <w:color w:val="000000" w:themeColor="text1"/>
                      <w:kern w:val="0"/>
                      <w:szCs w:val="21"/>
                      <w:lang w:bidi="ar"/>
                      <w14:textFill>
                        <w14:solidFill>
                          <w14:schemeClr w14:val="tx1"/>
                        </w14:solidFill>
                      </w14:textFill>
                    </w:rPr>
                  </w:pPr>
                  <w:r>
                    <w:rPr>
                      <w:rFonts w:hint="eastAsia"/>
                      <w:b/>
                      <w:bCs/>
                      <w:color w:val="000000" w:themeColor="text1"/>
                      <w:kern w:val="0"/>
                      <w:szCs w:val="21"/>
                      <w:lang w:bidi="ar"/>
                      <w14:textFill>
                        <w14:solidFill>
                          <w14:schemeClr w14:val="tx1"/>
                        </w14:solidFill>
                      </w14:textFill>
                    </w:rPr>
                    <w:t>参数</w:t>
                  </w:r>
                </w:p>
              </w:tc>
              <w:tc>
                <w:tcPr>
                  <w:tcW w:w="528" w:type="pct"/>
                  <w:tcBorders>
                    <w:tl2br w:val="nil"/>
                    <w:tr2bl w:val="nil"/>
                  </w:tcBorders>
                  <w:noWrap/>
                  <w:vAlign w:val="center"/>
                </w:tcPr>
                <w:p w14:paraId="25CDFDA7">
                  <w:pPr>
                    <w:widowControl/>
                    <w:jc w:val="center"/>
                    <w:textAlignment w:val="center"/>
                    <w:rPr>
                      <w:b/>
                      <w:bCs/>
                      <w:color w:val="000000" w:themeColor="text1"/>
                      <w:kern w:val="0"/>
                      <w:szCs w:val="21"/>
                      <w:lang w:bidi="ar"/>
                      <w14:textFill>
                        <w14:solidFill>
                          <w14:schemeClr w14:val="tx1"/>
                        </w14:solidFill>
                      </w14:textFill>
                    </w:rPr>
                  </w:pPr>
                  <w:r>
                    <w:rPr>
                      <w:rFonts w:hint="eastAsia"/>
                      <w:b/>
                      <w:bCs/>
                      <w:color w:val="000000" w:themeColor="text1"/>
                      <w:kern w:val="0"/>
                      <w:szCs w:val="21"/>
                      <w:lang w:bidi="ar"/>
                      <w14:textFill>
                        <w14:solidFill>
                          <w14:schemeClr w14:val="tx1"/>
                        </w14:solidFill>
                      </w14:textFill>
                    </w:rPr>
                    <w:t>主要工艺</w:t>
                  </w:r>
                </w:p>
              </w:tc>
              <w:tc>
                <w:tcPr>
                  <w:tcW w:w="408" w:type="pct"/>
                  <w:tcBorders>
                    <w:tl2br w:val="nil"/>
                    <w:tr2bl w:val="nil"/>
                  </w:tcBorders>
                  <w:noWrap/>
                  <w:vAlign w:val="center"/>
                </w:tcPr>
                <w:p w14:paraId="46196FD1">
                  <w:pPr>
                    <w:widowControl/>
                    <w:jc w:val="center"/>
                    <w:textAlignment w:val="center"/>
                    <w:rPr>
                      <w:rFonts w:hint="eastAsia" w:eastAsia="宋体"/>
                      <w:b/>
                      <w:bCs/>
                      <w:color w:val="000000" w:themeColor="text1"/>
                      <w:szCs w:val="21"/>
                      <w:lang w:eastAsia="zh-CN"/>
                      <w14:textFill>
                        <w14:solidFill>
                          <w14:schemeClr w14:val="tx1"/>
                        </w14:solidFill>
                      </w14:textFill>
                    </w:rPr>
                  </w:pPr>
                  <w:r>
                    <w:rPr>
                      <w:rFonts w:hint="eastAsia"/>
                      <w:b/>
                      <w:bCs/>
                      <w:color w:val="000000" w:themeColor="text1"/>
                      <w:kern w:val="0"/>
                      <w:szCs w:val="21"/>
                      <w:lang w:val="en-US" w:eastAsia="zh-CN" w:bidi="ar"/>
                      <w14:textFill>
                        <w14:solidFill>
                          <w14:schemeClr w14:val="tx1"/>
                        </w14:solidFill>
                      </w14:textFill>
                    </w:rPr>
                    <w:t>现有</w:t>
                  </w:r>
                </w:p>
              </w:tc>
              <w:tc>
                <w:tcPr>
                  <w:tcW w:w="509" w:type="pct"/>
                  <w:tcBorders>
                    <w:tl2br w:val="nil"/>
                    <w:tr2bl w:val="nil"/>
                  </w:tcBorders>
                  <w:noWrap/>
                  <w:vAlign w:val="center"/>
                </w:tcPr>
                <w:p w14:paraId="052F2E59">
                  <w:pPr>
                    <w:widowControl/>
                    <w:jc w:val="center"/>
                    <w:textAlignment w:val="center"/>
                    <w:rPr>
                      <w:rFonts w:hint="default" w:eastAsia="宋体"/>
                      <w:b/>
                      <w:bCs/>
                      <w:color w:val="000000" w:themeColor="text1"/>
                      <w:kern w:val="0"/>
                      <w:szCs w:val="21"/>
                      <w:lang w:val="en-US" w:eastAsia="zh-CN" w:bidi="ar"/>
                      <w14:textFill>
                        <w14:solidFill>
                          <w14:schemeClr w14:val="tx1"/>
                        </w14:solidFill>
                      </w14:textFill>
                    </w:rPr>
                  </w:pPr>
                  <w:r>
                    <w:rPr>
                      <w:rFonts w:hint="eastAsia"/>
                      <w:b/>
                      <w:bCs/>
                      <w:color w:val="000000" w:themeColor="text1"/>
                      <w:kern w:val="0"/>
                      <w:szCs w:val="21"/>
                      <w:lang w:val="en-US" w:eastAsia="zh-CN" w:bidi="ar"/>
                      <w14:textFill>
                        <w14:solidFill>
                          <w14:schemeClr w14:val="tx1"/>
                        </w14:solidFill>
                      </w14:textFill>
                    </w:rPr>
                    <w:t>改扩建新增</w:t>
                  </w:r>
                </w:p>
              </w:tc>
              <w:tc>
                <w:tcPr>
                  <w:tcW w:w="650" w:type="pct"/>
                  <w:tcBorders>
                    <w:tl2br w:val="nil"/>
                    <w:tr2bl w:val="nil"/>
                  </w:tcBorders>
                  <w:noWrap w:val="0"/>
                  <w:vAlign w:val="center"/>
                </w:tcPr>
                <w:p w14:paraId="503B3438">
                  <w:pPr>
                    <w:widowControl/>
                    <w:jc w:val="center"/>
                    <w:textAlignment w:val="center"/>
                    <w:rPr>
                      <w:rFonts w:hint="eastAsia" w:eastAsia="宋体"/>
                      <w:b/>
                      <w:bCs/>
                      <w:color w:val="000000" w:themeColor="text1"/>
                      <w:kern w:val="0"/>
                      <w:szCs w:val="21"/>
                      <w:lang w:val="en-US" w:eastAsia="zh-CN" w:bidi="ar"/>
                      <w14:textFill>
                        <w14:solidFill>
                          <w14:schemeClr w14:val="tx1"/>
                        </w14:solidFill>
                      </w14:textFill>
                    </w:rPr>
                  </w:pPr>
                  <w:r>
                    <w:rPr>
                      <w:rFonts w:hint="eastAsia"/>
                      <w:b/>
                      <w:bCs/>
                      <w:color w:val="000000" w:themeColor="text1"/>
                      <w:kern w:val="0"/>
                      <w:szCs w:val="21"/>
                      <w:lang w:val="en-US" w:eastAsia="zh-CN" w:bidi="ar"/>
                      <w14:textFill>
                        <w14:solidFill>
                          <w14:schemeClr w14:val="tx1"/>
                        </w14:solidFill>
                      </w14:textFill>
                    </w:rPr>
                    <w:t>产能</w:t>
                  </w:r>
                </w:p>
              </w:tc>
            </w:tr>
            <w:tr w14:paraId="69C24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87" w:type="pct"/>
                  <w:tcBorders>
                    <w:tl2br w:val="nil"/>
                    <w:tr2bl w:val="nil"/>
                  </w:tcBorders>
                  <w:noWrap/>
                  <w:vAlign w:val="center"/>
                </w:tcPr>
                <w:p w14:paraId="7B741C3C">
                  <w:pPr>
                    <w:widowControl/>
                    <w:numPr>
                      <w:ilvl w:val="0"/>
                      <w:numId w:val="0"/>
                    </w:numPr>
                    <w:ind w:leftChars="0"/>
                    <w:jc w:val="center"/>
                    <w:textAlignment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w:t>
                  </w:r>
                </w:p>
              </w:tc>
              <w:tc>
                <w:tcPr>
                  <w:tcW w:w="446" w:type="pct"/>
                  <w:vMerge w:val="restart"/>
                  <w:tcBorders>
                    <w:tl2br w:val="nil"/>
                    <w:tr2bl w:val="nil"/>
                  </w:tcBorders>
                  <w:noWrap/>
                  <w:vAlign w:val="center"/>
                </w:tcPr>
                <w:p w14:paraId="3709DBCB">
                  <w:pPr>
                    <w:widowControl/>
                    <w:jc w:val="center"/>
                    <w:textAlignment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烧制车间</w:t>
                  </w:r>
                </w:p>
              </w:tc>
              <w:tc>
                <w:tcPr>
                  <w:tcW w:w="1006" w:type="pct"/>
                  <w:tcBorders>
                    <w:tl2br w:val="nil"/>
                    <w:tr2bl w:val="nil"/>
                  </w:tcBorders>
                  <w:noWrap/>
                  <w:vAlign w:val="center"/>
                </w:tcPr>
                <w:p w14:paraId="61E7EB2F">
                  <w:pPr>
                    <w:widowControl/>
                    <w:jc w:val="center"/>
                    <w:textAlignment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1#、2#仿古窑</w:t>
                  </w:r>
                </w:p>
              </w:tc>
              <w:tc>
                <w:tcPr>
                  <w:tcW w:w="1062" w:type="pct"/>
                  <w:tcBorders>
                    <w:tl2br w:val="nil"/>
                    <w:tr2bl w:val="nil"/>
                  </w:tcBorders>
                  <w:noWrap/>
                  <w:vAlign w:val="center"/>
                </w:tcPr>
                <w:p w14:paraId="65E89130">
                  <w:pPr>
                    <w:widowControl/>
                    <w:jc w:val="center"/>
                    <w:textAlignment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Φ</w:t>
                  </w:r>
                  <w:r>
                    <w:rPr>
                      <w:rFonts w:hint="eastAsia"/>
                      <w:color w:val="000000" w:themeColor="text1"/>
                      <w:szCs w:val="21"/>
                      <w:lang w:val="en-US" w:eastAsia="zh-CN"/>
                      <w14:textFill>
                        <w14:solidFill>
                          <w14:schemeClr w14:val="tx1"/>
                        </w14:solidFill>
                      </w14:textFill>
                    </w:rPr>
                    <w:t>6</w:t>
                  </w:r>
                  <w:r>
                    <w:rPr>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10m</w:t>
                  </w:r>
                </w:p>
              </w:tc>
              <w:tc>
                <w:tcPr>
                  <w:tcW w:w="528" w:type="pct"/>
                  <w:vMerge w:val="restart"/>
                  <w:tcBorders>
                    <w:tl2br w:val="nil"/>
                    <w:tr2bl w:val="nil"/>
                  </w:tcBorders>
                  <w:noWrap/>
                  <w:vAlign w:val="center"/>
                </w:tcPr>
                <w:p w14:paraId="2F8DB3F0">
                  <w:pPr>
                    <w:widowControl/>
                    <w:jc w:val="center"/>
                    <w:textAlignment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烧瓦</w:t>
                  </w:r>
                </w:p>
              </w:tc>
              <w:tc>
                <w:tcPr>
                  <w:tcW w:w="408" w:type="pct"/>
                  <w:tcBorders>
                    <w:tl2br w:val="nil"/>
                    <w:tr2bl w:val="nil"/>
                  </w:tcBorders>
                  <w:noWrap/>
                  <w:vAlign w:val="center"/>
                </w:tcPr>
                <w:p w14:paraId="026F7895">
                  <w:pPr>
                    <w:widowControl/>
                    <w:jc w:val="center"/>
                    <w:textAlignment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2条</w:t>
                  </w:r>
                </w:p>
              </w:tc>
              <w:tc>
                <w:tcPr>
                  <w:tcW w:w="509" w:type="pct"/>
                  <w:tcBorders>
                    <w:tl2br w:val="nil"/>
                    <w:tr2bl w:val="nil"/>
                  </w:tcBorders>
                  <w:noWrap/>
                  <w:vAlign w:val="center"/>
                </w:tcPr>
                <w:p w14:paraId="4E290C62">
                  <w:pPr>
                    <w:widowControl/>
                    <w:jc w:val="center"/>
                    <w:textAlignment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650" w:type="pct"/>
                  <w:tcBorders>
                    <w:tl2br w:val="nil"/>
                    <w:tr2bl w:val="nil"/>
                  </w:tcBorders>
                  <w:noWrap w:val="0"/>
                  <w:vAlign w:val="center"/>
                </w:tcPr>
                <w:p w14:paraId="63D63028">
                  <w:pPr>
                    <w:widowControl/>
                    <w:jc w:val="center"/>
                    <w:textAlignment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25</w:t>
                  </w:r>
                  <w:r>
                    <w:rPr>
                      <w:rFonts w:hint="eastAsia"/>
                      <w:color w:val="000000" w:themeColor="text1"/>
                      <w:szCs w:val="21"/>
                      <w14:textFill>
                        <w14:solidFill>
                          <w14:schemeClr w14:val="tx1"/>
                        </w14:solidFill>
                      </w14:textFill>
                    </w:rPr>
                    <w:t>万片青瓦/窑</w:t>
                  </w:r>
                </w:p>
              </w:tc>
            </w:tr>
            <w:tr w14:paraId="7CB2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87" w:type="pct"/>
                  <w:tcBorders>
                    <w:tl2br w:val="nil"/>
                    <w:tr2bl w:val="nil"/>
                  </w:tcBorders>
                  <w:noWrap/>
                  <w:vAlign w:val="center"/>
                </w:tcPr>
                <w:p w14:paraId="259AC1ED">
                  <w:pPr>
                    <w:widowControl/>
                    <w:numPr>
                      <w:ilvl w:val="0"/>
                      <w:numId w:val="0"/>
                    </w:numPr>
                    <w:ind w:leftChars="0"/>
                    <w:jc w:val="center"/>
                    <w:textAlignment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w:t>
                  </w:r>
                </w:p>
              </w:tc>
              <w:tc>
                <w:tcPr>
                  <w:tcW w:w="446" w:type="pct"/>
                  <w:vMerge w:val="continue"/>
                  <w:tcBorders>
                    <w:tl2br w:val="nil"/>
                    <w:tr2bl w:val="nil"/>
                  </w:tcBorders>
                  <w:noWrap/>
                  <w:vAlign w:val="center"/>
                </w:tcPr>
                <w:p w14:paraId="17F25FCD">
                  <w:pPr>
                    <w:widowControl/>
                    <w:jc w:val="center"/>
                    <w:textAlignment w:val="center"/>
                    <w:rPr>
                      <w:color w:val="000000" w:themeColor="text1"/>
                      <w:szCs w:val="21"/>
                      <w14:textFill>
                        <w14:solidFill>
                          <w14:schemeClr w14:val="tx1"/>
                        </w14:solidFill>
                      </w14:textFill>
                    </w:rPr>
                  </w:pPr>
                </w:p>
              </w:tc>
              <w:tc>
                <w:tcPr>
                  <w:tcW w:w="1006" w:type="pct"/>
                  <w:tcBorders>
                    <w:tl2br w:val="nil"/>
                    <w:tr2bl w:val="nil"/>
                  </w:tcBorders>
                  <w:noWrap/>
                  <w:vAlign w:val="center"/>
                </w:tcPr>
                <w:p w14:paraId="6696B821">
                  <w:pPr>
                    <w:widowControl/>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3#、4#、5#仿古窑</w:t>
                  </w:r>
                </w:p>
              </w:tc>
              <w:tc>
                <w:tcPr>
                  <w:tcW w:w="1062" w:type="pct"/>
                  <w:tcBorders>
                    <w:tl2br w:val="nil"/>
                    <w:tr2bl w:val="nil"/>
                  </w:tcBorders>
                  <w:noWrap/>
                  <w:vAlign w:val="center"/>
                </w:tcPr>
                <w:p w14:paraId="17E4F1DE">
                  <w:pPr>
                    <w:widowControl/>
                    <w:jc w:val="center"/>
                    <w:textAlignment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28</w:t>
                  </w:r>
                  <w:r>
                    <w:rPr>
                      <w:rFonts w:hint="eastAsia"/>
                      <w:color w:val="000000" w:themeColor="text1"/>
                      <w:szCs w:val="21"/>
                      <w14:textFill>
                        <w14:solidFill>
                          <w14:schemeClr w14:val="tx1"/>
                        </w14:solidFill>
                      </w14:textFill>
                    </w:rPr>
                    <w:t>m</w:t>
                  </w:r>
                  <w:r>
                    <w:rPr>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8</w:t>
                  </w:r>
                  <w:r>
                    <w:rPr>
                      <w:rFonts w:hint="eastAsia"/>
                      <w:color w:val="000000" w:themeColor="text1"/>
                      <w:szCs w:val="21"/>
                      <w14:textFill>
                        <w14:solidFill>
                          <w14:schemeClr w14:val="tx1"/>
                        </w14:solidFill>
                      </w14:textFill>
                    </w:rPr>
                    <w:t>m</w:t>
                  </w:r>
                  <w:r>
                    <w:rPr>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10</w:t>
                  </w:r>
                  <w:r>
                    <w:rPr>
                      <w:rFonts w:hint="eastAsia"/>
                      <w:color w:val="000000" w:themeColor="text1"/>
                      <w:szCs w:val="21"/>
                      <w14:textFill>
                        <w14:solidFill>
                          <w14:schemeClr w14:val="tx1"/>
                        </w14:solidFill>
                      </w14:textFill>
                    </w:rPr>
                    <w:t>m</w:t>
                  </w:r>
                </w:p>
              </w:tc>
              <w:tc>
                <w:tcPr>
                  <w:tcW w:w="528" w:type="pct"/>
                  <w:vMerge w:val="continue"/>
                  <w:tcBorders>
                    <w:tl2br w:val="nil"/>
                    <w:tr2bl w:val="nil"/>
                  </w:tcBorders>
                  <w:noWrap/>
                  <w:vAlign w:val="center"/>
                </w:tcPr>
                <w:p w14:paraId="647B2D12">
                  <w:pPr>
                    <w:widowControl/>
                    <w:jc w:val="center"/>
                    <w:textAlignment w:val="center"/>
                    <w:rPr>
                      <w:color w:val="000000" w:themeColor="text1"/>
                      <w:szCs w:val="21"/>
                      <w14:textFill>
                        <w14:solidFill>
                          <w14:schemeClr w14:val="tx1"/>
                        </w14:solidFill>
                      </w14:textFill>
                    </w:rPr>
                  </w:pPr>
                </w:p>
              </w:tc>
              <w:tc>
                <w:tcPr>
                  <w:tcW w:w="408" w:type="pct"/>
                  <w:tcBorders>
                    <w:tl2br w:val="nil"/>
                    <w:tr2bl w:val="nil"/>
                  </w:tcBorders>
                  <w:noWrap/>
                  <w:vAlign w:val="center"/>
                </w:tcPr>
                <w:p w14:paraId="55BF309E">
                  <w:pPr>
                    <w:widowControl/>
                    <w:jc w:val="center"/>
                    <w:textAlignment w:val="center"/>
                    <w:rPr>
                      <w:rFonts w:hint="default"/>
                      <w:color w:val="000000" w:themeColor="text1"/>
                      <w:szCs w:val="21"/>
                      <w:lang w:val="en-US"/>
                      <w14:textFill>
                        <w14:solidFill>
                          <w14:schemeClr w14:val="tx1"/>
                        </w14:solidFill>
                      </w14:textFill>
                    </w:rPr>
                  </w:pPr>
                  <w:r>
                    <w:rPr>
                      <w:rFonts w:hint="eastAsia"/>
                      <w:color w:val="000000" w:themeColor="text1"/>
                      <w:szCs w:val="21"/>
                      <w:lang w:val="en-US" w:eastAsia="zh-CN"/>
                      <w14:textFill>
                        <w14:solidFill>
                          <w14:schemeClr w14:val="tx1"/>
                        </w14:solidFill>
                      </w14:textFill>
                    </w:rPr>
                    <w:t>3条</w:t>
                  </w:r>
                </w:p>
              </w:tc>
              <w:tc>
                <w:tcPr>
                  <w:tcW w:w="509" w:type="pct"/>
                  <w:tcBorders>
                    <w:tl2br w:val="nil"/>
                    <w:tr2bl w:val="nil"/>
                  </w:tcBorders>
                  <w:noWrap/>
                  <w:vAlign w:val="center"/>
                </w:tcPr>
                <w:p w14:paraId="6DC02E9A">
                  <w:pPr>
                    <w:widowControl/>
                    <w:jc w:val="center"/>
                    <w:textAlignment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650" w:type="pct"/>
                  <w:tcBorders>
                    <w:tl2br w:val="nil"/>
                    <w:tr2bl w:val="nil"/>
                  </w:tcBorders>
                  <w:noWrap w:val="0"/>
                  <w:vAlign w:val="center"/>
                </w:tcPr>
                <w:p w14:paraId="64136600">
                  <w:pPr>
                    <w:widowControl/>
                    <w:jc w:val="center"/>
                    <w:textAlignment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65</w:t>
                  </w:r>
                  <w:r>
                    <w:rPr>
                      <w:rFonts w:hint="eastAsia"/>
                      <w:color w:val="000000" w:themeColor="text1"/>
                      <w:szCs w:val="21"/>
                      <w14:textFill>
                        <w14:solidFill>
                          <w14:schemeClr w14:val="tx1"/>
                        </w14:solidFill>
                      </w14:textFill>
                    </w:rPr>
                    <w:t>万片青瓦/窑</w:t>
                  </w:r>
                </w:p>
              </w:tc>
            </w:tr>
            <w:tr w14:paraId="2967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87" w:type="pct"/>
                  <w:tcBorders>
                    <w:tl2br w:val="nil"/>
                    <w:tr2bl w:val="nil"/>
                  </w:tcBorders>
                  <w:noWrap/>
                  <w:vAlign w:val="center"/>
                </w:tcPr>
                <w:p w14:paraId="3F6ED4CE">
                  <w:pPr>
                    <w:widowControl/>
                    <w:numPr>
                      <w:ilvl w:val="0"/>
                      <w:numId w:val="0"/>
                    </w:numPr>
                    <w:ind w:leftChars="0"/>
                    <w:jc w:val="center"/>
                    <w:textAlignment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w:t>
                  </w:r>
                </w:p>
              </w:tc>
              <w:tc>
                <w:tcPr>
                  <w:tcW w:w="446" w:type="pct"/>
                  <w:vMerge w:val="continue"/>
                  <w:tcBorders>
                    <w:tl2br w:val="nil"/>
                    <w:tr2bl w:val="nil"/>
                  </w:tcBorders>
                  <w:noWrap/>
                  <w:vAlign w:val="center"/>
                </w:tcPr>
                <w:p w14:paraId="292A5E13">
                  <w:pPr>
                    <w:widowControl/>
                    <w:jc w:val="center"/>
                    <w:textAlignment w:val="center"/>
                    <w:rPr>
                      <w:color w:val="000000" w:themeColor="text1"/>
                      <w:szCs w:val="21"/>
                      <w14:textFill>
                        <w14:solidFill>
                          <w14:schemeClr w14:val="tx1"/>
                        </w14:solidFill>
                      </w14:textFill>
                    </w:rPr>
                  </w:pPr>
                </w:p>
              </w:tc>
              <w:tc>
                <w:tcPr>
                  <w:tcW w:w="1006" w:type="pct"/>
                  <w:tcBorders>
                    <w:tl2br w:val="nil"/>
                    <w:tr2bl w:val="nil"/>
                  </w:tcBorders>
                  <w:noWrap/>
                  <w:vAlign w:val="center"/>
                </w:tcPr>
                <w:p w14:paraId="3BDCA426">
                  <w:pPr>
                    <w:widowControl/>
                    <w:jc w:val="center"/>
                    <w:textAlignment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6#仿古窑</w:t>
                  </w:r>
                </w:p>
              </w:tc>
              <w:tc>
                <w:tcPr>
                  <w:tcW w:w="1062" w:type="pct"/>
                  <w:tcBorders>
                    <w:tl2br w:val="nil"/>
                    <w:tr2bl w:val="nil"/>
                  </w:tcBorders>
                  <w:noWrap/>
                  <w:vAlign w:val="center"/>
                </w:tcPr>
                <w:p w14:paraId="424016D1">
                  <w:pPr>
                    <w:widowControl/>
                    <w:jc w:val="center"/>
                    <w:textAlignment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28</w:t>
                  </w:r>
                  <w:r>
                    <w:rPr>
                      <w:rFonts w:hint="eastAsia"/>
                      <w:color w:val="000000" w:themeColor="text1"/>
                      <w:szCs w:val="21"/>
                      <w14:textFill>
                        <w14:solidFill>
                          <w14:schemeClr w14:val="tx1"/>
                        </w14:solidFill>
                      </w14:textFill>
                    </w:rPr>
                    <w:t>m</w:t>
                  </w:r>
                  <w:r>
                    <w:rPr>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6</w:t>
                  </w:r>
                  <w:r>
                    <w:rPr>
                      <w:rFonts w:hint="eastAsia"/>
                      <w:color w:val="000000" w:themeColor="text1"/>
                      <w:szCs w:val="21"/>
                      <w14:textFill>
                        <w14:solidFill>
                          <w14:schemeClr w14:val="tx1"/>
                        </w14:solidFill>
                      </w14:textFill>
                    </w:rPr>
                    <w:t>m</w:t>
                  </w:r>
                  <w:r>
                    <w:rPr>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8</w:t>
                  </w:r>
                  <w:r>
                    <w:rPr>
                      <w:rFonts w:hint="eastAsia"/>
                      <w:color w:val="000000" w:themeColor="text1"/>
                      <w:szCs w:val="21"/>
                      <w14:textFill>
                        <w14:solidFill>
                          <w14:schemeClr w14:val="tx1"/>
                        </w14:solidFill>
                      </w14:textFill>
                    </w:rPr>
                    <w:t>m</w:t>
                  </w:r>
                </w:p>
              </w:tc>
              <w:tc>
                <w:tcPr>
                  <w:tcW w:w="528" w:type="pct"/>
                  <w:vMerge w:val="continue"/>
                  <w:tcBorders>
                    <w:tl2br w:val="nil"/>
                    <w:tr2bl w:val="nil"/>
                  </w:tcBorders>
                  <w:noWrap/>
                  <w:vAlign w:val="center"/>
                </w:tcPr>
                <w:p w14:paraId="09B344D6">
                  <w:pPr>
                    <w:widowControl/>
                    <w:jc w:val="center"/>
                    <w:textAlignment w:val="center"/>
                    <w:rPr>
                      <w:color w:val="000000" w:themeColor="text1"/>
                      <w:szCs w:val="21"/>
                      <w14:textFill>
                        <w14:solidFill>
                          <w14:schemeClr w14:val="tx1"/>
                        </w14:solidFill>
                      </w14:textFill>
                    </w:rPr>
                  </w:pPr>
                </w:p>
              </w:tc>
              <w:tc>
                <w:tcPr>
                  <w:tcW w:w="408" w:type="pct"/>
                  <w:tcBorders>
                    <w:tl2br w:val="nil"/>
                    <w:tr2bl w:val="nil"/>
                  </w:tcBorders>
                  <w:noWrap/>
                  <w:vAlign w:val="center"/>
                </w:tcPr>
                <w:p w14:paraId="6398CC3D">
                  <w:pPr>
                    <w:widowControl/>
                    <w:jc w:val="center"/>
                    <w:textAlignment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509" w:type="pct"/>
                  <w:tcBorders>
                    <w:tl2br w:val="nil"/>
                    <w:tr2bl w:val="nil"/>
                  </w:tcBorders>
                  <w:noWrap/>
                  <w:vAlign w:val="center"/>
                </w:tcPr>
                <w:p w14:paraId="4B98198C">
                  <w:pPr>
                    <w:widowControl/>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1条</w:t>
                  </w:r>
                </w:p>
              </w:tc>
              <w:tc>
                <w:tcPr>
                  <w:tcW w:w="650" w:type="pct"/>
                  <w:tcBorders>
                    <w:tl2br w:val="nil"/>
                    <w:tr2bl w:val="nil"/>
                  </w:tcBorders>
                  <w:noWrap w:val="0"/>
                  <w:vAlign w:val="center"/>
                </w:tcPr>
                <w:p w14:paraId="493D75CD">
                  <w:pPr>
                    <w:widowControl/>
                    <w:jc w:val="center"/>
                    <w:textAlignment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55</w:t>
                  </w:r>
                  <w:r>
                    <w:rPr>
                      <w:rFonts w:hint="eastAsia"/>
                      <w:color w:val="000000" w:themeColor="text1"/>
                      <w:szCs w:val="21"/>
                      <w14:textFill>
                        <w14:solidFill>
                          <w14:schemeClr w14:val="tx1"/>
                        </w14:solidFill>
                      </w14:textFill>
                    </w:rPr>
                    <w:t>万片青瓦/窑</w:t>
                  </w:r>
                </w:p>
              </w:tc>
            </w:tr>
            <w:tr w14:paraId="4BA39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87" w:type="pct"/>
                  <w:tcBorders>
                    <w:tl2br w:val="nil"/>
                    <w:tr2bl w:val="nil"/>
                  </w:tcBorders>
                  <w:noWrap/>
                  <w:vAlign w:val="center"/>
                </w:tcPr>
                <w:p w14:paraId="0D1CED00">
                  <w:pPr>
                    <w:widowControl/>
                    <w:numPr>
                      <w:ilvl w:val="0"/>
                      <w:numId w:val="0"/>
                    </w:numPr>
                    <w:ind w:leftChars="0"/>
                    <w:jc w:val="center"/>
                    <w:textAlignment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w:t>
                  </w:r>
                </w:p>
              </w:tc>
              <w:tc>
                <w:tcPr>
                  <w:tcW w:w="446" w:type="pct"/>
                  <w:vMerge w:val="restart"/>
                  <w:tcBorders>
                    <w:tl2br w:val="nil"/>
                    <w:tr2bl w:val="nil"/>
                  </w:tcBorders>
                  <w:noWrap/>
                  <w:vAlign w:val="center"/>
                </w:tcPr>
                <w:p w14:paraId="112EFF00">
                  <w:pPr>
                    <w:jc w:val="center"/>
                    <w:textAlignment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原料贮存库</w:t>
                  </w:r>
                </w:p>
              </w:tc>
              <w:tc>
                <w:tcPr>
                  <w:tcW w:w="1006" w:type="pct"/>
                  <w:tcBorders>
                    <w:tl2br w:val="nil"/>
                    <w:tr2bl w:val="nil"/>
                  </w:tcBorders>
                  <w:noWrap/>
                  <w:vAlign w:val="center"/>
                </w:tcPr>
                <w:p w14:paraId="33FE0F6C">
                  <w:pPr>
                    <w:widowControl/>
                    <w:jc w:val="center"/>
                    <w:textAlignment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风选粉碎机</w:t>
                  </w:r>
                </w:p>
              </w:tc>
              <w:tc>
                <w:tcPr>
                  <w:tcW w:w="1062" w:type="pct"/>
                  <w:tcBorders>
                    <w:tl2br w:val="nil"/>
                    <w:tr2bl w:val="nil"/>
                  </w:tcBorders>
                  <w:noWrap/>
                  <w:vAlign w:val="center"/>
                </w:tcPr>
                <w:p w14:paraId="708C0283">
                  <w:pPr>
                    <w:widowControl/>
                    <w:jc w:val="center"/>
                    <w:textAlignment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14:textFill>
                        <w14:solidFill>
                          <w14:schemeClr w14:val="tx1"/>
                        </w14:solidFill>
                      </w14:textFill>
                    </w:rPr>
                    <w:t>GSF一14</w:t>
                  </w:r>
                </w:p>
              </w:tc>
              <w:tc>
                <w:tcPr>
                  <w:tcW w:w="528" w:type="pct"/>
                  <w:tcBorders>
                    <w:tl2br w:val="nil"/>
                    <w:tr2bl w:val="nil"/>
                  </w:tcBorders>
                  <w:noWrap/>
                  <w:vAlign w:val="center"/>
                </w:tcPr>
                <w:p w14:paraId="422A5852">
                  <w:pPr>
                    <w:widowControl/>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破碎</w:t>
                  </w:r>
                </w:p>
              </w:tc>
              <w:tc>
                <w:tcPr>
                  <w:tcW w:w="408" w:type="pct"/>
                  <w:tcBorders>
                    <w:tl2br w:val="nil"/>
                    <w:tr2bl w:val="nil"/>
                  </w:tcBorders>
                  <w:noWrap/>
                  <w:vAlign w:val="center"/>
                </w:tcPr>
                <w:p w14:paraId="7C626B52">
                  <w:pPr>
                    <w:widowControl/>
                    <w:jc w:val="center"/>
                    <w:textAlignment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0</w:t>
                  </w:r>
                </w:p>
              </w:tc>
              <w:tc>
                <w:tcPr>
                  <w:tcW w:w="509" w:type="pct"/>
                  <w:tcBorders>
                    <w:tl2br w:val="nil"/>
                    <w:tr2bl w:val="nil"/>
                  </w:tcBorders>
                  <w:noWrap/>
                  <w:vAlign w:val="center"/>
                </w:tcPr>
                <w:p w14:paraId="39E66C9F">
                  <w:pPr>
                    <w:widowControl/>
                    <w:jc w:val="center"/>
                    <w:textAlignment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1台</w:t>
                  </w:r>
                </w:p>
              </w:tc>
              <w:tc>
                <w:tcPr>
                  <w:tcW w:w="650" w:type="pct"/>
                  <w:tcBorders>
                    <w:tl2br w:val="nil"/>
                    <w:tr2bl w:val="nil"/>
                  </w:tcBorders>
                  <w:noWrap w:val="0"/>
                  <w:vAlign w:val="center"/>
                </w:tcPr>
                <w:p w14:paraId="5D31A126">
                  <w:pPr>
                    <w:widowControl/>
                    <w:jc w:val="center"/>
                    <w:textAlignment w:val="center"/>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15t/h</w:t>
                  </w:r>
                </w:p>
              </w:tc>
            </w:tr>
            <w:tr w14:paraId="360B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87" w:type="pct"/>
                  <w:tcBorders>
                    <w:tl2br w:val="nil"/>
                    <w:tr2bl w:val="nil"/>
                  </w:tcBorders>
                  <w:noWrap/>
                  <w:vAlign w:val="center"/>
                </w:tcPr>
                <w:p w14:paraId="6B1CDF8A">
                  <w:pPr>
                    <w:widowControl/>
                    <w:numPr>
                      <w:ilvl w:val="0"/>
                      <w:numId w:val="0"/>
                    </w:numPr>
                    <w:ind w:leftChars="0"/>
                    <w:jc w:val="center"/>
                    <w:textAlignment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w:t>
                  </w:r>
                </w:p>
              </w:tc>
              <w:tc>
                <w:tcPr>
                  <w:tcW w:w="446" w:type="pct"/>
                  <w:vMerge w:val="continue"/>
                  <w:tcBorders>
                    <w:tl2br w:val="nil"/>
                    <w:tr2bl w:val="nil"/>
                  </w:tcBorders>
                  <w:noWrap/>
                  <w:vAlign w:val="center"/>
                </w:tcPr>
                <w:p w14:paraId="68BE16D4">
                  <w:pPr>
                    <w:jc w:val="center"/>
                    <w:textAlignment w:val="center"/>
                    <w:rPr>
                      <w:color w:val="000000" w:themeColor="text1"/>
                      <w:szCs w:val="21"/>
                      <w14:textFill>
                        <w14:solidFill>
                          <w14:schemeClr w14:val="tx1"/>
                        </w14:solidFill>
                      </w14:textFill>
                    </w:rPr>
                  </w:pPr>
                </w:p>
              </w:tc>
              <w:tc>
                <w:tcPr>
                  <w:tcW w:w="1006" w:type="pct"/>
                  <w:tcBorders>
                    <w:tl2br w:val="nil"/>
                    <w:tr2bl w:val="nil"/>
                  </w:tcBorders>
                  <w:noWrap/>
                  <w:vAlign w:val="center"/>
                </w:tcPr>
                <w:p w14:paraId="1513F4C4">
                  <w:pPr>
                    <w:widowControl/>
                    <w:jc w:val="center"/>
                    <w:textAlignment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筛分机</w:t>
                  </w:r>
                </w:p>
              </w:tc>
              <w:tc>
                <w:tcPr>
                  <w:tcW w:w="1062" w:type="pct"/>
                  <w:tcBorders>
                    <w:tl2br w:val="nil"/>
                    <w:tr2bl w:val="nil"/>
                  </w:tcBorders>
                  <w:noWrap/>
                  <w:vAlign w:val="center"/>
                </w:tcPr>
                <w:p w14:paraId="1B56086D">
                  <w:pPr>
                    <w:widowControl/>
                    <w:jc w:val="center"/>
                    <w:textAlignment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c>
                <w:tcPr>
                  <w:tcW w:w="528" w:type="pct"/>
                  <w:tcBorders>
                    <w:tl2br w:val="nil"/>
                    <w:tr2bl w:val="nil"/>
                  </w:tcBorders>
                  <w:noWrap/>
                  <w:vAlign w:val="center"/>
                </w:tcPr>
                <w:p w14:paraId="2C87C874">
                  <w:pPr>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筛分</w:t>
                  </w:r>
                </w:p>
              </w:tc>
              <w:tc>
                <w:tcPr>
                  <w:tcW w:w="408" w:type="pct"/>
                  <w:tcBorders>
                    <w:tl2br w:val="nil"/>
                    <w:tr2bl w:val="nil"/>
                  </w:tcBorders>
                  <w:noWrap/>
                  <w:vAlign w:val="center"/>
                </w:tcPr>
                <w:p w14:paraId="031CB58D">
                  <w:pPr>
                    <w:widowControl/>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1台</w:t>
                  </w:r>
                </w:p>
              </w:tc>
              <w:tc>
                <w:tcPr>
                  <w:tcW w:w="509" w:type="pct"/>
                  <w:tcBorders>
                    <w:tl2br w:val="nil"/>
                    <w:tr2bl w:val="nil"/>
                  </w:tcBorders>
                  <w:noWrap/>
                  <w:vAlign w:val="center"/>
                </w:tcPr>
                <w:p w14:paraId="7A91A353">
                  <w:pPr>
                    <w:widowControl/>
                    <w:jc w:val="center"/>
                    <w:textAlignment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650" w:type="pct"/>
                  <w:tcBorders>
                    <w:tl2br w:val="nil"/>
                    <w:tr2bl w:val="nil"/>
                  </w:tcBorders>
                  <w:noWrap w:val="0"/>
                  <w:vAlign w:val="center"/>
                </w:tcPr>
                <w:p w14:paraId="4E7D5635">
                  <w:pPr>
                    <w:widowControl/>
                    <w:jc w:val="center"/>
                    <w:textAlignment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30t/h</w:t>
                  </w:r>
                </w:p>
              </w:tc>
            </w:tr>
            <w:tr w14:paraId="74CD0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387" w:type="pct"/>
                  <w:tcBorders>
                    <w:tl2br w:val="nil"/>
                    <w:tr2bl w:val="nil"/>
                  </w:tcBorders>
                  <w:noWrap/>
                  <w:vAlign w:val="center"/>
                </w:tcPr>
                <w:p w14:paraId="16FD8956">
                  <w:pPr>
                    <w:widowControl/>
                    <w:numPr>
                      <w:ilvl w:val="0"/>
                      <w:numId w:val="0"/>
                    </w:numPr>
                    <w:ind w:leftChars="0"/>
                    <w:jc w:val="center"/>
                    <w:textAlignment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6</w:t>
                  </w:r>
                </w:p>
              </w:tc>
              <w:tc>
                <w:tcPr>
                  <w:tcW w:w="446" w:type="pct"/>
                  <w:vMerge w:val="continue"/>
                  <w:tcBorders>
                    <w:tl2br w:val="nil"/>
                    <w:tr2bl w:val="nil"/>
                  </w:tcBorders>
                  <w:noWrap/>
                  <w:vAlign w:val="center"/>
                </w:tcPr>
                <w:p w14:paraId="4802914B">
                  <w:pPr>
                    <w:jc w:val="center"/>
                    <w:textAlignment w:val="center"/>
                    <w:rPr>
                      <w:color w:val="000000" w:themeColor="text1"/>
                      <w:szCs w:val="21"/>
                      <w14:textFill>
                        <w14:solidFill>
                          <w14:schemeClr w14:val="tx1"/>
                        </w14:solidFill>
                      </w14:textFill>
                    </w:rPr>
                  </w:pPr>
                </w:p>
              </w:tc>
              <w:tc>
                <w:tcPr>
                  <w:tcW w:w="1006" w:type="pct"/>
                  <w:tcBorders>
                    <w:tl2br w:val="nil"/>
                    <w:tr2bl w:val="nil"/>
                  </w:tcBorders>
                  <w:noWrap/>
                  <w:vAlign w:val="center"/>
                </w:tcPr>
                <w:p w14:paraId="21E5F7B4">
                  <w:pPr>
                    <w:widowControl/>
                    <w:jc w:val="center"/>
                    <w:textAlignment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粉磨机</w:t>
                  </w:r>
                </w:p>
              </w:tc>
              <w:tc>
                <w:tcPr>
                  <w:tcW w:w="1062" w:type="pct"/>
                  <w:tcBorders>
                    <w:tl2br w:val="nil"/>
                    <w:tr2bl w:val="nil"/>
                  </w:tcBorders>
                  <w:noWrap/>
                  <w:vAlign w:val="center"/>
                </w:tcPr>
                <w:p w14:paraId="16484BDB">
                  <w:pPr>
                    <w:widowControl/>
                    <w:jc w:val="center"/>
                    <w:textAlignment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w:t>
                  </w:r>
                </w:p>
              </w:tc>
              <w:tc>
                <w:tcPr>
                  <w:tcW w:w="528" w:type="pct"/>
                  <w:tcBorders>
                    <w:tl2br w:val="nil"/>
                    <w:tr2bl w:val="nil"/>
                  </w:tcBorders>
                  <w:noWrap/>
                  <w:vAlign w:val="center"/>
                </w:tcPr>
                <w:p w14:paraId="0AC1C4C1">
                  <w:pPr>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研磨</w:t>
                  </w:r>
                </w:p>
              </w:tc>
              <w:tc>
                <w:tcPr>
                  <w:tcW w:w="408" w:type="pct"/>
                  <w:tcBorders>
                    <w:tl2br w:val="nil"/>
                    <w:tr2bl w:val="nil"/>
                  </w:tcBorders>
                  <w:noWrap/>
                  <w:vAlign w:val="center"/>
                </w:tcPr>
                <w:p w14:paraId="611D02DA">
                  <w:pPr>
                    <w:widowControl/>
                    <w:jc w:val="center"/>
                    <w:textAlignment w:val="center"/>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1台</w:t>
                  </w:r>
                </w:p>
              </w:tc>
              <w:tc>
                <w:tcPr>
                  <w:tcW w:w="509" w:type="pct"/>
                  <w:tcBorders>
                    <w:tl2br w:val="nil"/>
                    <w:tr2bl w:val="nil"/>
                  </w:tcBorders>
                  <w:noWrap/>
                  <w:vAlign w:val="center"/>
                </w:tcPr>
                <w:p w14:paraId="26DBBE65">
                  <w:pPr>
                    <w:widowControl/>
                    <w:jc w:val="center"/>
                    <w:textAlignment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650" w:type="pct"/>
                  <w:tcBorders>
                    <w:tl2br w:val="nil"/>
                    <w:tr2bl w:val="nil"/>
                  </w:tcBorders>
                  <w:noWrap w:val="0"/>
                  <w:vAlign w:val="center"/>
                </w:tcPr>
                <w:p w14:paraId="4B702A31">
                  <w:pPr>
                    <w:widowControl/>
                    <w:jc w:val="center"/>
                    <w:textAlignment w:val="center"/>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30t/h</w:t>
                  </w:r>
                </w:p>
              </w:tc>
            </w:tr>
            <w:tr w14:paraId="0456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87" w:type="pct"/>
                  <w:tcBorders>
                    <w:tl2br w:val="nil"/>
                    <w:tr2bl w:val="nil"/>
                  </w:tcBorders>
                  <w:noWrap/>
                  <w:vAlign w:val="center"/>
                </w:tcPr>
                <w:p w14:paraId="11AB8F64">
                  <w:pPr>
                    <w:widowControl/>
                    <w:numPr>
                      <w:ilvl w:val="0"/>
                      <w:numId w:val="0"/>
                    </w:numPr>
                    <w:ind w:leftChars="0"/>
                    <w:jc w:val="center"/>
                    <w:textAlignment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7</w:t>
                  </w:r>
                </w:p>
              </w:tc>
              <w:tc>
                <w:tcPr>
                  <w:tcW w:w="446" w:type="pct"/>
                  <w:vMerge w:val="continue"/>
                  <w:tcBorders>
                    <w:tl2br w:val="nil"/>
                    <w:tr2bl w:val="nil"/>
                  </w:tcBorders>
                  <w:noWrap/>
                  <w:vAlign w:val="center"/>
                </w:tcPr>
                <w:p w14:paraId="0C6ADD5E">
                  <w:pPr>
                    <w:jc w:val="center"/>
                    <w:textAlignment w:val="center"/>
                    <w:rPr>
                      <w:color w:val="000000" w:themeColor="text1"/>
                      <w:szCs w:val="21"/>
                      <w14:textFill>
                        <w14:solidFill>
                          <w14:schemeClr w14:val="tx1"/>
                        </w14:solidFill>
                      </w14:textFill>
                    </w:rPr>
                  </w:pPr>
                </w:p>
              </w:tc>
              <w:tc>
                <w:tcPr>
                  <w:tcW w:w="1006" w:type="pct"/>
                  <w:tcBorders>
                    <w:tl2br w:val="nil"/>
                    <w:tr2bl w:val="nil"/>
                  </w:tcBorders>
                  <w:noWrap/>
                  <w:vAlign w:val="center"/>
                </w:tcPr>
                <w:p w14:paraId="0223B403">
                  <w:pPr>
                    <w:widowControl/>
                    <w:jc w:val="center"/>
                    <w:textAlignment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螺旋搅拌机</w:t>
                  </w:r>
                </w:p>
              </w:tc>
              <w:tc>
                <w:tcPr>
                  <w:tcW w:w="1062" w:type="pct"/>
                  <w:tcBorders>
                    <w:tl2br w:val="nil"/>
                    <w:tr2bl w:val="nil"/>
                  </w:tcBorders>
                  <w:noWrap/>
                  <w:vAlign w:val="center"/>
                </w:tcPr>
                <w:p w14:paraId="17DA8CE5">
                  <w:pPr>
                    <w:widowControl/>
                    <w:jc w:val="center"/>
                    <w:textAlignment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w:t>
                  </w:r>
                </w:p>
              </w:tc>
              <w:tc>
                <w:tcPr>
                  <w:tcW w:w="528" w:type="pct"/>
                  <w:tcBorders>
                    <w:tl2br w:val="nil"/>
                    <w:tr2bl w:val="nil"/>
                  </w:tcBorders>
                  <w:noWrap/>
                  <w:vAlign w:val="center"/>
                </w:tcPr>
                <w:p w14:paraId="562520EE">
                  <w:pPr>
                    <w:jc w:val="center"/>
                    <w:textAlignment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拌和</w:t>
                  </w:r>
                </w:p>
              </w:tc>
              <w:tc>
                <w:tcPr>
                  <w:tcW w:w="408" w:type="pct"/>
                  <w:tcBorders>
                    <w:tl2br w:val="nil"/>
                    <w:tr2bl w:val="nil"/>
                  </w:tcBorders>
                  <w:noWrap/>
                  <w:vAlign w:val="center"/>
                </w:tcPr>
                <w:p w14:paraId="35300732">
                  <w:pPr>
                    <w:widowControl/>
                    <w:jc w:val="center"/>
                    <w:textAlignment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1台</w:t>
                  </w:r>
                </w:p>
              </w:tc>
              <w:tc>
                <w:tcPr>
                  <w:tcW w:w="509" w:type="pct"/>
                  <w:tcBorders>
                    <w:tl2br w:val="nil"/>
                    <w:tr2bl w:val="nil"/>
                  </w:tcBorders>
                  <w:noWrap/>
                  <w:vAlign w:val="center"/>
                </w:tcPr>
                <w:p w14:paraId="1BAABEF2">
                  <w:pPr>
                    <w:widowControl/>
                    <w:jc w:val="center"/>
                    <w:textAlignment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650" w:type="pct"/>
                  <w:tcBorders>
                    <w:tl2br w:val="nil"/>
                    <w:tr2bl w:val="nil"/>
                  </w:tcBorders>
                  <w:noWrap w:val="0"/>
                  <w:vAlign w:val="center"/>
                </w:tcPr>
                <w:p w14:paraId="174AF5A2">
                  <w:pPr>
                    <w:widowControl/>
                    <w:jc w:val="center"/>
                    <w:textAlignment w:val="center"/>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30t/h</w:t>
                  </w:r>
                </w:p>
              </w:tc>
            </w:tr>
            <w:tr w14:paraId="71ED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87" w:type="pct"/>
                  <w:tcBorders>
                    <w:tl2br w:val="nil"/>
                    <w:tr2bl w:val="nil"/>
                  </w:tcBorders>
                  <w:noWrap/>
                  <w:vAlign w:val="center"/>
                </w:tcPr>
                <w:p w14:paraId="096C783D">
                  <w:pPr>
                    <w:widowControl/>
                    <w:numPr>
                      <w:ilvl w:val="0"/>
                      <w:numId w:val="0"/>
                    </w:numPr>
                    <w:ind w:leftChars="0"/>
                    <w:jc w:val="center"/>
                    <w:textAlignment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8</w:t>
                  </w:r>
                </w:p>
              </w:tc>
              <w:tc>
                <w:tcPr>
                  <w:tcW w:w="446" w:type="pct"/>
                  <w:vMerge w:val="continue"/>
                  <w:tcBorders>
                    <w:tl2br w:val="nil"/>
                    <w:tr2bl w:val="nil"/>
                  </w:tcBorders>
                  <w:noWrap/>
                  <w:vAlign w:val="center"/>
                </w:tcPr>
                <w:p w14:paraId="6FF83682">
                  <w:pPr>
                    <w:jc w:val="center"/>
                    <w:textAlignment w:val="center"/>
                    <w:rPr>
                      <w:color w:val="000000" w:themeColor="text1"/>
                      <w:szCs w:val="21"/>
                      <w14:textFill>
                        <w14:solidFill>
                          <w14:schemeClr w14:val="tx1"/>
                        </w14:solidFill>
                      </w14:textFill>
                    </w:rPr>
                  </w:pPr>
                </w:p>
              </w:tc>
              <w:tc>
                <w:tcPr>
                  <w:tcW w:w="1006" w:type="pct"/>
                  <w:tcBorders>
                    <w:tl2br w:val="nil"/>
                    <w:tr2bl w:val="nil"/>
                  </w:tcBorders>
                  <w:noWrap/>
                  <w:vAlign w:val="center"/>
                </w:tcPr>
                <w:p w14:paraId="67DE73E6">
                  <w:pPr>
                    <w:widowControl/>
                    <w:jc w:val="center"/>
                    <w:textAlignment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脉冲袋式除尘器</w:t>
                  </w:r>
                </w:p>
              </w:tc>
              <w:tc>
                <w:tcPr>
                  <w:tcW w:w="1062" w:type="pct"/>
                  <w:tcBorders>
                    <w:tl2br w:val="nil"/>
                    <w:tr2bl w:val="nil"/>
                  </w:tcBorders>
                  <w:noWrap/>
                  <w:vAlign w:val="center"/>
                </w:tcPr>
                <w:p w14:paraId="00622BEF">
                  <w:pPr>
                    <w:widowControl/>
                    <w:jc w:val="center"/>
                    <w:textAlignment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w:t>
                  </w:r>
                </w:p>
              </w:tc>
              <w:tc>
                <w:tcPr>
                  <w:tcW w:w="528" w:type="pct"/>
                  <w:vMerge w:val="restart"/>
                  <w:tcBorders>
                    <w:tl2br w:val="nil"/>
                    <w:tr2bl w:val="nil"/>
                  </w:tcBorders>
                  <w:noWrap/>
                  <w:vAlign w:val="center"/>
                </w:tcPr>
                <w:p w14:paraId="67E6CFF3">
                  <w:pPr>
                    <w:jc w:val="center"/>
                    <w:textAlignment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原料预处理除尘</w:t>
                  </w:r>
                </w:p>
              </w:tc>
              <w:tc>
                <w:tcPr>
                  <w:tcW w:w="408" w:type="pct"/>
                  <w:tcBorders>
                    <w:tl2br w:val="nil"/>
                    <w:tr2bl w:val="nil"/>
                  </w:tcBorders>
                  <w:noWrap/>
                  <w:vAlign w:val="center"/>
                </w:tcPr>
                <w:p w14:paraId="24AD3ED8">
                  <w:pPr>
                    <w:widowControl/>
                    <w:jc w:val="center"/>
                    <w:textAlignment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509" w:type="pct"/>
                  <w:tcBorders>
                    <w:tl2br w:val="nil"/>
                    <w:tr2bl w:val="nil"/>
                  </w:tcBorders>
                  <w:noWrap/>
                  <w:vAlign w:val="center"/>
                </w:tcPr>
                <w:p w14:paraId="42CBD012">
                  <w:pPr>
                    <w:widowControl/>
                    <w:jc w:val="center"/>
                    <w:textAlignment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1台</w:t>
                  </w:r>
                </w:p>
              </w:tc>
              <w:tc>
                <w:tcPr>
                  <w:tcW w:w="650" w:type="pct"/>
                  <w:vMerge w:val="restart"/>
                  <w:tcBorders>
                    <w:tl2br w:val="nil"/>
                    <w:tr2bl w:val="nil"/>
                  </w:tcBorders>
                  <w:noWrap w:val="0"/>
                  <w:vAlign w:val="center"/>
                </w:tcPr>
                <w:p w14:paraId="0B3279A7">
                  <w:pPr>
                    <w:widowControl/>
                    <w:jc w:val="center"/>
                    <w:textAlignment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r>
            <w:tr w14:paraId="2EFE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87" w:type="pct"/>
                  <w:tcBorders>
                    <w:tl2br w:val="nil"/>
                    <w:tr2bl w:val="nil"/>
                  </w:tcBorders>
                  <w:noWrap/>
                  <w:vAlign w:val="center"/>
                </w:tcPr>
                <w:p w14:paraId="211C50AA">
                  <w:pPr>
                    <w:widowControl/>
                    <w:numPr>
                      <w:ilvl w:val="0"/>
                      <w:numId w:val="0"/>
                    </w:numPr>
                    <w:ind w:leftChars="0"/>
                    <w:jc w:val="center"/>
                    <w:textAlignment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9</w:t>
                  </w:r>
                </w:p>
              </w:tc>
              <w:tc>
                <w:tcPr>
                  <w:tcW w:w="446" w:type="pct"/>
                  <w:vMerge w:val="continue"/>
                  <w:tcBorders>
                    <w:tl2br w:val="nil"/>
                    <w:tr2bl w:val="nil"/>
                  </w:tcBorders>
                  <w:noWrap/>
                  <w:vAlign w:val="center"/>
                </w:tcPr>
                <w:p w14:paraId="540559AA">
                  <w:pPr>
                    <w:jc w:val="center"/>
                    <w:textAlignment w:val="center"/>
                    <w:rPr>
                      <w:color w:val="000000" w:themeColor="text1"/>
                      <w:szCs w:val="21"/>
                      <w14:textFill>
                        <w14:solidFill>
                          <w14:schemeClr w14:val="tx1"/>
                        </w14:solidFill>
                      </w14:textFill>
                    </w:rPr>
                  </w:pPr>
                </w:p>
              </w:tc>
              <w:tc>
                <w:tcPr>
                  <w:tcW w:w="1006" w:type="pct"/>
                  <w:tcBorders>
                    <w:tl2br w:val="nil"/>
                    <w:tr2bl w:val="nil"/>
                  </w:tcBorders>
                  <w:noWrap/>
                  <w:vAlign w:val="center"/>
                </w:tcPr>
                <w:p w14:paraId="02733CC4">
                  <w:pPr>
                    <w:widowControl/>
                    <w:jc w:val="center"/>
                    <w:textAlignment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引风机</w:t>
                  </w:r>
                </w:p>
              </w:tc>
              <w:tc>
                <w:tcPr>
                  <w:tcW w:w="1062" w:type="pct"/>
                  <w:tcBorders>
                    <w:tl2br w:val="nil"/>
                    <w:tr2bl w:val="nil"/>
                  </w:tcBorders>
                  <w:noWrap/>
                  <w:vAlign w:val="center"/>
                </w:tcPr>
                <w:p w14:paraId="7960C928">
                  <w:pPr>
                    <w:widowControl/>
                    <w:jc w:val="center"/>
                    <w:textAlignment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功率:15kW</w:t>
                  </w:r>
                </w:p>
                <w:p w14:paraId="619454D1">
                  <w:pPr>
                    <w:widowControl/>
                    <w:jc w:val="center"/>
                    <w:textAlignment w:val="center"/>
                    <w:rPr>
                      <w:rFonts w:hint="default" w:eastAsia="宋体"/>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风量：15000m</w:t>
                  </w:r>
                  <w:r>
                    <w:rPr>
                      <w:rFonts w:hint="eastAsia"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/h</w:t>
                  </w:r>
                </w:p>
              </w:tc>
              <w:tc>
                <w:tcPr>
                  <w:tcW w:w="528" w:type="pct"/>
                  <w:vMerge w:val="continue"/>
                  <w:tcBorders>
                    <w:tl2br w:val="nil"/>
                    <w:tr2bl w:val="nil"/>
                  </w:tcBorders>
                  <w:noWrap/>
                  <w:vAlign w:val="center"/>
                </w:tcPr>
                <w:p w14:paraId="39442EF0">
                  <w:pPr>
                    <w:jc w:val="center"/>
                    <w:textAlignment w:val="center"/>
                    <w:rPr>
                      <w:rFonts w:hint="default"/>
                      <w:color w:val="000000" w:themeColor="text1"/>
                      <w:szCs w:val="21"/>
                      <w:lang w:val="en-US" w:eastAsia="zh-CN"/>
                      <w14:textFill>
                        <w14:solidFill>
                          <w14:schemeClr w14:val="tx1"/>
                        </w14:solidFill>
                      </w14:textFill>
                    </w:rPr>
                  </w:pPr>
                </w:p>
              </w:tc>
              <w:tc>
                <w:tcPr>
                  <w:tcW w:w="408" w:type="pct"/>
                  <w:tcBorders>
                    <w:tl2br w:val="nil"/>
                    <w:tr2bl w:val="nil"/>
                  </w:tcBorders>
                  <w:noWrap/>
                  <w:vAlign w:val="center"/>
                </w:tcPr>
                <w:p w14:paraId="0C2F7375">
                  <w:pPr>
                    <w:widowControl/>
                    <w:jc w:val="center"/>
                    <w:textAlignment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509" w:type="pct"/>
                  <w:tcBorders>
                    <w:tl2br w:val="nil"/>
                    <w:tr2bl w:val="nil"/>
                  </w:tcBorders>
                  <w:noWrap/>
                  <w:vAlign w:val="center"/>
                </w:tcPr>
                <w:p w14:paraId="5D3230D2">
                  <w:pPr>
                    <w:widowControl/>
                    <w:jc w:val="center"/>
                    <w:textAlignment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1台</w:t>
                  </w:r>
                </w:p>
              </w:tc>
              <w:tc>
                <w:tcPr>
                  <w:tcW w:w="650" w:type="pct"/>
                  <w:vMerge w:val="continue"/>
                  <w:tcBorders>
                    <w:tl2br w:val="nil"/>
                    <w:tr2bl w:val="nil"/>
                  </w:tcBorders>
                  <w:noWrap w:val="0"/>
                  <w:vAlign w:val="center"/>
                </w:tcPr>
                <w:p w14:paraId="75570D7D">
                  <w:pPr>
                    <w:widowControl/>
                    <w:jc w:val="center"/>
                    <w:textAlignment w:val="center"/>
                    <w:rPr>
                      <w:rFonts w:hint="eastAsia"/>
                      <w:color w:val="000000" w:themeColor="text1"/>
                      <w:szCs w:val="21"/>
                      <w:lang w:val="en-US" w:eastAsia="zh-CN"/>
                      <w14:textFill>
                        <w14:solidFill>
                          <w14:schemeClr w14:val="tx1"/>
                        </w14:solidFill>
                      </w14:textFill>
                    </w:rPr>
                  </w:pPr>
                </w:p>
              </w:tc>
            </w:tr>
            <w:tr w14:paraId="44CD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87" w:type="pct"/>
                  <w:tcBorders>
                    <w:tl2br w:val="nil"/>
                    <w:tr2bl w:val="nil"/>
                  </w:tcBorders>
                  <w:noWrap/>
                  <w:vAlign w:val="center"/>
                </w:tcPr>
                <w:p w14:paraId="0584C6FD">
                  <w:pPr>
                    <w:widowControl/>
                    <w:numPr>
                      <w:ilvl w:val="0"/>
                      <w:numId w:val="0"/>
                    </w:numPr>
                    <w:ind w:leftChars="0"/>
                    <w:jc w:val="center"/>
                    <w:textAlignment w:val="center"/>
                    <w:rPr>
                      <w:rFonts w:hint="default" w:eastAsia="宋体"/>
                      <w:color w:val="000000" w:themeColor="text1"/>
                      <w:szCs w:val="21"/>
                      <w:lang w:val="en-US" w:eastAsia="zh-CN"/>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10</w:t>
                  </w:r>
                </w:p>
              </w:tc>
              <w:tc>
                <w:tcPr>
                  <w:tcW w:w="446" w:type="pct"/>
                  <w:vMerge w:val="restart"/>
                  <w:tcBorders>
                    <w:tl2br w:val="nil"/>
                    <w:tr2bl w:val="nil"/>
                  </w:tcBorders>
                  <w:noWrap/>
                  <w:vAlign w:val="center"/>
                </w:tcPr>
                <w:p w14:paraId="2EFA4840">
                  <w:pPr>
                    <w:jc w:val="center"/>
                    <w:textAlignment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制瓦车间</w:t>
                  </w:r>
                </w:p>
              </w:tc>
              <w:tc>
                <w:tcPr>
                  <w:tcW w:w="1006" w:type="pct"/>
                  <w:tcBorders>
                    <w:tl2br w:val="nil"/>
                    <w:tr2bl w:val="nil"/>
                  </w:tcBorders>
                  <w:noWrap/>
                  <w:vAlign w:val="center"/>
                </w:tcPr>
                <w:p w14:paraId="1E51E8A1">
                  <w:pPr>
                    <w:widowControl/>
                    <w:jc w:val="center"/>
                    <w:textAlignment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真空瓦机</w:t>
                  </w:r>
                </w:p>
              </w:tc>
              <w:tc>
                <w:tcPr>
                  <w:tcW w:w="1062" w:type="pct"/>
                  <w:tcBorders>
                    <w:tl2br w:val="nil"/>
                    <w:tr2bl w:val="nil"/>
                  </w:tcBorders>
                  <w:noWrap/>
                  <w:vAlign w:val="center"/>
                </w:tcPr>
                <w:p w14:paraId="67A1D116">
                  <w:pPr>
                    <w:widowControl/>
                    <w:jc w:val="center"/>
                    <w:textAlignment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300</w:t>
                  </w:r>
                </w:p>
              </w:tc>
              <w:tc>
                <w:tcPr>
                  <w:tcW w:w="528" w:type="pct"/>
                  <w:vMerge w:val="restart"/>
                  <w:tcBorders>
                    <w:tl2br w:val="nil"/>
                    <w:tr2bl w:val="nil"/>
                  </w:tcBorders>
                  <w:noWrap/>
                  <w:vAlign w:val="center"/>
                </w:tcPr>
                <w:p w14:paraId="77391799">
                  <w:pPr>
                    <w:jc w:val="center"/>
                    <w:textAlignment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制瓦</w:t>
                  </w:r>
                </w:p>
              </w:tc>
              <w:tc>
                <w:tcPr>
                  <w:tcW w:w="408" w:type="pct"/>
                  <w:tcBorders>
                    <w:tl2br w:val="nil"/>
                    <w:tr2bl w:val="nil"/>
                  </w:tcBorders>
                  <w:noWrap/>
                  <w:vAlign w:val="center"/>
                </w:tcPr>
                <w:p w14:paraId="715F30DB">
                  <w:pPr>
                    <w:widowControl/>
                    <w:jc w:val="center"/>
                    <w:textAlignment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2</w:t>
                  </w:r>
                  <w:r>
                    <w:rPr>
                      <w:rFonts w:hint="eastAsia"/>
                      <w:color w:val="000000" w:themeColor="text1"/>
                      <w:szCs w:val="21"/>
                      <w14:textFill>
                        <w14:solidFill>
                          <w14:schemeClr w14:val="tx1"/>
                        </w14:solidFill>
                      </w14:textFill>
                    </w:rPr>
                    <w:t>台</w:t>
                  </w:r>
                </w:p>
              </w:tc>
              <w:tc>
                <w:tcPr>
                  <w:tcW w:w="509" w:type="pct"/>
                  <w:tcBorders>
                    <w:tl2br w:val="nil"/>
                    <w:tr2bl w:val="nil"/>
                  </w:tcBorders>
                  <w:noWrap/>
                  <w:vAlign w:val="center"/>
                </w:tcPr>
                <w:p w14:paraId="21F34F66">
                  <w:pPr>
                    <w:widowControl/>
                    <w:jc w:val="center"/>
                    <w:textAlignment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650" w:type="pct"/>
                  <w:tcBorders>
                    <w:tl2br w:val="nil"/>
                    <w:tr2bl w:val="nil"/>
                  </w:tcBorders>
                  <w:noWrap w:val="0"/>
                  <w:vAlign w:val="center"/>
                </w:tcPr>
                <w:p w14:paraId="6EDA6805">
                  <w:pPr>
                    <w:widowControl/>
                    <w:jc w:val="center"/>
                    <w:textAlignment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1.5万片/h</w:t>
                  </w:r>
                </w:p>
              </w:tc>
            </w:tr>
            <w:tr w14:paraId="58385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87" w:type="pct"/>
                  <w:tcBorders>
                    <w:tl2br w:val="nil"/>
                    <w:tr2bl w:val="nil"/>
                  </w:tcBorders>
                  <w:noWrap/>
                  <w:vAlign w:val="center"/>
                </w:tcPr>
                <w:p w14:paraId="5F290ED3">
                  <w:pPr>
                    <w:widowControl/>
                    <w:numPr>
                      <w:ilvl w:val="0"/>
                      <w:numId w:val="0"/>
                    </w:numPr>
                    <w:ind w:leftChars="0"/>
                    <w:jc w:val="center"/>
                    <w:textAlignment w:val="center"/>
                    <w:rPr>
                      <w:rFonts w:hint="default" w:eastAsia="宋体"/>
                      <w:color w:val="000000" w:themeColor="text1"/>
                      <w:szCs w:val="21"/>
                      <w:lang w:val="en-US" w:eastAsia="zh-CN"/>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11</w:t>
                  </w:r>
                </w:p>
              </w:tc>
              <w:tc>
                <w:tcPr>
                  <w:tcW w:w="446" w:type="pct"/>
                  <w:vMerge w:val="continue"/>
                  <w:tcBorders>
                    <w:tl2br w:val="nil"/>
                    <w:tr2bl w:val="nil"/>
                  </w:tcBorders>
                  <w:noWrap/>
                  <w:vAlign w:val="center"/>
                </w:tcPr>
                <w:p w14:paraId="2138446B">
                  <w:pPr>
                    <w:widowControl/>
                    <w:jc w:val="center"/>
                    <w:textAlignment w:val="center"/>
                    <w:rPr>
                      <w:color w:val="000000" w:themeColor="text1"/>
                      <w:szCs w:val="21"/>
                      <w14:textFill>
                        <w14:solidFill>
                          <w14:schemeClr w14:val="tx1"/>
                        </w14:solidFill>
                      </w14:textFill>
                    </w:rPr>
                  </w:pPr>
                </w:p>
              </w:tc>
              <w:tc>
                <w:tcPr>
                  <w:tcW w:w="1006" w:type="pct"/>
                  <w:tcBorders>
                    <w:tl2br w:val="nil"/>
                    <w:tr2bl w:val="nil"/>
                  </w:tcBorders>
                  <w:noWrap/>
                  <w:vAlign w:val="center"/>
                </w:tcPr>
                <w:p w14:paraId="28A7DE3E">
                  <w:pPr>
                    <w:widowControl/>
                    <w:jc w:val="center"/>
                    <w:textAlignment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切条机</w:t>
                  </w:r>
                </w:p>
              </w:tc>
              <w:tc>
                <w:tcPr>
                  <w:tcW w:w="1062" w:type="pct"/>
                  <w:tcBorders>
                    <w:tl2br w:val="nil"/>
                    <w:tr2bl w:val="nil"/>
                  </w:tcBorders>
                  <w:noWrap/>
                  <w:vAlign w:val="center"/>
                </w:tcPr>
                <w:p w14:paraId="1868649C">
                  <w:pPr>
                    <w:widowControl/>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QPJ-1</w:t>
                  </w:r>
                </w:p>
              </w:tc>
              <w:tc>
                <w:tcPr>
                  <w:tcW w:w="528" w:type="pct"/>
                  <w:vMerge w:val="continue"/>
                  <w:tcBorders>
                    <w:tl2br w:val="nil"/>
                    <w:tr2bl w:val="nil"/>
                  </w:tcBorders>
                  <w:noWrap/>
                  <w:vAlign w:val="center"/>
                </w:tcPr>
                <w:p w14:paraId="469FC18E">
                  <w:pPr>
                    <w:widowControl/>
                    <w:jc w:val="center"/>
                    <w:textAlignment w:val="center"/>
                    <w:rPr>
                      <w:color w:val="000000" w:themeColor="text1"/>
                      <w:szCs w:val="21"/>
                      <w14:textFill>
                        <w14:solidFill>
                          <w14:schemeClr w14:val="tx1"/>
                        </w14:solidFill>
                      </w14:textFill>
                    </w:rPr>
                  </w:pPr>
                </w:p>
              </w:tc>
              <w:tc>
                <w:tcPr>
                  <w:tcW w:w="408" w:type="pct"/>
                  <w:tcBorders>
                    <w:tl2br w:val="nil"/>
                    <w:tr2bl w:val="nil"/>
                  </w:tcBorders>
                  <w:noWrap/>
                  <w:vAlign w:val="center"/>
                </w:tcPr>
                <w:p w14:paraId="7BA4B92E">
                  <w:pPr>
                    <w:widowControl/>
                    <w:jc w:val="center"/>
                    <w:textAlignment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2</w:t>
                  </w:r>
                  <w:r>
                    <w:rPr>
                      <w:color w:val="000000" w:themeColor="text1"/>
                      <w:szCs w:val="21"/>
                      <w14:textFill>
                        <w14:solidFill>
                          <w14:schemeClr w14:val="tx1"/>
                        </w14:solidFill>
                      </w14:textFill>
                    </w:rPr>
                    <w:t>台</w:t>
                  </w:r>
                </w:p>
              </w:tc>
              <w:tc>
                <w:tcPr>
                  <w:tcW w:w="509" w:type="pct"/>
                  <w:tcBorders>
                    <w:tl2br w:val="nil"/>
                    <w:tr2bl w:val="nil"/>
                  </w:tcBorders>
                  <w:noWrap/>
                  <w:vAlign w:val="center"/>
                </w:tcPr>
                <w:p w14:paraId="424D21DD">
                  <w:pPr>
                    <w:widowControl/>
                    <w:jc w:val="center"/>
                    <w:textAlignment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650" w:type="pct"/>
                  <w:tcBorders>
                    <w:tl2br w:val="nil"/>
                    <w:tr2bl w:val="nil"/>
                  </w:tcBorders>
                  <w:noWrap w:val="0"/>
                  <w:vAlign w:val="center"/>
                </w:tcPr>
                <w:p w14:paraId="6887709B">
                  <w:pPr>
                    <w:widowControl/>
                    <w:jc w:val="center"/>
                    <w:textAlignment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1.5万片/h</w:t>
                  </w:r>
                </w:p>
              </w:tc>
            </w:tr>
            <w:tr w14:paraId="66EFA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87" w:type="pct"/>
                  <w:tcBorders>
                    <w:tl2br w:val="nil"/>
                    <w:tr2bl w:val="nil"/>
                  </w:tcBorders>
                  <w:noWrap/>
                  <w:vAlign w:val="center"/>
                </w:tcPr>
                <w:p w14:paraId="68C9B5D0">
                  <w:pPr>
                    <w:widowControl/>
                    <w:numPr>
                      <w:ilvl w:val="0"/>
                      <w:numId w:val="0"/>
                    </w:numPr>
                    <w:ind w:leftChars="0"/>
                    <w:jc w:val="center"/>
                    <w:textAlignment w:val="center"/>
                    <w:rPr>
                      <w:rFonts w:hint="default" w:eastAsia="宋体"/>
                      <w:color w:val="000000" w:themeColor="text1"/>
                      <w:szCs w:val="21"/>
                      <w:lang w:val="en-US" w:eastAsia="zh-CN"/>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12</w:t>
                  </w:r>
                </w:p>
              </w:tc>
              <w:tc>
                <w:tcPr>
                  <w:tcW w:w="446" w:type="pct"/>
                  <w:vMerge w:val="continue"/>
                  <w:tcBorders>
                    <w:tl2br w:val="nil"/>
                    <w:tr2bl w:val="nil"/>
                  </w:tcBorders>
                  <w:noWrap/>
                  <w:vAlign w:val="center"/>
                </w:tcPr>
                <w:p w14:paraId="1A125AF5">
                  <w:pPr>
                    <w:widowControl/>
                    <w:jc w:val="center"/>
                    <w:textAlignment w:val="center"/>
                    <w:rPr>
                      <w:color w:val="000000" w:themeColor="text1"/>
                      <w:szCs w:val="21"/>
                      <w14:textFill>
                        <w14:solidFill>
                          <w14:schemeClr w14:val="tx1"/>
                        </w14:solidFill>
                      </w14:textFill>
                    </w:rPr>
                  </w:pPr>
                </w:p>
              </w:tc>
              <w:tc>
                <w:tcPr>
                  <w:tcW w:w="1006" w:type="pct"/>
                  <w:tcBorders>
                    <w:tl2br w:val="nil"/>
                    <w:tr2bl w:val="nil"/>
                  </w:tcBorders>
                  <w:noWrap/>
                  <w:vAlign w:val="center"/>
                </w:tcPr>
                <w:p w14:paraId="199CDCD4">
                  <w:pPr>
                    <w:widowControl/>
                    <w:jc w:val="center"/>
                    <w:textAlignment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切坯机</w:t>
                  </w:r>
                </w:p>
              </w:tc>
              <w:tc>
                <w:tcPr>
                  <w:tcW w:w="1062" w:type="pct"/>
                  <w:tcBorders>
                    <w:tl2br w:val="nil"/>
                    <w:tr2bl w:val="nil"/>
                  </w:tcBorders>
                  <w:noWrap/>
                  <w:vAlign w:val="center"/>
                </w:tcPr>
                <w:p w14:paraId="0C21CCF2">
                  <w:pPr>
                    <w:widowControl/>
                    <w:jc w:val="center"/>
                    <w:rPr>
                      <w:color w:val="000000" w:themeColor="text1"/>
                      <w:szCs w:val="21"/>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w:t>
                  </w:r>
                </w:p>
              </w:tc>
              <w:tc>
                <w:tcPr>
                  <w:tcW w:w="528" w:type="pct"/>
                  <w:vMerge w:val="continue"/>
                  <w:tcBorders>
                    <w:tl2br w:val="nil"/>
                    <w:tr2bl w:val="nil"/>
                  </w:tcBorders>
                  <w:noWrap/>
                  <w:vAlign w:val="center"/>
                </w:tcPr>
                <w:p w14:paraId="0B6ACEDF">
                  <w:pPr>
                    <w:widowControl/>
                    <w:jc w:val="center"/>
                    <w:textAlignment w:val="center"/>
                    <w:rPr>
                      <w:color w:val="000000" w:themeColor="text1"/>
                      <w:szCs w:val="21"/>
                      <w14:textFill>
                        <w14:solidFill>
                          <w14:schemeClr w14:val="tx1"/>
                        </w14:solidFill>
                      </w14:textFill>
                    </w:rPr>
                  </w:pPr>
                </w:p>
              </w:tc>
              <w:tc>
                <w:tcPr>
                  <w:tcW w:w="408" w:type="pct"/>
                  <w:tcBorders>
                    <w:tl2br w:val="nil"/>
                    <w:tr2bl w:val="nil"/>
                  </w:tcBorders>
                  <w:noWrap/>
                  <w:vAlign w:val="center"/>
                </w:tcPr>
                <w:p w14:paraId="71E5ED2C">
                  <w:pPr>
                    <w:widowControl/>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2台</w:t>
                  </w:r>
                </w:p>
              </w:tc>
              <w:tc>
                <w:tcPr>
                  <w:tcW w:w="509" w:type="pct"/>
                  <w:tcBorders>
                    <w:tl2br w:val="nil"/>
                    <w:tr2bl w:val="nil"/>
                  </w:tcBorders>
                  <w:noWrap/>
                  <w:vAlign w:val="center"/>
                </w:tcPr>
                <w:p w14:paraId="37F985C8">
                  <w:pPr>
                    <w:widowControl/>
                    <w:jc w:val="center"/>
                    <w:textAlignment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650" w:type="pct"/>
                  <w:tcBorders>
                    <w:tl2br w:val="nil"/>
                    <w:tr2bl w:val="nil"/>
                  </w:tcBorders>
                  <w:noWrap w:val="0"/>
                  <w:vAlign w:val="center"/>
                </w:tcPr>
                <w:p w14:paraId="6A0F3C4B">
                  <w:pPr>
                    <w:widowControl/>
                    <w:jc w:val="center"/>
                    <w:textAlignment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1.5万片/h</w:t>
                  </w:r>
                </w:p>
              </w:tc>
            </w:tr>
            <w:tr w14:paraId="28E4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87" w:type="pct"/>
                  <w:tcBorders>
                    <w:tl2br w:val="nil"/>
                    <w:tr2bl w:val="nil"/>
                  </w:tcBorders>
                  <w:noWrap/>
                  <w:vAlign w:val="center"/>
                </w:tcPr>
                <w:p w14:paraId="52F71149">
                  <w:pPr>
                    <w:widowControl/>
                    <w:numPr>
                      <w:ilvl w:val="0"/>
                      <w:numId w:val="0"/>
                    </w:numPr>
                    <w:ind w:leftChars="0"/>
                    <w:jc w:val="center"/>
                    <w:textAlignment w:val="center"/>
                    <w:rPr>
                      <w:rFonts w:hint="default" w:eastAsia="宋体"/>
                      <w:color w:val="000000" w:themeColor="text1"/>
                      <w:szCs w:val="21"/>
                      <w:lang w:val="en-US" w:eastAsia="zh-CN"/>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13</w:t>
                  </w:r>
                </w:p>
              </w:tc>
              <w:tc>
                <w:tcPr>
                  <w:tcW w:w="446" w:type="pct"/>
                  <w:vMerge w:val="continue"/>
                  <w:tcBorders>
                    <w:tl2br w:val="nil"/>
                    <w:tr2bl w:val="nil"/>
                  </w:tcBorders>
                  <w:noWrap/>
                  <w:vAlign w:val="center"/>
                </w:tcPr>
                <w:p w14:paraId="146CDD93">
                  <w:pPr>
                    <w:widowControl/>
                    <w:jc w:val="center"/>
                    <w:textAlignment w:val="center"/>
                    <w:rPr>
                      <w:color w:val="000000" w:themeColor="text1"/>
                      <w:szCs w:val="21"/>
                      <w14:textFill>
                        <w14:solidFill>
                          <w14:schemeClr w14:val="tx1"/>
                        </w14:solidFill>
                      </w14:textFill>
                    </w:rPr>
                  </w:pPr>
                </w:p>
              </w:tc>
              <w:tc>
                <w:tcPr>
                  <w:tcW w:w="1006" w:type="pct"/>
                  <w:tcBorders>
                    <w:tl2br w:val="nil"/>
                    <w:tr2bl w:val="nil"/>
                  </w:tcBorders>
                  <w:noWrap/>
                  <w:vAlign w:val="center"/>
                </w:tcPr>
                <w:p w14:paraId="09A183F1">
                  <w:pPr>
                    <w:widowControl/>
                    <w:jc w:val="center"/>
                    <w:textAlignment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皮带输送机</w:t>
                  </w:r>
                </w:p>
              </w:tc>
              <w:tc>
                <w:tcPr>
                  <w:tcW w:w="1062" w:type="pct"/>
                  <w:tcBorders>
                    <w:tl2br w:val="nil"/>
                    <w:tr2bl w:val="nil"/>
                  </w:tcBorders>
                  <w:noWrap/>
                  <w:vAlign w:val="center"/>
                </w:tcPr>
                <w:p w14:paraId="108F1A84">
                  <w:pPr>
                    <w:widowControl/>
                    <w:jc w:val="center"/>
                    <w:textAlignment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c>
                <w:tcPr>
                  <w:tcW w:w="528" w:type="pct"/>
                  <w:tcBorders>
                    <w:tl2br w:val="nil"/>
                    <w:tr2bl w:val="nil"/>
                  </w:tcBorders>
                  <w:noWrap/>
                  <w:vAlign w:val="center"/>
                </w:tcPr>
                <w:p w14:paraId="55493885">
                  <w:pPr>
                    <w:widowControl/>
                    <w:jc w:val="center"/>
                    <w:textAlignment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物料输送</w:t>
                  </w:r>
                </w:p>
              </w:tc>
              <w:tc>
                <w:tcPr>
                  <w:tcW w:w="408" w:type="pct"/>
                  <w:tcBorders>
                    <w:tl2br w:val="nil"/>
                    <w:tr2bl w:val="nil"/>
                  </w:tcBorders>
                  <w:noWrap/>
                  <w:vAlign w:val="center"/>
                </w:tcPr>
                <w:p w14:paraId="6D43E761">
                  <w:pPr>
                    <w:widowControl/>
                    <w:jc w:val="center"/>
                    <w:textAlignment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3条</w:t>
                  </w:r>
                </w:p>
              </w:tc>
              <w:tc>
                <w:tcPr>
                  <w:tcW w:w="509" w:type="pct"/>
                  <w:tcBorders>
                    <w:tl2br w:val="nil"/>
                    <w:tr2bl w:val="nil"/>
                  </w:tcBorders>
                  <w:noWrap/>
                  <w:vAlign w:val="center"/>
                </w:tcPr>
                <w:p w14:paraId="15EE1D7A">
                  <w:pPr>
                    <w:widowControl/>
                    <w:jc w:val="center"/>
                    <w:textAlignment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650" w:type="pct"/>
                  <w:tcBorders>
                    <w:tl2br w:val="nil"/>
                    <w:tr2bl w:val="nil"/>
                  </w:tcBorders>
                  <w:noWrap w:val="0"/>
                  <w:vAlign w:val="center"/>
                </w:tcPr>
                <w:p w14:paraId="4C7E313D">
                  <w:pPr>
                    <w:widowControl/>
                    <w:jc w:val="center"/>
                    <w:textAlignment w:val="center"/>
                    <w:rPr>
                      <w:color w:val="000000" w:themeColor="text1"/>
                      <w:szCs w:val="21"/>
                      <w:highlight w:val="none"/>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r>
            <w:tr w14:paraId="048C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87" w:type="pct"/>
                  <w:tcBorders>
                    <w:tl2br w:val="nil"/>
                    <w:tr2bl w:val="nil"/>
                  </w:tcBorders>
                  <w:noWrap/>
                  <w:vAlign w:val="center"/>
                </w:tcPr>
                <w:p w14:paraId="6640CCB0">
                  <w:pPr>
                    <w:widowControl/>
                    <w:numPr>
                      <w:ilvl w:val="0"/>
                      <w:numId w:val="0"/>
                    </w:numPr>
                    <w:ind w:leftChars="0"/>
                    <w:jc w:val="center"/>
                    <w:textAlignment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14</w:t>
                  </w:r>
                </w:p>
              </w:tc>
              <w:tc>
                <w:tcPr>
                  <w:tcW w:w="446" w:type="pct"/>
                  <w:vMerge w:val="restart"/>
                  <w:tcBorders>
                    <w:tl2br w:val="nil"/>
                    <w:tr2bl w:val="nil"/>
                  </w:tcBorders>
                  <w:noWrap/>
                  <w:vAlign w:val="center"/>
                </w:tcPr>
                <w:p w14:paraId="6D55C6FA">
                  <w:pPr>
                    <w:widowControl/>
                    <w:jc w:val="center"/>
                    <w:textAlignment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炉窑废气治理</w:t>
                  </w:r>
                </w:p>
              </w:tc>
              <w:tc>
                <w:tcPr>
                  <w:tcW w:w="1006" w:type="pct"/>
                  <w:tcBorders>
                    <w:tl2br w:val="nil"/>
                    <w:tr2bl w:val="nil"/>
                  </w:tcBorders>
                  <w:noWrap/>
                  <w:vAlign w:val="center"/>
                </w:tcPr>
                <w:p w14:paraId="0E066231">
                  <w:pPr>
                    <w:widowControl/>
                    <w:jc w:val="center"/>
                    <w:textAlignment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脱硫除尘塔</w:t>
                  </w:r>
                </w:p>
              </w:tc>
              <w:tc>
                <w:tcPr>
                  <w:tcW w:w="1062" w:type="pct"/>
                  <w:tcBorders>
                    <w:tl2br w:val="nil"/>
                    <w:tr2bl w:val="nil"/>
                  </w:tcBorders>
                  <w:noWrap/>
                  <w:vAlign w:val="center"/>
                </w:tcPr>
                <w:p w14:paraId="0A74E722">
                  <w:pPr>
                    <w:widowControl/>
                    <w:jc w:val="center"/>
                    <w:textAlignment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Φ2600×13000</w:t>
                  </w:r>
                </w:p>
              </w:tc>
              <w:tc>
                <w:tcPr>
                  <w:tcW w:w="528" w:type="pct"/>
                  <w:vMerge w:val="restart"/>
                  <w:tcBorders>
                    <w:tl2br w:val="nil"/>
                    <w:tr2bl w:val="nil"/>
                  </w:tcBorders>
                  <w:noWrap/>
                  <w:vAlign w:val="center"/>
                </w:tcPr>
                <w:p w14:paraId="6B626011">
                  <w:pPr>
                    <w:widowControl/>
                    <w:jc w:val="center"/>
                    <w:textAlignment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炉窑废气治理</w:t>
                  </w:r>
                </w:p>
              </w:tc>
              <w:tc>
                <w:tcPr>
                  <w:tcW w:w="408" w:type="pct"/>
                  <w:tcBorders>
                    <w:tl2br w:val="nil"/>
                    <w:tr2bl w:val="nil"/>
                  </w:tcBorders>
                  <w:noWrap/>
                  <w:vAlign w:val="center"/>
                </w:tcPr>
                <w:p w14:paraId="28E388D6">
                  <w:pPr>
                    <w:widowControl/>
                    <w:jc w:val="center"/>
                    <w:textAlignment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1套</w:t>
                  </w:r>
                </w:p>
              </w:tc>
              <w:tc>
                <w:tcPr>
                  <w:tcW w:w="509" w:type="pct"/>
                  <w:tcBorders>
                    <w:tl2br w:val="nil"/>
                    <w:tr2bl w:val="nil"/>
                  </w:tcBorders>
                  <w:noWrap/>
                  <w:vAlign w:val="center"/>
                </w:tcPr>
                <w:p w14:paraId="751F5D08">
                  <w:pPr>
                    <w:widowControl/>
                    <w:jc w:val="center"/>
                    <w:textAlignment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650" w:type="pct"/>
                  <w:vMerge w:val="restart"/>
                  <w:tcBorders>
                    <w:tl2br w:val="nil"/>
                    <w:tr2bl w:val="nil"/>
                  </w:tcBorders>
                  <w:noWrap w:val="0"/>
                  <w:vAlign w:val="center"/>
                </w:tcPr>
                <w:p w14:paraId="6839E95C">
                  <w:pPr>
                    <w:widowControl/>
                    <w:jc w:val="center"/>
                    <w:textAlignment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r>
            <w:tr w14:paraId="389F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87" w:type="pct"/>
                  <w:tcBorders>
                    <w:tl2br w:val="nil"/>
                    <w:tr2bl w:val="nil"/>
                  </w:tcBorders>
                  <w:noWrap/>
                  <w:vAlign w:val="center"/>
                </w:tcPr>
                <w:p w14:paraId="6EB378B2">
                  <w:pPr>
                    <w:widowControl/>
                    <w:numPr>
                      <w:ilvl w:val="0"/>
                      <w:numId w:val="0"/>
                    </w:numPr>
                    <w:ind w:leftChars="0"/>
                    <w:jc w:val="center"/>
                    <w:textAlignment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15</w:t>
                  </w:r>
                </w:p>
              </w:tc>
              <w:tc>
                <w:tcPr>
                  <w:tcW w:w="446" w:type="pct"/>
                  <w:vMerge w:val="continue"/>
                  <w:tcBorders>
                    <w:tl2br w:val="nil"/>
                    <w:tr2bl w:val="nil"/>
                  </w:tcBorders>
                  <w:noWrap/>
                  <w:vAlign w:val="center"/>
                </w:tcPr>
                <w:p w14:paraId="42697486">
                  <w:pPr>
                    <w:widowControl/>
                    <w:jc w:val="center"/>
                    <w:textAlignment w:val="center"/>
                    <w:rPr>
                      <w:rFonts w:hint="eastAsia"/>
                      <w:color w:val="000000" w:themeColor="text1"/>
                      <w:szCs w:val="21"/>
                      <w:lang w:val="en-US" w:eastAsia="zh-CN"/>
                      <w14:textFill>
                        <w14:solidFill>
                          <w14:schemeClr w14:val="tx1"/>
                        </w14:solidFill>
                      </w14:textFill>
                    </w:rPr>
                  </w:pPr>
                </w:p>
              </w:tc>
              <w:tc>
                <w:tcPr>
                  <w:tcW w:w="1006" w:type="pct"/>
                  <w:tcBorders>
                    <w:tl2br w:val="nil"/>
                    <w:tr2bl w:val="nil"/>
                  </w:tcBorders>
                  <w:noWrap/>
                  <w:vAlign w:val="center"/>
                </w:tcPr>
                <w:p w14:paraId="69D6798C">
                  <w:pPr>
                    <w:widowControl/>
                    <w:jc w:val="center"/>
                    <w:textAlignment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高温脉冲</w:t>
                  </w:r>
                  <w:r>
                    <w:rPr>
                      <w:rFonts w:hint="eastAsia" w:cs="Times New Roman"/>
                      <w:color w:val="000000" w:themeColor="text1"/>
                      <w:szCs w:val="21"/>
                      <w:lang w:val="en-US" w:eastAsia="zh-CN"/>
                      <w14:textFill>
                        <w14:solidFill>
                          <w14:schemeClr w14:val="tx1"/>
                        </w14:solidFill>
                      </w14:textFill>
                    </w:rPr>
                    <w:t>袋式</w:t>
                  </w:r>
                  <w:r>
                    <w:rPr>
                      <w:rFonts w:hint="eastAsia" w:ascii="Times New Roman" w:hAnsi="Times New Roman" w:eastAsia="宋体" w:cs="Times New Roman"/>
                      <w:color w:val="000000" w:themeColor="text1"/>
                      <w:szCs w:val="21"/>
                      <w:lang w:val="en-US" w:eastAsia="zh-CN"/>
                      <w14:textFill>
                        <w14:solidFill>
                          <w14:schemeClr w14:val="tx1"/>
                        </w14:solidFill>
                      </w14:textFill>
                    </w:rPr>
                    <w:t>除尘器</w:t>
                  </w:r>
                </w:p>
              </w:tc>
              <w:tc>
                <w:tcPr>
                  <w:tcW w:w="1062" w:type="pct"/>
                  <w:tcBorders>
                    <w:tl2br w:val="nil"/>
                    <w:tr2bl w:val="nil"/>
                  </w:tcBorders>
                  <w:noWrap/>
                  <w:vAlign w:val="center"/>
                </w:tcPr>
                <w:p w14:paraId="4A2972FA">
                  <w:pPr>
                    <w:widowControl/>
                    <w:jc w:val="center"/>
                    <w:textAlignment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w:t>
                  </w:r>
                </w:p>
              </w:tc>
              <w:tc>
                <w:tcPr>
                  <w:tcW w:w="528" w:type="pct"/>
                  <w:vMerge w:val="continue"/>
                  <w:tcBorders>
                    <w:tl2br w:val="nil"/>
                    <w:tr2bl w:val="nil"/>
                  </w:tcBorders>
                  <w:noWrap/>
                  <w:vAlign w:val="center"/>
                </w:tcPr>
                <w:p w14:paraId="5964DE65">
                  <w:pPr>
                    <w:widowControl/>
                    <w:jc w:val="center"/>
                    <w:textAlignment w:val="center"/>
                    <w:rPr>
                      <w:rFonts w:hint="eastAsia"/>
                      <w:color w:val="000000" w:themeColor="text1"/>
                      <w:szCs w:val="21"/>
                      <w:lang w:val="en-US" w:eastAsia="zh-CN"/>
                      <w14:textFill>
                        <w14:solidFill>
                          <w14:schemeClr w14:val="tx1"/>
                        </w14:solidFill>
                      </w14:textFill>
                    </w:rPr>
                  </w:pPr>
                </w:p>
              </w:tc>
              <w:tc>
                <w:tcPr>
                  <w:tcW w:w="408" w:type="pct"/>
                  <w:tcBorders>
                    <w:tl2br w:val="nil"/>
                    <w:tr2bl w:val="nil"/>
                  </w:tcBorders>
                  <w:noWrap/>
                  <w:vAlign w:val="center"/>
                </w:tcPr>
                <w:p w14:paraId="2F48B2C7">
                  <w:pPr>
                    <w:widowControl/>
                    <w:jc w:val="center"/>
                    <w:textAlignment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509" w:type="pct"/>
                  <w:tcBorders>
                    <w:tl2br w:val="nil"/>
                    <w:tr2bl w:val="nil"/>
                  </w:tcBorders>
                  <w:noWrap/>
                  <w:vAlign w:val="center"/>
                </w:tcPr>
                <w:p w14:paraId="4F3A0D29">
                  <w:pPr>
                    <w:widowControl/>
                    <w:jc w:val="center"/>
                    <w:textAlignment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1台</w:t>
                  </w:r>
                </w:p>
              </w:tc>
              <w:tc>
                <w:tcPr>
                  <w:tcW w:w="650" w:type="pct"/>
                  <w:vMerge w:val="continue"/>
                  <w:tcBorders>
                    <w:tl2br w:val="nil"/>
                    <w:tr2bl w:val="nil"/>
                  </w:tcBorders>
                  <w:noWrap w:val="0"/>
                  <w:vAlign w:val="center"/>
                </w:tcPr>
                <w:p w14:paraId="232D784A">
                  <w:pPr>
                    <w:widowControl/>
                    <w:jc w:val="center"/>
                    <w:textAlignment w:val="center"/>
                    <w:rPr>
                      <w:rFonts w:hint="eastAsia"/>
                      <w:color w:val="000000" w:themeColor="text1"/>
                      <w:szCs w:val="21"/>
                      <w:lang w:val="en-US" w:eastAsia="zh-CN"/>
                      <w14:textFill>
                        <w14:solidFill>
                          <w14:schemeClr w14:val="tx1"/>
                        </w14:solidFill>
                      </w14:textFill>
                    </w:rPr>
                  </w:pPr>
                </w:p>
              </w:tc>
            </w:tr>
            <w:tr w14:paraId="744A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87" w:type="pct"/>
                  <w:tcBorders>
                    <w:tl2br w:val="nil"/>
                    <w:tr2bl w:val="nil"/>
                  </w:tcBorders>
                  <w:noWrap/>
                  <w:vAlign w:val="center"/>
                </w:tcPr>
                <w:p w14:paraId="5B131DBD">
                  <w:pPr>
                    <w:widowControl/>
                    <w:numPr>
                      <w:ilvl w:val="0"/>
                      <w:numId w:val="0"/>
                    </w:numPr>
                    <w:ind w:leftChars="0"/>
                    <w:jc w:val="center"/>
                    <w:textAlignment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16</w:t>
                  </w:r>
                </w:p>
              </w:tc>
              <w:tc>
                <w:tcPr>
                  <w:tcW w:w="446" w:type="pct"/>
                  <w:vMerge w:val="continue"/>
                  <w:tcBorders>
                    <w:tl2br w:val="nil"/>
                    <w:tr2bl w:val="nil"/>
                  </w:tcBorders>
                  <w:noWrap/>
                  <w:vAlign w:val="center"/>
                </w:tcPr>
                <w:p w14:paraId="05141A5C">
                  <w:pPr>
                    <w:widowControl/>
                    <w:jc w:val="center"/>
                    <w:textAlignment w:val="center"/>
                    <w:rPr>
                      <w:color w:val="000000" w:themeColor="text1"/>
                      <w:szCs w:val="21"/>
                      <w14:textFill>
                        <w14:solidFill>
                          <w14:schemeClr w14:val="tx1"/>
                        </w14:solidFill>
                      </w14:textFill>
                    </w:rPr>
                  </w:pPr>
                </w:p>
              </w:tc>
              <w:tc>
                <w:tcPr>
                  <w:tcW w:w="1006" w:type="pct"/>
                  <w:tcBorders>
                    <w:tl2br w:val="nil"/>
                    <w:tr2bl w:val="nil"/>
                  </w:tcBorders>
                  <w:noWrap/>
                  <w:vAlign w:val="center"/>
                </w:tcPr>
                <w:p w14:paraId="4EAC61C9">
                  <w:pPr>
                    <w:widowControl/>
                    <w:jc w:val="center"/>
                    <w:textAlignment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引风机</w:t>
                  </w:r>
                </w:p>
              </w:tc>
              <w:tc>
                <w:tcPr>
                  <w:tcW w:w="1062" w:type="pct"/>
                  <w:tcBorders>
                    <w:tl2br w:val="nil"/>
                    <w:tr2bl w:val="nil"/>
                  </w:tcBorders>
                  <w:noWrap/>
                  <w:vAlign w:val="center"/>
                </w:tcPr>
                <w:p w14:paraId="59774ECB">
                  <w:pPr>
                    <w:widowControl/>
                    <w:jc w:val="center"/>
                    <w:textAlignment w:val="cente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功率:22kW</w:t>
                  </w:r>
                </w:p>
                <w:p w14:paraId="519671CF">
                  <w:pPr>
                    <w:widowControl/>
                    <w:jc w:val="center"/>
                    <w:textAlignment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风量：</w:t>
                  </w:r>
                  <w:r>
                    <w:rPr>
                      <w:rFonts w:hint="eastAsia" w:cs="Times New Roman"/>
                      <w:color w:val="000000" w:themeColor="text1"/>
                      <w:szCs w:val="21"/>
                      <w:highlight w:val="none"/>
                      <w:lang w:val="en-US" w:eastAsia="zh-CN"/>
                      <w14:textFill>
                        <w14:solidFill>
                          <w14:schemeClr w14:val="tx1"/>
                        </w14:solidFill>
                      </w14:textFill>
                    </w:rPr>
                    <w:t>40</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000m</w:t>
                  </w:r>
                  <w:r>
                    <w:rPr>
                      <w:rFonts w:hint="eastAsia" w:ascii="Times New Roman" w:hAnsi="Times New Roman" w:eastAsia="宋体" w:cs="Times New Roman"/>
                      <w:color w:val="000000" w:themeColor="text1"/>
                      <w:szCs w:val="21"/>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/h</w:t>
                  </w:r>
                </w:p>
              </w:tc>
              <w:tc>
                <w:tcPr>
                  <w:tcW w:w="528" w:type="pct"/>
                  <w:vMerge w:val="continue"/>
                  <w:tcBorders>
                    <w:tl2br w:val="nil"/>
                    <w:tr2bl w:val="nil"/>
                  </w:tcBorders>
                  <w:noWrap/>
                  <w:vAlign w:val="center"/>
                </w:tcPr>
                <w:p w14:paraId="76D5EE7D">
                  <w:pPr>
                    <w:widowControl/>
                    <w:jc w:val="center"/>
                    <w:textAlignment w:val="center"/>
                    <w:rPr>
                      <w:rFonts w:hint="eastAsia"/>
                      <w:color w:val="000000" w:themeColor="text1"/>
                      <w:szCs w:val="21"/>
                      <w:lang w:val="en-US" w:eastAsia="zh-CN"/>
                      <w14:textFill>
                        <w14:solidFill>
                          <w14:schemeClr w14:val="tx1"/>
                        </w14:solidFill>
                      </w14:textFill>
                    </w:rPr>
                  </w:pPr>
                </w:p>
              </w:tc>
              <w:tc>
                <w:tcPr>
                  <w:tcW w:w="408" w:type="pct"/>
                  <w:tcBorders>
                    <w:tl2br w:val="nil"/>
                    <w:tr2bl w:val="nil"/>
                  </w:tcBorders>
                  <w:noWrap/>
                  <w:vAlign w:val="center"/>
                </w:tcPr>
                <w:p w14:paraId="616F60D6">
                  <w:pPr>
                    <w:widowControl/>
                    <w:jc w:val="center"/>
                    <w:textAlignment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509" w:type="pct"/>
                  <w:tcBorders>
                    <w:tl2br w:val="nil"/>
                    <w:tr2bl w:val="nil"/>
                  </w:tcBorders>
                  <w:noWrap/>
                  <w:vAlign w:val="center"/>
                </w:tcPr>
                <w:p w14:paraId="698244DA">
                  <w:pPr>
                    <w:widowControl/>
                    <w:jc w:val="center"/>
                    <w:textAlignment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1台</w:t>
                  </w:r>
                </w:p>
              </w:tc>
              <w:tc>
                <w:tcPr>
                  <w:tcW w:w="650" w:type="pct"/>
                  <w:vMerge w:val="continue"/>
                  <w:tcBorders>
                    <w:tl2br w:val="nil"/>
                    <w:tr2bl w:val="nil"/>
                  </w:tcBorders>
                  <w:noWrap w:val="0"/>
                  <w:vAlign w:val="center"/>
                </w:tcPr>
                <w:p w14:paraId="7C4E57BD">
                  <w:pPr>
                    <w:widowControl/>
                    <w:jc w:val="center"/>
                    <w:textAlignment w:val="center"/>
                    <w:rPr>
                      <w:rFonts w:hint="eastAsia"/>
                      <w:color w:val="000000" w:themeColor="text1"/>
                      <w:szCs w:val="21"/>
                      <w:lang w:val="en-US" w:eastAsia="zh-CN"/>
                      <w14:textFill>
                        <w14:solidFill>
                          <w14:schemeClr w14:val="tx1"/>
                        </w14:solidFill>
                      </w14:textFill>
                    </w:rPr>
                  </w:pPr>
                </w:p>
              </w:tc>
            </w:tr>
            <w:tr w14:paraId="072E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87" w:type="pct"/>
                  <w:tcBorders>
                    <w:tl2br w:val="nil"/>
                    <w:tr2bl w:val="nil"/>
                  </w:tcBorders>
                  <w:noWrap/>
                  <w:vAlign w:val="center"/>
                </w:tcPr>
                <w:p w14:paraId="6F695C69">
                  <w:pPr>
                    <w:widowControl/>
                    <w:numPr>
                      <w:ilvl w:val="0"/>
                      <w:numId w:val="0"/>
                    </w:numPr>
                    <w:ind w:leftChars="0"/>
                    <w:jc w:val="center"/>
                    <w:textAlignment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17</w:t>
                  </w:r>
                </w:p>
              </w:tc>
              <w:tc>
                <w:tcPr>
                  <w:tcW w:w="446" w:type="pct"/>
                  <w:vMerge w:val="continue"/>
                  <w:tcBorders>
                    <w:tl2br w:val="nil"/>
                    <w:tr2bl w:val="nil"/>
                  </w:tcBorders>
                  <w:noWrap/>
                  <w:vAlign w:val="center"/>
                </w:tcPr>
                <w:p w14:paraId="04F43F75">
                  <w:pPr>
                    <w:widowControl/>
                    <w:jc w:val="center"/>
                    <w:textAlignment w:val="center"/>
                    <w:rPr>
                      <w:color w:val="000000" w:themeColor="text1"/>
                      <w:szCs w:val="21"/>
                      <w14:textFill>
                        <w14:solidFill>
                          <w14:schemeClr w14:val="tx1"/>
                        </w14:solidFill>
                      </w14:textFill>
                    </w:rPr>
                  </w:pPr>
                </w:p>
              </w:tc>
              <w:tc>
                <w:tcPr>
                  <w:tcW w:w="1006" w:type="pct"/>
                  <w:tcBorders>
                    <w:tl2br w:val="nil"/>
                    <w:tr2bl w:val="nil"/>
                  </w:tcBorders>
                  <w:noWrap/>
                  <w:vAlign w:val="center"/>
                </w:tcPr>
                <w:p w14:paraId="68F95159">
                  <w:pPr>
                    <w:widowControl/>
                    <w:jc w:val="center"/>
                    <w:textAlignment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耐酸碱循环水泵</w:t>
                  </w:r>
                </w:p>
              </w:tc>
              <w:tc>
                <w:tcPr>
                  <w:tcW w:w="1062" w:type="pct"/>
                  <w:tcBorders>
                    <w:tl2br w:val="nil"/>
                    <w:tr2bl w:val="nil"/>
                  </w:tcBorders>
                  <w:noWrap/>
                  <w:vAlign w:val="center"/>
                </w:tcPr>
                <w:p w14:paraId="23208701">
                  <w:pPr>
                    <w:widowControl/>
                    <w:jc w:val="center"/>
                    <w:textAlignment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功率:15-22.5kW</w:t>
                  </w:r>
                </w:p>
              </w:tc>
              <w:tc>
                <w:tcPr>
                  <w:tcW w:w="528" w:type="pct"/>
                  <w:vMerge w:val="continue"/>
                  <w:tcBorders>
                    <w:tl2br w:val="nil"/>
                    <w:tr2bl w:val="nil"/>
                  </w:tcBorders>
                  <w:noWrap/>
                  <w:vAlign w:val="center"/>
                </w:tcPr>
                <w:p w14:paraId="3846DB5E">
                  <w:pPr>
                    <w:widowControl/>
                    <w:jc w:val="center"/>
                    <w:textAlignment w:val="center"/>
                    <w:rPr>
                      <w:rFonts w:hint="eastAsia"/>
                      <w:color w:val="000000" w:themeColor="text1"/>
                      <w:szCs w:val="21"/>
                      <w:lang w:val="en-US" w:eastAsia="zh-CN"/>
                      <w14:textFill>
                        <w14:solidFill>
                          <w14:schemeClr w14:val="tx1"/>
                        </w14:solidFill>
                      </w14:textFill>
                    </w:rPr>
                  </w:pPr>
                </w:p>
              </w:tc>
              <w:tc>
                <w:tcPr>
                  <w:tcW w:w="408" w:type="pct"/>
                  <w:tcBorders>
                    <w:tl2br w:val="nil"/>
                    <w:tr2bl w:val="nil"/>
                  </w:tcBorders>
                  <w:noWrap/>
                  <w:vAlign w:val="center"/>
                </w:tcPr>
                <w:p w14:paraId="269D6D13">
                  <w:pPr>
                    <w:widowControl/>
                    <w:jc w:val="center"/>
                    <w:textAlignment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2台</w:t>
                  </w:r>
                </w:p>
              </w:tc>
              <w:tc>
                <w:tcPr>
                  <w:tcW w:w="509" w:type="pct"/>
                  <w:tcBorders>
                    <w:tl2br w:val="nil"/>
                    <w:tr2bl w:val="nil"/>
                  </w:tcBorders>
                  <w:noWrap/>
                  <w:vAlign w:val="center"/>
                </w:tcPr>
                <w:p w14:paraId="7857C581">
                  <w:pPr>
                    <w:widowControl/>
                    <w:jc w:val="center"/>
                    <w:textAlignment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650" w:type="pct"/>
                  <w:vMerge w:val="continue"/>
                  <w:tcBorders>
                    <w:tl2br w:val="nil"/>
                    <w:tr2bl w:val="nil"/>
                  </w:tcBorders>
                  <w:noWrap w:val="0"/>
                  <w:vAlign w:val="center"/>
                </w:tcPr>
                <w:p w14:paraId="15A789B5">
                  <w:pPr>
                    <w:widowControl/>
                    <w:jc w:val="center"/>
                    <w:textAlignment w:val="center"/>
                    <w:rPr>
                      <w:rFonts w:hint="eastAsia"/>
                      <w:color w:val="000000" w:themeColor="text1"/>
                      <w:szCs w:val="21"/>
                      <w:lang w:val="en-US" w:eastAsia="zh-CN"/>
                      <w14:textFill>
                        <w14:solidFill>
                          <w14:schemeClr w14:val="tx1"/>
                        </w14:solidFill>
                      </w14:textFill>
                    </w:rPr>
                  </w:pPr>
                </w:p>
              </w:tc>
            </w:tr>
          </w:tbl>
          <w:p w14:paraId="3B5C3C01">
            <w:pPr>
              <w:keepNext w:val="0"/>
              <w:keepLines w:val="0"/>
              <w:pageBreakBefore w:val="0"/>
              <w:kinsoku/>
              <w:overflowPunct/>
              <w:topLinePunct w:val="0"/>
              <w:bidi w:val="0"/>
              <w:snapToGrid/>
              <w:spacing w:line="360" w:lineRule="auto"/>
              <w:ind w:left="0" w:leftChars="0" w:firstLine="482" w:firstLineChars="200"/>
              <w:outlineLvl w:val="9"/>
              <w:rPr>
                <w:rFonts w:hint="eastAsia" w:eastAsia="宋体"/>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5</w:t>
            </w:r>
            <w:r>
              <w:rPr>
                <w:b/>
                <w:bCs/>
                <w:color w:val="000000" w:themeColor="text1"/>
                <w:sz w:val="24"/>
                <w:szCs w:val="24"/>
                <w14:textFill>
                  <w14:solidFill>
                    <w14:schemeClr w14:val="tx1"/>
                  </w14:solidFill>
                </w14:textFill>
              </w:rPr>
              <w:t>、</w:t>
            </w:r>
            <w:r>
              <w:rPr>
                <w:rFonts w:hint="eastAsia"/>
                <w:b/>
                <w:bCs/>
                <w:color w:val="000000" w:themeColor="text1"/>
                <w:sz w:val="24"/>
                <w:szCs w:val="24"/>
                <w14:textFill>
                  <w14:solidFill>
                    <w14:schemeClr w14:val="tx1"/>
                  </w14:solidFill>
                </w14:textFill>
              </w:rPr>
              <w:t>原辅料及</w:t>
            </w:r>
            <w:r>
              <w:rPr>
                <w:rFonts w:hint="eastAsia"/>
                <w:b/>
                <w:bCs/>
                <w:color w:val="000000" w:themeColor="text1"/>
                <w:sz w:val="24"/>
                <w:szCs w:val="24"/>
                <w:lang w:eastAsia="zh-CN"/>
                <w14:textFill>
                  <w14:solidFill>
                    <w14:schemeClr w14:val="tx1"/>
                  </w14:solidFill>
                </w14:textFill>
              </w:rPr>
              <w:t>能耗</w:t>
            </w:r>
          </w:p>
          <w:p w14:paraId="146F4B19">
            <w:pPr>
              <w:keepNext w:val="0"/>
              <w:keepLines w:val="0"/>
              <w:pageBreakBefore w:val="0"/>
              <w:kinsoku/>
              <w:overflowPunct/>
              <w:topLinePunct w:val="0"/>
              <w:bidi w:val="0"/>
              <w:spacing w:line="360" w:lineRule="auto"/>
              <w:ind w:firstLine="482" w:firstLineChars="200"/>
              <w:outlineLvl w:val="9"/>
              <w:rPr>
                <w:rFonts w:hint="default" w:ascii="Times New Roman" w:hAnsi="Times New Roman" w:cs="Times New Roman"/>
                <w:b/>
                <w:bCs/>
                <w:color w:val="000000" w:themeColor="text1"/>
                <w:sz w:val="24"/>
                <w:szCs w:val="24"/>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5.1</w:t>
            </w:r>
            <w:r>
              <w:rPr>
                <w:rFonts w:hint="default" w:ascii="Times New Roman" w:hAnsi="Times New Roman" w:cs="Times New Roman"/>
                <w:b/>
                <w:bCs/>
                <w:color w:val="000000" w:themeColor="text1"/>
                <w:sz w:val="24"/>
                <w:szCs w:val="24"/>
                <w14:textFill>
                  <w14:solidFill>
                    <w14:schemeClr w14:val="tx1"/>
                  </w14:solidFill>
                </w14:textFill>
              </w:rPr>
              <w:t>主要原</w:t>
            </w:r>
            <w:r>
              <w:rPr>
                <w:rFonts w:hint="eastAsia" w:ascii="Times New Roman" w:hAnsi="Times New Roman" w:cs="Times New Roman"/>
                <w:b/>
                <w:bCs/>
                <w:color w:val="000000" w:themeColor="text1"/>
                <w:sz w:val="24"/>
                <w:szCs w:val="24"/>
                <w:lang w:eastAsia="zh-CN"/>
                <w14:textFill>
                  <w14:solidFill>
                    <w14:schemeClr w14:val="tx1"/>
                  </w14:solidFill>
                </w14:textFill>
              </w:rPr>
              <w:t>辅</w:t>
            </w:r>
            <w:r>
              <w:rPr>
                <w:rFonts w:hint="default" w:ascii="Times New Roman" w:hAnsi="Times New Roman" w:cs="Times New Roman"/>
                <w:b/>
                <w:bCs/>
                <w:color w:val="000000" w:themeColor="text1"/>
                <w:sz w:val="24"/>
                <w:szCs w:val="24"/>
                <w14:textFill>
                  <w14:solidFill>
                    <w14:schemeClr w14:val="tx1"/>
                  </w14:solidFill>
                </w14:textFill>
              </w:rPr>
              <w:t>材料及能源消耗</w:t>
            </w:r>
          </w:p>
          <w:p w14:paraId="7BC34A22">
            <w:pPr>
              <w:keepNext w:val="0"/>
              <w:keepLines w:val="0"/>
              <w:pageBreakBefore w:val="0"/>
              <w:kinsoku/>
              <w:overflowPunct/>
              <w:topLinePunct w:val="0"/>
              <w:bidi w:val="0"/>
              <w:spacing w:line="360" w:lineRule="auto"/>
              <w:ind w:firstLine="480" w:firstLineChars="200"/>
              <w:outlineLvl w:val="9"/>
              <w:rPr>
                <w:rFonts w:hint="default" w:ascii="Times New Roman" w:hAnsi="Times New Roman" w:cs="Times New Roman"/>
                <w:color w:val="000000" w:themeColor="text1"/>
                <w:sz w:val="24"/>
                <w:szCs w:val="24"/>
                <w:lang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项目改扩建后燃料仍为生物质颗粒，本项目</w:t>
            </w:r>
            <w:r>
              <w:rPr>
                <w:rFonts w:hint="default" w:ascii="Times New Roman" w:hAnsi="Times New Roman" w:cs="Times New Roman"/>
                <w:color w:val="000000" w:themeColor="text1"/>
                <w:sz w:val="24"/>
                <w:szCs w:val="24"/>
                <w14:textFill>
                  <w14:solidFill>
                    <w14:schemeClr w14:val="tx1"/>
                  </w14:solidFill>
                </w14:textFill>
              </w:rPr>
              <w:t>主要原</w:t>
            </w:r>
            <w:r>
              <w:rPr>
                <w:rFonts w:hint="eastAsia" w:ascii="Times New Roman" w:hAnsi="Times New Roman" w:cs="Times New Roman"/>
                <w:color w:val="000000" w:themeColor="text1"/>
                <w:sz w:val="24"/>
                <w:szCs w:val="24"/>
                <w:lang w:eastAsia="zh-CN"/>
                <w14:textFill>
                  <w14:solidFill>
                    <w14:schemeClr w14:val="tx1"/>
                  </w14:solidFill>
                </w14:textFill>
              </w:rPr>
              <w:t>辅</w:t>
            </w:r>
            <w:r>
              <w:rPr>
                <w:rFonts w:hint="default" w:ascii="Times New Roman" w:hAnsi="Times New Roman" w:cs="Times New Roman"/>
                <w:color w:val="000000" w:themeColor="text1"/>
                <w:sz w:val="24"/>
                <w:szCs w:val="24"/>
                <w14:textFill>
                  <w14:solidFill>
                    <w14:schemeClr w14:val="tx1"/>
                  </w14:solidFill>
                </w14:textFill>
              </w:rPr>
              <w:t>材料及能源消耗情况</w:t>
            </w:r>
            <w:r>
              <w:rPr>
                <w:rFonts w:hint="eastAsia" w:ascii="Times New Roman" w:hAnsi="Times New Roman" w:cs="Times New Roman"/>
                <w:color w:val="000000" w:themeColor="text1"/>
                <w:sz w:val="24"/>
                <w:szCs w:val="24"/>
                <w:lang w:val="en-US" w:eastAsia="zh-CN"/>
                <w14:textFill>
                  <w14:solidFill>
                    <w14:schemeClr w14:val="tx1"/>
                  </w14:solidFill>
                </w14:textFill>
              </w:rPr>
              <w:t>如下表所示</w:t>
            </w:r>
            <w:r>
              <w:rPr>
                <w:rFonts w:hint="default" w:ascii="Times New Roman" w:hAnsi="Times New Roman" w:cs="Times New Roman"/>
                <w:color w:val="000000" w:themeColor="text1"/>
                <w:sz w:val="24"/>
                <w:szCs w:val="24"/>
                <w:lang w:eastAsia="zh-CN"/>
                <w14:textFill>
                  <w14:solidFill>
                    <w14:schemeClr w14:val="tx1"/>
                  </w14:solidFill>
                </w14:textFill>
              </w:rPr>
              <w:t>。</w:t>
            </w:r>
          </w:p>
          <w:p w14:paraId="50056112">
            <w:pPr>
              <w:keepNext w:val="0"/>
              <w:keepLines w:val="0"/>
              <w:pageBreakBefore w:val="0"/>
              <w:widowControl w:val="0"/>
              <w:kinsoku/>
              <w:wordWrap/>
              <w:overflowPunct/>
              <w:topLinePunct w:val="0"/>
              <w:autoSpaceDE/>
              <w:autoSpaceDN/>
              <w:bidi w:val="0"/>
              <w:adjustRightInd w:val="0"/>
              <w:snapToGrid w:val="0"/>
              <w:spacing w:line="276" w:lineRule="auto"/>
              <w:ind w:firstLine="0" w:firstLineChars="0"/>
              <w:jc w:val="center"/>
              <w:textAlignment w:val="auto"/>
              <w:outlineLvl w:val="9"/>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表</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14:textFill>
                  <w14:solidFill>
                    <w14:schemeClr w14:val="tx1"/>
                  </w14:solidFill>
                </w14:textFill>
              </w:rPr>
              <w:t>-</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 xml:space="preserve">7    </w:t>
            </w:r>
            <w:r>
              <w:rPr>
                <w:rFonts w:hint="default" w:ascii="Times New Roman" w:hAnsi="Times New Roman" w:eastAsia="宋体" w:cs="Times New Roman"/>
                <w:b/>
                <w:bCs/>
                <w:color w:val="000000" w:themeColor="text1"/>
                <w:sz w:val="24"/>
                <w:szCs w:val="24"/>
                <w14:textFill>
                  <w14:solidFill>
                    <w14:schemeClr w14:val="tx1"/>
                  </w14:solidFill>
                </w14:textFill>
              </w:rPr>
              <w:t>原材料</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及</w:t>
            </w:r>
            <w:r>
              <w:rPr>
                <w:rFonts w:hint="default" w:ascii="Times New Roman" w:hAnsi="Times New Roman" w:eastAsia="宋体" w:cs="Times New Roman"/>
                <w:b/>
                <w:bCs/>
                <w:color w:val="000000" w:themeColor="text1"/>
                <w:sz w:val="24"/>
                <w:szCs w:val="24"/>
                <w14:textFill>
                  <w14:solidFill>
                    <w14:schemeClr w14:val="tx1"/>
                  </w14:solidFill>
                </w14:textFill>
              </w:rPr>
              <w:t>能源消耗情况一览表</w:t>
            </w:r>
          </w:p>
          <w:tbl>
            <w:tblPr>
              <w:tblStyle w:val="29"/>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1014"/>
              <w:gridCol w:w="797"/>
              <w:gridCol w:w="1101"/>
              <w:gridCol w:w="1048"/>
              <w:gridCol w:w="934"/>
              <w:gridCol w:w="1095"/>
              <w:gridCol w:w="1087"/>
            </w:tblGrid>
            <w:tr w14:paraId="06626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8" w:type="dxa"/>
                  <w:vMerge w:val="restart"/>
                  <w:noWrap w:val="0"/>
                  <w:vAlign w:val="center"/>
                </w:tcPr>
                <w:p w14:paraId="265A4835">
                  <w:pPr>
                    <w:keepNext w:val="0"/>
                    <w:keepLines w:val="0"/>
                    <w:pageBreakBefore w:val="0"/>
                    <w:widowControl/>
                    <w:kinsoku/>
                    <w:wordWrap/>
                    <w:overflowPunct/>
                    <w:topLinePunct w:val="0"/>
                    <w:autoSpaceDE/>
                    <w:autoSpaceDN/>
                    <w:bidi w:val="0"/>
                    <w:adjustRightInd w:val="0"/>
                    <w:snapToGrid w:val="0"/>
                    <w:jc w:val="center"/>
                    <w:rPr>
                      <w:b/>
                      <w:bCs/>
                      <w:color w:val="000000" w:themeColor="text1"/>
                      <w:kern w:val="0"/>
                      <w:szCs w:val="18"/>
                      <w14:textFill>
                        <w14:solidFill>
                          <w14:schemeClr w14:val="tx1"/>
                        </w14:solidFill>
                      </w14:textFill>
                    </w:rPr>
                  </w:pPr>
                  <w:r>
                    <w:rPr>
                      <w:b/>
                      <w:bCs/>
                      <w:color w:val="000000" w:themeColor="text1"/>
                      <w:kern w:val="0"/>
                      <w:szCs w:val="18"/>
                      <w14:textFill>
                        <w14:solidFill>
                          <w14:schemeClr w14:val="tx1"/>
                        </w14:solidFill>
                      </w14:textFill>
                    </w:rPr>
                    <w:t>名称</w:t>
                  </w:r>
                </w:p>
              </w:tc>
              <w:tc>
                <w:tcPr>
                  <w:tcW w:w="1014" w:type="dxa"/>
                  <w:vMerge w:val="restart"/>
                  <w:noWrap w:val="0"/>
                  <w:vAlign w:val="center"/>
                </w:tcPr>
                <w:p w14:paraId="5BEAB6FA">
                  <w:pPr>
                    <w:keepNext w:val="0"/>
                    <w:keepLines w:val="0"/>
                    <w:pageBreakBefore w:val="0"/>
                    <w:widowControl/>
                    <w:kinsoku/>
                    <w:wordWrap/>
                    <w:overflowPunct/>
                    <w:topLinePunct w:val="0"/>
                    <w:autoSpaceDE/>
                    <w:autoSpaceDN/>
                    <w:bidi w:val="0"/>
                    <w:adjustRightInd w:val="0"/>
                    <w:snapToGrid w:val="0"/>
                    <w:jc w:val="center"/>
                    <w:rPr>
                      <w:b/>
                      <w:bCs/>
                      <w:color w:val="000000" w:themeColor="text1"/>
                      <w:kern w:val="0"/>
                      <w:szCs w:val="18"/>
                      <w14:textFill>
                        <w14:solidFill>
                          <w14:schemeClr w14:val="tx1"/>
                        </w14:solidFill>
                      </w14:textFill>
                    </w:rPr>
                  </w:pPr>
                  <w:r>
                    <w:rPr>
                      <w:b/>
                      <w:bCs/>
                      <w:color w:val="000000" w:themeColor="text1"/>
                      <w:kern w:val="0"/>
                      <w:szCs w:val="18"/>
                      <w14:textFill>
                        <w14:solidFill>
                          <w14:schemeClr w14:val="tx1"/>
                        </w14:solidFill>
                      </w14:textFill>
                    </w:rPr>
                    <w:t>单位</w:t>
                  </w:r>
                </w:p>
              </w:tc>
              <w:tc>
                <w:tcPr>
                  <w:tcW w:w="2946" w:type="dxa"/>
                  <w:gridSpan w:val="3"/>
                  <w:noWrap w:val="0"/>
                  <w:vAlign w:val="center"/>
                </w:tcPr>
                <w:p w14:paraId="53FA2C73">
                  <w:pPr>
                    <w:keepNext w:val="0"/>
                    <w:keepLines w:val="0"/>
                    <w:pageBreakBefore w:val="0"/>
                    <w:kinsoku/>
                    <w:wordWrap/>
                    <w:overflowPunct/>
                    <w:topLinePunct w:val="0"/>
                    <w:autoSpaceDE/>
                    <w:autoSpaceDN/>
                    <w:bidi w:val="0"/>
                    <w:adjustRightInd w:val="0"/>
                    <w:snapToGrid w:val="0"/>
                    <w:jc w:val="center"/>
                    <w:rPr>
                      <w:rFonts w:hint="default"/>
                      <w:b/>
                      <w:bCs/>
                      <w:color w:val="000000" w:themeColor="text1"/>
                      <w:szCs w:val="21"/>
                      <w:lang w:val="en-US"/>
                      <w14:textFill>
                        <w14:solidFill>
                          <w14:schemeClr w14:val="tx1"/>
                        </w14:solidFill>
                      </w14:textFill>
                    </w:rPr>
                  </w:pPr>
                  <w:r>
                    <w:rPr>
                      <w:rFonts w:hint="eastAsia"/>
                      <w:b/>
                      <w:bCs/>
                      <w:color w:val="000000" w:themeColor="text1"/>
                      <w:kern w:val="0"/>
                      <w:szCs w:val="18"/>
                      <w:lang w:val="en-US" w:eastAsia="zh-CN"/>
                      <w14:textFill>
                        <w14:solidFill>
                          <w14:schemeClr w14:val="tx1"/>
                        </w14:solidFill>
                      </w14:textFill>
                    </w:rPr>
                    <w:t>年最大使用量</w:t>
                  </w:r>
                </w:p>
              </w:tc>
              <w:tc>
                <w:tcPr>
                  <w:tcW w:w="934" w:type="dxa"/>
                  <w:vMerge w:val="restart"/>
                  <w:noWrap w:val="0"/>
                  <w:vAlign w:val="center"/>
                </w:tcPr>
                <w:p w14:paraId="72AF1EB5">
                  <w:pPr>
                    <w:keepNext w:val="0"/>
                    <w:keepLines w:val="0"/>
                    <w:pageBreakBefore w:val="0"/>
                    <w:widowControl/>
                    <w:kinsoku/>
                    <w:wordWrap/>
                    <w:overflowPunct/>
                    <w:topLinePunct w:val="0"/>
                    <w:autoSpaceDE/>
                    <w:autoSpaceDN/>
                    <w:bidi w:val="0"/>
                    <w:adjustRightInd w:val="0"/>
                    <w:snapToGrid w:val="0"/>
                    <w:jc w:val="center"/>
                    <w:rPr>
                      <w:b/>
                      <w:bCs/>
                      <w:color w:val="000000" w:themeColor="text1"/>
                      <w:kern w:val="0"/>
                      <w:szCs w:val="18"/>
                      <w14:textFill>
                        <w14:solidFill>
                          <w14:schemeClr w14:val="tx1"/>
                        </w14:solidFill>
                      </w14:textFill>
                    </w:rPr>
                  </w:pPr>
                  <w:r>
                    <w:rPr>
                      <w:b/>
                      <w:bCs/>
                      <w:color w:val="000000" w:themeColor="text1"/>
                      <w:kern w:val="0"/>
                      <w:szCs w:val="18"/>
                      <w14:textFill>
                        <w14:solidFill>
                          <w14:schemeClr w14:val="tx1"/>
                        </w14:solidFill>
                      </w14:textFill>
                    </w:rPr>
                    <w:t>厂区内最大暂存量</w:t>
                  </w:r>
                </w:p>
              </w:tc>
              <w:tc>
                <w:tcPr>
                  <w:tcW w:w="1095" w:type="dxa"/>
                  <w:vMerge w:val="restart"/>
                  <w:noWrap w:val="0"/>
                  <w:vAlign w:val="center"/>
                </w:tcPr>
                <w:p w14:paraId="20616C71">
                  <w:pPr>
                    <w:keepNext w:val="0"/>
                    <w:keepLines w:val="0"/>
                    <w:pageBreakBefore w:val="0"/>
                    <w:widowControl/>
                    <w:kinsoku/>
                    <w:wordWrap/>
                    <w:overflowPunct/>
                    <w:topLinePunct w:val="0"/>
                    <w:autoSpaceDE/>
                    <w:autoSpaceDN/>
                    <w:bidi w:val="0"/>
                    <w:adjustRightInd w:val="0"/>
                    <w:snapToGrid w:val="0"/>
                    <w:jc w:val="center"/>
                    <w:rPr>
                      <w:b/>
                      <w:bCs/>
                      <w:color w:val="000000" w:themeColor="text1"/>
                      <w:kern w:val="0"/>
                      <w:szCs w:val="18"/>
                      <w14:textFill>
                        <w14:solidFill>
                          <w14:schemeClr w14:val="tx1"/>
                        </w14:solidFill>
                      </w14:textFill>
                    </w:rPr>
                  </w:pPr>
                  <w:r>
                    <w:rPr>
                      <w:rFonts w:hint="eastAsia"/>
                      <w:b/>
                      <w:bCs/>
                      <w:color w:val="000000" w:themeColor="text1"/>
                      <w:kern w:val="0"/>
                      <w:szCs w:val="18"/>
                      <w14:textFill>
                        <w14:solidFill>
                          <w14:schemeClr w14:val="tx1"/>
                        </w14:solidFill>
                      </w14:textFill>
                    </w:rPr>
                    <w:t>来源</w:t>
                  </w:r>
                </w:p>
              </w:tc>
              <w:tc>
                <w:tcPr>
                  <w:tcW w:w="1087" w:type="dxa"/>
                  <w:vMerge w:val="restart"/>
                  <w:noWrap w:val="0"/>
                  <w:vAlign w:val="center"/>
                </w:tcPr>
                <w:p w14:paraId="19DAF587">
                  <w:pPr>
                    <w:keepNext w:val="0"/>
                    <w:keepLines w:val="0"/>
                    <w:pageBreakBefore w:val="0"/>
                    <w:kinsoku/>
                    <w:wordWrap/>
                    <w:overflowPunct/>
                    <w:topLinePunct w:val="0"/>
                    <w:autoSpaceDE/>
                    <w:autoSpaceDN/>
                    <w:bidi w:val="0"/>
                    <w:adjustRightInd w:val="0"/>
                    <w:snapToGrid w:val="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储存位置</w:t>
                  </w:r>
                </w:p>
              </w:tc>
            </w:tr>
            <w:tr w14:paraId="4013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8" w:type="dxa"/>
                  <w:vMerge w:val="continue"/>
                  <w:noWrap w:val="0"/>
                  <w:vAlign w:val="center"/>
                </w:tcPr>
                <w:p w14:paraId="03AB0B00">
                  <w:pPr>
                    <w:keepNext w:val="0"/>
                    <w:keepLines w:val="0"/>
                    <w:pageBreakBefore w:val="0"/>
                    <w:widowControl/>
                    <w:kinsoku/>
                    <w:wordWrap/>
                    <w:overflowPunct/>
                    <w:topLinePunct w:val="0"/>
                    <w:autoSpaceDE/>
                    <w:autoSpaceDN/>
                    <w:bidi w:val="0"/>
                    <w:snapToGrid w:val="0"/>
                    <w:jc w:val="center"/>
                    <w:rPr>
                      <w:b/>
                      <w:bCs/>
                      <w:color w:val="000000" w:themeColor="text1"/>
                      <w:kern w:val="0"/>
                      <w:szCs w:val="21"/>
                      <w14:textFill>
                        <w14:solidFill>
                          <w14:schemeClr w14:val="tx1"/>
                        </w14:solidFill>
                      </w14:textFill>
                    </w:rPr>
                  </w:pPr>
                </w:p>
              </w:tc>
              <w:tc>
                <w:tcPr>
                  <w:tcW w:w="1014" w:type="dxa"/>
                  <w:vMerge w:val="continue"/>
                  <w:noWrap w:val="0"/>
                  <w:vAlign w:val="center"/>
                </w:tcPr>
                <w:p w14:paraId="455455C4">
                  <w:pPr>
                    <w:keepNext w:val="0"/>
                    <w:keepLines w:val="0"/>
                    <w:pageBreakBefore w:val="0"/>
                    <w:widowControl/>
                    <w:kinsoku/>
                    <w:wordWrap/>
                    <w:overflowPunct/>
                    <w:topLinePunct w:val="0"/>
                    <w:autoSpaceDE/>
                    <w:autoSpaceDN/>
                    <w:bidi w:val="0"/>
                    <w:snapToGrid w:val="0"/>
                    <w:jc w:val="center"/>
                    <w:rPr>
                      <w:b/>
                      <w:bCs/>
                      <w:color w:val="000000" w:themeColor="text1"/>
                      <w:kern w:val="0"/>
                      <w:szCs w:val="21"/>
                      <w14:textFill>
                        <w14:solidFill>
                          <w14:schemeClr w14:val="tx1"/>
                        </w14:solidFill>
                      </w14:textFill>
                    </w:rPr>
                  </w:pPr>
                </w:p>
              </w:tc>
              <w:tc>
                <w:tcPr>
                  <w:tcW w:w="797" w:type="dxa"/>
                  <w:noWrap w:val="0"/>
                  <w:vAlign w:val="center"/>
                </w:tcPr>
                <w:p w14:paraId="783C1AA8">
                  <w:pPr>
                    <w:keepNext w:val="0"/>
                    <w:keepLines w:val="0"/>
                    <w:pageBreakBefore w:val="0"/>
                    <w:widowControl/>
                    <w:kinsoku/>
                    <w:wordWrap/>
                    <w:overflowPunct/>
                    <w:topLinePunct w:val="0"/>
                    <w:autoSpaceDE/>
                    <w:autoSpaceDN/>
                    <w:bidi w:val="0"/>
                    <w:snapToGrid w:val="0"/>
                    <w:jc w:val="center"/>
                    <w:rPr>
                      <w:b/>
                      <w:bCs/>
                      <w:color w:val="000000" w:themeColor="text1"/>
                      <w:kern w:val="0"/>
                      <w:szCs w:val="21"/>
                      <w14:textFill>
                        <w14:solidFill>
                          <w14:schemeClr w14:val="tx1"/>
                        </w14:solidFill>
                      </w14:textFill>
                    </w:rPr>
                  </w:pPr>
                  <w:r>
                    <w:rPr>
                      <w:rFonts w:hint="eastAsia"/>
                      <w:b/>
                      <w:bCs/>
                      <w:color w:val="000000" w:themeColor="text1"/>
                      <w:kern w:val="0"/>
                      <w:szCs w:val="21"/>
                      <w14:textFill>
                        <w14:solidFill>
                          <w14:schemeClr w14:val="tx1"/>
                        </w14:solidFill>
                      </w14:textFill>
                    </w:rPr>
                    <w:t>原有</w:t>
                  </w:r>
                </w:p>
              </w:tc>
              <w:tc>
                <w:tcPr>
                  <w:tcW w:w="1101" w:type="dxa"/>
                  <w:noWrap w:val="0"/>
                  <w:vAlign w:val="center"/>
                </w:tcPr>
                <w:p w14:paraId="317A993A">
                  <w:pPr>
                    <w:keepNext w:val="0"/>
                    <w:keepLines w:val="0"/>
                    <w:pageBreakBefore w:val="0"/>
                    <w:widowControl/>
                    <w:kinsoku/>
                    <w:wordWrap/>
                    <w:overflowPunct/>
                    <w:topLinePunct w:val="0"/>
                    <w:autoSpaceDE/>
                    <w:autoSpaceDN/>
                    <w:bidi w:val="0"/>
                    <w:snapToGrid w:val="0"/>
                    <w:jc w:val="center"/>
                    <w:rPr>
                      <w:rFonts w:hint="eastAsia" w:eastAsia="宋体"/>
                      <w:b/>
                      <w:bCs/>
                      <w:color w:val="000000" w:themeColor="text1"/>
                      <w:kern w:val="0"/>
                      <w:szCs w:val="21"/>
                      <w:lang w:eastAsia="zh-CN"/>
                      <w14:textFill>
                        <w14:solidFill>
                          <w14:schemeClr w14:val="tx1"/>
                        </w14:solidFill>
                      </w14:textFill>
                    </w:rPr>
                  </w:pPr>
                  <w:r>
                    <w:rPr>
                      <w:b/>
                      <w:bCs/>
                      <w:color w:val="000000" w:themeColor="text1"/>
                      <w:kern w:val="0"/>
                      <w:szCs w:val="21"/>
                      <w14:textFill>
                        <w14:solidFill>
                          <w14:schemeClr w14:val="tx1"/>
                        </w14:solidFill>
                      </w14:textFill>
                    </w:rPr>
                    <w:t>本次</w:t>
                  </w:r>
                  <w:r>
                    <w:rPr>
                      <w:rFonts w:hint="eastAsia"/>
                      <w:b/>
                      <w:bCs/>
                      <w:color w:val="000000" w:themeColor="text1"/>
                      <w:kern w:val="0"/>
                      <w:szCs w:val="21"/>
                      <w:lang w:val="en-US" w:eastAsia="zh-CN"/>
                      <w14:textFill>
                        <w14:solidFill>
                          <w14:schemeClr w14:val="tx1"/>
                        </w14:solidFill>
                      </w14:textFill>
                    </w:rPr>
                    <w:t>改扩建</w:t>
                  </w:r>
                </w:p>
              </w:tc>
              <w:tc>
                <w:tcPr>
                  <w:tcW w:w="1048" w:type="dxa"/>
                  <w:noWrap w:val="0"/>
                  <w:vAlign w:val="center"/>
                </w:tcPr>
                <w:p w14:paraId="69C06653">
                  <w:pPr>
                    <w:keepNext w:val="0"/>
                    <w:keepLines w:val="0"/>
                    <w:pageBreakBefore w:val="0"/>
                    <w:widowControl/>
                    <w:kinsoku/>
                    <w:wordWrap/>
                    <w:overflowPunct/>
                    <w:topLinePunct w:val="0"/>
                    <w:autoSpaceDE/>
                    <w:autoSpaceDN/>
                    <w:bidi w:val="0"/>
                    <w:snapToGrid w:val="0"/>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全厂</w:t>
                  </w:r>
                </w:p>
              </w:tc>
              <w:tc>
                <w:tcPr>
                  <w:tcW w:w="934" w:type="dxa"/>
                  <w:vMerge w:val="continue"/>
                  <w:noWrap w:val="0"/>
                  <w:vAlign w:val="center"/>
                </w:tcPr>
                <w:p w14:paraId="206E4C48">
                  <w:pPr>
                    <w:keepNext w:val="0"/>
                    <w:keepLines w:val="0"/>
                    <w:pageBreakBefore w:val="0"/>
                    <w:kinsoku/>
                    <w:wordWrap/>
                    <w:overflowPunct/>
                    <w:topLinePunct w:val="0"/>
                    <w:autoSpaceDE/>
                    <w:autoSpaceDN/>
                    <w:bidi w:val="0"/>
                    <w:adjustRightInd w:val="0"/>
                    <w:snapToGrid w:val="0"/>
                    <w:jc w:val="center"/>
                    <w:rPr>
                      <w:b/>
                      <w:bCs/>
                      <w:color w:val="000000" w:themeColor="text1"/>
                      <w:szCs w:val="21"/>
                      <w14:textFill>
                        <w14:solidFill>
                          <w14:schemeClr w14:val="tx1"/>
                        </w14:solidFill>
                      </w14:textFill>
                    </w:rPr>
                  </w:pPr>
                </w:p>
              </w:tc>
              <w:tc>
                <w:tcPr>
                  <w:tcW w:w="1095" w:type="dxa"/>
                  <w:vMerge w:val="continue"/>
                  <w:noWrap w:val="0"/>
                  <w:vAlign w:val="center"/>
                </w:tcPr>
                <w:p w14:paraId="2062CC43">
                  <w:pPr>
                    <w:keepNext w:val="0"/>
                    <w:keepLines w:val="0"/>
                    <w:pageBreakBefore w:val="0"/>
                    <w:kinsoku/>
                    <w:wordWrap/>
                    <w:overflowPunct/>
                    <w:topLinePunct w:val="0"/>
                    <w:autoSpaceDE/>
                    <w:autoSpaceDN/>
                    <w:bidi w:val="0"/>
                    <w:adjustRightInd w:val="0"/>
                    <w:snapToGrid w:val="0"/>
                    <w:jc w:val="center"/>
                    <w:rPr>
                      <w:b/>
                      <w:bCs/>
                      <w:color w:val="000000" w:themeColor="text1"/>
                      <w:szCs w:val="21"/>
                      <w14:textFill>
                        <w14:solidFill>
                          <w14:schemeClr w14:val="tx1"/>
                        </w14:solidFill>
                      </w14:textFill>
                    </w:rPr>
                  </w:pPr>
                </w:p>
              </w:tc>
              <w:tc>
                <w:tcPr>
                  <w:tcW w:w="1087" w:type="dxa"/>
                  <w:vMerge w:val="continue"/>
                  <w:noWrap w:val="0"/>
                  <w:vAlign w:val="center"/>
                </w:tcPr>
                <w:p w14:paraId="7B2B531A">
                  <w:pPr>
                    <w:keepNext w:val="0"/>
                    <w:keepLines w:val="0"/>
                    <w:pageBreakBefore w:val="0"/>
                    <w:kinsoku/>
                    <w:wordWrap/>
                    <w:overflowPunct/>
                    <w:topLinePunct w:val="0"/>
                    <w:autoSpaceDE/>
                    <w:autoSpaceDN/>
                    <w:bidi w:val="0"/>
                    <w:adjustRightInd w:val="0"/>
                    <w:snapToGrid w:val="0"/>
                    <w:jc w:val="center"/>
                    <w:rPr>
                      <w:bCs/>
                      <w:color w:val="000000" w:themeColor="text1"/>
                      <w:szCs w:val="21"/>
                      <w14:textFill>
                        <w14:solidFill>
                          <w14:schemeClr w14:val="tx1"/>
                        </w14:solidFill>
                      </w14:textFill>
                    </w:rPr>
                  </w:pPr>
                </w:p>
              </w:tc>
            </w:tr>
            <w:tr w14:paraId="1728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28" w:type="dxa"/>
                  <w:noWrap w:val="0"/>
                  <w:vAlign w:val="center"/>
                </w:tcPr>
                <w:p w14:paraId="0B063A94">
                  <w:pPr>
                    <w:keepNext w:val="0"/>
                    <w:keepLines w:val="0"/>
                    <w:pageBreakBefore w:val="0"/>
                    <w:widowControl/>
                    <w:kinsoku/>
                    <w:wordWrap/>
                    <w:overflowPunct/>
                    <w:topLinePunct w:val="0"/>
                    <w:autoSpaceDE/>
                    <w:autoSpaceDN/>
                    <w:bidi w:val="0"/>
                    <w:snapToGrid w:val="0"/>
                    <w:jc w:val="center"/>
                    <w:rPr>
                      <w:rFonts w:hint="eastAsia" w:eastAsia="宋体"/>
                      <w:color w:val="000000" w:themeColor="text1"/>
                      <w:kern w:val="0"/>
                      <w:szCs w:val="21"/>
                      <w:highlight w:val="none"/>
                      <w:lang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粘土</w:t>
                  </w:r>
                </w:p>
              </w:tc>
              <w:tc>
                <w:tcPr>
                  <w:tcW w:w="1014" w:type="dxa"/>
                  <w:noWrap w:val="0"/>
                  <w:vAlign w:val="center"/>
                </w:tcPr>
                <w:p w14:paraId="0ADA726B">
                  <w:pPr>
                    <w:keepNext w:val="0"/>
                    <w:keepLines w:val="0"/>
                    <w:pageBreakBefore w:val="0"/>
                    <w:widowControl/>
                    <w:kinsoku/>
                    <w:wordWrap/>
                    <w:overflowPunct/>
                    <w:topLinePunct w:val="0"/>
                    <w:autoSpaceDE/>
                    <w:autoSpaceDN/>
                    <w:bidi w:val="0"/>
                    <w:snapToGrid w:val="0"/>
                    <w:jc w:val="center"/>
                    <w:rPr>
                      <w:rFonts w:hint="eastAsia" w:eastAsia="宋体"/>
                      <w:color w:val="000000" w:themeColor="text1"/>
                      <w:kern w:val="0"/>
                      <w:szCs w:val="21"/>
                      <w:highlight w:val="none"/>
                      <w:lang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t</w:t>
                  </w:r>
                  <w:r>
                    <w:rPr>
                      <w:color w:val="000000" w:themeColor="text1"/>
                      <w:kern w:val="0"/>
                      <w:szCs w:val="21"/>
                      <w:highlight w:val="none"/>
                      <w:lang w:bidi="ar"/>
                      <w14:textFill>
                        <w14:solidFill>
                          <w14:schemeClr w14:val="tx1"/>
                        </w14:solidFill>
                      </w14:textFill>
                    </w:rPr>
                    <w:t>/</w:t>
                  </w:r>
                  <w:r>
                    <w:rPr>
                      <w:rFonts w:hint="eastAsia"/>
                      <w:color w:val="000000" w:themeColor="text1"/>
                      <w:kern w:val="0"/>
                      <w:szCs w:val="21"/>
                      <w:highlight w:val="none"/>
                      <w:lang w:val="en-US" w:eastAsia="zh-CN" w:bidi="ar"/>
                      <w14:textFill>
                        <w14:solidFill>
                          <w14:schemeClr w14:val="tx1"/>
                        </w14:solidFill>
                      </w14:textFill>
                    </w:rPr>
                    <w:t>a</w:t>
                  </w:r>
                </w:p>
              </w:tc>
              <w:tc>
                <w:tcPr>
                  <w:tcW w:w="797" w:type="dxa"/>
                  <w:noWrap w:val="0"/>
                  <w:vAlign w:val="center"/>
                </w:tcPr>
                <w:p w14:paraId="19ABAF46">
                  <w:pPr>
                    <w:keepNext w:val="0"/>
                    <w:keepLines w:val="0"/>
                    <w:pageBreakBefore w:val="0"/>
                    <w:widowControl/>
                    <w:kinsoku/>
                    <w:wordWrap/>
                    <w:overflowPunct/>
                    <w:topLinePunct w:val="0"/>
                    <w:autoSpaceDE/>
                    <w:autoSpaceDN/>
                    <w:bidi w:val="0"/>
                    <w:snapToGrid w:val="0"/>
                    <w:jc w:val="center"/>
                    <w:rPr>
                      <w:rFonts w:hint="default" w:eastAsia="宋体"/>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10032</w:t>
                  </w:r>
                </w:p>
              </w:tc>
              <w:tc>
                <w:tcPr>
                  <w:tcW w:w="1101" w:type="dxa"/>
                  <w:noWrap w:val="0"/>
                  <w:vAlign w:val="center"/>
                </w:tcPr>
                <w:p w14:paraId="62E55167">
                  <w:pPr>
                    <w:keepNext w:val="0"/>
                    <w:keepLines w:val="0"/>
                    <w:pageBreakBefore w:val="0"/>
                    <w:widowControl/>
                    <w:suppressLineNumbers w:val="0"/>
                    <w:kinsoku/>
                    <w:wordWrap/>
                    <w:overflowPunct/>
                    <w:topLinePunct w:val="0"/>
                    <w:autoSpaceDE/>
                    <w:autoSpaceDN/>
                    <w:bidi w:val="0"/>
                    <w:jc w:val="center"/>
                    <w:textAlignment w:val="center"/>
                    <w:rPr>
                      <w:rFonts w:hint="default" w:eastAsia="宋体"/>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24065.14</w:t>
                  </w:r>
                </w:p>
              </w:tc>
              <w:tc>
                <w:tcPr>
                  <w:tcW w:w="1048" w:type="dxa"/>
                  <w:noWrap w:val="0"/>
                  <w:vAlign w:val="center"/>
                </w:tcPr>
                <w:p w14:paraId="28F9C460">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b w:val="0"/>
                      <w:bCs/>
                      <w:color w:val="000000" w:themeColor="text1"/>
                      <w:kern w:val="2"/>
                      <w:sz w:val="21"/>
                      <w:szCs w:val="21"/>
                      <w:highlight w:val="none"/>
                      <w:vertAlign w:val="baseline"/>
                      <w:lang w:val="en-US" w:eastAsia="zh-CN" w:bidi="ar-SA"/>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34097.14</w:t>
                  </w:r>
                </w:p>
              </w:tc>
              <w:tc>
                <w:tcPr>
                  <w:tcW w:w="934" w:type="dxa"/>
                  <w:vMerge w:val="restart"/>
                  <w:noWrap w:val="0"/>
                  <w:vAlign w:val="center"/>
                </w:tcPr>
                <w:p w14:paraId="2F967F6C">
                  <w:pPr>
                    <w:keepNext w:val="0"/>
                    <w:keepLines w:val="0"/>
                    <w:pageBreakBefore w:val="0"/>
                    <w:widowControl/>
                    <w:kinsoku/>
                    <w:wordWrap/>
                    <w:overflowPunct/>
                    <w:topLinePunct w:val="0"/>
                    <w:autoSpaceDE/>
                    <w:autoSpaceDN/>
                    <w:bidi w:val="0"/>
                    <w:snapToGrid w:val="0"/>
                    <w:jc w:val="center"/>
                    <w:rPr>
                      <w:rFonts w:hint="default" w:eastAsia="宋体"/>
                      <w:color w:val="000000" w:themeColor="text1"/>
                      <w:kern w:val="0"/>
                      <w:szCs w:val="21"/>
                      <w:highlight w:val="none"/>
                      <w:lang w:val="en-US" w:eastAsia="zh-CN" w:bidi="ar"/>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6240</w:t>
                  </w:r>
                </w:p>
              </w:tc>
              <w:tc>
                <w:tcPr>
                  <w:tcW w:w="1095" w:type="dxa"/>
                  <w:vMerge w:val="restart"/>
                  <w:noWrap w:val="0"/>
                  <w:vAlign w:val="center"/>
                </w:tcPr>
                <w:p w14:paraId="69E4B9F9">
                  <w:pPr>
                    <w:keepNext w:val="0"/>
                    <w:keepLines w:val="0"/>
                    <w:pageBreakBefore w:val="0"/>
                    <w:widowControl/>
                    <w:kinsoku/>
                    <w:wordWrap/>
                    <w:overflowPunct/>
                    <w:topLinePunct w:val="0"/>
                    <w:autoSpaceDE/>
                    <w:autoSpaceDN/>
                    <w:bidi w:val="0"/>
                    <w:snapToGrid w:val="0"/>
                    <w:jc w:val="center"/>
                    <w:rPr>
                      <w:rFonts w:hint="default" w:eastAsia="宋体"/>
                      <w:color w:val="000000" w:themeColor="text1"/>
                      <w:kern w:val="0"/>
                      <w:szCs w:val="21"/>
                      <w:highlight w:val="none"/>
                      <w:lang w:val="en-US" w:eastAsia="zh-CN" w:bidi="ar"/>
                      <w14:textFill>
                        <w14:solidFill>
                          <w14:schemeClr w14:val="tx1"/>
                        </w14:solidFill>
                      </w14:textFill>
                    </w:rPr>
                  </w:pPr>
                  <w:r>
                    <w:rPr>
                      <w:rFonts w:hint="default" w:eastAsia="宋体"/>
                      <w:color w:val="000000" w:themeColor="text1"/>
                      <w:kern w:val="0"/>
                      <w:szCs w:val="21"/>
                      <w:highlight w:val="none"/>
                      <w:lang w:val="en-US" w:eastAsia="zh-CN" w:bidi="ar"/>
                      <w14:textFill>
                        <w14:solidFill>
                          <w14:schemeClr w14:val="tx1"/>
                        </w14:solidFill>
                      </w14:textFill>
                    </w:rPr>
                    <w:t>师宗县鸿运新型墙体材料有限公司</w:t>
                  </w:r>
                </w:p>
              </w:tc>
              <w:tc>
                <w:tcPr>
                  <w:tcW w:w="1087" w:type="dxa"/>
                  <w:noWrap w:val="0"/>
                  <w:vAlign w:val="center"/>
                </w:tcPr>
                <w:p w14:paraId="2BC65ACD">
                  <w:pPr>
                    <w:keepNext w:val="0"/>
                    <w:keepLines w:val="0"/>
                    <w:pageBreakBefore w:val="0"/>
                    <w:kinsoku/>
                    <w:wordWrap/>
                    <w:overflowPunct/>
                    <w:topLinePunct w:val="0"/>
                    <w:autoSpaceDE/>
                    <w:autoSpaceDN/>
                    <w:bidi w:val="0"/>
                    <w:adjustRightInd w:val="0"/>
                    <w:snapToGrid w:val="0"/>
                    <w:jc w:val="center"/>
                    <w:rPr>
                      <w:rFonts w:hint="eastAsia" w:eastAsia="宋体"/>
                      <w:bCs/>
                      <w:color w:val="000000" w:themeColor="text1"/>
                      <w:szCs w:val="21"/>
                      <w:highlight w:val="none"/>
                      <w:lang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原料贮存库</w:t>
                  </w:r>
                </w:p>
              </w:tc>
            </w:tr>
            <w:tr w14:paraId="4218C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28" w:type="dxa"/>
                  <w:noWrap w:val="0"/>
                  <w:vAlign w:val="center"/>
                </w:tcPr>
                <w:p w14:paraId="6AFD9742">
                  <w:pPr>
                    <w:keepNext w:val="0"/>
                    <w:keepLines w:val="0"/>
                    <w:pageBreakBefore w:val="0"/>
                    <w:widowControl/>
                    <w:kinsoku/>
                    <w:wordWrap/>
                    <w:overflowPunct/>
                    <w:topLinePunct w:val="0"/>
                    <w:autoSpaceDE/>
                    <w:autoSpaceDN/>
                    <w:bidi w:val="0"/>
                    <w:snapToGrid w:val="0"/>
                    <w:jc w:val="center"/>
                    <w:rPr>
                      <w:rFonts w:hint="default"/>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页岩土</w:t>
                  </w:r>
                </w:p>
              </w:tc>
              <w:tc>
                <w:tcPr>
                  <w:tcW w:w="1014" w:type="dxa"/>
                  <w:noWrap w:val="0"/>
                  <w:vAlign w:val="center"/>
                </w:tcPr>
                <w:p w14:paraId="4A35C738">
                  <w:pPr>
                    <w:keepNext w:val="0"/>
                    <w:keepLines w:val="0"/>
                    <w:pageBreakBefore w:val="0"/>
                    <w:widowControl/>
                    <w:kinsoku/>
                    <w:wordWrap/>
                    <w:overflowPunct/>
                    <w:topLinePunct w:val="0"/>
                    <w:autoSpaceDE/>
                    <w:autoSpaceDN/>
                    <w:bidi w:val="0"/>
                    <w:snapToGrid w:val="0"/>
                    <w:jc w:val="center"/>
                    <w:rPr>
                      <w:rFonts w:hint="default"/>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t/a</w:t>
                  </w:r>
                </w:p>
              </w:tc>
              <w:tc>
                <w:tcPr>
                  <w:tcW w:w="797" w:type="dxa"/>
                  <w:noWrap w:val="0"/>
                  <w:vAlign w:val="center"/>
                </w:tcPr>
                <w:p w14:paraId="1B2A6534">
                  <w:pPr>
                    <w:keepNext w:val="0"/>
                    <w:keepLines w:val="0"/>
                    <w:pageBreakBefore w:val="0"/>
                    <w:widowControl/>
                    <w:kinsoku/>
                    <w:wordWrap/>
                    <w:overflowPunct/>
                    <w:topLinePunct w:val="0"/>
                    <w:autoSpaceDE/>
                    <w:autoSpaceDN/>
                    <w:bidi w:val="0"/>
                    <w:snapToGrid w:val="0"/>
                    <w:jc w:val="center"/>
                    <w:rPr>
                      <w:rFonts w:hint="default"/>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23408</w:t>
                  </w:r>
                </w:p>
              </w:tc>
              <w:tc>
                <w:tcPr>
                  <w:tcW w:w="1101" w:type="dxa"/>
                  <w:noWrap w:val="0"/>
                  <w:vAlign w:val="center"/>
                </w:tcPr>
                <w:p w14:paraId="0B637674">
                  <w:pPr>
                    <w:keepNext w:val="0"/>
                    <w:keepLines w:val="0"/>
                    <w:pageBreakBefore w:val="0"/>
                    <w:widowControl/>
                    <w:suppressLineNumbers w:val="0"/>
                    <w:kinsoku/>
                    <w:wordWrap/>
                    <w:overflowPunct/>
                    <w:topLinePunct w:val="0"/>
                    <w:autoSpaceDE/>
                    <w:autoSpaceDN/>
                    <w:bidi w:val="0"/>
                    <w:jc w:val="center"/>
                    <w:textAlignment w:val="center"/>
                    <w:rPr>
                      <w:rFonts w:hint="default"/>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56592</w:t>
                  </w:r>
                </w:p>
              </w:tc>
              <w:tc>
                <w:tcPr>
                  <w:tcW w:w="1048" w:type="dxa"/>
                  <w:noWrap w:val="0"/>
                  <w:vAlign w:val="center"/>
                </w:tcPr>
                <w:p w14:paraId="0FB72898">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b w:val="0"/>
                      <w:bCs/>
                      <w:color w:val="000000" w:themeColor="text1"/>
                      <w:kern w:val="2"/>
                      <w:sz w:val="21"/>
                      <w:szCs w:val="21"/>
                      <w:highlight w:val="none"/>
                      <w:vertAlign w:val="baseline"/>
                      <w:lang w:val="en-US" w:eastAsia="zh-CN" w:bidi="ar-SA"/>
                      <w14:textFill>
                        <w14:solidFill>
                          <w14:schemeClr w14:val="tx1"/>
                        </w14:solidFill>
                      </w14:textFill>
                    </w:rPr>
                  </w:pPr>
                  <w:r>
                    <w:rPr>
                      <w:rFonts w:hint="eastAsia" w:cs="Times New Roman"/>
                      <w:b w:val="0"/>
                      <w:bCs/>
                      <w:color w:val="000000" w:themeColor="text1"/>
                      <w:kern w:val="2"/>
                      <w:sz w:val="21"/>
                      <w:szCs w:val="21"/>
                      <w:highlight w:val="none"/>
                      <w:vertAlign w:val="baseline"/>
                      <w:lang w:val="en-US" w:eastAsia="zh-CN" w:bidi="ar-SA"/>
                      <w14:textFill>
                        <w14:solidFill>
                          <w14:schemeClr w14:val="tx1"/>
                        </w14:solidFill>
                      </w14:textFill>
                    </w:rPr>
                    <w:t>80000</w:t>
                  </w:r>
                </w:p>
              </w:tc>
              <w:tc>
                <w:tcPr>
                  <w:tcW w:w="934" w:type="dxa"/>
                  <w:vMerge w:val="continue"/>
                  <w:noWrap w:val="0"/>
                  <w:vAlign w:val="center"/>
                </w:tcPr>
                <w:p w14:paraId="6F632B85">
                  <w:pPr>
                    <w:keepNext w:val="0"/>
                    <w:keepLines w:val="0"/>
                    <w:pageBreakBefore w:val="0"/>
                    <w:widowControl/>
                    <w:kinsoku/>
                    <w:wordWrap/>
                    <w:overflowPunct/>
                    <w:topLinePunct w:val="0"/>
                    <w:autoSpaceDE/>
                    <w:autoSpaceDN/>
                    <w:bidi w:val="0"/>
                    <w:snapToGrid w:val="0"/>
                    <w:jc w:val="center"/>
                    <w:rPr>
                      <w:rFonts w:hint="eastAsia"/>
                      <w:bCs/>
                      <w:color w:val="000000" w:themeColor="text1"/>
                      <w:szCs w:val="21"/>
                      <w:highlight w:val="none"/>
                      <w:lang w:val="en-US" w:eastAsia="zh-CN"/>
                      <w14:textFill>
                        <w14:solidFill>
                          <w14:schemeClr w14:val="tx1"/>
                        </w14:solidFill>
                      </w14:textFill>
                    </w:rPr>
                  </w:pPr>
                </w:p>
              </w:tc>
              <w:tc>
                <w:tcPr>
                  <w:tcW w:w="1095" w:type="dxa"/>
                  <w:vMerge w:val="continue"/>
                  <w:noWrap w:val="0"/>
                  <w:vAlign w:val="center"/>
                </w:tcPr>
                <w:p w14:paraId="78F69FB7">
                  <w:pPr>
                    <w:keepNext w:val="0"/>
                    <w:keepLines w:val="0"/>
                    <w:pageBreakBefore w:val="0"/>
                    <w:widowControl/>
                    <w:kinsoku/>
                    <w:wordWrap/>
                    <w:overflowPunct/>
                    <w:topLinePunct w:val="0"/>
                    <w:autoSpaceDE/>
                    <w:autoSpaceDN/>
                    <w:bidi w:val="0"/>
                    <w:snapToGrid w:val="0"/>
                    <w:jc w:val="center"/>
                    <w:rPr>
                      <w:rFonts w:hint="eastAsia"/>
                      <w:color w:val="000000" w:themeColor="text1"/>
                      <w:kern w:val="0"/>
                      <w:szCs w:val="21"/>
                      <w:highlight w:val="none"/>
                      <w:lang w:val="en-US" w:eastAsia="zh-CN" w:bidi="ar"/>
                      <w14:textFill>
                        <w14:solidFill>
                          <w14:schemeClr w14:val="tx1"/>
                        </w14:solidFill>
                      </w14:textFill>
                    </w:rPr>
                  </w:pPr>
                </w:p>
              </w:tc>
              <w:tc>
                <w:tcPr>
                  <w:tcW w:w="1087" w:type="dxa"/>
                  <w:noWrap w:val="0"/>
                  <w:vAlign w:val="center"/>
                </w:tcPr>
                <w:p w14:paraId="336C1852">
                  <w:pPr>
                    <w:keepNext w:val="0"/>
                    <w:keepLines w:val="0"/>
                    <w:pageBreakBefore w:val="0"/>
                    <w:kinsoku/>
                    <w:wordWrap/>
                    <w:overflowPunct/>
                    <w:topLinePunct w:val="0"/>
                    <w:autoSpaceDE/>
                    <w:autoSpaceDN/>
                    <w:bidi w:val="0"/>
                    <w:adjustRightInd w:val="0"/>
                    <w:snapToGrid w:val="0"/>
                    <w:jc w:val="center"/>
                    <w:rPr>
                      <w:rFonts w:hint="eastAsia"/>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原料贮存库</w:t>
                  </w:r>
                </w:p>
              </w:tc>
            </w:tr>
            <w:tr w14:paraId="454F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8" w:type="dxa"/>
                  <w:noWrap w:val="0"/>
                  <w:vAlign w:val="center"/>
                </w:tcPr>
                <w:p w14:paraId="519F7EB5">
                  <w:pPr>
                    <w:keepNext w:val="0"/>
                    <w:keepLines w:val="0"/>
                    <w:pageBreakBefore w:val="0"/>
                    <w:widowControl/>
                    <w:kinsoku/>
                    <w:wordWrap/>
                    <w:overflowPunct/>
                    <w:topLinePunct w:val="0"/>
                    <w:autoSpaceDE/>
                    <w:autoSpaceDN/>
                    <w:bidi w:val="0"/>
                    <w:snapToGrid w:val="0"/>
                    <w:jc w:val="center"/>
                    <w:rPr>
                      <w:rFonts w:hint="default" w:eastAsia="宋体"/>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大豆油（生物质）</w:t>
                  </w:r>
                </w:p>
              </w:tc>
              <w:tc>
                <w:tcPr>
                  <w:tcW w:w="1014" w:type="dxa"/>
                  <w:noWrap w:val="0"/>
                  <w:vAlign w:val="center"/>
                </w:tcPr>
                <w:p w14:paraId="03212E86">
                  <w:pPr>
                    <w:keepNext w:val="0"/>
                    <w:keepLines w:val="0"/>
                    <w:pageBreakBefore w:val="0"/>
                    <w:widowControl/>
                    <w:kinsoku/>
                    <w:wordWrap/>
                    <w:overflowPunct/>
                    <w:topLinePunct w:val="0"/>
                    <w:autoSpaceDE/>
                    <w:autoSpaceDN/>
                    <w:bidi w:val="0"/>
                    <w:snapToGrid w:val="0"/>
                    <w:jc w:val="center"/>
                    <w:rPr>
                      <w:rFonts w:hint="eastAsia" w:eastAsia="宋体"/>
                      <w:color w:val="000000" w:themeColor="text1"/>
                      <w:kern w:val="0"/>
                      <w:szCs w:val="21"/>
                      <w:highlight w:val="none"/>
                      <w:lang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t</w:t>
                  </w:r>
                  <w:r>
                    <w:rPr>
                      <w:color w:val="000000" w:themeColor="text1"/>
                      <w:kern w:val="0"/>
                      <w:szCs w:val="21"/>
                      <w:highlight w:val="none"/>
                      <w:lang w:bidi="ar"/>
                      <w14:textFill>
                        <w14:solidFill>
                          <w14:schemeClr w14:val="tx1"/>
                        </w14:solidFill>
                      </w14:textFill>
                    </w:rPr>
                    <w:t>/</w:t>
                  </w:r>
                  <w:r>
                    <w:rPr>
                      <w:rFonts w:hint="eastAsia"/>
                      <w:color w:val="000000" w:themeColor="text1"/>
                      <w:kern w:val="0"/>
                      <w:szCs w:val="21"/>
                      <w:highlight w:val="none"/>
                      <w:lang w:val="en-US" w:eastAsia="zh-CN" w:bidi="ar"/>
                      <w14:textFill>
                        <w14:solidFill>
                          <w14:schemeClr w14:val="tx1"/>
                        </w14:solidFill>
                      </w14:textFill>
                    </w:rPr>
                    <w:t>a</w:t>
                  </w:r>
                </w:p>
              </w:tc>
              <w:tc>
                <w:tcPr>
                  <w:tcW w:w="797" w:type="dxa"/>
                  <w:noWrap w:val="0"/>
                  <w:vAlign w:val="center"/>
                </w:tcPr>
                <w:p w14:paraId="6765AB3D">
                  <w:pPr>
                    <w:keepNext w:val="0"/>
                    <w:keepLines w:val="0"/>
                    <w:pageBreakBefore w:val="0"/>
                    <w:widowControl/>
                    <w:kinsoku/>
                    <w:wordWrap/>
                    <w:overflowPunct/>
                    <w:topLinePunct w:val="0"/>
                    <w:autoSpaceDE/>
                    <w:autoSpaceDN/>
                    <w:bidi w:val="0"/>
                    <w:snapToGrid w:val="0"/>
                    <w:jc w:val="center"/>
                    <w:rPr>
                      <w:rFonts w:hint="default" w:eastAsia="宋体"/>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1.8</w:t>
                  </w:r>
                </w:p>
              </w:tc>
              <w:tc>
                <w:tcPr>
                  <w:tcW w:w="1101" w:type="dxa"/>
                  <w:noWrap w:val="0"/>
                  <w:vAlign w:val="center"/>
                </w:tcPr>
                <w:p w14:paraId="30FCE67F">
                  <w:pPr>
                    <w:keepNext w:val="0"/>
                    <w:keepLines w:val="0"/>
                    <w:pageBreakBefore w:val="0"/>
                    <w:widowControl/>
                    <w:suppressLineNumbers w:val="0"/>
                    <w:kinsoku/>
                    <w:wordWrap/>
                    <w:overflowPunct/>
                    <w:topLinePunct w:val="0"/>
                    <w:autoSpaceDE/>
                    <w:autoSpaceDN/>
                    <w:bidi w:val="0"/>
                    <w:jc w:val="center"/>
                    <w:textAlignment w:val="center"/>
                    <w:rPr>
                      <w:rFonts w:hint="eastAsia" w:eastAsia="宋体"/>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0</w:t>
                  </w:r>
                </w:p>
              </w:tc>
              <w:tc>
                <w:tcPr>
                  <w:tcW w:w="1048" w:type="dxa"/>
                  <w:noWrap w:val="0"/>
                  <w:vAlign w:val="center"/>
                </w:tcPr>
                <w:p w14:paraId="41660EC8">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b w:val="0"/>
                      <w:bCs/>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1"/>
                      <w:highlight w:val="none"/>
                      <w:vertAlign w:val="baseline"/>
                      <w:lang w:val="en-US" w:eastAsia="zh-CN" w:bidi="ar-SA"/>
                      <w14:textFill>
                        <w14:solidFill>
                          <w14:schemeClr w14:val="tx1"/>
                        </w14:solidFill>
                      </w14:textFill>
                    </w:rPr>
                    <w:t>1.8</w:t>
                  </w:r>
                </w:p>
              </w:tc>
              <w:tc>
                <w:tcPr>
                  <w:tcW w:w="934" w:type="dxa"/>
                  <w:noWrap w:val="0"/>
                  <w:vAlign w:val="center"/>
                </w:tcPr>
                <w:p w14:paraId="68625DA3">
                  <w:pPr>
                    <w:keepNext w:val="0"/>
                    <w:keepLines w:val="0"/>
                    <w:pageBreakBefore w:val="0"/>
                    <w:widowControl/>
                    <w:kinsoku/>
                    <w:wordWrap/>
                    <w:overflowPunct/>
                    <w:topLinePunct w:val="0"/>
                    <w:autoSpaceDE/>
                    <w:autoSpaceDN/>
                    <w:bidi w:val="0"/>
                    <w:snapToGrid w:val="0"/>
                    <w:jc w:val="center"/>
                    <w:rPr>
                      <w:rFonts w:hint="default" w:eastAsia="宋体"/>
                      <w:color w:val="000000" w:themeColor="text1"/>
                      <w:kern w:val="0"/>
                      <w:szCs w:val="21"/>
                      <w:lang w:val="en-US" w:eastAsia="zh-CN" w:bidi="ar"/>
                      <w14:textFill>
                        <w14:solidFill>
                          <w14:schemeClr w14:val="tx1"/>
                        </w14:solidFill>
                      </w14:textFill>
                    </w:rPr>
                  </w:pPr>
                  <w:r>
                    <w:rPr>
                      <w:rFonts w:hint="eastAsia"/>
                      <w:bCs/>
                      <w:color w:val="000000" w:themeColor="text1"/>
                      <w:szCs w:val="21"/>
                      <w:lang w:val="en-US" w:eastAsia="zh-CN"/>
                      <w14:textFill>
                        <w14:solidFill>
                          <w14:schemeClr w14:val="tx1"/>
                        </w14:solidFill>
                      </w14:textFill>
                    </w:rPr>
                    <w:t>0.2</w:t>
                  </w:r>
                </w:p>
              </w:tc>
              <w:tc>
                <w:tcPr>
                  <w:tcW w:w="1095" w:type="dxa"/>
                  <w:noWrap w:val="0"/>
                  <w:vAlign w:val="center"/>
                </w:tcPr>
                <w:p w14:paraId="6D19104F">
                  <w:pPr>
                    <w:keepNext w:val="0"/>
                    <w:keepLines w:val="0"/>
                    <w:pageBreakBefore w:val="0"/>
                    <w:widowControl/>
                    <w:kinsoku/>
                    <w:wordWrap/>
                    <w:overflowPunct/>
                    <w:topLinePunct w:val="0"/>
                    <w:autoSpaceDE/>
                    <w:autoSpaceDN/>
                    <w:bidi w:val="0"/>
                    <w:snapToGrid w:val="0"/>
                    <w:jc w:val="center"/>
                    <w:rPr>
                      <w:color w:val="000000" w:themeColor="text1"/>
                      <w:kern w:val="0"/>
                      <w:szCs w:val="21"/>
                      <w:lang w:bidi="ar"/>
                      <w14:textFill>
                        <w14:solidFill>
                          <w14:schemeClr w14:val="tx1"/>
                        </w14:solidFill>
                      </w14:textFill>
                    </w:rPr>
                  </w:pPr>
                  <w:r>
                    <w:rPr>
                      <w:rFonts w:hint="eastAsia"/>
                      <w:color w:val="000000" w:themeColor="text1"/>
                      <w:kern w:val="0"/>
                      <w:szCs w:val="21"/>
                      <w:lang w:bidi="ar"/>
                      <w14:textFill>
                        <w14:solidFill>
                          <w14:schemeClr w14:val="tx1"/>
                        </w14:solidFill>
                      </w14:textFill>
                    </w:rPr>
                    <w:t>外购</w:t>
                  </w:r>
                </w:p>
              </w:tc>
              <w:tc>
                <w:tcPr>
                  <w:tcW w:w="1087" w:type="dxa"/>
                  <w:noWrap w:val="0"/>
                  <w:vAlign w:val="center"/>
                </w:tcPr>
                <w:p w14:paraId="16528659">
                  <w:pPr>
                    <w:keepNext w:val="0"/>
                    <w:keepLines w:val="0"/>
                    <w:pageBreakBefore w:val="0"/>
                    <w:kinsoku/>
                    <w:wordWrap/>
                    <w:overflowPunct/>
                    <w:topLinePunct w:val="0"/>
                    <w:autoSpaceDE/>
                    <w:autoSpaceDN/>
                    <w:bidi w:val="0"/>
                    <w:adjustRightInd w:val="0"/>
                    <w:snapToGrid w:val="0"/>
                    <w:jc w:val="center"/>
                    <w:rPr>
                      <w:rFonts w:hint="eastAsia" w:eastAsia="宋体"/>
                      <w:bCs/>
                      <w:color w:val="000000" w:themeColor="text1"/>
                      <w:szCs w:val="21"/>
                      <w:lang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制瓦车间</w:t>
                  </w:r>
                </w:p>
              </w:tc>
            </w:tr>
            <w:tr w14:paraId="6D83B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8" w:type="dxa"/>
                  <w:noWrap w:val="0"/>
                  <w:vAlign w:val="center"/>
                </w:tcPr>
                <w:p w14:paraId="53C8879B">
                  <w:pPr>
                    <w:keepNext w:val="0"/>
                    <w:keepLines w:val="0"/>
                    <w:pageBreakBefore w:val="0"/>
                    <w:widowControl/>
                    <w:kinsoku/>
                    <w:wordWrap/>
                    <w:overflowPunct/>
                    <w:topLinePunct w:val="0"/>
                    <w:autoSpaceDE/>
                    <w:autoSpaceDN/>
                    <w:bidi w:val="0"/>
                    <w:snapToGrid w:val="0"/>
                    <w:jc w:val="center"/>
                    <w:rPr>
                      <w:rFonts w:hint="default"/>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生物质</w:t>
                  </w:r>
                </w:p>
              </w:tc>
              <w:tc>
                <w:tcPr>
                  <w:tcW w:w="1014" w:type="dxa"/>
                  <w:noWrap w:val="0"/>
                  <w:vAlign w:val="center"/>
                </w:tcPr>
                <w:p w14:paraId="4A6415B3">
                  <w:pPr>
                    <w:keepNext w:val="0"/>
                    <w:keepLines w:val="0"/>
                    <w:pageBreakBefore w:val="0"/>
                    <w:widowControl/>
                    <w:kinsoku/>
                    <w:wordWrap/>
                    <w:overflowPunct/>
                    <w:topLinePunct w:val="0"/>
                    <w:autoSpaceDE/>
                    <w:autoSpaceDN/>
                    <w:bidi w:val="0"/>
                    <w:snapToGrid w:val="0"/>
                    <w:jc w:val="center"/>
                    <w:rPr>
                      <w:rFonts w:hint="eastAsia" w:eastAsia="宋体"/>
                      <w:color w:val="000000" w:themeColor="text1"/>
                      <w:kern w:val="0"/>
                      <w:szCs w:val="21"/>
                      <w:highlight w:val="none"/>
                      <w:lang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t</w:t>
                  </w:r>
                  <w:r>
                    <w:rPr>
                      <w:color w:val="000000" w:themeColor="text1"/>
                      <w:kern w:val="0"/>
                      <w:szCs w:val="21"/>
                      <w:highlight w:val="none"/>
                      <w:lang w:bidi="ar"/>
                      <w14:textFill>
                        <w14:solidFill>
                          <w14:schemeClr w14:val="tx1"/>
                        </w14:solidFill>
                      </w14:textFill>
                    </w:rPr>
                    <w:t>/</w:t>
                  </w:r>
                  <w:r>
                    <w:rPr>
                      <w:rFonts w:hint="eastAsia"/>
                      <w:color w:val="000000" w:themeColor="text1"/>
                      <w:kern w:val="0"/>
                      <w:szCs w:val="21"/>
                      <w:highlight w:val="none"/>
                      <w:lang w:val="en-US" w:eastAsia="zh-CN" w:bidi="ar"/>
                      <w14:textFill>
                        <w14:solidFill>
                          <w14:schemeClr w14:val="tx1"/>
                        </w14:solidFill>
                      </w14:textFill>
                    </w:rPr>
                    <w:t>a</w:t>
                  </w:r>
                </w:p>
              </w:tc>
              <w:tc>
                <w:tcPr>
                  <w:tcW w:w="797" w:type="dxa"/>
                  <w:noWrap w:val="0"/>
                  <w:vAlign w:val="center"/>
                </w:tcPr>
                <w:p w14:paraId="2EA881BC">
                  <w:pPr>
                    <w:keepNext w:val="0"/>
                    <w:keepLines w:val="0"/>
                    <w:pageBreakBefore w:val="0"/>
                    <w:widowControl/>
                    <w:kinsoku/>
                    <w:wordWrap/>
                    <w:overflowPunct/>
                    <w:topLinePunct w:val="0"/>
                    <w:autoSpaceDE/>
                    <w:autoSpaceDN/>
                    <w:bidi w:val="0"/>
                    <w:snapToGrid w:val="0"/>
                    <w:jc w:val="center"/>
                    <w:rPr>
                      <w:rFonts w:hint="default" w:eastAsia="宋体"/>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2500</w:t>
                  </w:r>
                </w:p>
              </w:tc>
              <w:tc>
                <w:tcPr>
                  <w:tcW w:w="1101" w:type="dxa"/>
                  <w:noWrap w:val="0"/>
                  <w:vAlign w:val="center"/>
                </w:tcPr>
                <w:p w14:paraId="5B72C655">
                  <w:pPr>
                    <w:keepNext w:val="0"/>
                    <w:keepLines w:val="0"/>
                    <w:pageBreakBefore w:val="0"/>
                    <w:widowControl/>
                    <w:kinsoku/>
                    <w:wordWrap/>
                    <w:overflowPunct/>
                    <w:topLinePunct w:val="0"/>
                    <w:autoSpaceDE/>
                    <w:autoSpaceDN/>
                    <w:bidi w:val="0"/>
                    <w:snapToGrid w:val="0"/>
                    <w:jc w:val="center"/>
                    <w:rPr>
                      <w:rFonts w:hint="default" w:eastAsia="宋体"/>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3000</w:t>
                  </w:r>
                </w:p>
              </w:tc>
              <w:tc>
                <w:tcPr>
                  <w:tcW w:w="1048" w:type="dxa"/>
                  <w:noWrap w:val="0"/>
                  <w:vAlign w:val="center"/>
                </w:tcPr>
                <w:p w14:paraId="003F2164">
                  <w:pPr>
                    <w:keepNext w:val="0"/>
                    <w:keepLines w:val="0"/>
                    <w:pageBreakBefore w:val="0"/>
                    <w:widowControl/>
                    <w:kinsoku/>
                    <w:wordWrap/>
                    <w:overflowPunct/>
                    <w:topLinePunct w:val="0"/>
                    <w:autoSpaceDE/>
                    <w:autoSpaceDN/>
                    <w:bidi w:val="0"/>
                    <w:snapToGrid w:val="0"/>
                    <w:jc w:val="center"/>
                    <w:rPr>
                      <w:rFonts w:hint="default" w:eastAsia="宋体"/>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5500</w:t>
                  </w:r>
                </w:p>
              </w:tc>
              <w:tc>
                <w:tcPr>
                  <w:tcW w:w="934" w:type="dxa"/>
                  <w:noWrap w:val="0"/>
                  <w:vAlign w:val="center"/>
                </w:tcPr>
                <w:p w14:paraId="19DA010D">
                  <w:pPr>
                    <w:keepNext w:val="0"/>
                    <w:keepLines w:val="0"/>
                    <w:pageBreakBefore w:val="0"/>
                    <w:widowControl/>
                    <w:kinsoku/>
                    <w:wordWrap/>
                    <w:overflowPunct/>
                    <w:topLinePunct w:val="0"/>
                    <w:autoSpaceDE/>
                    <w:autoSpaceDN/>
                    <w:bidi w:val="0"/>
                    <w:snapToGrid w:val="0"/>
                    <w:jc w:val="center"/>
                    <w:rPr>
                      <w:rFonts w:hint="eastAsia"/>
                      <w:color w:val="000000" w:themeColor="text1"/>
                      <w:kern w:val="0"/>
                      <w:szCs w:val="21"/>
                      <w:highlight w:val="none"/>
                      <w:lang w:bidi="ar"/>
                      <w14:textFill>
                        <w14:solidFill>
                          <w14:schemeClr w14:val="tx1"/>
                        </w14:solidFill>
                      </w14:textFill>
                    </w:rPr>
                  </w:pPr>
                  <w:r>
                    <w:rPr>
                      <w:rFonts w:hint="eastAsia"/>
                      <w:bCs/>
                      <w:color w:val="000000" w:themeColor="text1"/>
                      <w:szCs w:val="21"/>
                      <w:highlight w:val="none"/>
                      <w14:textFill>
                        <w14:solidFill>
                          <w14:schemeClr w14:val="tx1"/>
                        </w14:solidFill>
                      </w14:textFill>
                    </w:rPr>
                    <w:t>--</w:t>
                  </w:r>
                </w:p>
              </w:tc>
              <w:tc>
                <w:tcPr>
                  <w:tcW w:w="1095" w:type="dxa"/>
                  <w:noWrap w:val="0"/>
                  <w:vAlign w:val="center"/>
                </w:tcPr>
                <w:p w14:paraId="61052980">
                  <w:pPr>
                    <w:keepNext w:val="0"/>
                    <w:keepLines w:val="0"/>
                    <w:pageBreakBefore w:val="0"/>
                    <w:widowControl/>
                    <w:kinsoku/>
                    <w:wordWrap/>
                    <w:overflowPunct/>
                    <w:topLinePunct w:val="0"/>
                    <w:autoSpaceDE/>
                    <w:autoSpaceDN/>
                    <w:bidi w:val="0"/>
                    <w:snapToGrid w:val="0"/>
                    <w:jc w:val="center"/>
                    <w:rPr>
                      <w:rFonts w:hint="eastAsia"/>
                      <w:color w:val="000000" w:themeColor="text1"/>
                      <w:kern w:val="0"/>
                      <w:szCs w:val="21"/>
                      <w:highlight w:val="none"/>
                      <w:lang w:bidi="ar"/>
                      <w14:textFill>
                        <w14:solidFill>
                          <w14:schemeClr w14:val="tx1"/>
                        </w14:solidFill>
                      </w14:textFill>
                    </w:rPr>
                  </w:pPr>
                  <w:r>
                    <w:rPr>
                      <w:rFonts w:hint="eastAsia"/>
                      <w:color w:val="000000" w:themeColor="text1"/>
                      <w:kern w:val="0"/>
                      <w:szCs w:val="21"/>
                      <w:highlight w:val="none"/>
                      <w:lang w:bidi="ar"/>
                      <w14:textFill>
                        <w14:solidFill>
                          <w14:schemeClr w14:val="tx1"/>
                        </w14:solidFill>
                      </w14:textFill>
                    </w:rPr>
                    <w:t>外购</w:t>
                  </w:r>
                </w:p>
              </w:tc>
              <w:tc>
                <w:tcPr>
                  <w:tcW w:w="1087" w:type="dxa"/>
                  <w:noWrap w:val="0"/>
                  <w:vAlign w:val="center"/>
                </w:tcPr>
                <w:p w14:paraId="7D65EB16">
                  <w:pPr>
                    <w:keepNext w:val="0"/>
                    <w:keepLines w:val="0"/>
                    <w:pageBreakBefore w:val="0"/>
                    <w:kinsoku/>
                    <w:wordWrap/>
                    <w:overflowPunct/>
                    <w:topLinePunct w:val="0"/>
                    <w:autoSpaceDE/>
                    <w:autoSpaceDN/>
                    <w:bidi w:val="0"/>
                    <w:adjustRightInd w:val="0"/>
                    <w:snapToGrid w:val="0"/>
                    <w:jc w:val="center"/>
                    <w:rPr>
                      <w:rFonts w:hint="eastAsia"/>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w:t>
                  </w:r>
                </w:p>
              </w:tc>
            </w:tr>
            <w:tr w14:paraId="1780D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8" w:type="dxa"/>
                  <w:noWrap w:val="0"/>
                  <w:vAlign w:val="center"/>
                </w:tcPr>
                <w:p w14:paraId="7B5BF75A">
                  <w:pPr>
                    <w:keepNext w:val="0"/>
                    <w:keepLines w:val="0"/>
                    <w:pageBreakBefore w:val="0"/>
                    <w:widowControl/>
                    <w:kinsoku/>
                    <w:wordWrap/>
                    <w:overflowPunct/>
                    <w:topLinePunct w:val="0"/>
                    <w:autoSpaceDE/>
                    <w:autoSpaceDN/>
                    <w:bidi w:val="0"/>
                    <w:snapToGrid w:val="0"/>
                    <w:jc w:val="center"/>
                    <w:rPr>
                      <w:rFonts w:hint="eastAsia" w:eastAsia="宋体"/>
                      <w:color w:val="000000" w:themeColor="text1"/>
                      <w:kern w:val="0"/>
                      <w:szCs w:val="21"/>
                      <w:highlight w:val="none"/>
                      <w:lang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新鲜水</w:t>
                  </w:r>
                </w:p>
              </w:tc>
              <w:tc>
                <w:tcPr>
                  <w:tcW w:w="1014" w:type="dxa"/>
                  <w:noWrap w:val="0"/>
                  <w:vAlign w:val="center"/>
                </w:tcPr>
                <w:p w14:paraId="38441874">
                  <w:pPr>
                    <w:keepNext w:val="0"/>
                    <w:keepLines w:val="0"/>
                    <w:pageBreakBefore w:val="0"/>
                    <w:widowControl/>
                    <w:kinsoku/>
                    <w:wordWrap/>
                    <w:overflowPunct/>
                    <w:topLinePunct w:val="0"/>
                    <w:autoSpaceDE/>
                    <w:autoSpaceDN/>
                    <w:bidi w:val="0"/>
                    <w:snapToGrid w:val="0"/>
                    <w:jc w:val="center"/>
                    <w:rPr>
                      <w:color w:val="000000" w:themeColor="text1"/>
                      <w:kern w:val="0"/>
                      <w:szCs w:val="21"/>
                      <w:highlight w:val="none"/>
                      <w:lang w:bidi="ar"/>
                      <w14:textFill>
                        <w14:solidFill>
                          <w14:schemeClr w14:val="tx1"/>
                        </w14:solidFill>
                      </w14:textFill>
                    </w:rPr>
                  </w:pPr>
                  <w:r>
                    <w:rPr>
                      <w:rFonts w:hint="eastAsia"/>
                      <w:color w:val="000000" w:themeColor="text1"/>
                      <w:kern w:val="0"/>
                      <w:szCs w:val="21"/>
                      <w:highlight w:val="none"/>
                      <w:lang w:bidi="ar"/>
                      <w14:textFill>
                        <w14:solidFill>
                          <w14:schemeClr w14:val="tx1"/>
                        </w14:solidFill>
                      </w14:textFill>
                    </w:rPr>
                    <w:t>m</w:t>
                  </w:r>
                  <w:r>
                    <w:rPr>
                      <w:rFonts w:hint="eastAsia"/>
                      <w:color w:val="000000" w:themeColor="text1"/>
                      <w:kern w:val="0"/>
                      <w:szCs w:val="21"/>
                      <w:highlight w:val="none"/>
                      <w:vertAlign w:val="superscript"/>
                      <w:lang w:bidi="ar"/>
                      <w14:textFill>
                        <w14:solidFill>
                          <w14:schemeClr w14:val="tx1"/>
                        </w14:solidFill>
                      </w14:textFill>
                    </w:rPr>
                    <w:t>3</w:t>
                  </w:r>
                  <w:r>
                    <w:rPr>
                      <w:rFonts w:hint="eastAsia"/>
                      <w:color w:val="000000" w:themeColor="text1"/>
                      <w:kern w:val="0"/>
                      <w:szCs w:val="21"/>
                      <w:highlight w:val="none"/>
                      <w:lang w:bidi="ar"/>
                      <w14:textFill>
                        <w14:solidFill>
                          <w14:schemeClr w14:val="tx1"/>
                        </w14:solidFill>
                      </w14:textFill>
                    </w:rPr>
                    <w:t>/a</w:t>
                  </w:r>
                </w:p>
              </w:tc>
              <w:tc>
                <w:tcPr>
                  <w:tcW w:w="797" w:type="dxa"/>
                  <w:noWrap w:val="0"/>
                  <w:vAlign w:val="center"/>
                </w:tcPr>
                <w:p w14:paraId="271D4BEE">
                  <w:pPr>
                    <w:keepNext w:val="0"/>
                    <w:keepLines w:val="0"/>
                    <w:pageBreakBefore w:val="0"/>
                    <w:widowControl/>
                    <w:kinsoku/>
                    <w:wordWrap/>
                    <w:overflowPunct/>
                    <w:topLinePunct w:val="0"/>
                    <w:autoSpaceDE/>
                    <w:autoSpaceDN/>
                    <w:bidi w:val="0"/>
                    <w:snapToGrid w:val="0"/>
                    <w:jc w:val="center"/>
                    <w:rPr>
                      <w:rFonts w:hint="default" w:eastAsia="宋体"/>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4400</w:t>
                  </w:r>
                </w:p>
              </w:tc>
              <w:tc>
                <w:tcPr>
                  <w:tcW w:w="1101" w:type="dxa"/>
                  <w:noWrap w:val="0"/>
                  <w:vAlign w:val="center"/>
                </w:tcPr>
                <w:p w14:paraId="3D6579E9">
                  <w:pPr>
                    <w:keepNext w:val="0"/>
                    <w:keepLines w:val="0"/>
                    <w:pageBreakBefore w:val="0"/>
                    <w:widowControl/>
                    <w:kinsoku/>
                    <w:wordWrap/>
                    <w:overflowPunct/>
                    <w:topLinePunct w:val="0"/>
                    <w:autoSpaceDE/>
                    <w:autoSpaceDN/>
                    <w:bidi w:val="0"/>
                    <w:snapToGrid w:val="0"/>
                    <w:jc w:val="center"/>
                    <w:rPr>
                      <w:rFonts w:hint="default" w:eastAsia="宋体"/>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89973.13</w:t>
                  </w:r>
                </w:p>
              </w:tc>
              <w:tc>
                <w:tcPr>
                  <w:tcW w:w="1048" w:type="dxa"/>
                  <w:noWrap w:val="0"/>
                  <w:vAlign w:val="center"/>
                </w:tcPr>
                <w:p w14:paraId="2668919F">
                  <w:pPr>
                    <w:keepNext w:val="0"/>
                    <w:keepLines w:val="0"/>
                    <w:pageBreakBefore w:val="0"/>
                    <w:widowControl/>
                    <w:kinsoku/>
                    <w:wordWrap/>
                    <w:overflowPunct/>
                    <w:topLinePunct w:val="0"/>
                    <w:autoSpaceDE/>
                    <w:autoSpaceDN/>
                    <w:bidi w:val="0"/>
                    <w:snapToGrid w:val="0"/>
                    <w:jc w:val="center"/>
                    <w:rPr>
                      <w:rFonts w:hint="default" w:eastAsia="宋体"/>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94373.13</w:t>
                  </w:r>
                </w:p>
              </w:tc>
              <w:tc>
                <w:tcPr>
                  <w:tcW w:w="934" w:type="dxa"/>
                  <w:noWrap w:val="0"/>
                  <w:vAlign w:val="center"/>
                </w:tcPr>
                <w:p w14:paraId="6F012254">
                  <w:pPr>
                    <w:keepNext w:val="0"/>
                    <w:keepLines w:val="0"/>
                    <w:pageBreakBefore w:val="0"/>
                    <w:widowControl/>
                    <w:kinsoku/>
                    <w:wordWrap/>
                    <w:overflowPunct/>
                    <w:topLinePunct w:val="0"/>
                    <w:autoSpaceDE/>
                    <w:autoSpaceDN/>
                    <w:bidi w:val="0"/>
                    <w:snapToGrid w:val="0"/>
                    <w:jc w:val="center"/>
                    <w:rPr>
                      <w:color w:val="000000" w:themeColor="text1"/>
                      <w:kern w:val="0"/>
                      <w:szCs w:val="21"/>
                      <w:highlight w:val="none"/>
                      <w:lang w:bidi="ar"/>
                      <w14:textFill>
                        <w14:solidFill>
                          <w14:schemeClr w14:val="tx1"/>
                        </w14:solidFill>
                      </w14:textFill>
                    </w:rPr>
                  </w:pPr>
                  <w:r>
                    <w:rPr>
                      <w:rFonts w:hint="eastAsia"/>
                      <w:bCs/>
                      <w:color w:val="000000" w:themeColor="text1"/>
                      <w:szCs w:val="21"/>
                      <w:highlight w:val="none"/>
                      <w14:textFill>
                        <w14:solidFill>
                          <w14:schemeClr w14:val="tx1"/>
                        </w14:solidFill>
                      </w14:textFill>
                    </w:rPr>
                    <w:t>--</w:t>
                  </w:r>
                </w:p>
              </w:tc>
              <w:tc>
                <w:tcPr>
                  <w:tcW w:w="1095" w:type="dxa"/>
                  <w:noWrap w:val="0"/>
                  <w:vAlign w:val="center"/>
                </w:tcPr>
                <w:p w14:paraId="363F957A">
                  <w:pPr>
                    <w:keepNext w:val="0"/>
                    <w:keepLines w:val="0"/>
                    <w:pageBreakBefore w:val="0"/>
                    <w:widowControl/>
                    <w:kinsoku/>
                    <w:wordWrap/>
                    <w:overflowPunct/>
                    <w:topLinePunct w:val="0"/>
                    <w:autoSpaceDE/>
                    <w:autoSpaceDN/>
                    <w:bidi w:val="0"/>
                    <w:snapToGrid w:val="0"/>
                    <w:jc w:val="center"/>
                    <w:rPr>
                      <w:color w:val="000000" w:themeColor="text1"/>
                      <w:kern w:val="0"/>
                      <w:szCs w:val="21"/>
                      <w:highlight w:val="none"/>
                      <w:lang w:bidi="ar"/>
                      <w14:textFill>
                        <w14:solidFill>
                          <w14:schemeClr w14:val="tx1"/>
                        </w14:solidFill>
                      </w14:textFill>
                    </w:rPr>
                  </w:pPr>
                  <w:r>
                    <w:rPr>
                      <w:rFonts w:hint="eastAsia"/>
                      <w:color w:val="000000" w:themeColor="text1"/>
                      <w:kern w:val="0"/>
                      <w:szCs w:val="21"/>
                      <w:highlight w:val="none"/>
                      <w:lang w:bidi="ar"/>
                      <w14:textFill>
                        <w14:solidFill>
                          <w14:schemeClr w14:val="tx1"/>
                        </w14:solidFill>
                      </w14:textFill>
                    </w:rPr>
                    <w:t>市政管网供给</w:t>
                  </w:r>
                </w:p>
              </w:tc>
              <w:tc>
                <w:tcPr>
                  <w:tcW w:w="1087" w:type="dxa"/>
                  <w:noWrap w:val="0"/>
                  <w:vAlign w:val="center"/>
                </w:tcPr>
                <w:p w14:paraId="059DA4D0">
                  <w:pPr>
                    <w:keepNext w:val="0"/>
                    <w:keepLines w:val="0"/>
                    <w:pageBreakBefore w:val="0"/>
                    <w:kinsoku/>
                    <w:wordWrap/>
                    <w:overflowPunct/>
                    <w:topLinePunct w:val="0"/>
                    <w:autoSpaceDE/>
                    <w:autoSpaceDN/>
                    <w:bidi w:val="0"/>
                    <w:adjustRightInd w:val="0"/>
                    <w:snapToGrid w:val="0"/>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w:t>
                  </w:r>
                </w:p>
              </w:tc>
            </w:tr>
            <w:tr w14:paraId="22B1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8" w:type="dxa"/>
                  <w:noWrap w:val="0"/>
                  <w:vAlign w:val="center"/>
                </w:tcPr>
                <w:p w14:paraId="572689D8">
                  <w:pPr>
                    <w:keepNext w:val="0"/>
                    <w:keepLines w:val="0"/>
                    <w:pageBreakBefore w:val="0"/>
                    <w:widowControl/>
                    <w:kinsoku/>
                    <w:wordWrap/>
                    <w:overflowPunct/>
                    <w:topLinePunct w:val="0"/>
                    <w:autoSpaceDE/>
                    <w:autoSpaceDN/>
                    <w:bidi w:val="0"/>
                    <w:snapToGrid w:val="0"/>
                    <w:jc w:val="center"/>
                    <w:rPr>
                      <w:color w:val="000000" w:themeColor="text1"/>
                      <w:kern w:val="0"/>
                      <w:szCs w:val="21"/>
                      <w:lang w:bidi="ar"/>
                      <w14:textFill>
                        <w14:solidFill>
                          <w14:schemeClr w14:val="tx1"/>
                        </w14:solidFill>
                      </w14:textFill>
                    </w:rPr>
                  </w:pPr>
                  <w:r>
                    <w:rPr>
                      <w:rFonts w:hint="eastAsia"/>
                      <w:color w:val="000000" w:themeColor="text1"/>
                      <w:kern w:val="0"/>
                      <w:szCs w:val="21"/>
                      <w:lang w:bidi="ar"/>
                      <w14:textFill>
                        <w14:solidFill>
                          <w14:schemeClr w14:val="tx1"/>
                        </w14:solidFill>
                      </w14:textFill>
                    </w:rPr>
                    <w:t>电</w:t>
                  </w:r>
                </w:p>
              </w:tc>
              <w:tc>
                <w:tcPr>
                  <w:tcW w:w="1014" w:type="dxa"/>
                  <w:noWrap w:val="0"/>
                  <w:vAlign w:val="center"/>
                </w:tcPr>
                <w:p w14:paraId="5F35238C">
                  <w:pPr>
                    <w:keepNext w:val="0"/>
                    <w:keepLines w:val="0"/>
                    <w:pageBreakBefore w:val="0"/>
                    <w:widowControl/>
                    <w:kinsoku/>
                    <w:wordWrap/>
                    <w:overflowPunct/>
                    <w:topLinePunct w:val="0"/>
                    <w:autoSpaceDE/>
                    <w:autoSpaceDN/>
                    <w:bidi w:val="0"/>
                    <w:snapToGrid w:val="0"/>
                    <w:jc w:val="center"/>
                    <w:rPr>
                      <w:color w:val="000000" w:themeColor="text1"/>
                      <w:kern w:val="0"/>
                      <w:szCs w:val="21"/>
                      <w:lang w:bidi="ar"/>
                      <w14:textFill>
                        <w14:solidFill>
                          <w14:schemeClr w14:val="tx1"/>
                        </w14:solidFill>
                      </w14:textFill>
                    </w:rPr>
                  </w:pPr>
                  <w:r>
                    <w:rPr>
                      <w:rFonts w:hint="eastAsia"/>
                      <w:color w:val="000000" w:themeColor="text1"/>
                      <w:kern w:val="0"/>
                      <w:szCs w:val="21"/>
                      <w:lang w:bidi="ar"/>
                      <w14:textFill>
                        <w14:solidFill>
                          <w14:schemeClr w14:val="tx1"/>
                        </w14:solidFill>
                      </w14:textFill>
                    </w:rPr>
                    <w:t>万kW·h/a</w:t>
                  </w:r>
                </w:p>
              </w:tc>
              <w:tc>
                <w:tcPr>
                  <w:tcW w:w="797" w:type="dxa"/>
                  <w:noWrap w:val="0"/>
                  <w:vAlign w:val="center"/>
                </w:tcPr>
                <w:p w14:paraId="06045A36">
                  <w:pPr>
                    <w:keepNext w:val="0"/>
                    <w:keepLines w:val="0"/>
                    <w:pageBreakBefore w:val="0"/>
                    <w:widowControl/>
                    <w:kinsoku/>
                    <w:wordWrap/>
                    <w:overflowPunct/>
                    <w:topLinePunct w:val="0"/>
                    <w:autoSpaceDE/>
                    <w:autoSpaceDN/>
                    <w:bidi w:val="0"/>
                    <w:snapToGrid w:val="0"/>
                    <w:jc w:val="center"/>
                    <w:rPr>
                      <w:rFonts w:hint="default" w:eastAsia="宋体"/>
                      <w:color w:val="000000" w:themeColor="text1"/>
                      <w:kern w:val="0"/>
                      <w:szCs w:val="21"/>
                      <w:lang w:val="en-US" w:eastAsia="zh-CN" w:bidi="ar"/>
                      <w14:textFill>
                        <w14:solidFill>
                          <w14:schemeClr w14:val="tx1"/>
                        </w14:solidFill>
                      </w14:textFill>
                    </w:rPr>
                  </w:pPr>
                  <w:r>
                    <w:rPr>
                      <w:rFonts w:hint="eastAsia"/>
                      <w:color w:val="000000" w:themeColor="text1"/>
                      <w:kern w:val="0"/>
                      <w:szCs w:val="21"/>
                      <w:lang w:val="en-US" w:eastAsia="zh-CN" w:bidi="ar"/>
                      <w14:textFill>
                        <w14:solidFill>
                          <w14:schemeClr w14:val="tx1"/>
                        </w14:solidFill>
                      </w14:textFill>
                    </w:rPr>
                    <w:t>10</w:t>
                  </w:r>
                </w:p>
              </w:tc>
              <w:tc>
                <w:tcPr>
                  <w:tcW w:w="1101" w:type="dxa"/>
                  <w:noWrap w:val="0"/>
                  <w:vAlign w:val="center"/>
                </w:tcPr>
                <w:p w14:paraId="0FB84212">
                  <w:pPr>
                    <w:keepNext w:val="0"/>
                    <w:keepLines w:val="0"/>
                    <w:pageBreakBefore w:val="0"/>
                    <w:widowControl/>
                    <w:kinsoku/>
                    <w:wordWrap/>
                    <w:overflowPunct/>
                    <w:topLinePunct w:val="0"/>
                    <w:autoSpaceDE/>
                    <w:autoSpaceDN/>
                    <w:bidi w:val="0"/>
                    <w:snapToGrid w:val="0"/>
                    <w:jc w:val="center"/>
                    <w:rPr>
                      <w:rFonts w:hint="default" w:eastAsia="宋体"/>
                      <w:color w:val="000000" w:themeColor="text1"/>
                      <w:kern w:val="0"/>
                      <w:szCs w:val="21"/>
                      <w:lang w:val="en-US" w:eastAsia="zh-CN" w:bidi="ar"/>
                      <w14:textFill>
                        <w14:solidFill>
                          <w14:schemeClr w14:val="tx1"/>
                        </w14:solidFill>
                      </w14:textFill>
                    </w:rPr>
                  </w:pPr>
                  <w:r>
                    <w:rPr>
                      <w:rFonts w:hint="eastAsia"/>
                      <w:color w:val="000000" w:themeColor="text1"/>
                      <w:kern w:val="0"/>
                      <w:szCs w:val="21"/>
                      <w:lang w:val="en-US" w:eastAsia="zh-CN" w:bidi="ar"/>
                      <w14:textFill>
                        <w14:solidFill>
                          <w14:schemeClr w14:val="tx1"/>
                        </w14:solidFill>
                      </w14:textFill>
                    </w:rPr>
                    <w:t>20</w:t>
                  </w:r>
                </w:p>
              </w:tc>
              <w:tc>
                <w:tcPr>
                  <w:tcW w:w="1048" w:type="dxa"/>
                  <w:noWrap w:val="0"/>
                  <w:vAlign w:val="center"/>
                </w:tcPr>
                <w:p w14:paraId="7F419829">
                  <w:pPr>
                    <w:keepNext w:val="0"/>
                    <w:keepLines w:val="0"/>
                    <w:pageBreakBefore w:val="0"/>
                    <w:widowControl/>
                    <w:kinsoku/>
                    <w:wordWrap/>
                    <w:overflowPunct/>
                    <w:topLinePunct w:val="0"/>
                    <w:autoSpaceDE/>
                    <w:autoSpaceDN/>
                    <w:bidi w:val="0"/>
                    <w:snapToGrid w:val="0"/>
                    <w:jc w:val="center"/>
                    <w:rPr>
                      <w:rFonts w:hint="default" w:eastAsia="宋体"/>
                      <w:color w:val="000000" w:themeColor="text1"/>
                      <w:kern w:val="0"/>
                      <w:szCs w:val="21"/>
                      <w:lang w:val="en-US" w:eastAsia="zh-CN" w:bidi="ar"/>
                      <w14:textFill>
                        <w14:solidFill>
                          <w14:schemeClr w14:val="tx1"/>
                        </w14:solidFill>
                      </w14:textFill>
                    </w:rPr>
                  </w:pPr>
                  <w:r>
                    <w:rPr>
                      <w:rFonts w:hint="eastAsia"/>
                      <w:color w:val="000000" w:themeColor="text1"/>
                      <w:kern w:val="0"/>
                      <w:szCs w:val="21"/>
                      <w:lang w:val="en-US" w:eastAsia="zh-CN" w:bidi="ar"/>
                      <w14:textFill>
                        <w14:solidFill>
                          <w14:schemeClr w14:val="tx1"/>
                        </w14:solidFill>
                      </w14:textFill>
                    </w:rPr>
                    <w:t>30</w:t>
                  </w:r>
                </w:p>
              </w:tc>
              <w:tc>
                <w:tcPr>
                  <w:tcW w:w="934" w:type="dxa"/>
                  <w:noWrap w:val="0"/>
                  <w:vAlign w:val="center"/>
                </w:tcPr>
                <w:p w14:paraId="2929AC40">
                  <w:pPr>
                    <w:keepNext w:val="0"/>
                    <w:keepLines w:val="0"/>
                    <w:pageBreakBefore w:val="0"/>
                    <w:widowControl/>
                    <w:kinsoku/>
                    <w:wordWrap/>
                    <w:overflowPunct/>
                    <w:topLinePunct w:val="0"/>
                    <w:autoSpaceDE/>
                    <w:autoSpaceDN/>
                    <w:bidi w:val="0"/>
                    <w:snapToGrid w:val="0"/>
                    <w:jc w:val="center"/>
                    <w:rPr>
                      <w:color w:val="000000" w:themeColor="text1"/>
                      <w:kern w:val="0"/>
                      <w:szCs w:val="21"/>
                      <w:lang w:bidi="ar"/>
                      <w14:textFill>
                        <w14:solidFill>
                          <w14:schemeClr w14:val="tx1"/>
                        </w14:solidFill>
                      </w14:textFill>
                    </w:rPr>
                  </w:pPr>
                  <w:r>
                    <w:rPr>
                      <w:rFonts w:hint="eastAsia"/>
                      <w:bCs/>
                      <w:color w:val="000000" w:themeColor="text1"/>
                      <w:szCs w:val="21"/>
                      <w14:textFill>
                        <w14:solidFill>
                          <w14:schemeClr w14:val="tx1"/>
                        </w14:solidFill>
                      </w14:textFill>
                    </w:rPr>
                    <w:t>--</w:t>
                  </w:r>
                </w:p>
              </w:tc>
              <w:tc>
                <w:tcPr>
                  <w:tcW w:w="1095" w:type="dxa"/>
                  <w:noWrap w:val="0"/>
                  <w:vAlign w:val="center"/>
                </w:tcPr>
                <w:p w14:paraId="036C8BCC">
                  <w:pPr>
                    <w:keepNext w:val="0"/>
                    <w:keepLines w:val="0"/>
                    <w:pageBreakBefore w:val="0"/>
                    <w:widowControl/>
                    <w:kinsoku/>
                    <w:wordWrap/>
                    <w:overflowPunct/>
                    <w:topLinePunct w:val="0"/>
                    <w:autoSpaceDE/>
                    <w:autoSpaceDN/>
                    <w:bidi w:val="0"/>
                    <w:snapToGrid w:val="0"/>
                    <w:jc w:val="center"/>
                    <w:rPr>
                      <w:color w:val="000000" w:themeColor="text1"/>
                      <w:kern w:val="0"/>
                      <w:szCs w:val="21"/>
                      <w:lang w:bidi="ar"/>
                      <w14:textFill>
                        <w14:solidFill>
                          <w14:schemeClr w14:val="tx1"/>
                        </w14:solidFill>
                      </w14:textFill>
                    </w:rPr>
                  </w:pPr>
                  <w:r>
                    <w:rPr>
                      <w:rFonts w:hint="eastAsia"/>
                      <w:color w:val="000000" w:themeColor="text1"/>
                      <w:kern w:val="0"/>
                      <w:szCs w:val="21"/>
                      <w:lang w:bidi="ar"/>
                      <w14:textFill>
                        <w14:solidFill>
                          <w14:schemeClr w14:val="tx1"/>
                        </w14:solidFill>
                      </w14:textFill>
                    </w:rPr>
                    <w:t>市政电网供给</w:t>
                  </w:r>
                </w:p>
              </w:tc>
              <w:tc>
                <w:tcPr>
                  <w:tcW w:w="1087" w:type="dxa"/>
                  <w:noWrap w:val="0"/>
                  <w:vAlign w:val="center"/>
                </w:tcPr>
                <w:p w14:paraId="38107B2A">
                  <w:pPr>
                    <w:keepNext w:val="0"/>
                    <w:keepLines w:val="0"/>
                    <w:pageBreakBefore w:val="0"/>
                    <w:kinsoku/>
                    <w:wordWrap/>
                    <w:overflowPunct/>
                    <w:topLinePunct w:val="0"/>
                    <w:autoSpaceDE/>
                    <w:autoSpaceDN/>
                    <w:bidi w:val="0"/>
                    <w:adjustRightInd w:val="0"/>
                    <w:snapToGrid w:val="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r>
            <w:tr w14:paraId="71878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8" w:type="dxa"/>
                  <w:noWrap w:val="0"/>
                  <w:vAlign w:val="center"/>
                </w:tcPr>
                <w:p w14:paraId="0C4CCC2F">
                  <w:pPr>
                    <w:keepNext w:val="0"/>
                    <w:keepLines w:val="0"/>
                    <w:pageBreakBefore w:val="0"/>
                    <w:widowControl/>
                    <w:kinsoku/>
                    <w:wordWrap/>
                    <w:overflowPunct/>
                    <w:topLinePunct w:val="0"/>
                    <w:autoSpaceDE/>
                    <w:autoSpaceDN/>
                    <w:bidi w:val="0"/>
                    <w:snapToGrid w:val="0"/>
                    <w:jc w:val="center"/>
                    <w:rPr>
                      <w:rFonts w:hint="eastAsia" w:eastAsia="宋体"/>
                      <w:color w:val="000000" w:themeColor="text1"/>
                      <w:kern w:val="0"/>
                      <w:szCs w:val="21"/>
                      <w:lang w:eastAsia="zh-CN" w:bidi="ar"/>
                      <w14:textFill>
                        <w14:solidFill>
                          <w14:schemeClr w14:val="tx1"/>
                        </w14:solidFill>
                      </w14:textFill>
                    </w:rPr>
                  </w:pPr>
                  <w:r>
                    <w:rPr>
                      <w:rFonts w:hint="eastAsia"/>
                      <w:color w:val="000000" w:themeColor="text1"/>
                      <w:kern w:val="0"/>
                      <w:szCs w:val="21"/>
                      <w:lang w:val="en-US" w:eastAsia="zh-CN" w:bidi="ar"/>
                      <w14:textFill>
                        <w14:solidFill>
                          <w14:schemeClr w14:val="tx1"/>
                        </w14:solidFill>
                      </w14:textFill>
                    </w:rPr>
                    <w:t>氢氧化钠</w:t>
                  </w:r>
                </w:p>
              </w:tc>
              <w:tc>
                <w:tcPr>
                  <w:tcW w:w="1014" w:type="dxa"/>
                  <w:noWrap w:val="0"/>
                  <w:vAlign w:val="center"/>
                </w:tcPr>
                <w:p w14:paraId="6A486FE2">
                  <w:pPr>
                    <w:keepNext w:val="0"/>
                    <w:keepLines w:val="0"/>
                    <w:pageBreakBefore w:val="0"/>
                    <w:widowControl/>
                    <w:kinsoku/>
                    <w:wordWrap/>
                    <w:overflowPunct/>
                    <w:topLinePunct w:val="0"/>
                    <w:autoSpaceDE/>
                    <w:autoSpaceDN/>
                    <w:bidi w:val="0"/>
                    <w:snapToGrid w:val="0"/>
                    <w:jc w:val="center"/>
                    <w:rPr>
                      <w:rFonts w:hint="eastAsia" w:eastAsia="宋体"/>
                      <w:color w:val="000000" w:themeColor="text1"/>
                      <w:kern w:val="0"/>
                      <w:szCs w:val="21"/>
                      <w:lang w:eastAsia="zh-CN" w:bidi="ar"/>
                      <w14:textFill>
                        <w14:solidFill>
                          <w14:schemeClr w14:val="tx1"/>
                        </w14:solidFill>
                      </w14:textFill>
                    </w:rPr>
                  </w:pPr>
                  <w:r>
                    <w:rPr>
                      <w:rFonts w:hint="eastAsia"/>
                      <w:color w:val="000000" w:themeColor="text1"/>
                      <w:kern w:val="0"/>
                      <w:szCs w:val="21"/>
                      <w:lang w:val="en-US" w:eastAsia="zh-CN" w:bidi="ar"/>
                      <w14:textFill>
                        <w14:solidFill>
                          <w14:schemeClr w14:val="tx1"/>
                        </w14:solidFill>
                      </w14:textFill>
                    </w:rPr>
                    <w:t>t</w:t>
                  </w:r>
                  <w:r>
                    <w:rPr>
                      <w:color w:val="000000" w:themeColor="text1"/>
                      <w:kern w:val="0"/>
                      <w:szCs w:val="21"/>
                      <w:lang w:bidi="ar"/>
                      <w14:textFill>
                        <w14:solidFill>
                          <w14:schemeClr w14:val="tx1"/>
                        </w14:solidFill>
                      </w14:textFill>
                    </w:rPr>
                    <w:t>/</w:t>
                  </w:r>
                  <w:r>
                    <w:rPr>
                      <w:rFonts w:hint="eastAsia"/>
                      <w:color w:val="000000" w:themeColor="text1"/>
                      <w:kern w:val="0"/>
                      <w:szCs w:val="21"/>
                      <w:lang w:val="en-US" w:eastAsia="zh-CN" w:bidi="ar"/>
                      <w14:textFill>
                        <w14:solidFill>
                          <w14:schemeClr w14:val="tx1"/>
                        </w14:solidFill>
                      </w14:textFill>
                    </w:rPr>
                    <w:t>a</w:t>
                  </w:r>
                </w:p>
              </w:tc>
              <w:tc>
                <w:tcPr>
                  <w:tcW w:w="797" w:type="dxa"/>
                  <w:noWrap w:val="0"/>
                  <w:vAlign w:val="center"/>
                </w:tcPr>
                <w:p w14:paraId="24A8FD0F">
                  <w:pPr>
                    <w:keepNext w:val="0"/>
                    <w:keepLines w:val="0"/>
                    <w:pageBreakBefore w:val="0"/>
                    <w:widowControl/>
                    <w:kinsoku/>
                    <w:wordWrap/>
                    <w:overflowPunct/>
                    <w:topLinePunct w:val="0"/>
                    <w:autoSpaceDE/>
                    <w:autoSpaceDN/>
                    <w:bidi w:val="0"/>
                    <w:snapToGrid w:val="0"/>
                    <w:jc w:val="center"/>
                    <w:rPr>
                      <w:rFonts w:hint="default" w:eastAsia="宋体"/>
                      <w:color w:val="000000" w:themeColor="text1"/>
                      <w:kern w:val="0"/>
                      <w:szCs w:val="21"/>
                      <w:lang w:val="en-US" w:eastAsia="zh-CN" w:bidi="ar"/>
                      <w14:textFill>
                        <w14:solidFill>
                          <w14:schemeClr w14:val="tx1"/>
                        </w14:solidFill>
                      </w14:textFill>
                    </w:rPr>
                  </w:pPr>
                  <w:r>
                    <w:rPr>
                      <w:rFonts w:hint="eastAsia"/>
                      <w:color w:val="000000" w:themeColor="text1"/>
                      <w:kern w:val="0"/>
                      <w:szCs w:val="21"/>
                      <w:lang w:val="en-US" w:eastAsia="zh-CN" w:bidi="ar"/>
                      <w14:textFill>
                        <w14:solidFill>
                          <w14:schemeClr w14:val="tx1"/>
                        </w14:solidFill>
                      </w14:textFill>
                    </w:rPr>
                    <w:t>50</w:t>
                  </w:r>
                </w:p>
              </w:tc>
              <w:tc>
                <w:tcPr>
                  <w:tcW w:w="1101" w:type="dxa"/>
                  <w:noWrap w:val="0"/>
                  <w:vAlign w:val="center"/>
                </w:tcPr>
                <w:p w14:paraId="58F4368A">
                  <w:pPr>
                    <w:keepNext w:val="0"/>
                    <w:keepLines w:val="0"/>
                    <w:pageBreakBefore w:val="0"/>
                    <w:widowControl/>
                    <w:kinsoku/>
                    <w:wordWrap/>
                    <w:overflowPunct/>
                    <w:topLinePunct w:val="0"/>
                    <w:autoSpaceDE/>
                    <w:autoSpaceDN/>
                    <w:bidi w:val="0"/>
                    <w:snapToGrid w:val="0"/>
                    <w:jc w:val="center"/>
                    <w:rPr>
                      <w:rFonts w:hint="eastAsia" w:eastAsia="宋体"/>
                      <w:color w:val="000000" w:themeColor="text1"/>
                      <w:kern w:val="0"/>
                      <w:szCs w:val="21"/>
                      <w:lang w:val="en-US" w:eastAsia="zh-CN" w:bidi="ar"/>
                      <w14:textFill>
                        <w14:solidFill>
                          <w14:schemeClr w14:val="tx1"/>
                        </w14:solidFill>
                      </w14:textFill>
                    </w:rPr>
                  </w:pPr>
                  <w:r>
                    <w:rPr>
                      <w:rFonts w:hint="eastAsia"/>
                      <w:color w:val="000000" w:themeColor="text1"/>
                      <w:kern w:val="0"/>
                      <w:szCs w:val="21"/>
                      <w:lang w:val="en-US" w:eastAsia="zh-CN" w:bidi="ar"/>
                      <w14:textFill>
                        <w14:solidFill>
                          <w14:schemeClr w14:val="tx1"/>
                        </w14:solidFill>
                      </w14:textFill>
                    </w:rPr>
                    <w:t>0</w:t>
                  </w:r>
                </w:p>
              </w:tc>
              <w:tc>
                <w:tcPr>
                  <w:tcW w:w="1048" w:type="dxa"/>
                  <w:noWrap w:val="0"/>
                  <w:vAlign w:val="center"/>
                </w:tcPr>
                <w:p w14:paraId="30CB97BD">
                  <w:pPr>
                    <w:keepNext w:val="0"/>
                    <w:keepLines w:val="0"/>
                    <w:pageBreakBefore w:val="0"/>
                    <w:widowControl/>
                    <w:kinsoku/>
                    <w:wordWrap/>
                    <w:overflowPunct/>
                    <w:topLinePunct w:val="0"/>
                    <w:autoSpaceDE/>
                    <w:autoSpaceDN/>
                    <w:bidi w:val="0"/>
                    <w:snapToGrid w:val="0"/>
                    <w:jc w:val="center"/>
                    <w:rPr>
                      <w:rFonts w:hint="eastAsia" w:eastAsia="宋体"/>
                      <w:color w:val="000000" w:themeColor="text1"/>
                      <w:kern w:val="0"/>
                      <w:szCs w:val="21"/>
                      <w:lang w:val="en-US" w:eastAsia="zh-CN" w:bidi="ar"/>
                      <w14:textFill>
                        <w14:solidFill>
                          <w14:schemeClr w14:val="tx1"/>
                        </w14:solidFill>
                      </w14:textFill>
                    </w:rPr>
                  </w:pPr>
                  <w:r>
                    <w:rPr>
                      <w:rFonts w:hint="eastAsia"/>
                      <w:color w:val="000000" w:themeColor="text1"/>
                      <w:kern w:val="0"/>
                      <w:szCs w:val="21"/>
                      <w:lang w:val="en-US" w:eastAsia="zh-CN" w:bidi="ar"/>
                      <w14:textFill>
                        <w14:solidFill>
                          <w14:schemeClr w14:val="tx1"/>
                        </w14:solidFill>
                      </w14:textFill>
                    </w:rPr>
                    <w:t>0</w:t>
                  </w:r>
                </w:p>
              </w:tc>
              <w:tc>
                <w:tcPr>
                  <w:tcW w:w="934" w:type="dxa"/>
                  <w:noWrap w:val="0"/>
                  <w:vAlign w:val="center"/>
                </w:tcPr>
                <w:p w14:paraId="2B61B2EF">
                  <w:pPr>
                    <w:keepNext w:val="0"/>
                    <w:keepLines w:val="0"/>
                    <w:pageBreakBefore w:val="0"/>
                    <w:widowControl/>
                    <w:kinsoku/>
                    <w:wordWrap/>
                    <w:overflowPunct/>
                    <w:topLinePunct w:val="0"/>
                    <w:autoSpaceDE/>
                    <w:autoSpaceDN/>
                    <w:bidi w:val="0"/>
                    <w:snapToGrid w:val="0"/>
                    <w:jc w:val="center"/>
                    <w:rPr>
                      <w:color w:val="000000" w:themeColor="text1"/>
                      <w:kern w:val="0"/>
                      <w:szCs w:val="21"/>
                      <w:lang w:bidi="ar"/>
                      <w14:textFill>
                        <w14:solidFill>
                          <w14:schemeClr w14:val="tx1"/>
                        </w14:solidFill>
                      </w14:textFill>
                    </w:rPr>
                  </w:pPr>
                  <w:r>
                    <w:rPr>
                      <w:rFonts w:hint="eastAsia"/>
                      <w:bCs/>
                      <w:color w:val="000000" w:themeColor="text1"/>
                      <w:szCs w:val="21"/>
                      <w14:textFill>
                        <w14:solidFill>
                          <w14:schemeClr w14:val="tx1"/>
                        </w14:solidFill>
                      </w14:textFill>
                    </w:rPr>
                    <w:t>--</w:t>
                  </w:r>
                </w:p>
              </w:tc>
              <w:tc>
                <w:tcPr>
                  <w:tcW w:w="1095" w:type="dxa"/>
                  <w:noWrap w:val="0"/>
                  <w:vAlign w:val="center"/>
                </w:tcPr>
                <w:p w14:paraId="2C087E0B">
                  <w:pPr>
                    <w:keepNext w:val="0"/>
                    <w:keepLines w:val="0"/>
                    <w:pageBreakBefore w:val="0"/>
                    <w:widowControl/>
                    <w:kinsoku/>
                    <w:wordWrap/>
                    <w:overflowPunct/>
                    <w:topLinePunct w:val="0"/>
                    <w:autoSpaceDE/>
                    <w:autoSpaceDN/>
                    <w:bidi w:val="0"/>
                    <w:snapToGrid w:val="0"/>
                    <w:jc w:val="center"/>
                    <w:rPr>
                      <w:color w:val="000000" w:themeColor="text1"/>
                      <w:kern w:val="0"/>
                      <w:szCs w:val="21"/>
                      <w:lang w:bidi="ar"/>
                      <w14:textFill>
                        <w14:solidFill>
                          <w14:schemeClr w14:val="tx1"/>
                        </w14:solidFill>
                      </w14:textFill>
                    </w:rPr>
                  </w:pPr>
                  <w:r>
                    <w:rPr>
                      <w:rFonts w:hint="eastAsia"/>
                      <w:color w:val="000000" w:themeColor="text1"/>
                      <w:kern w:val="0"/>
                      <w:szCs w:val="21"/>
                      <w:lang w:bidi="ar"/>
                      <w14:textFill>
                        <w14:solidFill>
                          <w14:schemeClr w14:val="tx1"/>
                        </w14:solidFill>
                      </w14:textFill>
                    </w:rPr>
                    <w:t>外购</w:t>
                  </w:r>
                </w:p>
              </w:tc>
              <w:tc>
                <w:tcPr>
                  <w:tcW w:w="1087" w:type="dxa"/>
                  <w:noWrap w:val="0"/>
                  <w:vAlign w:val="center"/>
                </w:tcPr>
                <w:p w14:paraId="3DFD527F">
                  <w:pPr>
                    <w:keepNext w:val="0"/>
                    <w:keepLines w:val="0"/>
                    <w:pageBreakBefore w:val="0"/>
                    <w:kinsoku/>
                    <w:wordWrap/>
                    <w:overflowPunct/>
                    <w:topLinePunct w:val="0"/>
                    <w:autoSpaceDE/>
                    <w:autoSpaceDN/>
                    <w:bidi w:val="0"/>
                    <w:adjustRightInd w:val="0"/>
                    <w:snapToGrid w:val="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r>
            <w:tr w14:paraId="4119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8" w:type="dxa"/>
                  <w:noWrap w:val="0"/>
                  <w:vAlign w:val="center"/>
                </w:tcPr>
                <w:p w14:paraId="5AB190C6">
                  <w:pPr>
                    <w:keepNext w:val="0"/>
                    <w:keepLines w:val="0"/>
                    <w:pageBreakBefore w:val="0"/>
                    <w:widowControl/>
                    <w:kinsoku/>
                    <w:wordWrap/>
                    <w:overflowPunct/>
                    <w:topLinePunct w:val="0"/>
                    <w:autoSpaceDE/>
                    <w:autoSpaceDN/>
                    <w:bidi w:val="0"/>
                    <w:snapToGrid w:val="0"/>
                    <w:jc w:val="center"/>
                    <w:rPr>
                      <w:rFonts w:hint="eastAsia"/>
                      <w:color w:val="000000" w:themeColor="text1"/>
                      <w:kern w:val="0"/>
                      <w:szCs w:val="21"/>
                      <w:highlight w:val="none"/>
                      <w:vertAlign w:val="baseli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CaCO</w:t>
                  </w:r>
                  <w:r>
                    <w:rPr>
                      <w:rFonts w:hint="eastAsia"/>
                      <w:color w:val="000000" w:themeColor="text1"/>
                      <w:kern w:val="0"/>
                      <w:szCs w:val="21"/>
                      <w:highlight w:val="none"/>
                      <w:vertAlign w:val="subscript"/>
                      <w:lang w:val="en-US" w:eastAsia="zh-CN" w:bidi="ar"/>
                      <w14:textFill>
                        <w14:solidFill>
                          <w14:schemeClr w14:val="tx1"/>
                        </w14:solidFill>
                      </w14:textFill>
                    </w:rPr>
                    <w:t>3</w:t>
                  </w:r>
                  <w:r>
                    <w:rPr>
                      <w:rFonts w:hint="eastAsia"/>
                      <w:color w:val="000000" w:themeColor="text1"/>
                      <w:kern w:val="0"/>
                      <w:szCs w:val="21"/>
                      <w:highlight w:val="none"/>
                      <w:vertAlign w:val="baseline"/>
                      <w:lang w:val="en-US" w:eastAsia="zh-CN" w:bidi="ar"/>
                      <w14:textFill>
                        <w14:solidFill>
                          <w14:schemeClr w14:val="tx1"/>
                        </w14:solidFill>
                      </w14:textFill>
                    </w:rPr>
                    <w:t>（脱硫剂）</w:t>
                  </w:r>
                </w:p>
              </w:tc>
              <w:tc>
                <w:tcPr>
                  <w:tcW w:w="1014" w:type="dxa"/>
                  <w:noWrap w:val="0"/>
                  <w:vAlign w:val="center"/>
                </w:tcPr>
                <w:p w14:paraId="0D88D57C">
                  <w:pPr>
                    <w:keepNext w:val="0"/>
                    <w:keepLines w:val="0"/>
                    <w:pageBreakBefore w:val="0"/>
                    <w:widowControl/>
                    <w:kinsoku/>
                    <w:wordWrap/>
                    <w:overflowPunct/>
                    <w:topLinePunct w:val="0"/>
                    <w:autoSpaceDE/>
                    <w:autoSpaceDN/>
                    <w:bidi w:val="0"/>
                    <w:snapToGrid w:val="0"/>
                    <w:jc w:val="center"/>
                    <w:rPr>
                      <w:rFonts w:hint="eastAsia" w:eastAsia="宋体"/>
                      <w:color w:val="000000" w:themeColor="text1"/>
                      <w:kern w:val="0"/>
                      <w:szCs w:val="21"/>
                      <w:highlight w:val="none"/>
                      <w:lang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t</w:t>
                  </w:r>
                  <w:r>
                    <w:rPr>
                      <w:color w:val="000000" w:themeColor="text1"/>
                      <w:kern w:val="0"/>
                      <w:szCs w:val="21"/>
                      <w:highlight w:val="none"/>
                      <w:lang w:bidi="ar"/>
                      <w14:textFill>
                        <w14:solidFill>
                          <w14:schemeClr w14:val="tx1"/>
                        </w14:solidFill>
                      </w14:textFill>
                    </w:rPr>
                    <w:t>/</w:t>
                  </w:r>
                  <w:r>
                    <w:rPr>
                      <w:rFonts w:hint="eastAsia"/>
                      <w:color w:val="000000" w:themeColor="text1"/>
                      <w:kern w:val="0"/>
                      <w:szCs w:val="21"/>
                      <w:highlight w:val="none"/>
                      <w:lang w:val="en-US" w:eastAsia="zh-CN" w:bidi="ar"/>
                      <w14:textFill>
                        <w14:solidFill>
                          <w14:schemeClr w14:val="tx1"/>
                        </w14:solidFill>
                      </w14:textFill>
                    </w:rPr>
                    <w:t>a</w:t>
                  </w:r>
                </w:p>
              </w:tc>
              <w:tc>
                <w:tcPr>
                  <w:tcW w:w="797" w:type="dxa"/>
                  <w:noWrap w:val="0"/>
                  <w:vAlign w:val="center"/>
                </w:tcPr>
                <w:p w14:paraId="3E49C09A">
                  <w:pPr>
                    <w:keepNext w:val="0"/>
                    <w:keepLines w:val="0"/>
                    <w:pageBreakBefore w:val="0"/>
                    <w:widowControl/>
                    <w:kinsoku/>
                    <w:wordWrap/>
                    <w:overflowPunct/>
                    <w:topLinePunct w:val="0"/>
                    <w:autoSpaceDE/>
                    <w:autoSpaceDN/>
                    <w:bidi w:val="0"/>
                    <w:snapToGrid w:val="0"/>
                    <w:jc w:val="center"/>
                    <w:rPr>
                      <w:rFonts w:hint="default"/>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0</w:t>
                  </w:r>
                </w:p>
              </w:tc>
              <w:tc>
                <w:tcPr>
                  <w:tcW w:w="1101" w:type="dxa"/>
                  <w:noWrap w:val="0"/>
                  <w:vAlign w:val="center"/>
                </w:tcPr>
                <w:p w14:paraId="1706F040">
                  <w:pPr>
                    <w:keepNext w:val="0"/>
                    <w:keepLines w:val="0"/>
                    <w:pageBreakBefore w:val="0"/>
                    <w:widowControl/>
                    <w:kinsoku/>
                    <w:wordWrap/>
                    <w:overflowPunct/>
                    <w:topLinePunct w:val="0"/>
                    <w:autoSpaceDE/>
                    <w:autoSpaceDN/>
                    <w:bidi w:val="0"/>
                    <w:snapToGrid w:val="0"/>
                    <w:jc w:val="center"/>
                    <w:rPr>
                      <w:rFonts w:hint="default" w:eastAsia="宋体"/>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70</w:t>
                  </w:r>
                </w:p>
              </w:tc>
              <w:tc>
                <w:tcPr>
                  <w:tcW w:w="1048" w:type="dxa"/>
                  <w:noWrap w:val="0"/>
                  <w:vAlign w:val="center"/>
                </w:tcPr>
                <w:p w14:paraId="69EA3D5F">
                  <w:pPr>
                    <w:keepNext w:val="0"/>
                    <w:keepLines w:val="0"/>
                    <w:pageBreakBefore w:val="0"/>
                    <w:widowControl/>
                    <w:kinsoku/>
                    <w:wordWrap/>
                    <w:overflowPunct/>
                    <w:topLinePunct w:val="0"/>
                    <w:autoSpaceDE/>
                    <w:autoSpaceDN/>
                    <w:bidi w:val="0"/>
                    <w:snapToGrid w:val="0"/>
                    <w:jc w:val="center"/>
                    <w:rPr>
                      <w:rFonts w:hint="default" w:eastAsia="宋体"/>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70</w:t>
                  </w:r>
                </w:p>
              </w:tc>
              <w:tc>
                <w:tcPr>
                  <w:tcW w:w="934" w:type="dxa"/>
                  <w:noWrap w:val="0"/>
                  <w:vAlign w:val="center"/>
                </w:tcPr>
                <w:p w14:paraId="6902FA6D">
                  <w:pPr>
                    <w:keepNext w:val="0"/>
                    <w:keepLines w:val="0"/>
                    <w:pageBreakBefore w:val="0"/>
                    <w:widowControl/>
                    <w:kinsoku/>
                    <w:wordWrap/>
                    <w:overflowPunct/>
                    <w:topLinePunct w:val="0"/>
                    <w:autoSpaceDE/>
                    <w:autoSpaceDN/>
                    <w:bidi w:val="0"/>
                    <w:snapToGrid w:val="0"/>
                    <w:jc w:val="center"/>
                    <w:rPr>
                      <w:rFonts w:hint="default" w:eastAsia="宋体"/>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3.0</w:t>
                  </w:r>
                </w:p>
              </w:tc>
              <w:tc>
                <w:tcPr>
                  <w:tcW w:w="1095" w:type="dxa"/>
                  <w:noWrap w:val="0"/>
                  <w:vAlign w:val="center"/>
                </w:tcPr>
                <w:p w14:paraId="0CB4EB68">
                  <w:pPr>
                    <w:keepNext w:val="0"/>
                    <w:keepLines w:val="0"/>
                    <w:pageBreakBefore w:val="0"/>
                    <w:widowControl/>
                    <w:kinsoku/>
                    <w:wordWrap/>
                    <w:overflowPunct/>
                    <w:topLinePunct w:val="0"/>
                    <w:autoSpaceDE/>
                    <w:autoSpaceDN/>
                    <w:bidi w:val="0"/>
                    <w:snapToGrid w:val="0"/>
                    <w:jc w:val="center"/>
                    <w:rPr>
                      <w:rFonts w:hint="eastAsia"/>
                      <w:color w:val="000000" w:themeColor="text1"/>
                      <w:kern w:val="0"/>
                      <w:szCs w:val="21"/>
                      <w:highlight w:val="none"/>
                      <w:lang w:bidi="ar"/>
                      <w14:textFill>
                        <w14:solidFill>
                          <w14:schemeClr w14:val="tx1"/>
                        </w14:solidFill>
                      </w14:textFill>
                    </w:rPr>
                  </w:pPr>
                  <w:r>
                    <w:rPr>
                      <w:rFonts w:hint="eastAsia"/>
                      <w:color w:val="000000" w:themeColor="text1"/>
                      <w:kern w:val="0"/>
                      <w:szCs w:val="21"/>
                      <w:highlight w:val="none"/>
                      <w:lang w:bidi="ar"/>
                      <w14:textFill>
                        <w14:solidFill>
                          <w14:schemeClr w14:val="tx1"/>
                        </w14:solidFill>
                      </w14:textFill>
                    </w:rPr>
                    <w:t>外购</w:t>
                  </w:r>
                </w:p>
              </w:tc>
              <w:tc>
                <w:tcPr>
                  <w:tcW w:w="1087" w:type="dxa"/>
                  <w:noWrap w:val="0"/>
                  <w:vAlign w:val="center"/>
                </w:tcPr>
                <w:p w14:paraId="43F90429">
                  <w:pPr>
                    <w:keepNext w:val="0"/>
                    <w:keepLines w:val="0"/>
                    <w:pageBreakBefore w:val="0"/>
                    <w:kinsoku/>
                    <w:wordWrap/>
                    <w:overflowPunct/>
                    <w:topLinePunct w:val="0"/>
                    <w:autoSpaceDE/>
                    <w:autoSpaceDN/>
                    <w:bidi w:val="0"/>
                    <w:adjustRightInd w:val="0"/>
                    <w:snapToGrid w:val="0"/>
                    <w:jc w:val="center"/>
                    <w:rPr>
                      <w:rFonts w:hint="default" w:eastAsia="宋体"/>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管理用房</w:t>
                  </w:r>
                </w:p>
              </w:tc>
            </w:tr>
            <w:tr w14:paraId="5477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8" w:type="dxa"/>
                  <w:noWrap w:val="0"/>
                  <w:vAlign w:val="center"/>
                </w:tcPr>
                <w:p w14:paraId="7DF098EE">
                  <w:pPr>
                    <w:keepNext w:val="0"/>
                    <w:keepLines w:val="0"/>
                    <w:pageBreakBefore w:val="0"/>
                    <w:widowControl/>
                    <w:kinsoku/>
                    <w:wordWrap/>
                    <w:overflowPunct/>
                    <w:topLinePunct w:val="0"/>
                    <w:autoSpaceDE/>
                    <w:autoSpaceDN/>
                    <w:bidi w:val="0"/>
                    <w:snapToGrid w:val="0"/>
                    <w:jc w:val="center"/>
                    <w:rPr>
                      <w:rFonts w:hint="eastAsia"/>
                      <w:color w:val="000000" w:themeColor="text1"/>
                      <w:kern w:val="0"/>
                      <w:szCs w:val="21"/>
                      <w:highlight w:val="none"/>
                      <w:vertAlign w:val="baseli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Ca（OH）</w:t>
                  </w:r>
                  <w:r>
                    <w:rPr>
                      <w:rFonts w:hint="eastAsia"/>
                      <w:color w:val="000000" w:themeColor="text1"/>
                      <w:kern w:val="0"/>
                      <w:szCs w:val="21"/>
                      <w:highlight w:val="none"/>
                      <w:vertAlign w:val="subscript"/>
                      <w:lang w:val="en-US" w:eastAsia="zh-CN" w:bidi="ar"/>
                      <w14:textFill>
                        <w14:solidFill>
                          <w14:schemeClr w14:val="tx1"/>
                        </w14:solidFill>
                      </w14:textFill>
                    </w:rPr>
                    <w:t>2</w:t>
                  </w:r>
                  <w:r>
                    <w:rPr>
                      <w:rFonts w:hint="eastAsia"/>
                      <w:color w:val="000000" w:themeColor="text1"/>
                      <w:kern w:val="0"/>
                      <w:szCs w:val="21"/>
                      <w:highlight w:val="none"/>
                      <w:vertAlign w:val="baseline"/>
                      <w:lang w:val="en-US" w:eastAsia="zh-CN" w:bidi="ar"/>
                      <w14:textFill>
                        <w14:solidFill>
                          <w14:schemeClr w14:val="tx1"/>
                        </w14:solidFill>
                      </w14:textFill>
                    </w:rPr>
                    <w:t>（脱硫废水中和剂）</w:t>
                  </w:r>
                </w:p>
              </w:tc>
              <w:tc>
                <w:tcPr>
                  <w:tcW w:w="1014" w:type="dxa"/>
                  <w:noWrap w:val="0"/>
                  <w:vAlign w:val="center"/>
                </w:tcPr>
                <w:p w14:paraId="2FD7E5FF">
                  <w:pPr>
                    <w:keepNext w:val="0"/>
                    <w:keepLines w:val="0"/>
                    <w:pageBreakBefore w:val="0"/>
                    <w:widowControl/>
                    <w:kinsoku/>
                    <w:wordWrap/>
                    <w:overflowPunct/>
                    <w:topLinePunct w:val="0"/>
                    <w:autoSpaceDE/>
                    <w:autoSpaceDN/>
                    <w:bidi w:val="0"/>
                    <w:snapToGrid w:val="0"/>
                    <w:jc w:val="center"/>
                    <w:rPr>
                      <w:rFonts w:hint="eastAsia"/>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t</w:t>
                  </w:r>
                  <w:r>
                    <w:rPr>
                      <w:color w:val="000000" w:themeColor="text1"/>
                      <w:kern w:val="0"/>
                      <w:szCs w:val="21"/>
                      <w:highlight w:val="none"/>
                      <w:lang w:bidi="ar"/>
                      <w14:textFill>
                        <w14:solidFill>
                          <w14:schemeClr w14:val="tx1"/>
                        </w14:solidFill>
                      </w14:textFill>
                    </w:rPr>
                    <w:t>/</w:t>
                  </w:r>
                  <w:r>
                    <w:rPr>
                      <w:rFonts w:hint="eastAsia"/>
                      <w:color w:val="000000" w:themeColor="text1"/>
                      <w:kern w:val="0"/>
                      <w:szCs w:val="21"/>
                      <w:highlight w:val="none"/>
                      <w:lang w:val="en-US" w:eastAsia="zh-CN" w:bidi="ar"/>
                      <w14:textFill>
                        <w14:solidFill>
                          <w14:schemeClr w14:val="tx1"/>
                        </w14:solidFill>
                      </w14:textFill>
                    </w:rPr>
                    <w:t>a</w:t>
                  </w:r>
                </w:p>
              </w:tc>
              <w:tc>
                <w:tcPr>
                  <w:tcW w:w="797" w:type="dxa"/>
                  <w:noWrap w:val="0"/>
                  <w:vAlign w:val="center"/>
                </w:tcPr>
                <w:p w14:paraId="3FAF12F7">
                  <w:pPr>
                    <w:keepNext w:val="0"/>
                    <w:keepLines w:val="0"/>
                    <w:pageBreakBefore w:val="0"/>
                    <w:widowControl/>
                    <w:kinsoku/>
                    <w:wordWrap/>
                    <w:overflowPunct/>
                    <w:topLinePunct w:val="0"/>
                    <w:autoSpaceDE/>
                    <w:autoSpaceDN/>
                    <w:bidi w:val="0"/>
                    <w:snapToGrid w:val="0"/>
                    <w:jc w:val="center"/>
                    <w:rPr>
                      <w:rFonts w:hint="default"/>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0</w:t>
                  </w:r>
                </w:p>
              </w:tc>
              <w:tc>
                <w:tcPr>
                  <w:tcW w:w="1101" w:type="dxa"/>
                  <w:noWrap w:val="0"/>
                  <w:vAlign w:val="center"/>
                </w:tcPr>
                <w:p w14:paraId="2178F960">
                  <w:pPr>
                    <w:keepNext w:val="0"/>
                    <w:keepLines w:val="0"/>
                    <w:pageBreakBefore w:val="0"/>
                    <w:widowControl/>
                    <w:kinsoku/>
                    <w:wordWrap/>
                    <w:overflowPunct/>
                    <w:topLinePunct w:val="0"/>
                    <w:autoSpaceDE/>
                    <w:autoSpaceDN/>
                    <w:bidi w:val="0"/>
                    <w:snapToGrid w:val="0"/>
                    <w:jc w:val="center"/>
                    <w:rPr>
                      <w:rFonts w:hint="default"/>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3.0</w:t>
                  </w:r>
                </w:p>
              </w:tc>
              <w:tc>
                <w:tcPr>
                  <w:tcW w:w="1048" w:type="dxa"/>
                  <w:noWrap w:val="0"/>
                  <w:vAlign w:val="center"/>
                </w:tcPr>
                <w:p w14:paraId="13246AD0">
                  <w:pPr>
                    <w:keepNext w:val="0"/>
                    <w:keepLines w:val="0"/>
                    <w:pageBreakBefore w:val="0"/>
                    <w:widowControl/>
                    <w:kinsoku/>
                    <w:wordWrap/>
                    <w:overflowPunct/>
                    <w:topLinePunct w:val="0"/>
                    <w:autoSpaceDE/>
                    <w:autoSpaceDN/>
                    <w:bidi w:val="0"/>
                    <w:snapToGrid w:val="0"/>
                    <w:jc w:val="center"/>
                    <w:rPr>
                      <w:rFonts w:hint="default"/>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3.0</w:t>
                  </w:r>
                </w:p>
              </w:tc>
              <w:tc>
                <w:tcPr>
                  <w:tcW w:w="934" w:type="dxa"/>
                  <w:noWrap w:val="0"/>
                  <w:vAlign w:val="center"/>
                </w:tcPr>
                <w:p w14:paraId="07BE268B">
                  <w:pPr>
                    <w:keepNext w:val="0"/>
                    <w:keepLines w:val="0"/>
                    <w:pageBreakBefore w:val="0"/>
                    <w:widowControl/>
                    <w:kinsoku/>
                    <w:wordWrap/>
                    <w:overflowPunct/>
                    <w:topLinePunct w:val="0"/>
                    <w:autoSpaceDE/>
                    <w:autoSpaceDN/>
                    <w:bidi w:val="0"/>
                    <w:snapToGrid w:val="0"/>
                    <w:jc w:val="center"/>
                    <w:rPr>
                      <w:rFonts w:hint="default"/>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1.0</w:t>
                  </w:r>
                </w:p>
              </w:tc>
              <w:tc>
                <w:tcPr>
                  <w:tcW w:w="1095" w:type="dxa"/>
                  <w:noWrap w:val="0"/>
                  <w:vAlign w:val="center"/>
                </w:tcPr>
                <w:p w14:paraId="3E31CA2C">
                  <w:pPr>
                    <w:keepNext w:val="0"/>
                    <w:keepLines w:val="0"/>
                    <w:pageBreakBefore w:val="0"/>
                    <w:widowControl/>
                    <w:kinsoku/>
                    <w:wordWrap/>
                    <w:overflowPunct/>
                    <w:topLinePunct w:val="0"/>
                    <w:autoSpaceDE/>
                    <w:autoSpaceDN/>
                    <w:bidi w:val="0"/>
                    <w:snapToGrid w:val="0"/>
                    <w:jc w:val="center"/>
                    <w:rPr>
                      <w:rFonts w:hint="eastAsia"/>
                      <w:color w:val="000000" w:themeColor="text1"/>
                      <w:kern w:val="0"/>
                      <w:szCs w:val="21"/>
                      <w:highlight w:val="none"/>
                      <w:lang w:bidi="ar"/>
                      <w14:textFill>
                        <w14:solidFill>
                          <w14:schemeClr w14:val="tx1"/>
                        </w14:solidFill>
                      </w14:textFill>
                    </w:rPr>
                  </w:pPr>
                  <w:r>
                    <w:rPr>
                      <w:rFonts w:hint="eastAsia"/>
                      <w:color w:val="000000" w:themeColor="text1"/>
                      <w:kern w:val="0"/>
                      <w:szCs w:val="21"/>
                      <w:highlight w:val="none"/>
                      <w:lang w:bidi="ar"/>
                      <w14:textFill>
                        <w14:solidFill>
                          <w14:schemeClr w14:val="tx1"/>
                        </w14:solidFill>
                      </w14:textFill>
                    </w:rPr>
                    <w:t>外购</w:t>
                  </w:r>
                </w:p>
              </w:tc>
              <w:tc>
                <w:tcPr>
                  <w:tcW w:w="1087" w:type="dxa"/>
                  <w:noWrap w:val="0"/>
                  <w:vAlign w:val="center"/>
                </w:tcPr>
                <w:p w14:paraId="743BAF97">
                  <w:pPr>
                    <w:keepNext w:val="0"/>
                    <w:keepLines w:val="0"/>
                    <w:pageBreakBefore w:val="0"/>
                    <w:kinsoku/>
                    <w:wordWrap/>
                    <w:overflowPunct/>
                    <w:topLinePunct w:val="0"/>
                    <w:autoSpaceDE/>
                    <w:autoSpaceDN/>
                    <w:bidi w:val="0"/>
                    <w:adjustRightInd w:val="0"/>
                    <w:snapToGrid w:val="0"/>
                    <w:jc w:val="center"/>
                    <w:rPr>
                      <w:rFonts w:hint="eastAsia"/>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管理用房</w:t>
                  </w:r>
                </w:p>
              </w:tc>
            </w:tr>
            <w:tr w14:paraId="13FB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8" w:type="dxa"/>
                  <w:noWrap w:val="0"/>
                  <w:vAlign w:val="center"/>
                </w:tcPr>
                <w:p w14:paraId="2D642C24">
                  <w:pPr>
                    <w:keepNext w:val="0"/>
                    <w:keepLines w:val="0"/>
                    <w:pageBreakBefore w:val="0"/>
                    <w:widowControl/>
                    <w:kinsoku/>
                    <w:wordWrap/>
                    <w:overflowPunct/>
                    <w:topLinePunct w:val="0"/>
                    <w:autoSpaceDE/>
                    <w:autoSpaceDN/>
                    <w:bidi w:val="0"/>
                    <w:snapToGrid w:val="0"/>
                    <w:jc w:val="center"/>
                    <w:rPr>
                      <w:rFonts w:hint="default"/>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混凝剂、助凝剂</w:t>
                  </w:r>
                  <w:r>
                    <w:rPr>
                      <w:rFonts w:hint="eastAsia"/>
                      <w:color w:val="000000" w:themeColor="text1"/>
                      <w:kern w:val="0"/>
                      <w:szCs w:val="21"/>
                      <w:highlight w:val="none"/>
                      <w:vertAlign w:val="baseline"/>
                      <w:lang w:val="en-US" w:eastAsia="zh-CN" w:bidi="ar"/>
                      <w14:textFill>
                        <w14:solidFill>
                          <w14:schemeClr w14:val="tx1"/>
                        </w14:solidFill>
                      </w14:textFill>
                    </w:rPr>
                    <w:t>（脱硫废水絮凝剂）</w:t>
                  </w:r>
                </w:p>
              </w:tc>
              <w:tc>
                <w:tcPr>
                  <w:tcW w:w="1014" w:type="dxa"/>
                  <w:noWrap w:val="0"/>
                  <w:vAlign w:val="center"/>
                </w:tcPr>
                <w:p w14:paraId="10D99ED6">
                  <w:pPr>
                    <w:keepNext w:val="0"/>
                    <w:keepLines w:val="0"/>
                    <w:pageBreakBefore w:val="0"/>
                    <w:widowControl/>
                    <w:kinsoku/>
                    <w:wordWrap/>
                    <w:overflowPunct/>
                    <w:topLinePunct w:val="0"/>
                    <w:autoSpaceDE/>
                    <w:autoSpaceDN/>
                    <w:bidi w:val="0"/>
                    <w:snapToGrid w:val="0"/>
                    <w:jc w:val="center"/>
                    <w:rPr>
                      <w:rFonts w:hint="default"/>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t/a</w:t>
                  </w:r>
                </w:p>
              </w:tc>
              <w:tc>
                <w:tcPr>
                  <w:tcW w:w="797" w:type="dxa"/>
                  <w:noWrap w:val="0"/>
                  <w:vAlign w:val="center"/>
                </w:tcPr>
                <w:p w14:paraId="390C3B01">
                  <w:pPr>
                    <w:keepNext w:val="0"/>
                    <w:keepLines w:val="0"/>
                    <w:pageBreakBefore w:val="0"/>
                    <w:widowControl/>
                    <w:kinsoku/>
                    <w:wordWrap/>
                    <w:overflowPunct/>
                    <w:topLinePunct w:val="0"/>
                    <w:autoSpaceDE/>
                    <w:autoSpaceDN/>
                    <w:bidi w:val="0"/>
                    <w:snapToGrid w:val="0"/>
                    <w:jc w:val="center"/>
                    <w:rPr>
                      <w:rFonts w:hint="default"/>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0</w:t>
                  </w:r>
                </w:p>
              </w:tc>
              <w:tc>
                <w:tcPr>
                  <w:tcW w:w="1101" w:type="dxa"/>
                  <w:noWrap w:val="0"/>
                  <w:vAlign w:val="center"/>
                </w:tcPr>
                <w:p w14:paraId="3EA16C6A">
                  <w:pPr>
                    <w:keepNext w:val="0"/>
                    <w:keepLines w:val="0"/>
                    <w:pageBreakBefore w:val="0"/>
                    <w:widowControl/>
                    <w:kinsoku/>
                    <w:wordWrap/>
                    <w:overflowPunct/>
                    <w:topLinePunct w:val="0"/>
                    <w:autoSpaceDE/>
                    <w:autoSpaceDN/>
                    <w:bidi w:val="0"/>
                    <w:snapToGrid w:val="0"/>
                    <w:jc w:val="center"/>
                    <w:rPr>
                      <w:rFonts w:hint="default"/>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0.6</w:t>
                  </w:r>
                </w:p>
              </w:tc>
              <w:tc>
                <w:tcPr>
                  <w:tcW w:w="1048" w:type="dxa"/>
                  <w:noWrap w:val="0"/>
                  <w:vAlign w:val="center"/>
                </w:tcPr>
                <w:p w14:paraId="05411810">
                  <w:pPr>
                    <w:keepNext w:val="0"/>
                    <w:keepLines w:val="0"/>
                    <w:pageBreakBefore w:val="0"/>
                    <w:widowControl/>
                    <w:kinsoku/>
                    <w:wordWrap/>
                    <w:overflowPunct/>
                    <w:topLinePunct w:val="0"/>
                    <w:autoSpaceDE/>
                    <w:autoSpaceDN/>
                    <w:bidi w:val="0"/>
                    <w:snapToGrid w:val="0"/>
                    <w:jc w:val="center"/>
                    <w:rPr>
                      <w:rFonts w:hint="default"/>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0.6</w:t>
                  </w:r>
                </w:p>
              </w:tc>
              <w:tc>
                <w:tcPr>
                  <w:tcW w:w="934" w:type="dxa"/>
                  <w:noWrap w:val="0"/>
                  <w:vAlign w:val="center"/>
                </w:tcPr>
                <w:p w14:paraId="21370E8B">
                  <w:pPr>
                    <w:keepNext w:val="0"/>
                    <w:keepLines w:val="0"/>
                    <w:pageBreakBefore w:val="0"/>
                    <w:widowControl/>
                    <w:kinsoku/>
                    <w:wordWrap/>
                    <w:overflowPunct/>
                    <w:topLinePunct w:val="0"/>
                    <w:autoSpaceDE/>
                    <w:autoSpaceDN/>
                    <w:bidi w:val="0"/>
                    <w:snapToGrid w:val="0"/>
                    <w:jc w:val="center"/>
                    <w:rPr>
                      <w:rFonts w:hint="default"/>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0.1</w:t>
                  </w:r>
                </w:p>
              </w:tc>
              <w:tc>
                <w:tcPr>
                  <w:tcW w:w="1095" w:type="dxa"/>
                  <w:noWrap w:val="0"/>
                  <w:vAlign w:val="center"/>
                </w:tcPr>
                <w:p w14:paraId="4668EDEF">
                  <w:pPr>
                    <w:keepNext w:val="0"/>
                    <w:keepLines w:val="0"/>
                    <w:pageBreakBefore w:val="0"/>
                    <w:widowControl/>
                    <w:kinsoku/>
                    <w:wordWrap/>
                    <w:overflowPunct/>
                    <w:topLinePunct w:val="0"/>
                    <w:autoSpaceDE/>
                    <w:autoSpaceDN/>
                    <w:bidi w:val="0"/>
                    <w:snapToGrid w:val="0"/>
                    <w:jc w:val="center"/>
                    <w:rPr>
                      <w:rFonts w:hint="eastAsia"/>
                      <w:color w:val="000000" w:themeColor="text1"/>
                      <w:kern w:val="0"/>
                      <w:szCs w:val="21"/>
                      <w:highlight w:val="none"/>
                      <w:lang w:bidi="ar"/>
                      <w14:textFill>
                        <w14:solidFill>
                          <w14:schemeClr w14:val="tx1"/>
                        </w14:solidFill>
                      </w14:textFill>
                    </w:rPr>
                  </w:pPr>
                  <w:r>
                    <w:rPr>
                      <w:rFonts w:hint="eastAsia"/>
                      <w:color w:val="000000" w:themeColor="text1"/>
                      <w:kern w:val="0"/>
                      <w:szCs w:val="21"/>
                      <w:highlight w:val="none"/>
                      <w:lang w:bidi="ar"/>
                      <w14:textFill>
                        <w14:solidFill>
                          <w14:schemeClr w14:val="tx1"/>
                        </w14:solidFill>
                      </w14:textFill>
                    </w:rPr>
                    <w:t>外购</w:t>
                  </w:r>
                </w:p>
              </w:tc>
              <w:tc>
                <w:tcPr>
                  <w:tcW w:w="1087" w:type="dxa"/>
                  <w:noWrap w:val="0"/>
                  <w:vAlign w:val="center"/>
                </w:tcPr>
                <w:p w14:paraId="2A25765E">
                  <w:pPr>
                    <w:keepNext w:val="0"/>
                    <w:keepLines w:val="0"/>
                    <w:pageBreakBefore w:val="0"/>
                    <w:kinsoku/>
                    <w:wordWrap/>
                    <w:overflowPunct/>
                    <w:topLinePunct w:val="0"/>
                    <w:autoSpaceDE/>
                    <w:autoSpaceDN/>
                    <w:bidi w:val="0"/>
                    <w:adjustRightInd w:val="0"/>
                    <w:snapToGrid w:val="0"/>
                    <w:jc w:val="center"/>
                    <w:rPr>
                      <w:rFonts w:hint="eastAsia"/>
                      <w:bCs/>
                      <w:color w:val="000000" w:themeColor="text1"/>
                      <w:szCs w:val="21"/>
                      <w:highlight w:val="none"/>
                      <w:lang w:val="en-US" w:eastAsia="zh-CN"/>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管理用房</w:t>
                  </w:r>
                </w:p>
              </w:tc>
            </w:tr>
          </w:tbl>
          <w:p w14:paraId="263CA0F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b/>
                <w:bCs/>
                <w:color w:val="000000" w:themeColor="text1"/>
                <w:sz w:val="24"/>
                <w:lang w:val="en-US" w:eastAsia="zh-CN"/>
                <w14:textFill>
                  <w14:solidFill>
                    <w14:schemeClr w14:val="tx1"/>
                  </w14:solidFill>
                </w14:textFill>
              </w:rPr>
            </w:pPr>
            <w:r>
              <w:rPr>
                <w:rFonts w:hint="eastAsia"/>
                <w:b/>
                <w:bCs/>
                <w:color w:val="000000" w:themeColor="text1"/>
                <w:sz w:val="24"/>
                <w:lang w:val="en-US" w:eastAsia="zh-CN"/>
                <w14:textFill>
                  <w14:solidFill>
                    <w14:schemeClr w14:val="tx1"/>
                  </w14:solidFill>
                </w14:textFill>
              </w:rPr>
              <w:t>5.2项目原料理化性质分析</w:t>
            </w:r>
          </w:p>
          <w:p w14:paraId="61EF1EF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（1）粘土</w:t>
            </w:r>
            <w:r>
              <w:rPr>
                <w:rFonts w:hint="eastAsia" w:cs="Times New Roman"/>
                <w:color w:val="000000" w:themeColor="text1"/>
                <w:sz w:val="24"/>
                <w:szCs w:val="24"/>
                <w:lang w:val="en-US" w:eastAsia="zh-CN"/>
                <w14:textFill>
                  <w14:solidFill>
                    <w14:schemeClr w14:val="tx1"/>
                  </w14:solidFill>
                </w14:textFill>
              </w:rPr>
              <w:t>、页岩土</w:t>
            </w:r>
          </w:p>
          <w:p w14:paraId="001217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本项目所使用的粘土</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页岩土由</w:t>
            </w:r>
            <w:r>
              <w:rPr>
                <w:rFonts w:hint="default" w:ascii="Times New Roman" w:hAnsi="Times New Roman" w:eastAsia="宋体" w:cs="Times New Roman"/>
                <w:color w:val="000000" w:themeColor="text1"/>
                <w:sz w:val="24"/>
                <w:szCs w:val="24"/>
                <w14:textFill>
                  <w14:solidFill>
                    <w14:schemeClr w14:val="tx1"/>
                  </w14:solidFill>
                </w14:textFill>
              </w:rPr>
              <w:t>师宗县鸿运新型墙体材料有限公司</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提供</w:t>
            </w:r>
            <w:r>
              <w:rPr>
                <w:rFonts w:hint="default" w:ascii="Times New Roman" w:hAnsi="Times New Roman" w:eastAsia="宋体" w:cs="Times New Roman"/>
                <w:color w:val="000000" w:themeColor="text1"/>
                <w:sz w:val="24"/>
                <w:szCs w:val="24"/>
                <w14:textFill>
                  <w14:solidFill>
                    <w14:schemeClr w14:val="tx1"/>
                  </w14:solidFill>
                </w14:textFill>
              </w:rPr>
              <w:t>，粘土成分以</w:t>
            </w:r>
            <w:r>
              <w:rPr>
                <w:rFonts w:hint="default" w:ascii="Times New Roman" w:hAnsi="Times New Roman" w:eastAsia="宋体" w:cs="Times New Roman"/>
                <w:color w:val="000000" w:themeColor="text1"/>
                <w:sz w:val="24"/>
                <w:szCs w:val="24"/>
                <w:lang w:eastAsia="zh-CN"/>
                <w14:textFill>
                  <w14:solidFill>
                    <w14:schemeClr w14:val="tx1"/>
                  </w14:solidFill>
                </w14:textFill>
              </w:rPr>
              <w:t>粘土</w:t>
            </w:r>
            <w:r>
              <w:rPr>
                <w:rFonts w:hint="default" w:ascii="Times New Roman" w:hAnsi="Times New Roman" w:eastAsia="宋体" w:cs="Times New Roman"/>
                <w:color w:val="000000" w:themeColor="text1"/>
                <w:sz w:val="24"/>
                <w:szCs w:val="24"/>
                <w14:textFill>
                  <w14:solidFill>
                    <w14:schemeClr w14:val="tx1"/>
                  </w14:solidFill>
                </w14:textFill>
              </w:rPr>
              <w:t>矿物为主</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，其</w:t>
            </w:r>
            <w:r>
              <w:rPr>
                <w:rFonts w:hint="default" w:ascii="Times New Roman" w:hAnsi="Times New Roman" w:eastAsia="宋体" w:cs="Times New Roman"/>
                <w:color w:val="000000" w:themeColor="text1"/>
                <w:sz w:val="24"/>
                <w:szCs w:val="24"/>
                <w14:textFill>
                  <w14:solidFill>
                    <w14:schemeClr w14:val="tx1"/>
                  </w14:solidFill>
                </w14:textFill>
              </w:rPr>
              <w:t>次为石英、长石、云母组成。</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页岩土主要由黏土物质硬化形成，含有高岭石、蒙脱石、水云母、拜来石等矿物质以及石英、长石、云母、锰的氧化物与氢氧化物等自生矿物。</w:t>
            </w:r>
          </w:p>
          <w:p w14:paraId="4B621F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粘土</w:t>
            </w:r>
            <w:r>
              <w:rPr>
                <w:rFonts w:hint="eastAsia"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页岩土</w:t>
            </w:r>
            <w:r>
              <w:rPr>
                <w:rFonts w:hint="default" w:ascii="Times New Roman" w:hAnsi="Times New Roman" w:eastAsia="宋体" w:cs="Times New Roman"/>
                <w:color w:val="000000" w:themeColor="text1"/>
                <w:sz w:val="24"/>
                <w:szCs w:val="24"/>
                <w14:textFill>
                  <w14:solidFill>
                    <w14:schemeClr w14:val="tx1"/>
                  </w14:solidFill>
                </w14:textFill>
              </w:rPr>
              <w:t>的主要化学成分见下表：</w:t>
            </w:r>
          </w:p>
          <w:p w14:paraId="3B4F0E75">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default"/>
                <w:b/>
                <w:bCs/>
                <w:color w:val="000000" w:themeColor="text1"/>
                <w:sz w:val="24"/>
                <w:szCs w:val="24"/>
                <w:lang w:val="en-US" w:eastAsia="zh-CN"/>
                <w14:textFill>
                  <w14:solidFill>
                    <w14:schemeClr w14:val="tx1"/>
                  </w14:solidFill>
                </w14:textFill>
              </w:rPr>
            </w:pPr>
            <w:r>
              <w:rPr>
                <w:rFonts w:hint="default"/>
                <w:b/>
                <w:bCs/>
                <w:color w:val="000000" w:themeColor="text1"/>
                <w:sz w:val="24"/>
                <w:szCs w:val="24"/>
                <w:lang w:val="en-US" w:eastAsia="zh-CN"/>
                <w14:textFill>
                  <w14:solidFill>
                    <w14:schemeClr w14:val="tx1"/>
                  </w14:solidFill>
                </w14:textFill>
              </w:rPr>
              <w:t>表2-</w:t>
            </w:r>
            <w:r>
              <w:rPr>
                <w:rFonts w:hint="eastAsia"/>
                <w:b/>
                <w:bCs/>
                <w:color w:val="000000" w:themeColor="text1"/>
                <w:sz w:val="24"/>
                <w:szCs w:val="24"/>
                <w:lang w:val="en-US" w:eastAsia="zh-CN"/>
                <w14:textFill>
                  <w14:solidFill>
                    <w14:schemeClr w14:val="tx1"/>
                  </w14:solidFill>
                </w14:textFill>
              </w:rPr>
              <w:t xml:space="preserve">8  </w:t>
            </w:r>
            <w:r>
              <w:rPr>
                <w:rFonts w:hint="default"/>
                <w:b/>
                <w:bCs/>
                <w:color w:val="000000" w:themeColor="text1"/>
                <w:sz w:val="24"/>
                <w:szCs w:val="24"/>
                <w:lang w:val="en-US" w:eastAsia="zh-CN"/>
                <w14:textFill>
                  <w14:solidFill>
                    <w14:schemeClr w14:val="tx1"/>
                  </w14:solidFill>
                </w14:textFill>
              </w:rPr>
              <w:t xml:space="preserve"> 粘土成分组成一览表</w:t>
            </w:r>
          </w:p>
          <w:tbl>
            <w:tblPr>
              <w:tblStyle w:val="29"/>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6"/>
              <w:gridCol w:w="4124"/>
              <w:gridCol w:w="2834"/>
            </w:tblGrid>
            <w:tr w14:paraId="185B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pct"/>
                  <w:noWrap w:val="0"/>
                  <w:vAlign w:val="center"/>
                </w:tcPr>
                <w:p w14:paraId="16AE7688">
                  <w:pPr>
                    <w:bidi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2424" w:type="pct"/>
                  <w:noWrap w:val="0"/>
                  <w:vAlign w:val="center"/>
                </w:tcPr>
                <w:p w14:paraId="1965C6DC">
                  <w:pPr>
                    <w:bidi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组分</w:t>
                  </w:r>
                </w:p>
              </w:tc>
              <w:tc>
                <w:tcPr>
                  <w:tcW w:w="1666" w:type="pct"/>
                  <w:noWrap w:val="0"/>
                  <w:vAlign w:val="center"/>
                </w:tcPr>
                <w:p w14:paraId="30D6C3AE">
                  <w:pPr>
                    <w:bidi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含量</w:t>
                  </w:r>
                </w:p>
              </w:tc>
            </w:tr>
            <w:tr w14:paraId="3810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pct"/>
                  <w:noWrap w:val="0"/>
                  <w:vAlign w:val="center"/>
                </w:tcPr>
                <w:p w14:paraId="50C2C556">
                  <w:pPr>
                    <w:bidi w:val="0"/>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2424" w:type="pct"/>
                  <w:noWrap w:val="0"/>
                  <w:vAlign w:val="center"/>
                </w:tcPr>
                <w:p w14:paraId="4558FE2C">
                  <w:pPr>
                    <w:bidi w:val="0"/>
                    <w:jc w:val="center"/>
                    <w:rPr>
                      <w:color w:val="000000" w:themeColor="text1"/>
                      <w14:textFill>
                        <w14:solidFill>
                          <w14:schemeClr w14:val="tx1"/>
                        </w14:solidFill>
                      </w14:textFill>
                    </w:rPr>
                  </w:pPr>
                  <w:r>
                    <w:rPr>
                      <w:color w:val="000000" w:themeColor="text1"/>
                      <w:lang w:val="en-US"/>
                      <w14:textFill>
                        <w14:solidFill>
                          <w14:schemeClr w14:val="tx1"/>
                        </w14:solidFill>
                      </w14:textFill>
                    </w:rPr>
                    <w:t>SiO</w:t>
                  </w:r>
                  <w:r>
                    <w:rPr>
                      <w:color w:val="000000" w:themeColor="text1"/>
                      <w:vertAlign w:val="subscript"/>
                      <w:lang w:val="en-US"/>
                      <w14:textFill>
                        <w14:solidFill>
                          <w14:schemeClr w14:val="tx1"/>
                        </w14:solidFill>
                      </w14:textFill>
                    </w:rPr>
                    <w:t>2</w:t>
                  </w:r>
                </w:p>
              </w:tc>
              <w:tc>
                <w:tcPr>
                  <w:tcW w:w="1666" w:type="pct"/>
                  <w:noWrap w:val="0"/>
                  <w:vAlign w:val="center"/>
                </w:tcPr>
                <w:p w14:paraId="6BC67C2E">
                  <w:pPr>
                    <w:bidi w:val="0"/>
                    <w:jc w:val="center"/>
                    <w:rPr>
                      <w:color w:val="000000" w:themeColor="text1"/>
                      <w14:textFill>
                        <w14:solidFill>
                          <w14:schemeClr w14:val="tx1"/>
                        </w14:solidFill>
                      </w14:textFill>
                    </w:rPr>
                  </w:pPr>
                  <w:r>
                    <w:rPr>
                      <w:color w:val="000000" w:themeColor="text1"/>
                      <w:lang w:val="en-US"/>
                      <w14:textFill>
                        <w14:solidFill>
                          <w14:schemeClr w14:val="tx1"/>
                        </w14:solidFill>
                      </w14:textFill>
                    </w:rPr>
                    <w:t>54.73%</w:t>
                  </w:r>
                </w:p>
              </w:tc>
            </w:tr>
            <w:tr w14:paraId="49FB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pct"/>
                  <w:noWrap w:val="0"/>
                  <w:vAlign w:val="center"/>
                </w:tcPr>
                <w:p w14:paraId="1B0AF40C">
                  <w:pPr>
                    <w:bidi w:val="0"/>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2424" w:type="pct"/>
                  <w:noWrap w:val="0"/>
                  <w:vAlign w:val="center"/>
                </w:tcPr>
                <w:p w14:paraId="5AB78C8F">
                  <w:pPr>
                    <w:bidi w:val="0"/>
                    <w:jc w:val="center"/>
                    <w:rPr>
                      <w:color w:val="000000" w:themeColor="text1"/>
                      <w14:textFill>
                        <w14:solidFill>
                          <w14:schemeClr w14:val="tx1"/>
                        </w14:solidFill>
                      </w14:textFill>
                    </w:rPr>
                  </w:pPr>
                  <w:r>
                    <w:rPr>
                      <w:color w:val="000000" w:themeColor="text1"/>
                      <w:lang w:val="en-US"/>
                      <w14:textFill>
                        <w14:solidFill>
                          <w14:schemeClr w14:val="tx1"/>
                        </w14:solidFill>
                      </w14:textFill>
                    </w:rPr>
                    <w:t>CaO</w:t>
                  </w:r>
                </w:p>
              </w:tc>
              <w:tc>
                <w:tcPr>
                  <w:tcW w:w="1666" w:type="pct"/>
                  <w:noWrap w:val="0"/>
                  <w:vAlign w:val="center"/>
                </w:tcPr>
                <w:p w14:paraId="45D74316">
                  <w:pPr>
                    <w:bidi w:val="0"/>
                    <w:jc w:val="center"/>
                    <w:rPr>
                      <w:color w:val="000000" w:themeColor="text1"/>
                      <w14:textFill>
                        <w14:solidFill>
                          <w14:schemeClr w14:val="tx1"/>
                        </w14:solidFill>
                      </w14:textFill>
                    </w:rPr>
                  </w:pPr>
                  <w:r>
                    <w:rPr>
                      <w:color w:val="000000" w:themeColor="text1"/>
                      <w:lang w:val="en-US"/>
                      <w14:textFill>
                        <w14:solidFill>
                          <w14:schemeClr w14:val="tx1"/>
                        </w14:solidFill>
                      </w14:textFill>
                    </w:rPr>
                    <w:t>0.18%</w:t>
                  </w:r>
                </w:p>
              </w:tc>
            </w:tr>
            <w:tr w14:paraId="602F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pct"/>
                  <w:noWrap w:val="0"/>
                  <w:vAlign w:val="center"/>
                </w:tcPr>
                <w:p w14:paraId="2AEDCA87">
                  <w:pPr>
                    <w:bidi w:val="0"/>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2424" w:type="pct"/>
                  <w:noWrap w:val="0"/>
                  <w:vAlign w:val="center"/>
                </w:tcPr>
                <w:p w14:paraId="3FC51005">
                  <w:pPr>
                    <w:bidi w:val="0"/>
                    <w:jc w:val="center"/>
                    <w:rPr>
                      <w:color w:val="000000" w:themeColor="text1"/>
                      <w14:textFill>
                        <w14:solidFill>
                          <w14:schemeClr w14:val="tx1"/>
                        </w14:solidFill>
                      </w14:textFill>
                    </w:rPr>
                  </w:pPr>
                  <w:r>
                    <w:rPr>
                      <w:color w:val="000000" w:themeColor="text1"/>
                      <w:lang w:val="en-US"/>
                      <w14:textFill>
                        <w14:solidFill>
                          <w14:schemeClr w14:val="tx1"/>
                        </w14:solidFill>
                      </w14:textFill>
                    </w:rPr>
                    <w:t>MgO</w:t>
                  </w:r>
                </w:p>
              </w:tc>
              <w:tc>
                <w:tcPr>
                  <w:tcW w:w="1666" w:type="pct"/>
                  <w:noWrap w:val="0"/>
                  <w:vAlign w:val="center"/>
                </w:tcPr>
                <w:p w14:paraId="129DC4C6">
                  <w:pPr>
                    <w:bidi w:val="0"/>
                    <w:jc w:val="center"/>
                    <w:rPr>
                      <w:color w:val="000000" w:themeColor="text1"/>
                      <w14:textFill>
                        <w14:solidFill>
                          <w14:schemeClr w14:val="tx1"/>
                        </w14:solidFill>
                      </w14:textFill>
                    </w:rPr>
                  </w:pPr>
                  <w:r>
                    <w:rPr>
                      <w:color w:val="000000" w:themeColor="text1"/>
                      <w:lang w:val="en-US"/>
                      <w14:textFill>
                        <w14:solidFill>
                          <w14:schemeClr w14:val="tx1"/>
                        </w14:solidFill>
                      </w14:textFill>
                    </w:rPr>
                    <w:t>1.25%</w:t>
                  </w:r>
                </w:p>
              </w:tc>
            </w:tr>
            <w:tr w14:paraId="0F8B8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pct"/>
                  <w:noWrap w:val="0"/>
                  <w:vAlign w:val="center"/>
                </w:tcPr>
                <w:p w14:paraId="5CE7FE71">
                  <w:pPr>
                    <w:bidi w:val="0"/>
                    <w:jc w:val="center"/>
                    <w:rPr>
                      <w:color w:val="000000" w:themeColor="text1"/>
                      <w14:textFill>
                        <w14:solidFill>
                          <w14:schemeClr w14:val="tx1"/>
                        </w14:solidFill>
                      </w14:textFill>
                    </w:rPr>
                  </w:pPr>
                  <w:r>
                    <w:rPr>
                      <w:color w:val="000000" w:themeColor="text1"/>
                      <w14:textFill>
                        <w14:solidFill>
                          <w14:schemeClr w14:val="tx1"/>
                        </w14:solidFill>
                      </w14:textFill>
                    </w:rPr>
                    <w:t>4</w:t>
                  </w:r>
                </w:p>
              </w:tc>
              <w:tc>
                <w:tcPr>
                  <w:tcW w:w="2424" w:type="pct"/>
                  <w:noWrap w:val="0"/>
                  <w:vAlign w:val="center"/>
                </w:tcPr>
                <w:p w14:paraId="6B9309EB">
                  <w:pPr>
                    <w:bidi w:val="0"/>
                    <w:jc w:val="center"/>
                    <w:rPr>
                      <w:color w:val="000000" w:themeColor="text1"/>
                      <w14:textFill>
                        <w14:solidFill>
                          <w14:schemeClr w14:val="tx1"/>
                        </w14:solidFill>
                      </w14:textFill>
                    </w:rPr>
                  </w:pPr>
                  <w:r>
                    <w:rPr>
                      <w:color w:val="000000" w:themeColor="text1"/>
                      <w:lang w:val="en-US"/>
                      <w14:textFill>
                        <w14:solidFill>
                          <w14:schemeClr w14:val="tx1"/>
                        </w14:solidFill>
                      </w14:textFill>
                    </w:rPr>
                    <w:t>K</w:t>
                  </w:r>
                  <w:r>
                    <w:rPr>
                      <w:color w:val="000000" w:themeColor="text1"/>
                      <w:vertAlign w:val="subscript"/>
                      <w:lang w:val="en-US"/>
                      <w14:textFill>
                        <w14:solidFill>
                          <w14:schemeClr w14:val="tx1"/>
                        </w14:solidFill>
                      </w14:textFill>
                    </w:rPr>
                    <w:t>2</w:t>
                  </w:r>
                  <w:r>
                    <w:rPr>
                      <w:color w:val="000000" w:themeColor="text1"/>
                      <w:lang w:val="en-US"/>
                      <w14:textFill>
                        <w14:solidFill>
                          <w14:schemeClr w14:val="tx1"/>
                        </w14:solidFill>
                      </w14:textFill>
                    </w:rPr>
                    <w:t>O</w:t>
                  </w:r>
                </w:p>
              </w:tc>
              <w:tc>
                <w:tcPr>
                  <w:tcW w:w="1666" w:type="pct"/>
                  <w:noWrap w:val="0"/>
                  <w:vAlign w:val="center"/>
                </w:tcPr>
                <w:p w14:paraId="286681C3">
                  <w:pPr>
                    <w:bidi w:val="0"/>
                    <w:jc w:val="center"/>
                    <w:rPr>
                      <w:color w:val="000000" w:themeColor="text1"/>
                      <w14:textFill>
                        <w14:solidFill>
                          <w14:schemeClr w14:val="tx1"/>
                        </w14:solidFill>
                      </w14:textFill>
                    </w:rPr>
                  </w:pPr>
                  <w:r>
                    <w:rPr>
                      <w:color w:val="000000" w:themeColor="text1"/>
                      <w:lang w:val="en-US"/>
                      <w14:textFill>
                        <w14:solidFill>
                          <w14:schemeClr w14:val="tx1"/>
                        </w14:solidFill>
                      </w14:textFill>
                    </w:rPr>
                    <w:t>3.36%</w:t>
                  </w:r>
                </w:p>
              </w:tc>
            </w:tr>
            <w:tr w14:paraId="5EB29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pct"/>
                  <w:noWrap w:val="0"/>
                  <w:vAlign w:val="center"/>
                </w:tcPr>
                <w:p w14:paraId="0B277DD4">
                  <w:pPr>
                    <w:bidi w:val="0"/>
                    <w:jc w:val="center"/>
                    <w:rPr>
                      <w:color w:val="000000" w:themeColor="text1"/>
                      <w14:textFill>
                        <w14:solidFill>
                          <w14:schemeClr w14:val="tx1"/>
                        </w14:solidFill>
                      </w14:textFill>
                    </w:rPr>
                  </w:pPr>
                  <w:r>
                    <w:rPr>
                      <w:color w:val="000000" w:themeColor="text1"/>
                      <w14:textFill>
                        <w14:solidFill>
                          <w14:schemeClr w14:val="tx1"/>
                        </w14:solidFill>
                      </w14:textFill>
                    </w:rPr>
                    <w:t>5</w:t>
                  </w:r>
                </w:p>
              </w:tc>
              <w:tc>
                <w:tcPr>
                  <w:tcW w:w="2424" w:type="pct"/>
                  <w:noWrap w:val="0"/>
                  <w:vAlign w:val="center"/>
                </w:tcPr>
                <w:p w14:paraId="7B9CD8E5">
                  <w:pPr>
                    <w:bidi w:val="0"/>
                    <w:jc w:val="center"/>
                    <w:rPr>
                      <w:color w:val="000000" w:themeColor="text1"/>
                      <w14:textFill>
                        <w14:solidFill>
                          <w14:schemeClr w14:val="tx1"/>
                        </w14:solidFill>
                      </w14:textFill>
                    </w:rPr>
                  </w:pPr>
                  <w:r>
                    <w:rPr>
                      <w:color w:val="000000" w:themeColor="text1"/>
                      <w:lang w:val="en-US"/>
                      <w14:textFill>
                        <w14:solidFill>
                          <w14:schemeClr w14:val="tx1"/>
                        </w14:solidFill>
                      </w14:textFill>
                    </w:rPr>
                    <w:t>Na</w:t>
                  </w:r>
                  <w:r>
                    <w:rPr>
                      <w:color w:val="000000" w:themeColor="text1"/>
                      <w:vertAlign w:val="subscript"/>
                      <w:lang w:val="en-US"/>
                      <w14:textFill>
                        <w14:solidFill>
                          <w14:schemeClr w14:val="tx1"/>
                        </w14:solidFill>
                      </w14:textFill>
                    </w:rPr>
                    <w:t>2</w:t>
                  </w:r>
                  <w:r>
                    <w:rPr>
                      <w:color w:val="000000" w:themeColor="text1"/>
                      <w:lang w:val="en-US"/>
                      <w14:textFill>
                        <w14:solidFill>
                          <w14:schemeClr w14:val="tx1"/>
                        </w14:solidFill>
                      </w14:textFill>
                    </w:rPr>
                    <w:t>O</w:t>
                  </w:r>
                </w:p>
              </w:tc>
              <w:tc>
                <w:tcPr>
                  <w:tcW w:w="1666" w:type="pct"/>
                  <w:noWrap w:val="0"/>
                  <w:vAlign w:val="center"/>
                </w:tcPr>
                <w:p w14:paraId="533B193D">
                  <w:pPr>
                    <w:bidi w:val="0"/>
                    <w:jc w:val="center"/>
                    <w:rPr>
                      <w:color w:val="000000" w:themeColor="text1"/>
                      <w14:textFill>
                        <w14:solidFill>
                          <w14:schemeClr w14:val="tx1"/>
                        </w14:solidFill>
                      </w14:textFill>
                    </w:rPr>
                  </w:pPr>
                  <w:r>
                    <w:rPr>
                      <w:color w:val="000000" w:themeColor="text1"/>
                      <w:lang w:val="en-US"/>
                      <w14:textFill>
                        <w14:solidFill>
                          <w14:schemeClr w14:val="tx1"/>
                        </w14:solidFill>
                      </w14:textFill>
                    </w:rPr>
                    <w:t>0.15%</w:t>
                  </w:r>
                </w:p>
              </w:tc>
            </w:tr>
            <w:tr w14:paraId="3248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pct"/>
                  <w:noWrap w:val="0"/>
                  <w:vAlign w:val="center"/>
                </w:tcPr>
                <w:p w14:paraId="0DD60C57">
                  <w:pPr>
                    <w:bidi w:val="0"/>
                    <w:jc w:val="center"/>
                    <w:rPr>
                      <w:color w:val="000000" w:themeColor="text1"/>
                      <w14:textFill>
                        <w14:solidFill>
                          <w14:schemeClr w14:val="tx1"/>
                        </w14:solidFill>
                      </w14:textFill>
                    </w:rPr>
                  </w:pPr>
                  <w:r>
                    <w:rPr>
                      <w:color w:val="000000" w:themeColor="text1"/>
                      <w14:textFill>
                        <w14:solidFill>
                          <w14:schemeClr w14:val="tx1"/>
                        </w14:solidFill>
                      </w14:textFill>
                    </w:rPr>
                    <w:t>6</w:t>
                  </w:r>
                </w:p>
              </w:tc>
              <w:tc>
                <w:tcPr>
                  <w:tcW w:w="2424" w:type="pct"/>
                  <w:noWrap w:val="0"/>
                  <w:vAlign w:val="center"/>
                </w:tcPr>
                <w:p w14:paraId="0507493D">
                  <w:pPr>
                    <w:bidi w:val="0"/>
                    <w:jc w:val="center"/>
                    <w:rPr>
                      <w:color w:val="000000" w:themeColor="text1"/>
                      <w14:textFill>
                        <w14:solidFill>
                          <w14:schemeClr w14:val="tx1"/>
                        </w14:solidFill>
                      </w14:textFill>
                    </w:rPr>
                  </w:pPr>
                  <w:r>
                    <w:rPr>
                      <w:color w:val="000000" w:themeColor="text1"/>
                      <w:lang w:val="en-US"/>
                      <w14:textFill>
                        <w14:solidFill>
                          <w14:schemeClr w14:val="tx1"/>
                        </w14:solidFill>
                      </w14:textFill>
                    </w:rPr>
                    <w:t>Fe</w:t>
                  </w:r>
                  <w:r>
                    <w:rPr>
                      <w:color w:val="000000" w:themeColor="text1"/>
                      <w:vertAlign w:val="subscript"/>
                      <w:lang w:val="en-US"/>
                      <w14:textFill>
                        <w14:solidFill>
                          <w14:schemeClr w14:val="tx1"/>
                        </w14:solidFill>
                      </w14:textFill>
                    </w:rPr>
                    <w:t>2</w:t>
                  </w:r>
                  <w:r>
                    <w:rPr>
                      <w:color w:val="000000" w:themeColor="text1"/>
                      <w:lang w:val="en-US"/>
                      <w14:textFill>
                        <w14:solidFill>
                          <w14:schemeClr w14:val="tx1"/>
                        </w14:solidFill>
                      </w14:textFill>
                    </w:rPr>
                    <w:t>O</w:t>
                  </w:r>
                  <w:r>
                    <w:rPr>
                      <w:color w:val="000000" w:themeColor="text1"/>
                      <w:vertAlign w:val="subscript"/>
                      <w:lang w:val="en-US"/>
                      <w14:textFill>
                        <w14:solidFill>
                          <w14:schemeClr w14:val="tx1"/>
                        </w14:solidFill>
                      </w14:textFill>
                    </w:rPr>
                    <w:t>3</w:t>
                  </w:r>
                </w:p>
              </w:tc>
              <w:tc>
                <w:tcPr>
                  <w:tcW w:w="1666" w:type="pct"/>
                  <w:noWrap w:val="0"/>
                  <w:vAlign w:val="center"/>
                </w:tcPr>
                <w:p w14:paraId="223E139E">
                  <w:pPr>
                    <w:bidi w:val="0"/>
                    <w:jc w:val="center"/>
                    <w:rPr>
                      <w:color w:val="000000" w:themeColor="text1"/>
                      <w14:textFill>
                        <w14:solidFill>
                          <w14:schemeClr w14:val="tx1"/>
                        </w14:solidFill>
                      </w14:textFill>
                    </w:rPr>
                  </w:pPr>
                  <w:r>
                    <w:rPr>
                      <w:color w:val="000000" w:themeColor="text1"/>
                      <w:lang w:val="en-US"/>
                      <w14:textFill>
                        <w14:solidFill>
                          <w14:schemeClr w14:val="tx1"/>
                        </w14:solidFill>
                      </w14:textFill>
                    </w:rPr>
                    <w:t>7.87%</w:t>
                  </w:r>
                </w:p>
              </w:tc>
            </w:tr>
            <w:tr w14:paraId="726A0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pct"/>
                  <w:noWrap w:val="0"/>
                  <w:vAlign w:val="center"/>
                </w:tcPr>
                <w:p w14:paraId="1E73B5A3">
                  <w:pPr>
                    <w:bidi w:val="0"/>
                    <w:jc w:val="center"/>
                    <w:rPr>
                      <w:color w:val="000000" w:themeColor="text1"/>
                      <w14:textFill>
                        <w14:solidFill>
                          <w14:schemeClr w14:val="tx1"/>
                        </w14:solidFill>
                      </w14:textFill>
                    </w:rPr>
                  </w:pPr>
                  <w:r>
                    <w:rPr>
                      <w:color w:val="000000" w:themeColor="text1"/>
                      <w14:textFill>
                        <w14:solidFill>
                          <w14:schemeClr w14:val="tx1"/>
                        </w14:solidFill>
                      </w14:textFill>
                    </w:rPr>
                    <w:t>7</w:t>
                  </w:r>
                </w:p>
              </w:tc>
              <w:tc>
                <w:tcPr>
                  <w:tcW w:w="2424" w:type="pct"/>
                  <w:noWrap w:val="0"/>
                  <w:vAlign w:val="center"/>
                </w:tcPr>
                <w:p w14:paraId="3FCBB4AA">
                  <w:pPr>
                    <w:bidi w:val="0"/>
                    <w:jc w:val="center"/>
                    <w:rPr>
                      <w:color w:val="000000" w:themeColor="text1"/>
                      <w14:textFill>
                        <w14:solidFill>
                          <w14:schemeClr w14:val="tx1"/>
                        </w14:solidFill>
                      </w14:textFill>
                    </w:rPr>
                  </w:pPr>
                  <w:r>
                    <w:rPr>
                      <w:color w:val="000000" w:themeColor="text1"/>
                      <w:lang w:val="en-US"/>
                      <w14:textFill>
                        <w14:solidFill>
                          <w14:schemeClr w14:val="tx1"/>
                        </w14:solidFill>
                      </w14:textFill>
                    </w:rPr>
                    <w:t>Al</w:t>
                  </w:r>
                  <w:r>
                    <w:rPr>
                      <w:color w:val="000000" w:themeColor="text1"/>
                      <w:vertAlign w:val="subscript"/>
                      <w:lang w:val="en-US"/>
                      <w14:textFill>
                        <w14:solidFill>
                          <w14:schemeClr w14:val="tx1"/>
                        </w14:solidFill>
                      </w14:textFill>
                    </w:rPr>
                    <w:t>2</w:t>
                  </w:r>
                  <w:r>
                    <w:rPr>
                      <w:color w:val="000000" w:themeColor="text1"/>
                      <w:lang w:val="en-US"/>
                      <w14:textFill>
                        <w14:solidFill>
                          <w14:schemeClr w14:val="tx1"/>
                        </w14:solidFill>
                      </w14:textFill>
                    </w:rPr>
                    <w:t>O</w:t>
                  </w:r>
                  <w:r>
                    <w:rPr>
                      <w:color w:val="000000" w:themeColor="text1"/>
                      <w:vertAlign w:val="subscript"/>
                      <w:lang w:val="en-US"/>
                      <w14:textFill>
                        <w14:solidFill>
                          <w14:schemeClr w14:val="tx1"/>
                        </w14:solidFill>
                      </w14:textFill>
                    </w:rPr>
                    <w:t>3</w:t>
                  </w:r>
                </w:p>
              </w:tc>
              <w:tc>
                <w:tcPr>
                  <w:tcW w:w="1666" w:type="pct"/>
                  <w:noWrap w:val="0"/>
                  <w:vAlign w:val="center"/>
                </w:tcPr>
                <w:p w14:paraId="6AA237F6">
                  <w:pPr>
                    <w:bidi w:val="0"/>
                    <w:jc w:val="center"/>
                    <w:rPr>
                      <w:color w:val="000000" w:themeColor="text1"/>
                      <w14:textFill>
                        <w14:solidFill>
                          <w14:schemeClr w14:val="tx1"/>
                        </w14:solidFill>
                      </w14:textFill>
                    </w:rPr>
                  </w:pPr>
                  <w:r>
                    <w:rPr>
                      <w:color w:val="000000" w:themeColor="text1"/>
                      <w:lang w:val="en-US"/>
                      <w14:textFill>
                        <w14:solidFill>
                          <w14:schemeClr w14:val="tx1"/>
                        </w14:solidFill>
                      </w14:textFill>
                    </w:rPr>
                    <w:t>18.62%</w:t>
                  </w:r>
                </w:p>
              </w:tc>
            </w:tr>
            <w:tr w14:paraId="1AFB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pct"/>
                  <w:noWrap w:val="0"/>
                  <w:vAlign w:val="center"/>
                </w:tcPr>
                <w:p w14:paraId="7CD5ED84">
                  <w:pPr>
                    <w:bidi w:val="0"/>
                    <w:jc w:val="center"/>
                    <w:rPr>
                      <w:color w:val="000000" w:themeColor="text1"/>
                      <w14:textFill>
                        <w14:solidFill>
                          <w14:schemeClr w14:val="tx1"/>
                        </w14:solidFill>
                      </w14:textFill>
                    </w:rPr>
                  </w:pPr>
                  <w:r>
                    <w:rPr>
                      <w:color w:val="000000" w:themeColor="text1"/>
                      <w14:textFill>
                        <w14:solidFill>
                          <w14:schemeClr w14:val="tx1"/>
                        </w14:solidFill>
                      </w14:textFill>
                    </w:rPr>
                    <w:t>8</w:t>
                  </w:r>
                </w:p>
              </w:tc>
              <w:tc>
                <w:tcPr>
                  <w:tcW w:w="2424" w:type="pct"/>
                  <w:noWrap w:val="0"/>
                  <w:vAlign w:val="center"/>
                </w:tcPr>
                <w:p w14:paraId="2E85E0B0">
                  <w:pPr>
                    <w:bidi w:val="0"/>
                    <w:jc w:val="center"/>
                    <w:rPr>
                      <w:color w:val="000000" w:themeColor="text1"/>
                      <w:lang w:val="en-US"/>
                      <w14:textFill>
                        <w14:solidFill>
                          <w14:schemeClr w14:val="tx1"/>
                        </w14:solidFill>
                      </w14:textFill>
                    </w:rPr>
                  </w:pPr>
                  <w:r>
                    <w:rPr>
                      <w:color w:val="000000" w:themeColor="text1"/>
                      <w:lang w:val="en-US"/>
                      <w14:textFill>
                        <w14:solidFill>
                          <w14:schemeClr w14:val="tx1"/>
                        </w14:solidFill>
                      </w14:textFill>
                    </w:rPr>
                    <w:t>F</w:t>
                  </w:r>
                </w:p>
              </w:tc>
              <w:tc>
                <w:tcPr>
                  <w:tcW w:w="1666" w:type="pct"/>
                  <w:noWrap w:val="0"/>
                  <w:vAlign w:val="center"/>
                </w:tcPr>
                <w:p w14:paraId="66714440">
                  <w:pPr>
                    <w:bidi w:val="0"/>
                    <w:jc w:val="center"/>
                    <w:rPr>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0.002</w:t>
                  </w:r>
                  <w:r>
                    <w:rPr>
                      <w:color w:val="000000" w:themeColor="text1"/>
                      <w:lang w:val="en-US"/>
                      <w14:textFill>
                        <w14:solidFill>
                          <w14:schemeClr w14:val="tx1"/>
                        </w14:solidFill>
                      </w14:textFill>
                    </w:rPr>
                    <w:t>%</w:t>
                  </w:r>
                </w:p>
              </w:tc>
            </w:tr>
          </w:tbl>
          <w:p w14:paraId="15FEC947">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0" w:firstLineChars="0"/>
              <w:jc w:val="center"/>
              <w:textAlignment w:val="auto"/>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表2-9  页岩土成分组成一览表</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4"/>
              <w:gridCol w:w="4148"/>
              <w:gridCol w:w="2892"/>
            </w:tblGrid>
            <w:tr w14:paraId="3C39F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4" w:type="dxa"/>
                  <w:noWrap w:val="0"/>
                  <w:vAlign w:val="center"/>
                </w:tcPr>
                <w:p w14:paraId="2104CF8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序号</w:t>
                  </w:r>
                </w:p>
              </w:tc>
              <w:tc>
                <w:tcPr>
                  <w:tcW w:w="4148" w:type="dxa"/>
                  <w:noWrap w:val="0"/>
                  <w:vAlign w:val="center"/>
                </w:tcPr>
                <w:p w14:paraId="2D49A5B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组分</w:t>
                  </w:r>
                </w:p>
              </w:tc>
              <w:tc>
                <w:tcPr>
                  <w:tcW w:w="2892" w:type="dxa"/>
                  <w:noWrap w:val="0"/>
                  <w:vAlign w:val="center"/>
                </w:tcPr>
                <w:p w14:paraId="640D069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含量</w:t>
                  </w:r>
                </w:p>
              </w:tc>
            </w:tr>
            <w:tr w14:paraId="09ED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4" w:type="dxa"/>
                  <w:noWrap w:val="0"/>
                  <w:vAlign w:val="center"/>
                </w:tcPr>
                <w:p w14:paraId="373FB14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1</w:t>
                  </w:r>
                </w:p>
              </w:tc>
              <w:tc>
                <w:tcPr>
                  <w:tcW w:w="4148" w:type="dxa"/>
                  <w:noWrap w:val="0"/>
                  <w:vAlign w:val="center"/>
                </w:tcPr>
                <w:p w14:paraId="6733622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color w:val="000000" w:themeColor="text1"/>
                      <w:lang w:val="en-US"/>
                      <w14:textFill>
                        <w14:solidFill>
                          <w14:schemeClr w14:val="tx1"/>
                        </w14:solidFill>
                      </w14:textFill>
                    </w:rPr>
                    <w:t>SiO</w:t>
                  </w:r>
                  <w:r>
                    <w:rPr>
                      <w:color w:val="000000" w:themeColor="text1"/>
                      <w:vertAlign w:val="subscript"/>
                      <w:lang w:val="en-US"/>
                      <w14:textFill>
                        <w14:solidFill>
                          <w14:schemeClr w14:val="tx1"/>
                        </w14:solidFill>
                      </w14:textFill>
                    </w:rPr>
                    <w:t>2</w:t>
                  </w:r>
                </w:p>
              </w:tc>
              <w:tc>
                <w:tcPr>
                  <w:tcW w:w="2892" w:type="dxa"/>
                  <w:noWrap w:val="0"/>
                  <w:vAlign w:val="center"/>
                </w:tcPr>
                <w:p w14:paraId="31D5F0A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55%</w:t>
                  </w:r>
                </w:p>
              </w:tc>
            </w:tr>
            <w:tr w14:paraId="5FD6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4" w:type="dxa"/>
                  <w:noWrap w:val="0"/>
                  <w:vAlign w:val="center"/>
                </w:tcPr>
                <w:p w14:paraId="262D52F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2</w:t>
                  </w:r>
                </w:p>
              </w:tc>
              <w:tc>
                <w:tcPr>
                  <w:tcW w:w="4148" w:type="dxa"/>
                  <w:noWrap w:val="0"/>
                  <w:vAlign w:val="center"/>
                </w:tcPr>
                <w:p w14:paraId="734298F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color w:val="000000" w:themeColor="text1"/>
                      <w:lang w:val="en-US"/>
                      <w14:textFill>
                        <w14:solidFill>
                          <w14:schemeClr w14:val="tx1"/>
                        </w14:solidFill>
                      </w14:textFill>
                    </w:rPr>
                    <w:t>CaO</w:t>
                  </w:r>
                </w:p>
              </w:tc>
              <w:tc>
                <w:tcPr>
                  <w:tcW w:w="2892" w:type="dxa"/>
                  <w:noWrap w:val="0"/>
                  <w:vAlign w:val="center"/>
                </w:tcPr>
                <w:p w14:paraId="3E4C30B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0.2%</w:t>
                  </w:r>
                </w:p>
              </w:tc>
            </w:tr>
            <w:tr w14:paraId="5BAFB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4" w:type="dxa"/>
                  <w:noWrap w:val="0"/>
                  <w:vAlign w:val="center"/>
                </w:tcPr>
                <w:p w14:paraId="0615A59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3</w:t>
                  </w:r>
                </w:p>
              </w:tc>
              <w:tc>
                <w:tcPr>
                  <w:tcW w:w="4148" w:type="dxa"/>
                  <w:noWrap w:val="0"/>
                  <w:vAlign w:val="center"/>
                </w:tcPr>
                <w:p w14:paraId="2311704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color w:val="000000" w:themeColor="text1"/>
                      <w:lang w:val="en-US"/>
                      <w14:textFill>
                        <w14:solidFill>
                          <w14:schemeClr w14:val="tx1"/>
                        </w14:solidFill>
                      </w14:textFill>
                    </w:rPr>
                    <w:t>Al</w:t>
                  </w:r>
                  <w:r>
                    <w:rPr>
                      <w:color w:val="000000" w:themeColor="text1"/>
                      <w:vertAlign w:val="subscript"/>
                      <w:lang w:val="en-US"/>
                      <w14:textFill>
                        <w14:solidFill>
                          <w14:schemeClr w14:val="tx1"/>
                        </w14:solidFill>
                      </w14:textFill>
                    </w:rPr>
                    <w:t>2</w:t>
                  </w:r>
                  <w:r>
                    <w:rPr>
                      <w:color w:val="000000" w:themeColor="text1"/>
                      <w:lang w:val="en-US"/>
                      <w14:textFill>
                        <w14:solidFill>
                          <w14:schemeClr w14:val="tx1"/>
                        </w14:solidFill>
                      </w14:textFill>
                    </w:rPr>
                    <w:t>O</w:t>
                  </w:r>
                  <w:r>
                    <w:rPr>
                      <w:color w:val="000000" w:themeColor="text1"/>
                      <w:vertAlign w:val="subscript"/>
                      <w:lang w:val="en-US"/>
                      <w14:textFill>
                        <w14:solidFill>
                          <w14:schemeClr w14:val="tx1"/>
                        </w14:solidFill>
                      </w14:textFill>
                    </w:rPr>
                    <w:t>3</w:t>
                  </w:r>
                </w:p>
              </w:tc>
              <w:tc>
                <w:tcPr>
                  <w:tcW w:w="2892" w:type="dxa"/>
                  <w:noWrap w:val="0"/>
                  <w:vAlign w:val="center"/>
                </w:tcPr>
                <w:p w14:paraId="16BABA1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20%</w:t>
                  </w:r>
                </w:p>
              </w:tc>
            </w:tr>
            <w:tr w14:paraId="28C0D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4" w:type="dxa"/>
                  <w:noWrap w:val="0"/>
                  <w:vAlign w:val="center"/>
                </w:tcPr>
                <w:p w14:paraId="3611EFB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4</w:t>
                  </w:r>
                </w:p>
              </w:tc>
              <w:tc>
                <w:tcPr>
                  <w:tcW w:w="4148" w:type="dxa"/>
                  <w:noWrap w:val="0"/>
                  <w:vAlign w:val="center"/>
                </w:tcPr>
                <w:p w14:paraId="000ECD9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color w:val="000000" w:themeColor="text1"/>
                      <w:lang w:val="en-US"/>
                      <w14:textFill>
                        <w14:solidFill>
                          <w14:schemeClr w14:val="tx1"/>
                        </w14:solidFill>
                      </w14:textFill>
                    </w:rPr>
                    <w:t>Fe</w:t>
                  </w:r>
                  <w:r>
                    <w:rPr>
                      <w:color w:val="000000" w:themeColor="text1"/>
                      <w:vertAlign w:val="subscript"/>
                      <w:lang w:val="en-US"/>
                      <w14:textFill>
                        <w14:solidFill>
                          <w14:schemeClr w14:val="tx1"/>
                        </w14:solidFill>
                      </w14:textFill>
                    </w:rPr>
                    <w:t>2</w:t>
                  </w:r>
                  <w:r>
                    <w:rPr>
                      <w:color w:val="000000" w:themeColor="text1"/>
                      <w:lang w:val="en-US"/>
                      <w14:textFill>
                        <w14:solidFill>
                          <w14:schemeClr w14:val="tx1"/>
                        </w14:solidFill>
                      </w14:textFill>
                    </w:rPr>
                    <w:t>O</w:t>
                  </w:r>
                  <w:r>
                    <w:rPr>
                      <w:color w:val="000000" w:themeColor="text1"/>
                      <w:vertAlign w:val="subscript"/>
                      <w:lang w:val="en-US"/>
                      <w14:textFill>
                        <w14:solidFill>
                          <w14:schemeClr w14:val="tx1"/>
                        </w14:solidFill>
                      </w14:textFill>
                    </w:rPr>
                    <w:t>3</w:t>
                  </w:r>
                </w:p>
              </w:tc>
              <w:tc>
                <w:tcPr>
                  <w:tcW w:w="2892" w:type="dxa"/>
                  <w:noWrap w:val="0"/>
                  <w:vAlign w:val="center"/>
                </w:tcPr>
                <w:p w14:paraId="066ECAE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5%</w:t>
                  </w:r>
                </w:p>
              </w:tc>
            </w:tr>
            <w:tr w14:paraId="615A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4" w:type="dxa"/>
                  <w:noWrap w:val="0"/>
                  <w:vAlign w:val="center"/>
                </w:tcPr>
                <w:p w14:paraId="6FE023E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5</w:t>
                  </w:r>
                </w:p>
              </w:tc>
              <w:tc>
                <w:tcPr>
                  <w:tcW w:w="4148" w:type="dxa"/>
                  <w:noWrap w:val="0"/>
                  <w:vAlign w:val="center"/>
                </w:tcPr>
                <w:p w14:paraId="2936AF0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color w:val="000000" w:themeColor="text1"/>
                      <w:lang w:val="en-US"/>
                      <w14:textFill>
                        <w14:solidFill>
                          <w14:schemeClr w14:val="tx1"/>
                        </w14:solidFill>
                      </w14:textFill>
                    </w:rPr>
                    <w:t>MgO</w:t>
                  </w:r>
                </w:p>
              </w:tc>
              <w:tc>
                <w:tcPr>
                  <w:tcW w:w="2892" w:type="dxa"/>
                  <w:noWrap w:val="0"/>
                  <w:vAlign w:val="center"/>
                </w:tcPr>
                <w:p w14:paraId="6F78516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2.5%</w:t>
                  </w:r>
                </w:p>
              </w:tc>
            </w:tr>
            <w:tr w14:paraId="2FDC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4" w:type="dxa"/>
                  <w:noWrap w:val="0"/>
                  <w:vAlign w:val="center"/>
                </w:tcPr>
                <w:p w14:paraId="428248A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6</w:t>
                  </w:r>
                </w:p>
              </w:tc>
              <w:tc>
                <w:tcPr>
                  <w:tcW w:w="4148" w:type="dxa"/>
                  <w:noWrap w:val="0"/>
                  <w:vAlign w:val="center"/>
                </w:tcPr>
                <w:p w14:paraId="2300E20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F</w:t>
                  </w:r>
                </w:p>
              </w:tc>
              <w:tc>
                <w:tcPr>
                  <w:tcW w:w="2892" w:type="dxa"/>
                  <w:noWrap w:val="0"/>
                  <w:vAlign w:val="center"/>
                </w:tcPr>
                <w:p w14:paraId="5F6CDFA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0.0</w:t>
                  </w:r>
                  <w:r>
                    <w:rPr>
                      <w:rFonts w:hint="eastAsia" w:cs="Times New Roman"/>
                      <w:color w:val="000000" w:themeColor="text1"/>
                      <w:sz w:val="21"/>
                      <w:szCs w:val="21"/>
                      <w:vertAlign w:val="baseline"/>
                      <w:lang w:val="en-US" w:eastAsia="zh-CN"/>
                      <w14:textFill>
                        <w14:solidFill>
                          <w14:schemeClr w14:val="tx1"/>
                        </w14:solidFill>
                      </w14:textFill>
                    </w:rPr>
                    <w:t>0</w:t>
                  </w: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2%</w:t>
                  </w:r>
                </w:p>
              </w:tc>
            </w:tr>
          </w:tbl>
          <w:p w14:paraId="1635CF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（2）生物质大豆油</w:t>
            </w:r>
          </w:p>
          <w:p w14:paraId="18F134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项目生物质大豆油用于项目真空瓦机润滑使用，其具有大豆油固有的气味和滋味；为压榨大豆油。水分及挥发物≤0.20%，属于易燃液体。</w:t>
            </w:r>
          </w:p>
          <w:p w14:paraId="237B83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（3）生物质颗粒</w:t>
            </w:r>
          </w:p>
          <w:p w14:paraId="2F2793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000000" w:themeColor="text1"/>
                <w:spacing w:val="-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本项目所用</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生物质颗粒采购自贵州坤其商贸有限公司</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根据其提供的生物颗粒检测报告（详见附件12）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，项目所使用的</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生物颗粒</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成分见下表。</w:t>
            </w:r>
          </w:p>
          <w:p w14:paraId="5BDDF45D">
            <w:pPr>
              <w:pStyle w:val="76"/>
              <w:rPr>
                <w:rFonts w:ascii="宋体" w:hAnsi="宋体" w:eastAsia="宋体" w:cs="宋体"/>
                <w:b/>
                <w:bCs/>
                <w:color w:val="000000" w:themeColor="text1"/>
                <w:spacing w:val="-2"/>
                <w:sz w:val="24"/>
                <w:szCs w:val="24"/>
                <w14:textFill>
                  <w14:solidFill>
                    <w14:schemeClr w14:val="tx1"/>
                  </w14:solidFill>
                </w14:textFill>
              </w:rPr>
            </w:pPr>
            <w:r>
              <w:rPr>
                <w:rFonts w:ascii="宋体" w:hAnsi="宋体" w:eastAsia="宋体" w:cs="宋体"/>
                <w:b/>
                <w:bCs/>
                <w:color w:val="000000" w:themeColor="text1"/>
                <w:spacing w:val="-2"/>
                <w:sz w:val="24"/>
                <w:szCs w:val="24"/>
                <w14:textFill>
                  <w14:solidFill>
                    <w14:schemeClr w14:val="tx1"/>
                  </w14:solidFill>
                </w14:textFill>
              </w:rPr>
              <w:t>表</w:t>
            </w:r>
            <w:r>
              <w:rPr>
                <w:rFonts w:hint="eastAsia" w:cs="Times New Roman"/>
                <w:b/>
                <w:bCs/>
                <w:color w:val="000000" w:themeColor="text1"/>
                <w:spacing w:val="-2"/>
                <w:sz w:val="24"/>
                <w:szCs w:val="24"/>
                <w:lang w:val="en-US" w:eastAsia="zh-CN"/>
                <w14:textFill>
                  <w14:solidFill>
                    <w14:schemeClr w14:val="tx1"/>
                  </w14:solidFill>
                </w14:textFill>
              </w:rPr>
              <w:t xml:space="preserve">2-10  </w:t>
            </w:r>
            <w:r>
              <w:rPr>
                <w:rFonts w:ascii="宋体" w:hAnsi="宋体" w:eastAsia="宋体" w:cs="宋体"/>
                <w:b/>
                <w:bCs/>
                <w:color w:val="000000" w:themeColor="text1"/>
                <w:spacing w:val="-2"/>
                <w:sz w:val="24"/>
                <w:szCs w:val="24"/>
                <w14:textFill>
                  <w14:solidFill>
                    <w14:schemeClr w14:val="tx1"/>
                  </w14:solidFill>
                </w14:textFill>
              </w:rPr>
              <w:t>项目</w:t>
            </w:r>
            <w:r>
              <w:rPr>
                <w:rFonts w:hint="eastAsia" w:ascii="宋体" w:hAnsi="宋体" w:eastAsia="宋体" w:cs="宋体"/>
                <w:b/>
                <w:bCs/>
                <w:color w:val="000000" w:themeColor="text1"/>
                <w:spacing w:val="-2"/>
                <w:sz w:val="24"/>
                <w:szCs w:val="24"/>
                <w:lang w:val="en-US" w:eastAsia="zh-CN"/>
                <w14:textFill>
                  <w14:solidFill>
                    <w14:schemeClr w14:val="tx1"/>
                  </w14:solidFill>
                </w14:textFill>
              </w:rPr>
              <w:t>生物颗粒</w:t>
            </w:r>
            <w:r>
              <w:rPr>
                <w:rFonts w:ascii="宋体" w:hAnsi="宋体" w:eastAsia="宋体" w:cs="宋体"/>
                <w:b/>
                <w:bCs/>
                <w:color w:val="000000" w:themeColor="text1"/>
                <w:spacing w:val="-2"/>
                <w:sz w:val="24"/>
                <w:szCs w:val="24"/>
                <w14:textFill>
                  <w14:solidFill>
                    <w14:schemeClr w14:val="tx1"/>
                  </w14:solidFill>
                </w14:textFill>
              </w:rPr>
              <w:t>成分一览表</w:t>
            </w:r>
          </w:p>
          <w:tbl>
            <w:tblPr>
              <w:tblStyle w:val="83"/>
              <w:tblW w:w="5085"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4"/>
              <w:gridCol w:w="2477"/>
              <w:gridCol w:w="1510"/>
              <w:gridCol w:w="1512"/>
              <w:gridCol w:w="2030"/>
            </w:tblGrid>
            <w:tr w14:paraId="62510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jc w:val="center"/>
              </w:trPr>
              <w:tc>
                <w:tcPr>
                  <w:tcW w:w="659" w:type="pct"/>
                  <w:vMerge w:val="restart"/>
                  <w:noWrap w:val="0"/>
                  <w:vAlign w:val="center"/>
                </w:tcPr>
                <w:p w14:paraId="5D21B3D7">
                  <w:pPr>
                    <w:keepNext w:val="0"/>
                    <w:keepLines w:val="0"/>
                    <w:pageBreakBefore w:val="0"/>
                    <w:widowControl w:val="0"/>
                    <w:kinsoku/>
                    <w:wordWrap/>
                    <w:overflowPunct/>
                    <w:topLinePunct w:val="0"/>
                    <w:autoSpaceDE/>
                    <w:autoSpaceDN/>
                    <w:bidi w:val="0"/>
                    <w:adjustRightInd/>
                    <w:snapToGrid/>
                    <w:jc w:val="center"/>
                    <w:textAlignment w:val="auto"/>
                    <w:rPr>
                      <w:b/>
                      <w:bCs/>
                      <w:color w:val="000000" w:themeColor="text1"/>
                      <w:sz w:val="21"/>
                      <w:szCs w:val="21"/>
                      <w:lang w:val="en-US"/>
                      <w14:textFill>
                        <w14:solidFill>
                          <w14:schemeClr w14:val="tx1"/>
                        </w14:solidFill>
                      </w14:textFill>
                    </w:rPr>
                  </w:pPr>
                  <w:r>
                    <w:rPr>
                      <w:b/>
                      <w:bCs/>
                      <w:color w:val="000000" w:themeColor="text1"/>
                      <w:sz w:val="21"/>
                      <w:szCs w:val="21"/>
                      <w:lang w:val="en-US"/>
                      <w14:textFill>
                        <w14:solidFill>
                          <w14:schemeClr w14:val="tx1"/>
                        </w14:solidFill>
                      </w14:textFill>
                    </w:rPr>
                    <w:t>序号</w:t>
                  </w:r>
                </w:p>
              </w:tc>
              <w:tc>
                <w:tcPr>
                  <w:tcW w:w="1428" w:type="pct"/>
                  <w:vMerge w:val="restart"/>
                  <w:noWrap w:val="0"/>
                  <w:vAlign w:val="center"/>
                </w:tcPr>
                <w:p w14:paraId="50505027">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项目</w:t>
                  </w:r>
                </w:p>
              </w:tc>
              <w:tc>
                <w:tcPr>
                  <w:tcW w:w="870" w:type="pct"/>
                  <w:vMerge w:val="restart"/>
                  <w:noWrap w:val="0"/>
                  <w:vAlign w:val="center"/>
                </w:tcPr>
                <w:p w14:paraId="76B2659C">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符号</w:t>
                  </w:r>
                </w:p>
              </w:tc>
              <w:tc>
                <w:tcPr>
                  <w:tcW w:w="871" w:type="pct"/>
                  <w:vMerge w:val="restart"/>
                  <w:noWrap w:val="0"/>
                  <w:vAlign w:val="center"/>
                </w:tcPr>
                <w:p w14:paraId="050863B6">
                  <w:pPr>
                    <w:keepNext w:val="0"/>
                    <w:keepLines w:val="0"/>
                    <w:pageBreakBefore w:val="0"/>
                    <w:widowControl w:val="0"/>
                    <w:kinsoku/>
                    <w:wordWrap/>
                    <w:overflowPunct/>
                    <w:topLinePunct w:val="0"/>
                    <w:autoSpaceDE/>
                    <w:autoSpaceDN/>
                    <w:bidi w:val="0"/>
                    <w:adjustRightInd/>
                    <w:snapToGrid/>
                    <w:jc w:val="center"/>
                    <w:textAlignment w:val="auto"/>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单位</w:t>
                  </w:r>
                </w:p>
              </w:tc>
              <w:tc>
                <w:tcPr>
                  <w:tcW w:w="1170" w:type="pct"/>
                  <w:noWrap w:val="0"/>
                  <w:vAlign w:val="center"/>
                </w:tcPr>
                <w:p w14:paraId="23787BB0">
                  <w:pPr>
                    <w:keepNext w:val="0"/>
                    <w:keepLines w:val="0"/>
                    <w:pageBreakBefore w:val="0"/>
                    <w:widowControl w:val="0"/>
                    <w:kinsoku/>
                    <w:wordWrap/>
                    <w:overflowPunct/>
                    <w:topLinePunct w:val="0"/>
                    <w:autoSpaceDE/>
                    <w:autoSpaceDN/>
                    <w:bidi w:val="0"/>
                    <w:adjustRightInd/>
                    <w:snapToGrid/>
                    <w:jc w:val="center"/>
                    <w:textAlignment w:val="auto"/>
                    <w:rPr>
                      <w:rFonts w:hint="eastAsia"/>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结果</w:t>
                  </w:r>
                </w:p>
              </w:tc>
            </w:tr>
            <w:tr w14:paraId="4804FA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jc w:val="center"/>
              </w:trPr>
              <w:tc>
                <w:tcPr>
                  <w:tcW w:w="659" w:type="pct"/>
                  <w:vMerge w:val="continue"/>
                  <w:noWrap w:val="0"/>
                  <w:vAlign w:val="center"/>
                </w:tcPr>
                <w:p w14:paraId="62198BDB">
                  <w:pPr>
                    <w:keepNext w:val="0"/>
                    <w:keepLines w:val="0"/>
                    <w:pageBreakBefore w:val="0"/>
                    <w:widowControl w:val="0"/>
                    <w:kinsoku/>
                    <w:wordWrap/>
                    <w:overflowPunct/>
                    <w:topLinePunct w:val="0"/>
                    <w:autoSpaceDE/>
                    <w:autoSpaceDN/>
                    <w:bidi w:val="0"/>
                    <w:adjustRightInd/>
                    <w:snapToGrid/>
                    <w:jc w:val="center"/>
                    <w:textAlignment w:val="auto"/>
                    <w:rPr>
                      <w:b/>
                      <w:bCs/>
                      <w:color w:val="000000" w:themeColor="text1"/>
                      <w:sz w:val="21"/>
                      <w:szCs w:val="21"/>
                      <w:lang w:val="en-US"/>
                      <w14:textFill>
                        <w14:solidFill>
                          <w14:schemeClr w14:val="tx1"/>
                        </w14:solidFill>
                      </w14:textFill>
                    </w:rPr>
                  </w:pPr>
                </w:p>
              </w:tc>
              <w:tc>
                <w:tcPr>
                  <w:tcW w:w="1428" w:type="pct"/>
                  <w:vMerge w:val="continue"/>
                  <w:noWrap w:val="0"/>
                  <w:vAlign w:val="center"/>
                </w:tcPr>
                <w:p w14:paraId="10F1F01E">
                  <w:pPr>
                    <w:keepNext w:val="0"/>
                    <w:keepLines w:val="0"/>
                    <w:pageBreakBefore w:val="0"/>
                    <w:widowControl w:val="0"/>
                    <w:kinsoku/>
                    <w:wordWrap/>
                    <w:overflowPunct/>
                    <w:topLinePunct w:val="0"/>
                    <w:autoSpaceDE/>
                    <w:autoSpaceDN/>
                    <w:bidi w:val="0"/>
                    <w:adjustRightInd/>
                    <w:snapToGrid/>
                    <w:jc w:val="center"/>
                    <w:textAlignment w:val="auto"/>
                    <w:rPr>
                      <w:b/>
                      <w:bCs/>
                      <w:color w:val="000000" w:themeColor="text1"/>
                      <w:sz w:val="21"/>
                      <w:szCs w:val="21"/>
                      <w:lang w:val="en-US"/>
                      <w14:textFill>
                        <w14:solidFill>
                          <w14:schemeClr w14:val="tx1"/>
                        </w14:solidFill>
                      </w14:textFill>
                    </w:rPr>
                  </w:pPr>
                </w:p>
              </w:tc>
              <w:tc>
                <w:tcPr>
                  <w:tcW w:w="870" w:type="pct"/>
                  <w:vMerge w:val="continue"/>
                  <w:noWrap w:val="0"/>
                  <w:vAlign w:val="center"/>
                </w:tcPr>
                <w:p w14:paraId="0A5B8DC1">
                  <w:pPr>
                    <w:keepNext w:val="0"/>
                    <w:keepLines w:val="0"/>
                    <w:pageBreakBefore w:val="0"/>
                    <w:widowControl w:val="0"/>
                    <w:kinsoku/>
                    <w:wordWrap/>
                    <w:overflowPunct/>
                    <w:topLinePunct w:val="0"/>
                    <w:autoSpaceDE/>
                    <w:autoSpaceDN/>
                    <w:bidi w:val="0"/>
                    <w:adjustRightInd/>
                    <w:snapToGrid/>
                    <w:jc w:val="center"/>
                    <w:textAlignment w:val="auto"/>
                    <w:rPr>
                      <w:b/>
                      <w:bCs/>
                      <w:color w:val="000000" w:themeColor="text1"/>
                      <w:sz w:val="21"/>
                      <w:szCs w:val="21"/>
                      <w:lang w:val="en-US"/>
                      <w14:textFill>
                        <w14:solidFill>
                          <w14:schemeClr w14:val="tx1"/>
                        </w14:solidFill>
                      </w14:textFill>
                    </w:rPr>
                  </w:pPr>
                </w:p>
              </w:tc>
              <w:tc>
                <w:tcPr>
                  <w:tcW w:w="871" w:type="pct"/>
                  <w:vMerge w:val="continue"/>
                  <w:noWrap w:val="0"/>
                  <w:vAlign w:val="center"/>
                </w:tcPr>
                <w:p w14:paraId="442F00DA">
                  <w:pPr>
                    <w:keepNext w:val="0"/>
                    <w:keepLines w:val="0"/>
                    <w:pageBreakBefore w:val="0"/>
                    <w:widowControl w:val="0"/>
                    <w:kinsoku/>
                    <w:wordWrap/>
                    <w:overflowPunct/>
                    <w:topLinePunct w:val="0"/>
                    <w:autoSpaceDE/>
                    <w:autoSpaceDN/>
                    <w:bidi w:val="0"/>
                    <w:adjustRightInd/>
                    <w:snapToGrid/>
                    <w:jc w:val="center"/>
                    <w:textAlignment w:val="auto"/>
                    <w:rPr>
                      <w:b/>
                      <w:bCs/>
                      <w:color w:val="000000" w:themeColor="text1"/>
                      <w:sz w:val="21"/>
                      <w:szCs w:val="21"/>
                      <w:lang w:val="en-US"/>
                      <w14:textFill>
                        <w14:solidFill>
                          <w14:schemeClr w14:val="tx1"/>
                        </w14:solidFill>
                      </w14:textFill>
                    </w:rPr>
                  </w:pPr>
                </w:p>
              </w:tc>
              <w:tc>
                <w:tcPr>
                  <w:tcW w:w="1170" w:type="pct"/>
                  <w:noWrap w:val="0"/>
                  <w:vAlign w:val="center"/>
                </w:tcPr>
                <w:p w14:paraId="570ADF37">
                  <w:pPr>
                    <w:keepNext w:val="0"/>
                    <w:keepLines w:val="0"/>
                    <w:pageBreakBefore w:val="0"/>
                    <w:widowControl w:val="0"/>
                    <w:kinsoku/>
                    <w:wordWrap/>
                    <w:overflowPunct/>
                    <w:topLinePunct w:val="0"/>
                    <w:autoSpaceDE/>
                    <w:autoSpaceDN/>
                    <w:bidi w:val="0"/>
                    <w:adjustRightInd/>
                    <w:snapToGrid/>
                    <w:jc w:val="center"/>
                    <w:textAlignment w:val="auto"/>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2025.12.17</w:t>
                  </w:r>
                </w:p>
              </w:tc>
            </w:tr>
            <w:tr w14:paraId="79F01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jc w:val="center"/>
              </w:trPr>
              <w:tc>
                <w:tcPr>
                  <w:tcW w:w="659" w:type="pct"/>
                  <w:noWrap w:val="0"/>
                  <w:vAlign w:val="center"/>
                </w:tcPr>
                <w:p w14:paraId="316FDD0F">
                  <w:pPr>
                    <w:keepNext w:val="0"/>
                    <w:keepLines w:val="0"/>
                    <w:pageBreakBefore w:val="0"/>
                    <w:widowControl w:val="0"/>
                    <w:kinsoku/>
                    <w:wordWrap/>
                    <w:overflowPunct/>
                    <w:topLinePunct w:val="0"/>
                    <w:autoSpaceDE/>
                    <w:autoSpaceDN/>
                    <w:bidi w:val="0"/>
                    <w:adjustRightInd/>
                    <w:snapToGrid/>
                    <w:jc w:val="center"/>
                    <w:textAlignment w:val="auto"/>
                    <w:rPr>
                      <w:color w:val="000000" w:themeColor="text1"/>
                      <w:sz w:val="21"/>
                      <w:szCs w:val="21"/>
                      <w:lang w:val="en-US"/>
                      <w14:textFill>
                        <w14:solidFill>
                          <w14:schemeClr w14:val="tx1"/>
                        </w14:solidFill>
                      </w14:textFill>
                    </w:rPr>
                  </w:pPr>
                  <w:r>
                    <w:rPr>
                      <w:color w:val="000000" w:themeColor="text1"/>
                      <w:sz w:val="21"/>
                      <w:szCs w:val="21"/>
                      <w:lang w:val="en-US"/>
                      <w14:textFill>
                        <w14:solidFill>
                          <w14:schemeClr w14:val="tx1"/>
                        </w14:solidFill>
                      </w14:textFill>
                    </w:rPr>
                    <w:t>1</w:t>
                  </w:r>
                </w:p>
              </w:tc>
              <w:tc>
                <w:tcPr>
                  <w:tcW w:w="1428" w:type="pct"/>
                  <w:noWrap w:val="0"/>
                  <w:vAlign w:val="center"/>
                </w:tcPr>
                <w:p w14:paraId="3A9D5FA0">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全水分</w:t>
                  </w:r>
                </w:p>
              </w:tc>
              <w:tc>
                <w:tcPr>
                  <w:tcW w:w="870" w:type="pct"/>
                  <w:noWrap w:val="0"/>
                  <w:vAlign w:val="center"/>
                </w:tcPr>
                <w:p w14:paraId="46233297">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Mt</w:t>
                  </w:r>
                </w:p>
              </w:tc>
              <w:tc>
                <w:tcPr>
                  <w:tcW w:w="871" w:type="pct"/>
                  <w:noWrap w:val="0"/>
                  <w:vAlign w:val="center"/>
                </w:tcPr>
                <w:p w14:paraId="77888C1C">
                  <w:pPr>
                    <w:keepNext w:val="0"/>
                    <w:keepLines w:val="0"/>
                    <w:pageBreakBefore w:val="0"/>
                    <w:widowControl w:val="0"/>
                    <w:kinsoku/>
                    <w:wordWrap/>
                    <w:overflowPunct/>
                    <w:topLinePunct w:val="0"/>
                    <w:autoSpaceDE/>
                    <w:autoSpaceDN/>
                    <w:bidi w:val="0"/>
                    <w:adjustRightInd/>
                    <w:snapToGrid/>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1170" w:type="pct"/>
                  <w:noWrap w:val="0"/>
                  <w:vAlign w:val="center"/>
                </w:tcPr>
                <w:p w14:paraId="122E0A59">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6.30</w:t>
                  </w:r>
                </w:p>
              </w:tc>
            </w:tr>
            <w:tr w14:paraId="484913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jc w:val="center"/>
              </w:trPr>
              <w:tc>
                <w:tcPr>
                  <w:tcW w:w="659" w:type="pct"/>
                  <w:noWrap w:val="0"/>
                  <w:vAlign w:val="center"/>
                </w:tcPr>
                <w:p w14:paraId="46AA523C">
                  <w:pPr>
                    <w:keepNext w:val="0"/>
                    <w:keepLines w:val="0"/>
                    <w:pageBreakBefore w:val="0"/>
                    <w:widowControl w:val="0"/>
                    <w:kinsoku/>
                    <w:wordWrap/>
                    <w:overflowPunct/>
                    <w:topLinePunct w:val="0"/>
                    <w:autoSpaceDE/>
                    <w:autoSpaceDN/>
                    <w:bidi w:val="0"/>
                    <w:adjustRightInd/>
                    <w:snapToGrid/>
                    <w:jc w:val="center"/>
                    <w:textAlignment w:val="auto"/>
                    <w:rPr>
                      <w:color w:val="000000" w:themeColor="text1"/>
                      <w:sz w:val="21"/>
                      <w:szCs w:val="21"/>
                      <w:lang w:val="en-US"/>
                      <w14:textFill>
                        <w14:solidFill>
                          <w14:schemeClr w14:val="tx1"/>
                        </w14:solidFill>
                      </w14:textFill>
                    </w:rPr>
                  </w:pPr>
                  <w:r>
                    <w:rPr>
                      <w:color w:val="000000" w:themeColor="text1"/>
                      <w:sz w:val="21"/>
                      <w:szCs w:val="21"/>
                      <w:lang w:val="en-US"/>
                      <w14:textFill>
                        <w14:solidFill>
                          <w14:schemeClr w14:val="tx1"/>
                        </w14:solidFill>
                      </w14:textFill>
                    </w:rPr>
                    <w:t>2</w:t>
                  </w:r>
                </w:p>
              </w:tc>
              <w:tc>
                <w:tcPr>
                  <w:tcW w:w="1428" w:type="pct"/>
                  <w:noWrap w:val="0"/>
                  <w:vAlign w:val="center"/>
                </w:tcPr>
                <w:p w14:paraId="28E86504">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水分</w:t>
                  </w:r>
                </w:p>
              </w:tc>
              <w:tc>
                <w:tcPr>
                  <w:tcW w:w="870" w:type="pct"/>
                  <w:noWrap w:val="0"/>
                  <w:vAlign w:val="center"/>
                </w:tcPr>
                <w:p w14:paraId="77CC551E">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Mad</w:t>
                  </w:r>
                </w:p>
              </w:tc>
              <w:tc>
                <w:tcPr>
                  <w:tcW w:w="871" w:type="pct"/>
                  <w:noWrap w:val="0"/>
                  <w:vAlign w:val="center"/>
                </w:tcPr>
                <w:p w14:paraId="7DA9CB1F">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1170" w:type="pct"/>
                  <w:noWrap w:val="0"/>
                  <w:vAlign w:val="center"/>
                </w:tcPr>
                <w:p w14:paraId="615CCA6A">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1.07</w:t>
                  </w:r>
                </w:p>
              </w:tc>
            </w:tr>
            <w:tr w14:paraId="4B681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jc w:val="center"/>
              </w:trPr>
              <w:tc>
                <w:tcPr>
                  <w:tcW w:w="659" w:type="pct"/>
                  <w:noWrap w:val="0"/>
                  <w:vAlign w:val="center"/>
                </w:tcPr>
                <w:p w14:paraId="5BD041A7">
                  <w:pPr>
                    <w:keepNext w:val="0"/>
                    <w:keepLines w:val="0"/>
                    <w:pageBreakBefore w:val="0"/>
                    <w:widowControl w:val="0"/>
                    <w:kinsoku/>
                    <w:wordWrap/>
                    <w:overflowPunct/>
                    <w:topLinePunct w:val="0"/>
                    <w:autoSpaceDE/>
                    <w:autoSpaceDN/>
                    <w:bidi w:val="0"/>
                    <w:adjustRightInd/>
                    <w:snapToGrid/>
                    <w:jc w:val="center"/>
                    <w:textAlignment w:val="auto"/>
                    <w:rPr>
                      <w:color w:val="000000" w:themeColor="text1"/>
                      <w:sz w:val="21"/>
                      <w:szCs w:val="21"/>
                      <w:lang w:val="en-US"/>
                      <w14:textFill>
                        <w14:solidFill>
                          <w14:schemeClr w14:val="tx1"/>
                        </w14:solidFill>
                      </w14:textFill>
                    </w:rPr>
                  </w:pPr>
                  <w:r>
                    <w:rPr>
                      <w:color w:val="000000" w:themeColor="text1"/>
                      <w:sz w:val="21"/>
                      <w:szCs w:val="21"/>
                      <w:lang w:val="en-US"/>
                      <w14:textFill>
                        <w14:solidFill>
                          <w14:schemeClr w14:val="tx1"/>
                        </w14:solidFill>
                      </w14:textFill>
                    </w:rPr>
                    <w:t>3</w:t>
                  </w:r>
                </w:p>
              </w:tc>
              <w:tc>
                <w:tcPr>
                  <w:tcW w:w="1428" w:type="pct"/>
                  <w:noWrap w:val="0"/>
                  <w:vAlign w:val="center"/>
                </w:tcPr>
                <w:p w14:paraId="5490DE63">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灰分</w:t>
                  </w:r>
                </w:p>
              </w:tc>
              <w:tc>
                <w:tcPr>
                  <w:tcW w:w="870" w:type="pct"/>
                  <w:noWrap w:val="0"/>
                  <w:vAlign w:val="center"/>
                </w:tcPr>
                <w:p w14:paraId="65C8A39E">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Aar</w:t>
                  </w:r>
                </w:p>
              </w:tc>
              <w:tc>
                <w:tcPr>
                  <w:tcW w:w="871" w:type="pct"/>
                  <w:noWrap w:val="0"/>
                  <w:vAlign w:val="center"/>
                </w:tcPr>
                <w:p w14:paraId="2CBEE728">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1170" w:type="pct"/>
                  <w:noWrap w:val="0"/>
                  <w:vAlign w:val="center"/>
                </w:tcPr>
                <w:p w14:paraId="5D3FD89F">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5.46</w:t>
                  </w:r>
                </w:p>
              </w:tc>
            </w:tr>
            <w:tr w14:paraId="01993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jc w:val="center"/>
              </w:trPr>
              <w:tc>
                <w:tcPr>
                  <w:tcW w:w="659" w:type="pct"/>
                  <w:noWrap w:val="0"/>
                  <w:vAlign w:val="center"/>
                </w:tcPr>
                <w:p w14:paraId="15B05703">
                  <w:pPr>
                    <w:keepNext w:val="0"/>
                    <w:keepLines w:val="0"/>
                    <w:pageBreakBefore w:val="0"/>
                    <w:widowControl w:val="0"/>
                    <w:kinsoku/>
                    <w:wordWrap/>
                    <w:overflowPunct/>
                    <w:topLinePunct w:val="0"/>
                    <w:autoSpaceDE/>
                    <w:autoSpaceDN/>
                    <w:bidi w:val="0"/>
                    <w:adjustRightInd/>
                    <w:snapToGrid/>
                    <w:jc w:val="center"/>
                    <w:textAlignment w:val="auto"/>
                    <w:rPr>
                      <w:color w:val="000000" w:themeColor="text1"/>
                      <w:sz w:val="21"/>
                      <w:szCs w:val="21"/>
                      <w:lang w:val="en-US"/>
                      <w14:textFill>
                        <w14:solidFill>
                          <w14:schemeClr w14:val="tx1"/>
                        </w14:solidFill>
                      </w14:textFill>
                    </w:rPr>
                  </w:pPr>
                  <w:r>
                    <w:rPr>
                      <w:color w:val="000000" w:themeColor="text1"/>
                      <w:sz w:val="21"/>
                      <w:szCs w:val="21"/>
                      <w:lang w:val="en-US"/>
                      <w14:textFill>
                        <w14:solidFill>
                          <w14:schemeClr w14:val="tx1"/>
                        </w14:solidFill>
                      </w14:textFill>
                    </w:rPr>
                    <w:t>4</w:t>
                  </w:r>
                </w:p>
              </w:tc>
              <w:tc>
                <w:tcPr>
                  <w:tcW w:w="1428" w:type="pct"/>
                  <w:noWrap w:val="0"/>
                  <w:vAlign w:val="center"/>
                </w:tcPr>
                <w:p w14:paraId="5AFA3D1A">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挥发分</w:t>
                  </w:r>
                </w:p>
              </w:tc>
              <w:tc>
                <w:tcPr>
                  <w:tcW w:w="870" w:type="pct"/>
                  <w:noWrap w:val="0"/>
                  <w:vAlign w:val="center"/>
                </w:tcPr>
                <w:p w14:paraId="1E7E5BB7">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Vad</w:t>
                  </w:r>
                </w:p>
              </w:tc>
              <w:tc>
                <w:tcPr>
                  <w:tcW w:w="871" w:type="pct"/>
                  <w:noWrap w:val="0"/>
                  <w:vAlign w:val="center"/>
                </w:tcPr>
                <w:p w14:paraId="3153719D">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1170" w:type="pct"/>
                  <w:noWrap w:val="0"/>
                  <w:vAlign w:val="center"/>
                </w:tcPr>
                <w:p w14:paraId="274BA7CB">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75.52</w:t>
                  </w:r>
                </w:p>
              </w:tc>
            </w:tr>
            <w:tr w14:paraId="1AECB4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jc w:val="center"/>
              </w:trPr>
              <w:tc>
                <w:tcPr>
                  <w:tcW w:w="659" w:type="pct"/>
                  <w:noWrap w:val="0"/>
                  <w:vAlign w:val="center"/>
                </w:tcPr>
                <w:p w14:paraId="2C919C4E">
                  <w:pPr>
                    <w:keepNext w:val="0"/>
                    <w:keepLines w:val="0"/>
                    <w:pageBreakBefore w:val="0"/>
                    <w:widowControl w:val="0"/>
                    <w:kinsoku/>
                    <w:wordWrap/>
                    <w:overflowPunct/>
                    <w:topLinePunct w:val="0"/>
                    <w:autoSpaceDE/>
                    <w:autoSpaceDN/>
                    <w:bidi w:val="0"/>
                    <w:adjustRightInd/>
                    <w:snapToGrid/>
                    <w:jc w:val="center"/>
                    <w:textAlignment w:val="auto"/>
                    <w:rPr>
                      <w:color w:val="000000" w:themeColor="text1"/>
                      <w:sz w:val="21"/>
                      <w:szCs w:val="21"/>
                      <w:lang w:val="en-US"/>
                      <w14:textFill>
                        <w14:solidFill>
                          <w14:schemeClr w14:val="tx1"/>
                        </w14:solidFill>
                      </w14:textFill>
                    </w:rPr>
                  </w:pPr>
                  <w:r>
                    <w:rPr>
                      <w:color w:val="000000" w:themeColor="text1"/>
                      <w:sz w:val="21"/>
                      <w:szCs w:val="21"/>
                      <w:lang w:val="en-US"/>
                      <w14:textFill>
                        <w14:solidFill>
                          <w14:schemeClr w14:val="tx1"/>
                        </w14:solidFill>
                      </w14:textFill>
                    </w:rPr>
                    <w:t>5</w:t>
                  </w:r>
                </w:p>
              </w:tc>
              <w:tc>
                <w:tcPr>
                  <w:tcW w:w="1428" w:type="pct"/>
                  <w:noWrap w:val="0"/>
                  <w:vAlign w:val="center"/>
                </w:tcPr>
                <w:p w14:paraId="3B3206B4">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固定碳</w:t>
                  </w:r>
                </w:p>
              </w:tc>
              <w:tc>
                <w:tcPr>
                  <w:tcW w:w="870" w:type="pct"/>
                  <w:noWrap w:val="0"/>
                  <w:vAlign w:val="center"/>
                </w:tcPr>
                <w:p w14:paraId="24088891">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Fcad</w:t>
                  </w:r>
                </w:p>
              </w:tc>
              <w:tc>
                <w:tcPr>
                  <w:tcW w:w="871" w:type="pct"/>
                  <w:noWrap w:val="0"/>
                  <w:vAlign w:val="center"/>
                </w:tcPr>
                <w:p w14:paraId="5CD36489">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1170" w:type="pct"/>
                  <w:noWrap w:val="0"/>
                  <w:vAlign w:val="center"/>
                </w:tcPr>
                <w:p w14:paraId="7768757B">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17.95</w:t>
                  </w:r>
                </w:p>
              </w:tc>
            </w:tr>
            <w:tr w14:paraId="68318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jc w:val="center"/>
              </w:trPr>
              <w:tc>
                <w:tcPr>
                  <w:tcW w:w="659" w:type="pct"/>
                  <w:noWrap w:val="0"/>
                  <w:vAlign w:val="center"/>
                </w:tcPr>
                <w:p w14:paraId="367ECF8D">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w:t>
                  </w:r>
                </w:p>
              </w:tc>
              <w:tc>
                <w:tcPr>
                  <w:tcW w:w="1428" w:type="pct"/>
                  <w:noWrap w:val="0"/>
                  <w:vAlign w:val="center"/>
                </w:tcPr>
                <w:p w14:paraId="40DE722A">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全硫</w:t>
                  </w:r>
                </w:p>
              </w:tc>
              <w:tc>
                <w:tcPr>
                  <w:tcW w:w="870" w:type="pct"/>
                  <w:noWrap w:val="0"/>
                  <w:vAlign w:val="center"/>
                </w:tcPr>
                <w:p w14:paraId="50B698BA">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St</w:t>
                  </w:r>
                </w:p>
              </w:tc>
              <w:tc>
                <w:tcPr>
                  <w:tcW w:w="871" w:type="pct"/>
                  <w:noWrap w:val="0"/>
                  <w:vAlign w:val="center"/>
                </w:tcPr>
                <w:p w14:paraId="5F7DF8E0">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1170" w:type="pct"/>
                  <w:noWrap w:val="0"/>
                  <w:vAlign w:val="center"/>
                </w:tcPr>
                <w:p w14:paraId="51A5F3B4">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0.02</w:t>
                  </w:r>
                </w:p>
              </w:tc>
            </w:tr>
            <w:tr w14:paraId="5C399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jc w:val="center"/>
              </w:trPr>
              <w:tc>
                <w:tcPr>
                  <w:tcW w:w="659" w:type="pct"/>
                  <w:noWrap w:val="0"/>
                  <w:vAlign w:val="center"/>
                </w:tcPr>
                <w:p w14:paraId="76E8BC8E">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7</w:t>
                  </w:r>
                </w:p>
              </w:tc>
              <w:tc>
                <w:tcPr>
                  <w:tcW w:w="1428" w:type="pct"/>
                  <w:noWrap w:val="0"/>
                  <w:vAlign w:val="center"/>
                </w:tcPr>
                <w:p w14:paraId="057D7F95">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高位发热量</w:t>
                  </w:r>
                </w:p>
              </w:tc>
              <w:tc>
                <w:tcPr>
                  <w:tcW w:w="870" w:type="pct"/>
                  <w:noWrap w:val="0"/>
                  <w:vAlign w:val="center"/>
                </w:tcPr>
                <w:p w14:paraId="1F82B208">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w:t>
                  </w:r>
                </w:p>
              </w:tc>
              <w:tc>
                <w:tcPr>
                  <w:tcW w:w="871" w:type="pct"/>
                  <w:noWrap w:val="0"/>
                  <w:vAlign w:val="center"/>
                </w:tcPr>
                <w:p w14:paraId="6A3DD133">
                  <w:pPr>
                    <w:keepNext w:val="0"/>
                    <w:keepLines w:val="0"/>
                    <w:pageBreakBefore w:val="0"/>
                    <w:widowControl w:val="0"/>
                    <w:kinsoku/>
                    <w:wordWrap/>
                    <w:overflowPunct/>
                    <w:topLinePunct w:val="0"/>
                    <w:autoSpaceDE/>
                    <w:autoSpaceDN/>
                    <w:bidi w:val="0"/>
                    <w:adjustRightInd/>
                    <w:snapToGrid/>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大卡/kg</w:t>
                  </w:r>
                </w:p>
              </w:tc>
              <w:tc>
                <w:tcPr>
                  <w:tcW w:w="1170" w:type="pct"/>
                  <w:noWrap w:val="0"/>
                  <w:vAlign w:val="center"/>
                </w:tcPr>
                <w:p w14:paraId="5B708828">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4556</w:t>
                  </w:r>
                </w:p>
              </w:tc>
            </w:tr>
            <w:tr w14:paraId="4D60A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jc w:val="center"/>
              </w:trPr>
              <w:tc>
                <w:tcPr>
                  <w:tcW w:w="659" w:type="pct"/>
                  <w:noWrap w:val="0"/>
                  <w:vAlign w:val="center"/>
                </w:tcPr>
                <w:p w14:paraId="7EB5BB6E">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8</w:t>
                  </w:r>
                </w:p>
              </w:tc>
              <w:tc>
                <w:tcPr>
                  <w:tcW w:w="1428" w:type="pct"/>
                  <w:noWrap w:val="0"/>
                  <w:vAlign w:val="center"/>
                </w:tcPr>
                <w:p w14:paraId="26E38F8F">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低位发热量</w:t>
                  </w:r>
                </w:p>
              </w:tc>
              <w:tc>
                <w:tcPr>
                  <w:tcW w:w="870" w:type="pct"/>
                  <w:noWrap w:val="0"/>
                  <w:vAlign w:val="center"/>
                </w:tcPr>
                <w:p w14:paraId="48C0502B">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w:t>
                  </w:r>
                </w:p>
              </w:tc>
              <w:tc>
                <w:tcPr>
                  <w:tcW w:w="871" w:type="pct"/>
                  <w:noWrap w:val="0"/>
                  <w:vAlign w:val="center"/>
                </w:tcPr>
                <w:p w14:paraId="4C28DC39">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大卡/kg</w:t>
                  </w:r>
                </w:p>
              </w:tc>
              <w:tc>
                <w:tcPr>
                  <w:tcW w:w="1170" w:type="pct"/>
                  <w:noWrap w:val="0"/>
                  <w:vAlign w:val="center"/>
                </w:tcPr>
                <w:p w14:paraId="49CB7FB8">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000000" w:themeColor="text1"/>
                      <w:sz w:val="21"/>
                      <w:szCs w:val="21"/>
                      <w:lang w:val="en-US" w:eastAsia="zh-CN"/>
                      <w14:textFill>
                        <w14:solidFill>
                          <w14:schemeClr w14:val="tx1"/>
                        </w14:solidFill>
                      </w14:textFill>
                    </w:rPr>
                  </w:pPr>
                  <w:r>
                    <w:rPr>
                      <w:rFonts w:hint="eastAsia" w:eastAsia="宋体"/>
                      <w:color w:val="000000" w:themeColor="text1"/>
                      <w:sz w:val="21"/>
                      <w:szCs w:val="21"/>
                      <w:lang w:val="en-US" w:eastAsia="zh-CN"/>
                      <w14:textFill>
                        <w14:solidFill>
                          <w14:schemeClr w14:val="tx1"/>
                        </w14:solidFill>
                      </w14:textFill>
                    </w:rPr>
                    <w:t>4115</w:t>
                  </w:r>
                </w:p>
              </w:tc>
            </w:tr>
          </w:tbl>
          <w:p w14:paraId="50B3D370">
            <w:pPr>
              <w:keepNext w:val="0"/>
              <w:keepLines w:val="0"/>
              <w:pageBreakBefore w:val="0"/>
              <w:widowControl w:val="0"/>
              <w:kinsoku/>
              <w:wordWrap w:val="0"/>
              <w:overflowPunct/>
              <w:topLinePunct w:val="0"/>
              <w:autoSpaceDE/>
              <w:autoSpaceDN/>
              <w:bidi w:val="0"/>
              <w:adjustRightInd/>
              <w:snapToGrid/>
              <w:spacing w:line="360" w:lineRule="auto"/>
              <w:ind w:left="0" w:leftChars="0" w:firstLine="482" w:firstLineChars="200"/>
              <w:textAlignment w:val="auto"/>
              <w:outlineLvl w:val="9"/>
              <w:rPr>
                <w:rFonts w:hint="eastAsia" w:ascii="Times New Roman" w:hAnsi="Times New Roman" w:eastAsia="宋体" w:cs="宋体"/>
                <w:b/>
                <w:bCs/>
                <w:color w:val="000000" w:themeColor="text1"/>
                <w:kern w:val="0"/>
                <w:sz w:val="24"/>
                <w:szCs w:val="24"/>
                <w:lang w:eastAsia="zh-CN"/>
                <w14:textFill>
                  <w14:solidFill>
                    <w14:schemeClr w14:val="tx1"/>
                  </w14:solidFill>
                </w14:textFill>
              </w:rPr>
            </w:pPr>
            <w:r>
              <w:rPr>
                <w:rFonts w:hint="eastAsia" w:ascii="Times New Roman" w:hAnsi="Times New Roman" w:eastAsia="宋体" w:cs="宋体"/>
                <w:b/>
                <w:bCs/>
                <w:color w:val="000000" w:themeColor="text1"/>
                <w:kern w:val="0"/>
                <w:sz w:val="24"/>
                <w:szCs w:val="24"/>
                <w:lang w:val="en-US" w:eastAsia="zh-CN"/>
                <w14:textFill>
                  <w14:solidFill>
                    <w14:schemeClr w14:val="tx1"/>
                  </w14:solidFill>
                </w14:textFill>
              </w:rPr>
              <w:t>6</w:t>
            </w:r>
            <w:r>
              <w:rPr>
                <w:rFonts w:ascii="Times New Roman" w:hAnsi="Times New Roman" w:eastAsia="宋体" w:cs="宋体"/>
                <w:b/>
                <w:bCs/>
                <w:color w:val="000000" w:themeColor="text1"/>
                <w:kern w:val="0"/>
                <w:sz w:val="24"/>
                <w:szCs w:val="24"/>
                <w14:textFill>
                  <w14:solidFill>
                    <w14:schemeClr w14:val="tx1"/>
                  </w14:solidFill>
                </w14:textFill>
              </w:rPr>
              <w:t>、</w:t>
            </w:r>
            <w:r>
              <w:rPr>
                <w:rFonts w:hint="eastAsia" w:ascii="Times New Roman" w:hAnsi="Times New Roman" w:eastAsia="宋体" w:cs="宋体"/>
                <w:b/>
                <w:bCs/>
                <w:color w:val="000000" w:themeColor="text1"/>
                <w:kern w:val="0"/>
                <w:sz w:val="24"/>
                <w:szCs w:val="24"/>
                <w:lang w:val="en-US" w:eastAsia="zh-CN"/>
                <w14:textFill>
                  <w14:solidFill>
                    <w14:schemeClr w14:val="tx1"/>
                  </w14:solidFill>
                </w14:textFill>
              </w:rPr>
              <w:t>平衡分析</w:t>
            </w:r>
          </w:p>
          <w:p w14:paraId="664D7C5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2" w:firstLineChars="200"/>
              <w:textAlignment w:val="auto"/>
              <w:outlineLvl w:val="9"/>
              <w:rPr>
                <w:rFonts w:hint="default" w:ascii="Times New Roman" w:hAnsi="Times New Roman" w:eastAsia="宋体" w:cs="宋体"/>
                <w:b/>
                <w:bCs/>
                <w:color w:val="000000" w:themeColor="text1"/>
                <w:kern w:val="0"/>
                <w:sz w:val="24"/>
                <w:szCs w:val="24"/>
                <w:lang w:val="en-US" w:eastAsia="zh-CN" w:bidi="ar-SA"/>
                <w14:textFill>
                  <w14:solidFill>
                    <w14:schemeClr w14:val="tx1"/>
                  </w14:solidFill>
                </w14:textFill>
              </w:rPr>
            </w:pPr>
            <w:r>
              <w:rPr>
                <w:rFonts w:hint="eastAsia" w:ascii="Times New Roman" w:hAnsi="Times New Roman" w:eastAsia="宋体" w:cs="宋体"/>
                <w:b/>
                <w:bCs/>
                <w:color w:val="000000" w:themeColor="text1"/>
                <w:kern w:val="0"/>
                <w:sz w:val="24"/>
                <w:szCs w:val="24"/>
                <w:lang w:val="en-US" w:eastAsia="zh-CN" w:bidi="ar-SA"/>
                <w14:textFill>
                  <w14:solidFill>
                    <w14:schemeClr w14:val="tx1"/>
                  </w14:solidFill>
                </w14:textFill>
              </w:rPr>
              <w:t>6.1项目水平衡</w:t>
            </w:r>
          </w:p>
          <w:p w14:paraId="05C13009">
            <w:pPr>
              <w:keepNext w:val="0"/>
              <w:keepLines w:val="0"/>
              <w:pageBreakBefore w:val="0"/>
              <w:kinsoku/>
              <w:wordWrap w:val="0"/>
              <w:overflowPunct/>
              <w:topLinePunct w:val="0"/>
              <w:bidi w:val="0"/>
              <w:snapToGrid w:val="0"/>
              <w:spacing w:line="360" w:lineRule="auto"/>
              <w:ind w:firstLine="482" w:firstLineChars="200"/>
              <w:outlineLvl w:val="9"/>
              <w:rPr>
                <w:rFonts w:hint="eastAsia" w:ascii="Times New Roman" w:hAnsi="Times New Roman" w:eastAsia="宋体" w:cs="Times New Roman"/>
                <w:b/>
                <w:bCs/>
                <w:color w:val="000000" w:themeColor="text1"/>
                <w:sz w:val="24"/>
                <w:szCs w:val="24"/>
                <w:lang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（1）用水量</w:t>
            </w:r>
          </w:p>
          <w:p w14:paraId="2B9F162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0" w:firstLineChars="200"/>
              <w:textAlignment w:val="auto"/>
              <w:outlineLvl w:val="9"/>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default" w:ascii="Times New Roman" w:hAnsi="Times New Roman" w:eastAsia="宋体" w:cs="宋体"/>
                <w:color w:val="000000" w:themeColor="text1"/>
                <w:kern w:val="0"/>
                <w:sz w:val="24"/>
                <w:szCs w:val="24"/>
                <w:lang w:val="en-US" w:eastAsia="zh-CN" w:bidi="ar-SA"/>
                <w14:textFill>
                  <w14:solidFill>
                    <w14:schemeClr w14:val="tx1"/>
                  </w14:solidFill>
                </w14:textFill>
              </w:rPr>
              <w:t>项目运营期用水主要包括</w:t>
            </w:r>
            <w:r>
              <w:rPr>
                <w:rFonts w:hint="eastAsia" w:ascii="Times New Roman" w:hAnsi="Times New Roman" w:eastAsia="宋体" w:cs="宋体"/>
                <w:color w:val="000000" w:themeColor="text1"/>
                <w:kern w:val="0"/>
                <w:sz w:val="24"/>
                <w:szCs w:val="24"/>
                <w:lang w:val="en-US" w:eastAsia="zh-CN" w:bidi="ar-SA"/>
                <w14:textFill>
                  <w14:solidFill>
                    <w14:schemeClr w14:val="tx1"/>
                  </w14:solidFill>
                </w14:textFill>
              </w:rPr>
              <w:t>搅拌用水、炉窑降温用水、烟气处理用水、洒水降尘用水及生活用水</w:t>
            </w:r>
            <w:r>
              <w:rPr>
                <w:rFonts w:hint="default" w:ascii="Times New Roman" w:hAnsi="Times New Roman" w:eastAsia="宋体" w:cs="宋体"/>
                <w:color w:val="000000" w:themeColor="text1"/>
                <w:kern w:val="0"/>
                <w:sz w:val="24"/>
                <w:szCs w:val="24"/>
                <w:lang w:val="en-US" w:eastAsia="zh-CN" w:bidi="ar-SA"/>
                <w14:textFill>
                  <w14:solidFill>
                    <w14:schemeClr w14:val="tx1"/>
                  </w14:solidFill>
                </w14:textFill>
              </w:rPr>
              <w:t>。</w:t>
            </w:r>
          </w:p>
          <w:p w14:paraId="18E036A4">
            <w:pPr>
              <w:keepNext w:val="0"/>
              <w:keepLines w:val="0"/>
              <w:pageBreakBefore w:val="0"/>
              <w:numPr>
                <w:ilvl w:val="0"/>
                <w:numId w:val="0"/>
              </w:numPr>
              <w:kinsoku/>
              <w:wordWrap w:val="0"/>
              <w:overflowPunct/>
              <w:topLinePunct w:val="0"/>
              <w:bidi w:val="0"/>
              <w:snapToGrid w:val="0"/>
              <w:spacing w:line="360" w:lineRule="auto"/>
              <w:ind w:leftChars="200"/>
              <w:outlineLvl w:val="9"/>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1）生产用水</w:t>
            </w:r>
          </w:p>
          <w:p w14:paraId="14E90ECE">
            <w:pPr>
              <w:keepNext w:val="0"/>
              <w:keepLines w:val="0"/>
              <w:pageBreakBefore w:val="0"/>
              <w:numPr>
                <w:ilvl w:val="0"/>
                <w:numId w:val="0"/>
              </w:numPr>
              <w:kinsoku/>
              <w:wordWrap w:val="0"/>
              <w:overflowPunct/>
              <w:topLinePunct w:val="0"/>
              <w:bidi w:val="0"/>
              <w:snapToGrid w:val="0"/>
              <w:spacing w:line="360" w:lineRule="auto"/>
              <w:ind w:leftChars="200"/>
              <w:outlineLvl w:val="9"/>
              <w:rPr>
                <w:rFonts w:hint="default" w:ascii="Times New Roman" w:hAnsi="Times New Roman" w:eastAsia="宋体" w:cs="Times New Roman"/>
                <w:b/>
                <w:bCs w:val="0"/>
                <w:color w:val="000000" w:themeColor="text1"/>
                <w:sz w:val="24"/>
                <w:szCs w:val="24"/>
                <w:lang w:val="en-US"/>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①搅拌用水</w:t>
            </w:r>
          </w:p>
          <w:p w14:paraId="37D5BD52">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宋体"/>
                <w:color w:val="000000" w:themeColor="text1"/>
                <w:kern w:val="0"/>
                <w:sz w:val="24"/>
                <w:szCs w:val="24"/>
                <w:highlight w:val="yellow"/>
                <w:lang w:val="en-US" w:eastAsia="zh-CN"/>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val="en-US" w:eastAsia="zh-CN"/>
                <w14:textFill>
                  <w14:solidFill>
                    <w14:schemeClr w14:val="tx1"/>
                  </w14:solidFill>
                </w14:textFill>
              </w:rPr>
              <w:t>项目原料进入搅拌机后需加水搅拌，本次改扩建完成后原料用量约为</w:t>
            </w:r>
            <w:r>
              <w:rPr>
                <w:rFonts w:hint="eastAsia" w:cs="宋体"/>
                <w:color w:val="000000" w:themeColor="text1"/>
                <w:kern w:val="0"/>
                <w:sz w:val="24"/>
                <w:szCs w:val="24"/>
                <w:highlight w:val="none"/>
                <w:lang w:val="en-US" w:eastAsia="zh-CN"/>
                <w14:textFill>
                  <w14:solidFill>
                    <w14:schemeClr w14:val="tx1"/>
                  </w14:solidFill>
                </w14:textFill>
              </w:rPr>
              <w:t>114097.14</w:t>
            </w:r>
            <w:r>
              <w:rPr>
                <w:rFonts w:hint="eastAsia" w:ascii="Times New Roman" w:hAnsi="Times New Roman" w:eastAsia="宋体" w:cs="宋体"/>
                <w:color w:val="000000" w:themeColor="text1"/>
                <w:kern w:val="0"/>
                <w:sz w:val="24"/>
                <w:szCs w:val="24"/>
                <w:highlight w:val="none"/>
                <w:lang w:val="en-US" w:eastAsia="zh-CN"/>
                <w14:textFill>
                  <w14:solidFill>
                    <w14:schemeClr w14:val="tx1"/>
                  </w14:solidFill>
                </w14:textFill>
              </w:rPr>
              <w:t>t/a</w:t>
            </w:r>
            <w:r>
              <w:rPr>
                <w:rFonts w:hint="eastAsia" w:cs="宋体"/>
                <w:color w:val="000000" w:themeColor="text1"/>
                <w:kern w:val="0"/>
                <w:sz w:val="24"/>
                <w:szCs w:val="24"/>
                <w:highlight w:val="none"/>
                <w:lang w:val="en-US" w:eastAsia="zh-CN"/>
                <w14:textFill>
                  <w14:solidFill>
                    <w14:schemeClr w14:val="tx1"/>
                  </w14:solidFill>
                </w14:textFill>
              </w:rPr>
              <w:t>，原料含水率约为10%</w:t>
            </w:r>
            <w:r>
              <w:rPr>
                <w:rFonts w:hint="eastAsia" w:ascii="Times New Roman" w:hAnsi="Times New Roman" w:eastAsia="宋体" w:cs="宋体"/>
                <w:color w:val="000000" w:themeColor="text1"/>
                <w:kern w:val="0"/>
                <w:sz w:val="24"/>
                <w:szCs w:val="24"/>
                <w:highlight w:val="none"/>
                <w:lang w:val="en-US" w:eastAsia="zh-CN"/>
                <w14:textFill>
                  <w14:solidFill>
                    <w14:schemeClr w14:val="tx1"/>
                  </w14:solidFill>
                </w14:textFill>
              </w:rPr>
              <w:t>。搅拌后含水率为50%左右，</w:t>
            </w:r>
            <w:r>
              <w:rPr>
                <w:rFonts w:hint="eastAsia" w:cs="宋体"/>
                <w:color w:val="000000" w:themeColor="text1"/>
                <w:kern w:val="0"/>
                <w:sz w:val="24"/>
                <w:szCs w:val="24"/>
                <w:highlight w:val="none"/>
                <w:lang w:val="en-US" w:eastAsia="zh-CN"/>
                <w14:textFill>
                  <w14:solidFill>
                    <w14:schemeClr w14:val="tx1"/>
                  </w14:solidFill>
                </w14:textFill>
              </w:rPr>
              <w:t>根据计算可得</w:t>
            </w:r>
            <w:r>
              <w:rPr>
                <w:rFonts w:hint="eastAsia" w:ascii="Times New Roman" w:hAnsi="Times New Roman" w:eastAsia="宋体" w:cs="宋体"/>
                <w:color w:val="000000" w:themeColor="text1"/>
                <w:kern w:val="0"/>
                <w:sz w:val="24"/>
                <w:szCs w:val="24"/>
                <w:highlight w:val="none"/>
                <w:lang w:val="en-US" w:eastAsia="zh-CN"/>
                <w14:textFill>
                  <w14:solidFill>
                    <w14:schemeClr w14:val="tx1"/>
                  </w14:solidFill>
                </w14:textFill>
              </w:rPr>
              <w:t>，需要加入的水量约为</w:t>
            </w:r>
            <w:r>
              <w:rPr>
                <w:rFonts w:hint="eastAsia" w:cs="宋体"/>
                <w:color w:val="000000" w:themeColor="text1"/>
                <w:kern w:val="0"/>
                <w:sz w:val="24"/>
                <w:szCs w:val="24"/>
                <w:highlight w:val="none"/>
                <w:lang w:val="en-US" w:eastAsia="zh-CN"/>
                <w14:textFill>
                  <w14:solidFill>
                    <w14:schemeClr w14:val="tx1"/>
                  </w14:solidFill>
                </w14:textFill>
              </w:rPr>
              <w:t>9.13万</w:t>
            </w:r>
            <w:r>
              <w:rPr>
                <w:rFonts w:hint="eastAsia" w:ascii="Times New Roman" w:hAnsi="Times New Roman" w:eastAsia="宋体" w:cs="宋体"/>
                <w:color w:val="000000" w:themeColor="text1"/>
                <w:kern w:val="0"/>
                <w:sz w:val="24"/>
                <w:szCs w:val="24"/>
                <w:highlight w:val="none"/>
                <w:lang w:val="en-US" w:eastAsia="zh-CN"/>
                <w14:textFill>
                  <w14:solidFill>
                    <w14:schemeClr w14:val="tx1"/>
                  </w14:solidFill>
                </w14:textFill>
              </w:rPr>
              <w:t>m</w:t>
            </w:r>
            <w:r>
              <w:rPr>
                <w:rFonts w:hint="eastAsia" w:ascii="Times New Roman" w:hAnsi="Times New Roman" w:eastAsia="宋体" w:cs="宋体"/>
                <w:color w:val="000000" w:themeColor="text1"/>
                <w:kern w:val="0"/>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宋体"/>
                <w:color w:val="000000" w:themeColor="text1"/>
                <w:kern w:val="0"/>
                <w:sz w:val="24"/>
                <w:szCs w:val="24"/>
                <w:highlight w:val="none"/>
                <w:vertAlign w:val="baseline"/>
                <w:lang w:val="en-US" w:eastAsia="zh-CN"/>
                <w14:textFill>
                  <w14:solidFill>
                    <w14:schemeClr w14:val="tx1"/>
                  </w14:solidFill>
                </w14:textFill>
              </w:rPr>
              <w:t>/a、</w:t>
            </w:r>
            <w:r>
              <w:rPr>
                <w:rFonts w:hint="eastAsia" w:cs="宋体"/>
                <w:color w:val="000000" w:themeColor="text1"/>
                <w:kern w:val="0"/>
                <w:sz w:val="24"/>
                <w:szCs w:val="24"/>
                <w:highlight w:val="none"/>
                <w:vertAlign w:val="baseline"/>
                <w:lang w:val="en-US" w:eastAsia="zh-CN"/>
                <w14:textFill>
                  <w14:solidFill>
                    <w14:schemeClr w14:val="tx1"/>
                  </w14:solidFill>
                </w14:textFill>
              </w:rPr>
              <w:t>304.3</w:t>
            </w:r>
            <w:r>
              <w:rPr>
                <w:rFonts w:hint="eastAsia" w:ascii="Times New Roman" w:hAnsi="Times New Roman" w:eastAsia="宋体" w:cs="宋体"/>
                <w:color w:val="000000" w:themeColor="text1"/>
                <w:kern w:val="0"/>
                <w:sz w:val="24"/>
                <w:szCs w:val="24"/>
                <w:highlight w:val="none"/>
                <w:vertAlign w:val="baseline"/>
                <w:lang w:val="en-US" w:eastAsia="zh-CN"/>
                <w14:textFill>
                  <w14:solidFill>
                    <w14:schemeClr w14:val="tx1"/>
                  </w14:solidFill>
                </w14:textFill>
              </w:rPr>
              <w:t>m</w:t>
            </w:r>
            <w:r>
              <w:rPr>
                <w:rFonts w:hint="eastAsia" w:ascii="Times New Roman" w:hAnsi="Times New Roman" w:eastAsia="宋体" w:cs="宋体"/>
                <w:color w:val="000000" w:themeColor="text1"/>
                <w:kern w:val="0"/>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宋体"/>
                <w:color w:val="000000" w:themeColor="text1"/>
                <w:kern w:val="0"/>
                <w:sz w:val="24"/>
                <w:szCs w:val="24"/>
                <w:highlight w:val="none"/>
                <w:vertAlign w:val="baseline"/>
                <w:lang w:val="en-US" w:eastAsia="zh-CN"/>
                <w14:textFill>
                  <w14:solidFill>
                    <w14:schemeClr w14:val="tx1"/>
                  </w14:solidFill>
                </w14:textFill>
              </w:rPr>
              <w:t>/d</w:t>
            </w:r>
            <w:r>
              <w:rPr>
                <w:rFonts w:hint="eastAsia" w:ascii="Times New Roman" w:hAnsi="Times New Roman" w:eastAsia="宋体" w:cs="宋体"/>
                <w:color w:val="000000" w:themeColor="text1"/>
                <w:kern w:val="0"/>
                <w:sz w:val="24"/>
                <w:szCs w:val="24"/>
                <w:highlight w:val="none"/>
                <w:lang w:val="en-US" w:eastAsia="zh-CN"/>
                <w14:textFill>
                  <w14:solidFill>
                    <w14:schemeClr w14:val="tx1"/>
                  </w14:solidFill>
                </w14:textFill>
              </w:rPr>
              <w:t>。</w:t>
            </w:r>
          </w:p>
          <w:p w14:paraId="2FF8AEC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outlineLvl w:val="9"/>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4"/>
                <w:szCs w:val="24"/>
                <w:lang w:val="zh-CN"/>
                <w14:textFill>
                  <w14:solidFill>
                    <w14:schemeClr w14:val="tx1"/>
                  </w14:solidFill>
                </w14:textFill>
              </w:rPr>
              <w:t>②</w:t>
            </w:r>
            <w:r>
              <w:rPr>
                <w:rFonts w:hint="eastAsia" w:ascii="Times New Roman" w:hAnsi="Times New Roman" w:eastAsia="宋体" w:cs="Times New Roman"/>
                <w:b/>
                <w:bCs/>
                <w:color w:val="000000" w:themeColor="text1"/>
                <w:kern w:val="0"/>
                <w:sz w:val="24"/>
                <w:szCs w:val="24"/>
                <w:lang w:val="en-US" w:eastAsia="zh-CN"/>
                <w14:textFill>
                  <w14:solidFill>
                    <w14:schemeClr w14:val="tx1"/>
                  </w14:solidFill>
                </w14:textFill>
              </w:rPr>
              <w:t>炉窑降温用水</w:t>
            </w:r>
          </w:p>
          <w:p w14:paraId="0030DE7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根据建设单位提供的生产经验，每窑每次用水量约为6t，每年每窑能产出10窑青瓦，则炉窑降温水约为360m</w:t>
            </w:r>
            <w:r>
              <w:rPr>
                <w:rFonts w:hint="eastAsia" w:ascii="Times New Roman" w:hAnsi="Times New Roman" w:eastAsia="宋体" w:cs="Times New Roman"/>
                <w:color w:val="000000" w:themeColor="text1"/>
                <w:kern w:val="2"/>
                <w:sz w:val="24"/>
                <w:szCs w:val="24"/>
                <w:vertAlign w:val="superscript"/>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2"/>
                <w:sz w:val="24"/>
                <w:szCs w:val="24"/>
                <w:vertAlign w:val="baseline"/>
                <w:lang w:val="en-US" w:eastAsia="zh-CN" w:bidi="ar-SA"/>
                <w14:textFill>
                  <w14:solidFill>
                    <w14:schemeClr w14:val="tx1"/>
                  </w14:solidFill>
                </w14:textFill>
              </w:rPr>
              <w:t>/a，每窑每次降温时间约为7d，则用水量约为5.1m</w:t>
            </w:r>
            <w:r>
              <w:rPr>
                <w:rFonts w:hint="eastAsia" w:ascii="Times New Roman" w:hAnsi="Times New Roman" w:eastAsia="宋体" w:cs="宋体"/>
                <w:color w:val="000000" w:themeColor="text1"/>
                <w:kern w:val="0"/>
                <w:sz w:val="24"/>
                <w:szCs w:val="24"/>
                <w:vertAlign w:val="superscript"/>
                <w:lang w:val="en-US" w:eastAsia="zh-CN"/>
                <w14:textFill>
                  <w14:solidFill>
                    <w14:schemeClr w14:val="tx1"/>
                  </w14:solidFill>
                </w14:textFill>
              </w:rPr>
              <w:t>3</w:t>
            </w:r>
            <w:r>
              <w:rPr>
                <w:rFonts w:hint="eastAsia" w:ascii="Times New Roman" w:hAnsi="Times New Roman" w:eastAsia="宋体" w:cs="宋体"/>
                <w:color w:val="000000" w:themeColor="text1"/>
                <w:kern w:val="0"/>
                <w:sz w:val="24"/>
                <w:szCs w:val="24"/>
                <w:vertAlign w:val="baseline"/>
                <w:lang w:val="en-US" w:eastAsia="zh-CN"/>
                <w14:textFill>
                  <w14:solidFill>
                    <w14:schemeClr w14:val="tx1"/>
                  </w14:solidFill>
                </w14:textFill>
              </w:rPr>
              <w:t>/d</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p>
          <w:p w14:paraId="6C786226">
            <w:pPr>
              <w:keepNext w:val="0"/>
              <w:keepLines w:val="0"/>
              <w:pageBreakBefore w:val="0"/>
              <w:kinsoku/>
              <w:wordWrap w:val="0"/>
              <w:overflowPunct/>
              <w:topLinePunct w:val="0"/>
              <w:bidi w:val="0"/>
              <w:snapToGrid/>
              <w:spacing w:line="360" w:lineRule="auto"/>
              <w:ind w:firstLine="482" w:firstLineChars="200"/>
              <w:outlineLvl w:val="9"/>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③烟气处理用水</w:t>
            </w:r>
          </w:p>
          <w:p w14:paraId="4704416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eastAsiaTheme="minorEastAsia"/>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项目</w:t>
            </w:r>
            <w:r>
              <w:rPr>
                <w:rFonts w:hint="eastAsia" w:cs="Times New Roman" w:eastAsiaTheme="minorEastAsia"/>
                <w:color w:val="000000" w:themeColor="text1"/>
                <w:sz w:val="24"/>
                <w:szCs w:val="24"/>
                <w:highlight w:val="none"/>
                <w:lang w:val="en-US" w:eastAsia="zh-CN"/>
                <w14:textFill>
                  <w14:solidFill>
                    <w14:schemeClr w14:val="tx1"/>
                  </w14:solidFill>
                </w14:textFill>
              </w:rPr>
              <w:t>改扩建完成后</w:t>
            </w:r>
            <w:r>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炉窑</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烟气</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由</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管道收集后</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设置1套“高温脉冲</w:t>
            </w:r>
            <w:r>
              <w:rPr>
                <w:rFonts w:hint="eastAsia" w:cs="Times New Roman"/>
                <w:color w:val="000000" w:themeColor="text1"/>
                <w:sz w:val="24"/>
                <w:szCs w:val="24"/>
                <w:lang w:val="en-US" w:eastAsia="zh-CN"/>
                <w14:textFill>
                  <w14:solidFill>
                    <w14:schemeClr w14:val="tx1"/>
                  </w14:solidFill>
                </w14:textFill>
              </w:rPr>
              <w:t>袋式</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除尘+脱硫塔（石灰石石膏法）”处理后，由1根15m高的排气筒（</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DA00</w:t>
            </w:r>
            <w:r>
              <w:rPr>
                <w:rFonts w:hint="eastAsia" w:cs="Times New Roman"/>
                <w:color w:val="000000" w:themeColor="text1"/>
                <w:sz w:val="24"/>
                <w:szCs w:val="24"/>
                <w:lang w:val="en-US" w:eastAsia="zh-CN"/>
                <w14:textFill>
                  <w14:solidFill>
                    <w14:schemeClr w14:val="tx1"/>
                  </w14:solidFill>
                </w14:textFill>
              </w:rPr>
              <w:t>1</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）排放</w:t>
            </w:r>
            <w:r>
              <w:rPr>
                <w:rFonts w:hint="eastAsia" w:cs="Times New Roman"/>
                <w:color w:val="000000" w:themeColor="text1"/>
                <w:sz w:val="24"/>
                <w:szCs w:val="24"/>
                <w:lang w:val="en-US" w:eastAsia="zh-CN"/>
                <w14:textFill>
                  <w14:solidFill>
                    <w14:schemeClr w14:val="tx1"/>
                  </w14:solidFill>
                </w14:textFill>
              </w:rPr>
              <w:t>。</w:t>
            </w:r>
          </w:p>
          <w:p w14:paraId="5CDFCAFE">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根据建设单位提供的资料，脱硫塔气液比为</w:t>
            </w:r>
            <w:r>
              <w:rPr>
                <w:rFonts w:hint="eastAsia" w:cs="Times New Roman" w:eastAsiaTheme="minorEastAsia"/>
                <w:color w:val="000000" w:themeColor="text1"/>
                <w:sz w:val="24"/>
                <w:szCs w:val="24"/>
                <w:highlight w:val="none"/>
                <w:lang w:val="en-US" w:eastAsia="zh-CN"/>
                <w14:textFill>
                  <w14:solidFill>
                    <w14:schemeClr w14:val="tx1"/>
                  </w14:solidFill>
                </w14:textFill>
              </w:rPr>
              <w:t>5</w:t>
            </w:r>
            <w:r>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L/m</w:t>
            </w:r>
            <w:r>
              <w:rPr>
                <w:rFonts w:hint="default" w:ascii="Times New Roman" w:hAnsi="Times New Roman" w:cs="Times New Roman" w:eastAsiaTheme="minorEastAsia"/>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eastAsiaTheme="minorEastAsia"/>
                <w:color w:val="000000" w:themeColor="text1"/>
                <w:sz w:val="24"/>
                <w:szCs w:val="24"/>
                <w:highlight w:val="none"/>
                <w:vertAlign w:val="baseline"/>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4"/>
                <w:szCs w:val="24"/>
                <w:highlight w:val="none"/>
                <w:vertAlign w:val="baseline"/>
                <w:lang w:val="en-US" w:eastAsia="zh-CN"/>
                <w14:textFill>
                  <w14:solidFill>
                    <w14:schemeClr w14:val="tx1"/>
                  </w14:solidFill>
                </w14:textFill>
              </w:rPr>
              <w:t>改扩建完成后</w:t>
            </w:r>
            <w:r>
              <w:rPr>
                <w:rFonts w:hint="eastAsia"/>
                <w:color w:val="000000" w:themeColor="text1"/>
                <w:sz w:val="24"/>
                <w:highlight w:val="none"/>
                <w14:textFill>
                  <w14:solidFill>
                    <w14:schemeClr w14:val="tx1"/>
                  </w14:solidFill>
                </w14:textFill>
              </w:rPr>
              <w:t>总烟气量为</w:t>
            </w:r>
            <w:r>
              <w:rPr>
                <w:rFonts w:hint="eastAsia"/>
                <w:color w:val="000000" w:themeColor="text1"/>
                <w:sz w:val="24"/>
                <w:highlight w:val="none"/>
                <w:lang w:val="en-US" w:eastAsia="zh-CN"/>
                <w14:textFill>
                  <w14:solidFill>
                    <w14:schemeClr w14:val="tx1"/>
                  </w14:solidFill>
                </w14:textFill>
              </w:rPr>
              <w:t>21096.74</w:t>
            </w:r>
            <w:r>
              <w:rPr>
                <w:rFonts w:hint="eastAsia"/>
                <w:color w:val="000000" w:themeColor="text1"/>
                <w:sz w:val="24"/>
                <w:highlight w:val="none"/>
                <w14:textFill>
                  <w14:solidFill>
                    <w14:schemeClr w14:val="tx1"/>
                  </w14:solidFill>
                </w14:textFill>
              </w:rPr>
              <w:t>万Nm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/a，</w:t>
            </w:r>
            <w:r>
              <w:rPr>
                <w:rFonts w:hint="eastAsia"/>
                <w:color w:val="000000" w:themeColor="text1"/>
                <w:sz w:val="24"/>
                <w:highlight w:val="none"/>
                <w:lang w:val="en-US" w:eastAsia="zh-CN"/>
                <w14:textFill>
                  <w14:solidFill>
                    <w14:schemeClr w14:val="tx1"/>
                  </w14:solidFill>
                </w14:textFill>
              </w:rPr>
              <w:t>则烟气处理用水量为</w:t>
            </w:r>
            <w:r>
              <w:rPr>
                <w:rFonts w:hint="eastAsia"/>
                <w:color w:val="000000" w:themeColor="text1"/>
                <w:sz w:val="24"/>
                <w:highlight w:val="none"/>
                <w:vertAlign w:val="baseline"/>
                <w:lang w:val="en-US" w:eastAsia="zh-CN"/>
                <w14:textFill>
                  <w14:solidFill>
                    <w14:schemeClr w14:val="tx1"/>
                  </w14:solidFill>
                </w14:textFill>
              </w:rPr>
              <w:t>4586</w:t>
            </w:r>
            <w:r>
              <w:rPr>
                <w:rFonts w:hint="eastAsia"/>
                <w:color w:val="000000" w:themeColor="text1"/>
                <w:sz w:val="24"/>
                <w:highlight w:val="none"/>
                <w14:textFill>
                  <w14:solidFill>
                    <w14:schemeClr w14:val="tx1"/>
                  </w14:solidFill>
                </w14:textFill>
              </w:rPr>
              <w:t>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/d、</w:t>
            </w:r>
            <w:r>
              <w:rPr>
                <w:rFonts w:hint="eastAsia"/>
                <w:color w:val="000000" w:themeColor="text1"/>
                <w:sz w:val="24"/>
                <w:highlight w:val="none"/>
                <w:lang w:val="en-US" w:eastAsia="zh-CN"/>
                <w14:textFill>
                  <w14:solidFill>
                    <w14:schemeClr w14:val="tx1"/>
                  </w14:solidFill>
                </w14:textFill>
              </w:rPr>
              <w:t>105.48万</w:t>
            </w:r>
            <w:r>
              <w:rPr>
                <w:rFonts w:hint="eastAsia"/>
                <w:color w:val="000000" w:themeColor="text1"/>
                <w:sz w:val="24"/>
                <w:highlight w:val="none"/>
                <w14:textFill>
                  <w14:solidFill>
                    <w14:schemeClr w14:val="tx1"/>
                  </w14:solidFill>
                </w14:textFill>
              </w:rPr>
              <w:t>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/a。损耗水量约为1%，即</w:t>
            </w:r>
            <w:r>
              <w:rPr>
                <w:rFonts w:hint="eastAsia"/>
                <w:color w:val="000000" w:themeColor="text1"/>
                <w:sz w:val="24"/>
                <w:highlight w:val="none"/>
                <w:lang w:val="en-US" w:eastAsia="zh-CN"/>
                <w14:textFill>
                  <w14:solidFill>
                    <w14:schemeClr w14:val="tx1"/>
                  </w14:solidFill>
                </w14:textFill>
              </w:rPr>
              <w:t>45.86</w:t>
            </w:r>
            <w:r>
              <w:rPr>
                <w:rFonts w:hint="eastAsia"/>
                <w:color w:val="000000" w:themeColor="text1"/>
                <w:sz w:val="24"/>
                <w:highlight w:val="none"/>
                <w14:textFill>
                  <w14:solidFill>
                    <w14:schemeClr w14:val="tx1"/>
                  </w14:solidFill>
                </w14:textFill>
              </w:rPr>
              <w:t>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/d、</w:t>
            </w:r>
            <w:r>
              <w:rPr>
                <w:rFonts w:hint="eastAsia"/>
                <w:color w:val="000000" w:themeColor="text1"/>
                <w:sz w:val="24"/>
                <w:highlight w:val="none"/>
                <w:lang w:val="en-US" w:eastAsia="zh-CN"/>
                <w14:textFill>
                  <w14:solidFill>
                    <w14:schemeClr w14:val="tx1"/>
                  </w14:solidFill>
                </w14:textFill>
              </w:rPr>
              <w:t>10547.8</w:t>
            </w:r>
            <w:r>
              <w:rPr>
                <w:rFonts w:hint="eastAsia"/>
                <w:color w:val="000000" w:themeColor="text1"/>
                <w:sz w:val="24"/>
                <w:highlight w:val="none"/>
                <w14:textFill>
                  <w14:solidFill>
                    <w14:schemeClr w14:val="tx1"/>
                  </w14:solidFill>
                </w14:textFill>
              </w:rPr>
              <w:t>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/a，损耗部分由新鲜水补充</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其余部分进入</w:t>
            </w:r>
            <w:r>
              <w:rPr>
                <w:rFonts w:hint="eastAsia"/>
                <w:color w:val="000000" w:themeColor="text1"/>
                <w:sz w:val="24"/>
                <w:highlight w:val="none"/>
                <w:lang w:val="en-US" w:eastAsia="zh-CN"/>
                <w14:textFill>
                  <w14:solidFill>
                    <w14:schemeClr w14:val="tx1"/>
                  </w14:solidFill>
                </w14:textFill>
              </w:rPr>
              <w:t>循环水池</w:t>
            </w:r>
            <w:r>
              <w:rPr>
                <w:rFonts w:hint="eastAsia"/>
                <w:color w:val="000000" w:themeColor="text1"/>
                <w:sz w:val="24"/>
                <w:highlight w:val="none"/>
                <w14:textFill>
                  <w14:solidFill>
                    <w14:schemeClr w14:val="tx1"/>
                  </w14:solidFill>
                </w14:textFill>
              </w:rPr>
              <w:t>加</w:t>
            </w:r>
            <w:r>
              <w:rPr>
                <w:rFonts w:hint="eastAsia"/>
                <w:color w:val="000000" w:themeColor="text1"/>
                <w:sz w:val="24"/>
                <w:highlight w:val="none"/>
                <w:lang w:val="en-US" w:eastAsia="zh-CN"/>
                <w14:textFill>
                  <w14:solidFill>
                    <w14:schemeClr w14:val="tx1"/>
                  </w14:solidFill>
                </w14:textFill>
              </w:rPr>
              <w:t>石灰</w:t>
            </w:r>
            <w:r>
              <w:rPr>
                <w:rFonts w:hint="eastAsia"/>
                <w:color w:val="000000" w:themeColor="text1"/>
                <w:sz w:val="24"/>
                <w:highlight w:val="none"/>
                <w14:textFill>
                  <w14:solidFill>
                    <w14:schemeClr w14:val="tx1"/>
                  </w14:solidFill>
                </w14:textFill>
              </w:rPr>
              <w:t>再生循环使用，不外排。</w:t>
            </w:r>
          </w:p>
          <w:p w14:paraId="1FCEDB23">
            <w:pPr>
              <w:keepNext w:val="0"/>
              <w:keepLines w:val="0"/>
              <w:pageBreakBefore w:val="0"/>
              <w:kinsoku/>
              <w:wordWrap w:val="0"/>
              <w:overflowPunct/>
              <w:topLinePunct w:val="0"/>
              <w:bidi w:val="0"/>
              <w:snapToGrid/>
              <w:spacing w:line="360" w:lineRule="auto"/>
              <w:ind w:firstLine="482" w:firstLineChars="200"/>
              <w:outlineLvl w:val="9"/>
              <w:rPr>
                <w:rFonts w:ascii="Times New Roman" w:hAnsi="Times New Roman" w:eastAsia="宋体" w:cs="Times New Roman"/>
                <w:b/>
                <w:bCs w:val="0"/>
                <w:color w:val="000000" w:themeColor="text1"/>
                <w:sz w:val="24"/>
                <w:szCs w:val="24"/>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2）</w:t>
            </w:r>
            <w:r>
              <w:rPr>
                <w:rFonts w:ascii="Times New Roman" w:hAnsi="Times New Roman" w:eastAsia="宋体" w:cs="Times New Roman"/>
                <w:b/>
                <w:bCs w:val="0"/>
                <w:color w:val="000000" w:themeColor="text1"/>
                <w:sz w:val="24"/>
                <w:szCs w:val="24"/>
                <w14:textFill>
                  <w14:solidFill>
                    <w14:schemeClr w14:val="tx1"/>
                  </w14:solidFill>
                </w14:textFill>
              </w:rPr>
              <w:t>生活</w:t>
            </w:r>
            <w:r>
              <w:rPr>
                <w:rFonts w:hint="eastAsia" w:ascii="Times New Roman" w:hAnsi="Times New Roman" w:eastAsia="宋体" w:cs="Times New Roman"/>
                <w:b/>
                <w:bCs w:val="0"/>
                <w:color w:val="000000" w:themeColor="text1"/>
                <w:sz w:val="24"/>
                <w:szCs w:val="24"/>
                <w:lang w:eastAsia="zh-CN"/>
                <w14:textFill>
                  <w14:solidFill>
                    <w14:schemeClr w14:val="tx1"/>
                  </w14:solidFill>
                </w14:textFill>
              </w:rPr>
              <w:t>用</w:t>
            </w:r>
            <w:r>
              <w:rPr>
                <w:rFonts w:ascii="Times New Roman" w:hAnsi="Times New Roman" w:eastAsia="宋体" w:cs="Times New Roman"/>
                <w:b/>
                <w:bCs w:val="0"/>
                <w:color w:val="000000" w:themeColor="text1"/>
                <w:sz w:val="24"/>
                <w:szCs w:val="24"/>
                <w14:textFill>
                  <w14:solidFill>
                    <w14:schemeClr w14:val="tx1"/>
                  </w14:solidFill>
                </w14:textFill>
              </w:rPr>
              <w:t>水</w:t>
            </w:r>
          </w:p>
          <w:p w14:paraId="1D0A23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eastAsia="宋体"/>
                <w:color w:val="000000" w:themeColor="text1"/>
                <w:kern w:val="0"/>
                <w:sz w:val="24"/>
                <w:lang w:val="en-US" w:eastAsia="zh-CN" w:bidi="ar"/>
                <w14:textFill>
                  <w14:solidFill>
                    <w14:schemeClr w14:val="tx1"/>
                  </w14:solidFill>
                </w14:textFill>
              </w:rPr>
              <w:t>原有项目共有员工12人，本次改建新增10人，共22人。其中管理人员为2人在项目区食宿，其余人员为周边村民，不在项目区食宿</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，项目年工作300天。</w:t>
            </w:r>
            <w:r>
              <w:rPr>
                <w:rFonts w:hint="eastAsia"/>
                <w:color w:val="000000" w:themeColor="text1"/>
                <w:kern w:val="0"/>
                <w:sz w:val="24"/>
                <w14:textFill>
                  <w14:solidFill>
                    <w14:schemeClr w14:val="tx1"/>
                  </w14:solidFill>
                </w14:textFill>
              </w:rPr>
              <w:t>根据《云南省地方标准</w:t>
            </w:r>
            <w:r>
              <w:rPr>
                <w:rFonts w:hint="eastAsia"/>
                <w:color w:val="000000" w:themeColor="text1"/>
                <w:kern w:val="0"/>
                <w:sz w:val="24"/>
                <w:lang w:val="en-US" w:eastAsia="zh-CN"/>
                <w14:textFill>
                  <w14:solidFill>
                    <w14:schemeClr w14:val="tx1"/>
                  </w14:solidFill>
                </w14:textFill>
              </w:rPr>
              <w:t xml:space="preserve"> </w:t>
            </w:r>
            <w:r>
              <w:rPr>
                <w:rFonts w:hint="eastAsia"/>
                <w:color w:val="000000" w:themeColor="text1"/>
                <w:kern w:val="0"/>
                <w:sz w:val="24"/>
                <w14:textFill>
                  <w14:solidFill>
                    <w14:schemeClr w14:val="tx1"/>
                  </w14:solidFill>
                </w14:textFill>
              </w:rPr>
              <w:t>用水定额》（DB53/T</w:t>
            </w:r>
            <w:r>
              <w:rPr>
                <w:rFonts w:hint="eastAsia"/>
                <w:color w:val="000000" w:themeColor="text1"/>
                <w:kern w:val="0"/>
                <w:sz w:val="24"/>
                <w:lang w:val="en-US" w:eastAsia="zh-CN"/>
                <w14:textFill>
                  <w14:solidFill>
                    <w14:schemeClr w14:val="tx1"/>
                  </w14:solidFill>
                </w14:textFill>
              </w:rPr>
              <w:t xml:space="preserve"> </w:t>
            </w:r>
            <w:r>
              <w:rPr>
                <w:rFonts w:hint="eastAsia"/>
                <w:color w:val="000000" w:themeColor="text1"/>
                <w:kern w:val="0"/>
                <w:sz w:val="24"/>
                <w14:textFill>
                  <w14:solidFill>
                    <w14:schemeClr w14:val="tx1"/>
                  </w14:solidFill>
                </w14:textFill>
              </w:rPr>
              <w:t>168-2019）</w:t>
            </w:r>
            <w:r>
              <w:rPr>
                <w:rFonts w:hint="eastAsia"/>
                <w:color w:val="000000" w:themeColor="text1"/>
                <w:kern w:val="0"/>
                <w:sz w:val="24"/>
                <w:lang w:eastAsia="zh-CN"/>
                <w14:textFill>
                  <w14:solidFill>
                    <w14:schemeClr w14:val="tx1"/>
                  </w14:solidFill>
                </w14:textFill>
              </w:rPr>
              <w:t>，</w:t>
            </w:r>
            <w:r>
              <w:rPr>
                <w:rFonts w:hint="eastAsia"/>
                <w:color w:val="000000" w:themeColor="text1"/>
                <w:kern w:val="0"/>
                <w:sz w:val="24"/>
                <w:lang w:val="en-US" w:eastAsia="zh-CN"/>
                <w14:textFill>
                  <w14:solidFill>
                    <w14:schemeClr w14:val="tx1"/>
                  </w14:solidFill>
                </w14:textFill>
              </w:rPr>
              <w:t>不在项目区食宿人员的用水量</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按40L/（人</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d）计，在项目区食宿人员的用水量按100L/（人</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d）计，则本项目生活用水量为1.0</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/d</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，300</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a。</w:t>
            </w:r>
          </w:p>
          <w:p w14:paraId="5194E399">
            <w:pPr>
              <w:spacing w:line="360" w:lineRule="auto"/>
              <w:ind w:firstLine="482" w:firstLineChars="200"/>
              <w:rPr>
                <w:rFonts w:hint="default" w:ascii="Times New Roman" w:hAnsi="Times New Roman" w:eastAsia="宋体" w:cs="Times New Roman"/>
                <w:b/>
                <w:bCs w:val="0"/>
                <w:color w:val="000000" w:themeColor="text1"/>
                <w:sz w:val="2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3）</w:t>
            </w:r>
            <w:r>
              <w:rPr>
                <w:rFonts w:hint="eastAsia" w:ascii="Times New Roman" w:hAnsi="Times New Roman" w:eastAsia="宋体" w:cs="Times New Roman"/>
                <w:b/>
                <w:bCs w:val="0"/>
                <w:color w:val="000000" w:themeColor="text1"/>
                <w:sz w:val="24"/>
                <w:lang w:val="en-US" w:eastAsia="zh-CN"/>
                <w14:textFill>
                  <w14:solidFill>
                    <w14:schemeClr w14:val="tx1"/>
                  </w14:solidFill>
                </w14:textFill>
              </w:rPr>
              <w:t>洒水降尘用水</w:t>
            </w:r>
          </w:p>
          <w:p w14:paraId="03DA6C86">
            <w:pPr>
              <w:adjustRightInd w:val="0"/>
              <w:snapToGrid w:val="0"/>
              <w:spacing w:line="360" w:lineRule="auto"/>
              <w:ind w:firstLine="480" w:firstLineChars="200"/>
              <w:rPr>
                <w:rFonts w:hint="default" w:eastAsia="宋体"/>
                <w:b w:val="0"/>
                <w:bCs/>
                <w:color w:val="000000" w:themeColor="text1"/>
                <w:sz w:val="24"/>
                <w:lang w:val="en-US" w:eastAsia="zh-CN"/>
                <w14:textFill>
                  <w14:solidFill>
                    <w14:schemeClr w14:val="tx1"/>
                  </w14:solidFill>
                </w14:textFill>
              </w:rPr>
            </w:pPr>
            <w:r>
              <w:rPr>
                <w:rFonts w:hint="eastAsia"/>
                <w:b w:val="0"/>
                <w:bCs/>
                <w:color w:val="000000" w:themeColor="text1"/>
                <w:sz w:val="24"/>
                <w14:textFill>
                  <w14:solidFill>
                    <w14:schemeClr w14:val="tx1"/>
                  </w14:solidFill>
                </w14:textFill>
              </w:rPr>
              <w:t>①</w:t>
            </w:r>
            <w:r>
              <w:rPr>
                <w:rFonts w:hint="eastAsia"/>
                <w:b w:val="0"/>
                <w:bCs/>
                <w:color w:val="000000" w:themeColor="text1"/>
                <w:sz w:val="24"/>
                <w:lang w:val="en-US" w:eastAsia="zh-CN"/>
                <w14:textFill>
                  <w14:solidFill>
                    <w14:schemeClr w14:val="tx1"/>
                  </w14:solidFill>
                </w14:textFill>
              </w:rPr>
              <w:t>厂区路面洒水降尘用水</w:t>
            </w:r>
          </w:p>
          <w:p w14:paraId="3774D1C1">
            <w:pPr>
              <w:adjustRightInd w:val="0"/>
              <w:snapToGrid w:val="0"/>
              <w:spacing w:line="360" w:lineRule="auto"/>
              <w:ind w:firstLine="480" w:firstLineChars="200"/>
              <w:rPr>
                <w:rFonts w:hint="default" w:ascii="Times New Roman" w:hAnsi="Times New Roman" w:eastAsia="宋体" w:cs="Times New Roman"/>
                <w:b w:val="0"/>
                <w:bCs/>
                <w:color w:val="000000" w:themeColor="text1"/>
                <w:sz w:val="24"/>
                <w:lang w:val="zh-CN" w:eastAsia="zh-CN"/>
                <w14:textFill>
                  <w14:solidFill>
                    <w14:schemeClr w14:val="tx1"/>
                  </w14:solidFill>
                </w14:textFill>
              </w:rPr>
            </w:pPr>
            <w:r>
              <w:rPr>
                <w:rFonts w:hint="eastAsia"/>
                <w:b w:val="0"/>
                <w:bCs/>
                <w:color w:val="000000" w:themeColor="text1"/>
                <w:sz w:val="24"/>
                <w14:textFill>
                  <w14:solidFill>
                    <w14:schemeClr w14:val="tx1"/>
                  </w14:solidFill>
                </w14:textFill>
              </w:rPr>
              <w:t>根据统计</w:t>
            </w:r>
            <w:r>
              <w:rPr>
                <w:rFonts w:hint="eastAsia"/>
                <w:b w:val="0"/>
                <w:bCs/>
                <w:color w:val="000000" w:themeColor="text1"/>
                <w:sz w:val="24"/>
                <w:lang w:eastAsia="zh-CN"/>
                <w14:textFill>
                  <w14:solidFill>
                    <w14:schemeClr w14:val="tx1"/>
                  </w14:solidFill>
                </w14:textFill>
              </w:rPr>
              <w:t>，</w:t>
            </w:r>
            <w:r>
              <w:rPr>
                <w:rFonts w:hint="eastAsia"/>
                <w:b w:val="0"/>
                <w:bCs/>
                <w:color w:val="000000" w:themeColor="text1"/>
                <w:sz w:val="24"/>
                <w:lang w:val="en-US" w:eastAsia="zh-CN"/>
                <w14:textFill>
                  <w14:solidFill>
                    <w14:schemeClr w14:val="tx1"/>
                  </w14:solidFill>
                </w14:textFill>
              </w:rPr>
              <w:t>项目区道路</w:t>
            </w:r>
            <w:r>
              <w:rPr>
                <w:rFonts w:hint="default" w:ascii="Times New Roman" w:hAnsi="Times New Roman" w:eastAsia="宋体" w:cs="Times New Roman"/>
                <w:b w:val="0"/>
                <w:bCs/>
                <w:color w:val="000000" w:themeColor="text1"/>
                <w:sz w:val="24"/>
                <w:lang w:val="zh-CN" w:eastAsia="zh-CN"/>
                <w14:textFill>
                  <w14:solidFill>
                    <w14:schemeClr w14:val="tx1"/>
                  </w14:solidFill>
                </w14:textFill>
              </w:rPr>
              <w:t>面积</w:t>
            </w:r>
            <w:r>
              <w:rPr>
                <w:rFonts w:hint="eastAsia" w:ascii="Times New Roman" w:hAnsi="Times New Roman" w:eastAsia="宋体" w:cs="Times New Roman"/>
                <w:b w:val="0"/>
                <w:bCs/>
                <w:color w:val="000000" w:themeColor="text1"/>
                <w:sz w:val="24"/>
                <w:lang w:val="en-US" w:eastAsia="zh-CN"/>
                <w14:textFill>
                  <w14:solidFill>
                    <w14:schemeClr w14:val="tx1"/>
                  </w14:solidFill>
                </w14:textFill>
              </w:rPr>
              <w:t>约为2200</w:t>
            </w:r>
            <w:r>
              <w:rPr>
                <w:rFonts w:hint="default" w:ascii="Times New Roman" w:hAnsi="Times New Roman" w:eastAsia="宋体" w:cs="Times New Roman"/>
                <w:b w:val="0"/>
                <w:bCs/>
                <w:color w:val="000000" w:themeColor="text1"/>
                <w:sz w:val="24"/>
                <w:lang w:val="zh-CN" w:eastAsia="zh-CN"/>
                <w14:textFill>
                  <w14:solidFill>
                    <w14:schemeClr w14:val="tx1"/>
                  </w14:solidFill>
                </w14:textFill>
              </w:rPr>
              <w:t>m</w:t>
            </w:r>
            <w:r>
              <w:rPr>
                <w:rFonts w:hint="default" w:ascii="Times New Roman" w:hAnsi="Times New Roman" w:eastAsia="宋体" w:cs="Times New Roman"/>
                <w:b w:val="0"/>
                <w:bCs/>
                <w:color w:val="000000" w:themeColor="text1"/>
                <w:sz w:val="24"/>
                <w:vertAlign w:val="superscript"/>
                <w:lang w:val="zh-CN" w:eastAsia="zh-CN"/>
                <w14:textFill>
                  <w14:solidFill>
                    <w14:schemeClr w14:val="tx1"/>
                  </w14:solidFill>
                </w14:textFill>
              </w:rPr>
              <w:t>2</w:t>
            </w:r>
            <w:r>
              <w:rPr>
                <w:rFonts w:hint="default" w:ascii="Times New Roman" w:hAnsi="Times New Roman" w:eastAsia="宋体" w:cs="Times New Roman"/>
                <w:b w:val="0"/>
                <w:bCs/>
                <w:color w:val="000000" w:themeColor="text1"/>
                <w:sz w:val="24"/>
                <w:lang w:val="zh-CN" w:eastAsia="zh-CN"/>
                <w14:textFill>
                  <w14:solidFill>
                    <w14:schemeClr w14:val="tx1"/>
                  </w14:solidFill>
                </w14:textFill>
              </w:rPr>
              <w:t>，根据《云南省地方标准用水定额》（DB53/T168-2019），环境卫生管理场地浇洒用水量为2L</w:t>
            </w:r>
            <w:r>
              <w:rPr>
                <w:rFonts w:hint="eastAsia" w:ascii="Times New Roman" w:hAnsi="Times New Roman" w:eastAsia="宋体" w:cs="Times New Roman"/>
                <w:b w:val="0"/>
                <w:bCs/>
                <w:color w:val="000000" w:themeColor="text1"/>
                <w:sz w:val="24"/>
                <w:lang w:val="zh-CN" w:eastAsia="zh-CN"/>
                <w14:textFill>
                  <w14:solidFill>
                    <w14:schemeClr w14:val="tx1"/>
                  </w14:solidFill>
                </w14:textFill>
              </w:rPr>
              <w:t>（</w:t>
            </w:r>
            <w:r>
              <w:rPr>
                <w:rFonts w:hint="default" w:ascii="Times New Roman" w:hAnsi="Times New Roman" w:eastAsia="宋体" w:cs="Times New Roman"/>
                <w:b w:val="0"/>
                <w:bCs/>
                <w:color w:val="000000" w:themeColor="text1"/>
                <w:sz w:val="24"/>
                <w:lang w:val="zh-CN" w:eastAsia="zh-CN"/>
                <w14:textFill>
                  <w14:solidFill>
                    <w14:schemeClr w14:val="tx1"/>
                  </w14:solidFill>
                </w14:textFill>
              </w:rPr>
              <w:t>m</w:t>
            </w:r>
            <w:r>
              <w:rPr>
                <w:rFonts w:hint="default" w:ascii="Times New Roman" w:hAnsi="Times New Roman" w:eastAsia="宋体" w:cs="Times New Roman"/>
                <w:b w:val="0"/>
                <w:bCs/>
                <w:color w:val="000000" w:themeColor="text1"/>
                <w:sz w:val="24"/>
                <w:vertAlign w:val="superscript"/>
                <w:lang w:val="zh-CN" w:eastAsia="zh-CN"/>
                <w14:textFill>
                  <w14:solidFill>
                    <w14:schemeClr w14:val="tx1"/>
                  </w14:solidFill>
                </w14:textFill>
              </w:rPr>
              <w:t>2</w:t>
            </w:r>
            <w:r>
              <w:rPr>
                <w:rFonts w:hint="default" w:ascii="Times New Roman" w:hAnsi="Times New Roman" w:eastAsia="宋体" w:cs="Times New Roman"/>
                <w:b w:val="0"/>
                <w:bCs/>
                <w:color w:val="000000" w:themeColor="text1"/>
                <w:sz w:val="24"/>
                <w:lang w:val="zh-CN" w:eastAsia="zh-CN"/>
                <w14:textFill>
                  <w14:solidFill>
                    <w14:schemeClr w14:val="tx1"/>
                  </w14:solidFill>
                </w14:textFill>
              </w:rPr>
              <w:t>•次）计，晴天每天1次，罗平县全年雨天约150天，非雨天215天，则洒水降尘用水量为</w:t>
            </w:r>
            <w:r>
              <w:rPr>
                <w:rFonts w:hint="eastAsia" w:ascii="Times New Roman" w:hAnsi="Times New Roman" w:eastAsia="宋体" w:cs="Times New Roman"/>
                <w:b w:val="0"/>
                <w:bCs/>
                <w:color w:val="000000" w:themeColor="text1"/>
                <w:sz w:val="24"/>
                <w:lang w:val="en-US" w:eastAsia="zh-CN"/>
                <w14:textFill>
                  <w14:solidFill>
                    <w14:schemeClr w14:val="tx1"/>
                  </w14:solidFill>
                </w14:textFill>
              </w:rPr>
              <w:t>4.4</w:t>
            </w:r>
            <w:r>
              <w:rPr>
                <w:rFonts w:hint="default" w:ascii="Times New Roman" w:hAnsi="Times New Roman" w:eastAsia="宋体" w:cs="Times New Roman"/>
                <w:b w:val="0"/>
                <w:bCs/>
                <w:color w:val="000000" w:themeColor="text1"/>
                <w:sz w:val="24"/>
                <w:lang w:val="zh-CN" w:eastAsia="zh-CN"/>
                <w14:textFill>
                  <w14:solidFill>
                    <w14:schemeClr w14:val="tx1"/>
                  </w14:solidFill>
                </w14:textFill>
              </w:rPr>
              <w:t>m</w:t>
            </w:r>
            <w:r>
              <w:rPr>
                <w:rFonts w:hint="default" w:ascii="Times New Roman" w:hAnsi="Times New Roman" w:eastAsia="宋体" w:cs="Times New Roman"/>
                <w:b w:val="0"/>
                <w:bCs/>
                <w:color w:val="000000" w:themeColor="text1"/>
                <w:sz w:val="24"/>
                <w:vertAlign w:val="superscript"/>
                <w:lang w:val="zh-CN" w:eastAsia="zh-CN"/>
                <w14:textFill>
                  <w14:solidFill>
                    <w14:schemeClr w14:val="tx1"/>
                  </w14:solidFill>
                </w14:textFill>
              </w:rPr>
              <w:t>3</w:t>
            </w:r>
            <w:r>
              <w:rPr>
                <w:rFonts w:hint="default" w:ascii="Times New Roman" w:hAnsi="Times New Roman" w:eastAsia="宋体" w:cs="Times New Roman"/>
                <w:b w:val="0"/>
                <w:bCs/>
                <w:color w:val="000000" w:themeColor="text1"/>
                <w:sz w:val="24"/>
                <w:lang w:val="zh-CN" w:eastAsia="zh-CN"/>
                <w14:textFill>
                  <w14:solidFill>
                    <w14:schemeClr w14:val="tx1"/>
                  </w14:solidFill>
                </w14:textFill>
              </w:rPr>
              <w:t>/</w:t>
            </w:r>
            <w:r>
              <w:rPr>
                <w:rFonts w:hint="eastAsia" w:ascii="Times New Roman" w:hAnsi="Times New Roman" w:eastAsia="宋体" w:cs="Times New Roman"/>
                <w:b w:val="0"/>
                <w:bCs/>
                <w:color w:val="000000" w:themeColor="text1"/>
                <w:sz w:val="24"/>
                <w:lang w:val="en-US" w:eastAsia="zh-CN"/>
                <w14:textFill>
                  <w14:solidFill>
                    <w14:schemeClr w14:val="tx1"/>
                  </w14:solidFill>
                </w14:textFill>
              </w:rPr>
              <w:t>次</w:t>
            </w:r>
            <w:r>
              <w:rPr>
                <w:rFonts w:hint="default" w:ascii="Times New Roman" w:hAnsi="Times New Roman" w:eastAsia="宋体" w:cs="Times New Roman"/>
                <w:b w:val="0"/>
                <w:bCs/>
                <w:color w:val="000000" w:themeColor="text1"/>
                <w:sz w:val="24"/>
                <w:lang w:val="zh-CN" w:eastAsia="zh-CN"/>
                <w14:textFill>
                  <w14:solidFill>
                    <w14:schemeClr w14:val="tx1"/>
                  </w14:solidFill>
                </w14:textFill>
              </w:rPr>
              <w:t>，</w:t>
            </w:r>
            <w:r>
              <w:rPr>
                <w:rFonts w:hint="eastAsia" w:ascii="Times New Roman" w:hAnsi="Times New Roman" w:eastAsia="宋体" w:cs="Times New Roman"/>
                <w:b w:val="0"/>
                <w:bCs/>
                <w:color w:val="000000" w:themeColor="text1"/>
                <w:sz w:val="24"/>
                <w:lang w:val="en-US" w:eastAsia="zh-CN"/>
                <w14:textFill>
                  <w14:solidFill>
                    <w14:schemeClr w14:val="tx1"/>
                  </w14:solidFill>
                </w14:textFill>
              </w:rPr>
              <w:t>946</w:t>
            </w:r>
            <w:r>
              <w:rPr>
                <w:rFonts w:hint="default" w:ascii="Times New Roman" w:hAnsi="Times New Roman" w:eastAsia="宋体" w:cs="Times New Roman"/>
                <w:b w:val="0"/>
                <w:bCs/>
                <w:color w:val="000000" w:themeColor="text1"/>
                <w:sz w:val="24"/>
                <w:lang w:val="zh-CN" w:eastAsia="zh-CN"/>
                <w14:textFill>
                  <w14:solidFill>
                    <w14:schemeClr w14:val="tx1"/>
                  </w14:solidFill>
                </w14:textFill>
              </w:rPr>
              <w:t>m</w:t>
            </w:r>
            <w:r>
              <w:rPr>
                <w:rFonts w:hint="default" w:ascii="Times New Roman" w:hAnsi="Times New Roman" w:eastAsia="宋体" w:cs="Times New Roman"/>
                <w:b w:val="0"/>
                <w:bCs/>
                <w:color w:val="000000" w:themeColor="text1"/>
                <w:sz w:val="24"/>
                <w:vertAlign w:val="superscript"/>
                <w:lang w:val="zh-CN" w:eastAsia="zh-CN"/>
                <w14:textFill>
                  <w14:solidFill>
                    <w14:schemeClr w14:val="tx1"/>
                  </w14:solidFill>
                </w14:textFill>
              </w:rPr>
              <w:t>3</w:t>
            </w:r>
            <w:r>
              <w:rPr>
                <w:rFonts w:hint="default" w:ascii="Times New Roman" w:hAnsi="Times New Roman" w:eastAsia="宋体" w:cs="Times New Roman"/>
                <w:b w:val="0"/>
                <w:bCs/>
                <w:color w:val="000000" w:themeColor="text1"/>
                <w:sz w:val="24"/>
                <w:lang w:val="zh-CN" w:eastAsia="zh-CN"/>
                <w14:textFill>
                  <w14:solidFill>
                    <w14:schemeClr w14:val="tx1"/>
                  </w14:solidFill>
                </w14:textFill>
              </w:rPr>
              <w:t>/a，用水主要来源于本项目初期雨水收集池</w:t>
            </w:r>
            <w:r>
              <w:rPr>
                <w:rFonts w:hint="eastAsia" w:ascii="Times New Roman" w:hAnsi="Times New Roman" w:eastAsia="宋体" w:cs="Times New Roman"/>
                <w:b w:val="0"/>
                <w:bCs/>
                <w:color w:val="000000" w:themeColor="text1"/>
                <w:sz w:val="24"/>
                <w:lang w:val="zh-CN" w:eastAsia="zh-CN"/>
                <w14:textFill>
                  <w14:solidFill>
                    <w14:schemeClr w14:val="tx1"/>
                  </w14:solidFill>
                </w14:textFill>
              </w:rPr>
              <w:t>，</w:t>
            </w:r>
            <w:r>
              <w:rPr>
                <w:rFonts w:hint="eastAsia" w:ascii="Times New Roman" w:hAnsi="Times New Roman" w:eastAsia="宋体" w:cs="Times New Roman"/>
                <w:b w:val="0"/>
                <w:bCs/>
                <w:color w:val="000000" w:themeColor="text1"/>
                <w:sz w:val="24"/>
                <w:lang w:val="en-US" w:eastAsia="zh-CN"/>
                <w14:textFill>
                  <w14:solidFill>
                    <w14:schemeClr w14:val="tx1"/>
                  </w14:solidFill>
                </w14:textFill>
              </w:rPr>
              <w:t>不足部分补充新鲜水</w:t>
            </w:r>
            <w:r>
              <w:rPr>
                <w:rFonts w:hint="default" w:ascii="Times New Roman" w:hAnsi="Times New Roman" w:eastAsia="宋体" w:cs="Times New Roman"/>
                <w:b w:val="0"/>
                <w:bCs/>
                <w:color w:val="000000" w:themeColor="text1"/>
                <w:sz w:val="24"/>
                <w:lang w:val="zh-CN" w:eastAsia="zh-CN"/>
                <w14:textFill>
                  <w14:solidFill>
                    <w14:schemeClr w14:val="tx1"/>
                  </w14:solidFill>
                </w14:textFill>
              </w:rPr>
              <w:t>。</w:t>
            </w:r>
          </w:p>
          <w:p w14:paraId="4764CEDB">
            <w:pPr>
              <w:adjustRightInd w:val="0"/>
              <w:snapToGrid w:val="0"/>
              <w:spacing w:line="360" w:lineRule="auto"/>
              <w:ind w:firstLine="480" w:firstLineChars="200"/>
              <w:rPr>
                <w:rFonts w:hint="default" w:eastAsia="宋体"/>
                <w:b w:val="0"/>
                <w:bCs/>
                <w:color w:val="000000" w:themeColor="text1"/>
                <w:sz w:val="24"/>
                <w:lang w:val="en-US" w:eastAsia="zh-CN"/>
                <w14:textFill>
                  <w14:solidFill>
                    <w14:schemeClr w14:val="tx1"/>
                  </w14:solidFill>
                </w14:textFill>
              </w:rPr>
            </w:pPr>
            <w:r>
              <w:rPr>
                <w:rFonts w:hint="eastAsia"/>
                <w:b w:val="0"/>
                <w:bCs/>
                <w:color w:val="000000" w:themeColor="text1"/>
                <w:sz w:val="24"/>
                <w14:textFill>
                  <w14:solidFill>
                    <w14:schemeClr w14:val="tx1"/>
                  </w14:solidFill>
                </w14:textFill>
              </w:rPr>
              <w:t>②</w:t>
            </w:r>
            <w:r>
              <w:rPr>
                <w:rFonts w:hint="eastAsia"/>
                <w:b w:val="0"/>
                <w:bCs/>
                <w:color w:val="000000" w:themeColor="text1"/>
                <w:sz w:val="24"/>
                <w:lang w:val="en-US" w:eastAsia="zh-CN"/>
                <w14:textFill>
                  <w14:solidFill>
                    <w14:schemeClr w14:val="tx1"/>
                  </w14:solidFill>
                </w14:textFill>
              </w:rPr>
              <w:t>原料贮存库喷雾降尘用水</w:t>
            </w:r>
          </w:p>
          <w:p w14:paraId="24FB3C11">
            <w:pPr>
              <w:keepNext w:val="0"/>
              <w:keepLines w:val="0"/>
              <w:pageBreakBefore w:val="0"/>
              <w:kinsoku/>
              <w:wordWrap w:val="0"/>
              <w:overflowPunct/>
              <w:topLinePunct w:val="0"/>
              <w:bidi w:val="0"/>
              <w:snapToGrid/>
              <w:spacing w:line="360" w:lineRule="auto"/>
              <w:ind w:firstLine="480" w:firstLineChars="200"/>
              <w:outlineLvl w:val="9"/>
              <w:rPr>
                <w:rFonts w:hint="default" w:ascii="Times New Roman" w:hAnsi="Times New Roman" w:eastAsia="宋体" w:cs="Times New Roman"/>
                <w:b w:val="0"/>
                <w:bCs/>
                <w:color w:val="000000" w:themeColor="text1"/>
                <w:sz w:val="24"/>
                <w:szCs w:val="24"/>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项目原料贮存库占地面积为1200m</w:t>
            </w:r>
            <w:r>
              <w:rPr>
                <w:rFonts w:hint="eastAsia" w:ascii="Times New Roman" w:hAnsi="Times New Roman" w:eastAsia="宋体" w:cs="Times New Roman"/>
                <w:b w:val="0"/>
                <w:bCs/>
                <w:color w:val="000000" w:themeColor="text1"/>
                <w:sz w:val="24"/>
                <w:szCs w:val="24"/>
                <w:vertAlign w:val="superscript"/>
                <w:lang w:val="en-US" w:eastAsia="zh-CN"/>
                <w14:textFill>
                  <w14:solidFill>
                    <w14:schemeClr w14:val="tx1"/>
                  </w14:solidFill>
                </w14:textFill>
              </w:rPr>
              <w:t>2</w:t>
            </w:r>
            <w:r>
              <w:rPr>
                <w:rFonts w:hint="eastAsia" w:ascii="Times New Roman" w:hAnsi="Times New Roman" w:eastAsia="宋体" w:cs="Times New Roman"/>
                <w:b w:val="0"/>
                <w:bCs/>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宋体" w:cs="Times New Roman"/>
                <w:b w:val="0"/>
                <w:bCs/>
                <w:color w:val="000000" w:themeColor="text1"/>
                <w:sz w:val="24"/>
                <w:lang w:val="en-US" w:eastAsia="zh-CN"/>
                <w14:textFill>
                  <w14:solidFill>
                    <w14:schemeClr w14:val="tx1"/>
                  </w14:solidFill>
                </w14:textFill>
              </w:rPr>
              <w:t>设置有2面围挡+彩钢瓦顶棚，顶棚设置有喷雾降尘设施，根据建设单位提供的资料，喷雾降尘用水为0.3L</w:t>
            </w:r>
            <w:r>
              <w:rPr>
                <w:rFonts w:hint="eastAsia" w:ascii="Times New Roman" w:hAnsi="Times New Roman" w:eastAsia="宋体" w:cs="Times New Roman"/>
                <w:b w:val="0"/>
                <w:bCs/>
                <w:color w:val="000000" w:themeColor="text1"/>
                <w:sz w:val="24"/>
                <w:vertAlign w:val="baseline"/>
                <w:lang w:val="en-US" w:eastAsia="zh-CN"/>
                <w14:textFill>
                  <w14:solidFill>
                    <w14:schemeClr w14:val="tx1"/>
                  </w14:solidFill>
                </w14:textFill>
              </w:rPr>
              <w:t>/m</w:t>
            </w:r>
            <w:r>
              <w:rPr>
                <w:rFonts w:hint="eastAsia" w:ascii="Times New Roman" w:hAnsi="Times New Roman" w:eastAsia="宋体" w:cs="Times New Roman"/>
                <w:b w:val="0"/>
                <w:bCs/>
                <w:color w:val="000000" w:themeColor="text1"/>
                <w:sz w:val="24"/>
                <w:vertAlign w:val="superscript"/>
                <w:lang w:val="en-US" w:eastAsia="zh-CN"/>
                <w14:textFill>
                  <w14:solidFill>
                    <w14:schemeClr w14:val="tx1"/>
                  </w14:solidFill>
                </w14:textFill>
              </w:rPr>
              <w:t>2</w:t>
            </w:r>
            <w:r>
              <w:rPr>
                <w:rFonts w:hint="eastAsia" w:ascii="Times New Roman" w:hAnsi="Times New Roman" w:eastAsia="宋体" w:cs="Times New Roman"/>
                <w:b w:val="0"/>
                <w:bCs/>
                <w:color w:val="000000" w:themeColor="text1"/>
                <w:sz w:val="24"/>
                <w:vertAlign w:val="baseline"/>
                <w:lang w:val="en-US" w:eastAsia="zh-CN"/>
                <w14:textFill>
                  <w14:solidFill>
                    <w14:schemeClr w14:val="tx1"/>
                  </w14:solidFill>
                </w14:textFill>
              </w:rPr>
              <w:t>，则喷雾降尘用水量为0.36m</w:t>
            </w:r>
            <w:r>
              <w:rPr>
                <w:rFonts w:hint="eastAsia" w:ascii="Times New Roman" w:hAnsi="Times New Roman" w:eastAsia="宋体" w:cs="Times New Roman"/>
                <w:b w:val="0"/>
                <w:bCs/>
                <w:color w:val="000000" w:themeColor="text1"/>
                <w:sz w:val="24"/>
                <w:vertAlign w:val="superscript"/>
                <w:lang w:val="en-US" w:eastAsia="zh-CN"/>
                <w14:textFill>
                  <w14:solidFill>
                    <w14:schemeClr w14:val="tx1"/>
                  </w14:solidFill>
                </w14:textFill>
              </w:rPr>
              <w:t>3</w:t>
            </w:r>
            <w:r>
              <w:rPr>
                <w:rFonts w:hint="eastAsia" w:ascii="Times New Roman" w:hAnsi="Times New Roman" w:eastAsia="宋体" w:cs="Times New Roman"/>
                <w:b w:val="0"/>
                <w:bCs/>
                <w:color w:val="000000" w:themeColor="text1"/>
                <w:sz w:val="24"/>
                <w:vertAlign w:val="baseline"/>
                <w:lang w:val="en-US" w:eastAsia="zh-CN"/>
                <w14:textFill>
                  <w14:solidFill>
                    <w14:schemeClr w14:val="tx1"/>
                  </w14:solidFill>
                </w14:textFill>
              </w:rPr>
              <w:t>/d，108m</w:t>
            </w:r>
            <w:r>
              <w:rPr>
                <w:rFonts w:hint="eastAsia" w:ascii="Times New Roman" w:hAnsi="Times New Roman" w:eastAsia="宋体" w:cs="Times New Roman"/>
                <w:b w:val="0"/>
                <w:bCs/>
                <w:color w:val="000000" w:themeColor="text1"/>
                <w:sz w:val="24"/>
                <w:vertAlign w:val="superscript"/>
                <w:lang w:val="en-US" w:eastAsia="zh-CN"/>
                <w14:textFill>
                  <w14:solidFill>
                    <w14:schemeClr w14:val="tx1"/>
                  </w14:solidFill>
                </w14:textFill>
              </w:rPr>
              <w:t>3</w:t>
            </w:r>
            <w:r>
              <w:rPr>
                <w:rFonts w:hint="eastAsia" w:ascii="Times New Roman" w:hAnsi="Times New Roman" w:eastAsia="宋体" w:cs="Times New Roman"/>
                <w:b w:val="0"/>
                <w:bCs/>
                <w:color w:val="000000" w:themeColor="text1"/>
                <w:sz w:val="24"/>
                <w:vertAlign w:val="baseline"/>
                <w:lang w:val="en-US" w:eastAsia="zh-CN"/>
                <w14:textFill>
                  <w14:solidFill>
                    <w14:schemeClr w14:val="tx1"/>
                  </w14:solidFill>
                </w14:textFill>
              </w:rPr>
              <w:t>/a。</w:t>
            </w:r>
          </w:p>
          <w:p w14:paraId="1D6EEB7F">
            <w:pPr>
              <w:keepNext w:val="0"/>
              <w:keepLines w:val="0"/>
              <w:pageBreakBefore w:val="0"/>
              <w:kinsoku/>
              <w:wordWrap w:val="0"/>
              <w:overflowPunct/>
              <w:topLinePunct w:val="0"/>
              <w:bidi w:val="0"/>
              <w:snapToGrid/>
              <w:spacing w:line="360" w:lineRule="auto"/>
              <w:ind w:firstLine="482" w:firstLineChars="200"/>
              <w:outlineLvl w:val="9"/>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（2）废水量</w:t>
            </w:r>
          </w:p>
          <w:p w14:paraId="75865C12">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outlineLvl w:val="9"/>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1）生产废水</w:t>
            </w:r>
          </w:p>
          <w:p w14:paraId="6C715303">
            <w:pPr>
              <w:keepNext w:val="0"/>
              <w:keepLines w:val="0"/>
              <w:pageBreakBefore w:val="0"/>
              <w:numPr>
                <w:ilvl w:val="0"/>
                <w:numId w:val="0"/>
              </w:numPr>
              <w:kinsoku/>
              <w:wordWrap w:val="0"/>
              <w:overflowPunct/>
              <w:topLinePunct w:val="0"/>
              <w:bidi w:val="0"/>
              <w:snapToGrid w:val="0"/>
              <w:spacing w:line="360" w:lineRule="auto"/>
              <w:ind w:leftChars="200"/>
              <w:outlineLvl w:val="9"/>
              <w:rPr>
                <w:rFonts w:ascii="Times New Roman" w:hAnsi="Times New Roman" w:eastAsia="宋体" w:cs="Times New Roman"/>
                <w:b/>
                <w:bCs w:val="0"/>
                <w:color w:val="000000" w:themeColor="text1"/>
                <w:sz w:val="24"/>
                <w:szCs w:val="24"/>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①搅拌废水</w:t>
            </w:r>
          </w:p>
          <w:p w14:paraId="6E8735B6">
            <w:pPr>
              <w:keepNext w:val="0"/>
              <w:keepLines w:val="0"/>
              <w:pageBreakBefore w:val="0"/>
              <w:kinsoku/>
              <w:wordWrap w:val="0"/>
              <w:overflowPunct/>
              <w:topLinePunct w:val="0"/>
              <w:autoSpaceDE/>
              <w:autoSpaceDN/>
              <w:bidi w:val="0"/>
              <w:adjustRightInd w:val="0"/>
              <w:snapToGrid w:val="0"/>
              <w:spacing w:line="360" w:lineRule="auto"/>
              <w:ind w:right="0" w:firstLine="480" w:firstLineChars="200"/>
              <w:textAlignment w:val="auto"/>
              <w:outlineLvl w:val="9"/>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搅拌用水随</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瓦坯</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进入</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烧结</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窑烧结时全部蒸发，</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无废水产生。</w:t>
            </w:r>
          </w:p>
          <w:p w14:paraId="1A357C73">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outlineLvl w:val="9"/>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4"/>
                <w:szCs w:val="24"/>
                <w:lang w:val="zh-CN"/>
                <w14:textFill>
                  <w14:solidFill>
                    <w14:schemeClr w14:val="tx1"/>
                  </w14:solidFill>
                </w14:textFill>
              </w:rPr>
              <w:t>②</w:t>
            </w:r>
            <w:r>
              <w:rPr>
                <w:rFonts w:hint="eastAsia" w:ascii="Times New Roman" w:hAnsi="Times New Roman" w:eastAsia="宋体" w:cs="Times New Roman"/>
                <w:b/>
                <w:bCs/>
                <w:color w:val="000000" w:themeColor="text1"/>
                <w:kern w:val="0"/>
                <w:sz w:val="24"/>
                <w:szCs w:val="24"/>
                <w:lang w:val="en-US" w:eastAsia="zh-CN"/>
                <w14:textFill>
                  <w14:solidFill>
                    <w14:schemeClr w14:val="tx1"/>
                  </w14:solidFill>
                </w14:textFill>
              </w:rPr>
              <w:t>炉窑降温废水</w:t>
            </w:r>
          </w:p>
          <w:p w14:paraId="39006F46">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炉窑降温用水全部蒸发，无废水产生。</w:t>
            </w:r>
          </w:p>
          <w:p w14:paraId="726FAFBF">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outlineLvl w:val="9"/>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③烟气处理废水</w:t>
            </w:r>
          </w:p>
          <w:p w14:paraId="13E58A58">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eastAsiaTheme="minorEastAsia"/>
                <w:color w:val="000000" w:themeColor="text1"/>
                <w:sz w:val="24"/>
                <w:szCs w:val="24"/>
                <w:highlight w:val="none"/>
                <w:lang w:val="en-US"/>
                <w14:textFill>
                  <w14:solidFill>
                    <w14:schemeClr w14:val="tx1"/>
                  </w14:solidFill>
                </w14:textFill>
              </w:rPr>
            </w:pPr>
            <w:r>
              <w:rPr>
                <w:rFonts w:hint="eastAsia" w:ascii="Times New Roman" w:hAnsi="Times New Roman" w:cs="Times New Roman" w:eastAsiaTheme="minorEastAsia"/>
                <w:color w:val="000000" w:themeColor="text1"/>
                <w:sz w:val="24"/>
                <w:szCs w:val="24"/>
                <w:highlight w:val="none"/>
                <w:vertAlign w:val="baseline"/>
                <w:lang w:val="en-US" w:eastAsia="zh-CN"/>
                <w14:textFill>
                  <w14:solidFill>
                    <w14:schemeClr w14:val="tx1"/>
                  </w14:solidFill>
                </w14:textFill>
              </w:rPr>
              <w:t>脱硫塔</w:t>
            </w:r>
            <w:r>
              <w:rPr>
                <w:rFonts w:hint="default" w:ascii="Times New Roman" w:hAnsi="Times New Roman" w:cs="Times New Roman" w:eastAsiaTheme="minorEastAsia"/>
                <w:color w:val="000000" w:themeColor="text1"/>
                <w:sz w:val="24"/>
                <w:szCs w:val="24"/>
                <w:highlight w:val="none"/>
                <w:vertAlign w:val="baseline"/>
                <w:lang w:val="en-US" w:eastAsia="zh-CN"/>
                <w14:textFill>
                  <w14:solidFill>
                    <w14:schemeClr w14:val="tx1"/>
                  </w14:solidFill>
                </w14:textFill>
              </w:rPr>
              <w:t>废水</w:t>
            </w:r>
            <w:r>
              <w:rPr>
                <w:rFonts w:hint="eastAsia" w:cs="Times New Roman" w:eastAsiaTheme="minorEastAsia"/>
                <w:color w:val="000000" w:themeColor="text1"/>
                <w:sz w:val="24"/>
                <w:szCs w:val="24"/>
                <w:highlight w:val="none"/>
                <w:vertAlign w:val="baseline"/>
                <w:lang w:val="en-US" w:eastAsia="zh-CN"/>
                <w14:textFill>
                  <w14:solidFill>
                    <w14:schemeClr w14:val="tx1"/>
                  </w14:solidFill>
                </w14:textFill>
              </w:rPr>
              <w:t>需</w:t>
            </w:r>
            <w:r>
              <w:rPr>
                <w:rFonts w:hint="eastAsia" w:ascii="Times New Roman" w:hAnsi="Times New Roman" w:cs="Times New Roman" w:eastAsiaTheme="minorEastAsia"/>
                <w:color w:val="000000" w:themeColor="text1"/>
                <w:sz w:val="24"/>
                <w:szCs w:val="24"/>
                <w:highlight w:val="none"/>
                <w:vertAlign w:val="baseline"/>
                <w:lang w:val="en-US" w:eastAsia="zh-CN"/>
                <w14:textFill>
                  <w14:solidFill>
                    <w14:schemeClr w14:val="tx1"/>
                  </w14:solidFill>
                </w14:textFill>
              </w:rPr>
              <w:t>定期更换</w:t>
            </w:r>
            <w:r>
              <w:rPr>
                <w:rFonts w:hint="eastAsia" w:cs="Times New Roman" w:eastAsiaTheme="minorEastAsia"/>
                <w:color w:val="000000" w:themeColor="text1"/>
                <w:sz w:val="24"/>
                <w:szCs w:val="24"/>
                <w:highlight w:val="none"/>
                <w:vertAlign w:val="baseline"/>
                <w:lang w:val="en-US" w:eastAsia="zh-CN"/>
                <w14:textFill>
                  <w14:solidFill>
                    <w14:schemeClr w14:val="tx1"/>
                  </w14:solidFill>
                </w14:textFill>
              </w:rPr>
              <w:t>确保脱硫效率</w:t>
            </w:r>
            <w:r>
              <w:rPr>
                <w:rFonts w:hint="eastAsia" w:ascii="Times New Roman" w:hAnsi="Times New Roman" w:cs="Times New Roman" w:eastAsiaTheme="minorEastAsia"/>
                <w:color w:val="000000" w:themeColor="text1"/>
                <w:sz w:val="24"/>
                <w:szCs w:val="24"/>
                <w:highlight w:val="none"/>
                <w:vertAlign w:val="baseline"/>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highlight w:val="none"/>
                <w:vertAlign w:val="baseline"/>
                <w:lang w:val="en-US" w:eastAsia="zh-CN"/>
                <w14:textFill>
                  <w14:solidFill>
                    <w14:schemeClr w14:val="tx1"/>
                  </w14:solidFill>
                </w14:textFill>
              </w:rPr>
              <w:t>更换频率为一周一次（年生产230天，更换约33次）</w:t>
            </w:r>
            <w:r>
              <w:rPr>
                <w:rFonts w:hint="eastAsia" w:ascii="Times New Roman" w:hAnsi="Times New Roman" w:cs="Times New Roman" w:eastAsiaTheme="minorEastAsia"/>
                <w:color w:val="000000" w:themeColor="text1"/>
                <w:sz w:val="24"/>
                <w:szCs w:val="24"/>
                <w:highlight w:val="none"/>
                <w:vertAlign w:val="baseline"/>
                <w:lang w:val="en-US" w:eastAsia="zh-CN"/>
                <w14:textFill>
                  <w14:solidFill>
                    <w14:schemeClr w14:val="tx1"/>
                  </w14:solidFill>
                </w14:textFill>
              </w:rPr>
              <w:t>。</w:t>
            </w:r>
            <w:r>
              <w:rPr>
                <w:rFonts w:hint="eastAsia"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脱硫塔废水排放量计算公式：</w:t>
            </w:r>
            <w:r>
              <w:rPr>
                <w:rFonts w:hint="default"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液气比×风量×小时循环次数×喷淋塔数量×</w:t>
            </w:r>
            <w:r>
              <w:rPr>
                <w:rFonts w:hint="eastAsia"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年生产天数÷7</w:t>
            </w:r>
            <w:r>
              <w:rPr>
                <w:rFonts w:hint="eastAsia"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5</w:t>
            </w:r>
            <w:r>
              <w:rPr>
                <w:rFonts w:hint="default"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L/m</w:t>
            </w:r>
            <w:r>
              <w:rPr>
                <w:rFonts w:hint="eastAsia" w:ascii="Times New Roman" w:hAnsi="Times New Roman" w:cs="Times New Roman" w:eastAsiaTheme="minorEastAsia"/>
                <w:color w:val="000000" w:themeColor="text1"/>
                <w:kern w:val="0"/>
                <w:sz w:val="24"/>
                <w:szCs w:val="24"/>
                <w:highlight w:val="none"/>
                <w:vertAlign w:val="superscript"/>
                <w:lang w:val="en-US" w:eastAsia="zh-CN" w:bidi="ar"/>
                <w14:textFill>
                  <w14:solidFill>
                    <w14:schemeClr w14:val="tx1"/>
                  </w14:solidFill>
                </w14:textFill>
              </w:rPr>
              <w:t>3</w:t>
            </w:r>
            <w:r>
              <w:rPr>
                <w:rFonts w:hint="default"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38218</w:t>
            </w:r>
            <w:r>
              <w:rPr>
                <w:rFonts w:hint="eastAsia" w:cs="Times New Roman" w:eastAsiaTheme="minorEastAsia"/>
                <w:color w:val="000000" w:themeColor="text1"/>
                <w:kern w:val="0"/>
                <w:sz w:val="24"/>
                <w:szCs w:val="24"/>
                <w:highlight w:val="none"/>
                <w:lang w:val="en-US" w:eastAsia="zh-CN" w:bidi="ar"/>
                <w14:textFill>
                  <w14:solidFill>
                    <w14:schemeClr w14:val="tx1"/>
                  </w14:solidFill>
                </w14:textFill>
              </w:rPr>
              <w:t>.73</w:t>
            </w:r>
            <w:r>
              <w:rPr>
                <w:rFonts w:hint="default"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m³/h×1×</w:t>
            </w:r>
            <w:r>
              <w:rPr>
                <w:rFonts w:hint="eastAsia"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1</w:t>
            </w:r>
            <w:r>
              <w:rPr>
                <w:rFonts w:hint="default"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（230</w:t>
            </w:r>
            <w:r>
              <w:rPr>
                <w:rFonts w:hint="default"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÷7</w:t>
            </w:r>
            <w:r>
              <w:rPr>
                <w:rFonts w:hint="eastAsia"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w:t>
            </w:r>
            <w:r>
              <w:rPr>
                <w:rFonts w:hint="eastAsia" w:cs="Times New Roman" w:eastAsiaTheme="minorEastAsia"/>
                <w:color w:val="000000" w:themeColor="text1"/>
                <w:kern w:val="0"/>
                <w:sz w:val="24"/>
                <w:szCs w:val="24"/>
                <w:highlight w:val="none"/>
                <w:lang w:val="en-US" w:eastAsia="zh-CN" w:bidi="ar"/>
                <w14:textFill>
                  <w14:solidFill>
                    <w14:schemeClr w14:val="tx1"/>
                  </w14:solidFill>
                </w14:textFill>
              </w:rPr>
              <w:t>6278.67</w:t>
            </w:r>
            <w:r>
              <w:rPr>
                <w:rFonts w:hint="default"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t/a</w:t>
            </w:r>
            <w:r>
              <w:rPr>
                <w:rFonts w:hint="eastAsia"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，日排水量为</w:t>
            </w:r>
            <w:r>
              <w:rPr>
                <w:rFonts w:hint="eastAsia" w:cs="Times New Roman" w:eastAsiaTheme="minorEastAsia"/>
                <w:color w:val="000000" w:themeColor="text1"/>
                <w:kern w:val="0"/>
                <w:sz w:val="24"/>
                <w:szCs w:val="24"/>
                <w:highlight w:val="none"/>
                <w:lang w:val="en-US" w:eastAsia="zh-CN" w:bidi="ar"/>
                <w14:textFill>
                  <w14:solidFill>
                    <w14:schemeClr w14:val="tx1"/>
                  </w14:solidFill>
                </w14:textFill>
              </w:rPr>
              <w:t>27</w:t>
            </w:r>
            <w:r>
              <w:rPr>
                <w:rFonts w:hint="default"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t/</w:t>
            </w:r>
            <w:r>
              <w:rPr>
                <w:rFonts w:hint="eastAsia" w:cs="Times New Roman" w:eastAsiaTheme="minorEastAsia"/>
                <w:color w:val="000000" w:themeColor="text1"/>
                <w:kern w:val="0"/>
                <w:sz w:val="24"/>
                <w:szCs w:val="24"/>
                <w:highlight w:val="none"/>
                <w:lang w:val="en-US" w:eastAsia="zh-CN" w:bidi="ar"/>
                <w14:textFill>
                  <w14:solidFill>
                    <w14:schemeClr w14:val="tx1"/>
                  </w14:solidFill>
                </w14:textFill>
              </w:rPr>
              <w:t>d。</w:t>
            </w:r>
          </w:p>
          <w:p w14:paraId="61AB1BA5">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eastAsia" w:cs="Times New Roman"/>
                <w:b w:val="0"/>
                <w:bCs/>
                <w:color w:val="000000" w:themeColor="text1"/>
                <w:sz w:val="24"/>
                <w:szCs w:val="24"/>
                <w:highlight w:val="none"/>
                <w:lang w:val="en-US" w:eastAsia="zh-CN"/>
                <w14:textFill>
                  <w14:solidFill>
                    <w14:schemeClr w14:val="tx1"/>
                  </w14:solidFill>
                </w14:textFill>
              </w:rPr>
              <w:t>现有项目脱硫塔配套设置有一个容积为80m</w:t>
            </w:r>
            <w:r>
              <w:rPr>
                <w:rFonts w:hint="eastAsia" w:cs="Times New Roman"/>
                <w:b w:val="0"/>
                <w:bCs/>
                <w:color w:val="000000" w:themeColor="text1"/>
                <w:sz w:val="24"/>
                <w:szCs w:val="24"/>
                <w:highlight w:val="none"/>
                <w:vertAlign w:val="superscript"/>
                <w:lang w:val="en-US" w:eastAsia="zh-CN"/>
                <w14:textFill>
                  <w14:solidFill>
                    <w14:schemeClr w14:val="tx1"/>
                  </w14:solidFill>
                </w14:textFill>
              </w:rPr>
              <w:t>3</w:t>
            </w:r>
            <w:r>
              <w:rPr>
                <w:rFonts w:hint="eastAsia" w:cs="Times New Roman"/>
                <w:b w:val="0"/>
                <w:bCs/>
                <w:color w:val="000000" w:themeColor="text1"/>
                <w:sz w:val="24"/>
                <w:szCs w:val="24"/>
                <w:highlight w:val="none"/>
                <w:vertAlign w:val="baseline"/>
                <w:lang w:val="en-US" w:eastAsia="zh-CN"/>
                <w14:textFill>
                  <w14:solidFill>
                    <w14:schemeClr w14:val="tx1"/>
                  </w14:solidFill>
                </w14:textFill>
              </w:rPr>
              <w:t>的循环沉淀池，产生的脱硫废水进入循环沉淀池经中和絮凝沉淀处理后全部回用于项目搅拌用水，不外排。</w:t>
            </w:r>
          </w:p>
          <w:p w14:paraId="0D723290">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outlineLvl w:val="9"/>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2）生活污水</w:t>
            </w:r>
          </w:p>
          <w:p w14:paraId="63F02A47">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项目生活用水量为1.0</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m</w:t>
            </w:r>
            <w:r>
              <w:rPr>
                <w:rFonts w:hint="default" w:ascii="Times New Roman" w:hAnsi="Times New Roman" w:eastAsia="宋体" w:cs="Times New Roman"/>
                <w:bCs/>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/d</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，300</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m</w:t>
            </w:r>
            <w:r>
              <w:rPr>
                <w:rFonts w:hint="default" w:ascii="Times New Roman" w:hAnsi="Times New Roman" w:eastAsia="宋体" w:cs="Times New Roman"/>
                <w:bCs/>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a，</w:t>
            </w:r>
            <w:r>
              <w:rPr>
                <w:rFonts w:hint="eastAsia"/>
                <w:color w:val="000000" w:themeColor="text1"/>
                <w:sz w:val="24"/>
                <w:highlight w:val="none"/>
                <w14:textFill>
                  <w14:solidFill>
                    <w14:schemeClr w14:val="tx1"/>
                  </w14:solidFill>
                </w14:textFill>
              </w:rPr>
              <w:t>项目生活污水产生量按用水量的80%计，</w:t>
            </w:r>
            <w:r>
              <w:rPr>
                <w:rFonts w:hint="eastAsia"/>
                <w:color w:val="000000" w:themeColor="text1"/>
                <w:sz w:val="24"/>
                <w:highlight w:val="none"/>
                <w:lang w:val="en-US" w:eastAsia="zh-CN"/>
                <w14:textFill>
                  <w14:solidFill>
                    <w14:schemeClr w14:val="tx1"/>
                  </w14:solidFill>
                </w14:textFill>
              </w:rPr>
              <w:t>则生活污水</w:t>
            </w:r>
            <w:r>
              <w:rPr>
                <w:rFonts w:hint="eastAsia"/>
                <w:color w:val="000000" w:themeColor="text1"/>
                <w:sz w:val="24"/>
                <w:highlight w:val="none"/>
                <w14:textFill>
                  <w14:solidFill>
                    <w14:schemeClr w14:val="tx1"/>
                  </w14:solidFill>
                </w14:textFill>
              </w:rPr>
              <w:t>产生量为</w:t>
            </w:r>
            <w:r>
              <w:rPr>
                <w:rFonts w:hint="eastAsia"/>
                <w:color w:val="000000" w:themeColor="text1"/>
                <w:sz w:val="24"/>
                <w:highlight w:val="none"/>
                <w:lang w:val="en-US" w:eastAsia="zh-CN"/>
                <w14:textFill>
                  <w14:solidFill>
                    <w14:schemeClr w14:val="tx1"/>
                  </w14:solidFill>
                </w14:textFill>
              </w:rPr>
              <w:t>0.8</w:t>
            </w:r>
            <w:r>
              <w:rPr>
                <w:rFonts w:hint="eastAsia"/>
                <w:color w:val="000000" w:themeColor="text1"/>
                <w:sz w:val="24"/>
                <w:highlight w:val="none"/>
                <w14:textFill>
                  <w14:solidFill>
                    <w14:schemeClr w14:val="tx1"/>
                  </w14:solidFill>
                </w14:textFill>
              </w:rPr>
              <w:t>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/d</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240</w:t>
            </w:r>
            <w:r>
              <w:rPr>
                <w:rFonts w:hint="eastAsia"/>
                <w:color w:val="000000" w:themeColor="text1"/>
                <w:sz w:val="24"/>
                <w:highlight w:val="none"/>
                <w14:textFill>
                  <w14:solidFill>
                    <w14:schemeClr w14:val="tx1"/>
                  </w14:solidFill>
                </w14:textFill>
              </w:rPr>
              <w:t>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/a</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经化粪池处理后定期清掏用作农肥。</w:t>
            </w:r>
          </w:p>
          <w:p w14:paraId="6808B044">
            <w:pPr>
              <w:keepNext w:val="0"/>
              <w:keepLines w:val="0"/>
              <w:pageBreakBefore w:val="0"/>
              <w:kinsoku/>
              <w:wordWrap w:val="0"/>
              <w:overflowPunct/>
              <w:topLinePunct w:val="0"/>
              <w:bidi w:val="0"/>
              <w:snapToGrid/>
              <w:spacing w:line="360" w:lineRule="auto"/>
              <w:ind w:firstLine="482" w:firstLineChars="200"/>
              <w:outlineLvl w:val="9"/>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（3）初期雨水</w:t>
            </w:r>
          </w:p>
          <w:p w14:paraId="383FAE70">
            <w:pPr>
              <w:pageBreakBefore w:val="0"/>
              <w:kinsoku/>
              <w:wordWrap/>
              <w:overflowPunct w:val="0"/>
              <w:topLinePunct w:val="0"/>
              <w:autoSpaceDE/>
              <w:autoSpaceDN/>
              <w:bidi w:val="0"/>
              <w:spacing w:line="360" w:lineRule="auto"/>
              <w:ind w:firstLine="480" w:firstLineChars="200"/>
              <w:rPr>
                <w:rFonts w:hint="default" w:ascii="Times New Roman" w:hAnsi="Times New Roman" w:eastAsia="宋体" w:cs="Times New Roman"/>
                <w:color w:val="000000" w:themeColor="text1"/>
                <w:kern w:val="2"/>
                <w:sz w:val="24"/>
                <w:szCs w:val="24"/>
                <w:highlight w:val="none"/>
                <w:lang w:val="zh-CN"/>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zh-CN"/>
                <w14:textFill>
                  <w14:solidFill>
                    <w14:schemeClr w14:val="tx1"/>
                  </w14:solidFill>
                </w14:textFill>
              </w:rPr>
              <w:t>本项目采用雨污分流，建设单位对厂区露天面积初期雨水进行收集处理，厂区露天面积为道路和其他无建筑物覆盖的空地，面积约为</w:t>
            </w:r>
            <w:r>
              <w:rPr>
                <w:rFonts w:hint="eastAsia" w:ascii="Times New Roman" w:hAnsi="Times New Roman" w:eastAsia="宋体" w:cs="Times New Roman"/>
                <w:color w:val="000000" w:themeColor="text1"/>
                <w:sz w:val="24"/>
                <w:lang w:val="en-US" w:eastAsia="zh-CN"/>
                <w14:textFill>
                  <w14:solidFill>
                    <w14:schemeClr w14:val="tx1"/>
                  </w14:solidFill>
                </w14:textFill>
              </w:rPr>
              <w:t>2200</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kern w:val="2"/>
                <w:sz w:val="24"/>
                <w:szCs w:val="24"/>
                <w:highlight w:val="none"/>
                <w:lang w:val="zh-CN"/>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lang w:val="zh-CN" w:eastAsia="zh-CN"/>
                <w14:textFill>
                  <w14:solidFill>
                    <w14:schemeClr w14:val="tx1"/>
                  </w14:solidFill>
                </w14:textFill>
              </w:rPr>
              <w:t>本项目</w:t>
            </w:r>
            <w:r>
              <w:rPr>
                <w:rFonts w:hint="default" w:ascii="Times New Roman" w:hAnsi="Times New Roman" w:eastAsia="宋体" w:cs="Times New Roman"/>
                <w:color w:val="000000" w:themeColor="text1"/>
                <w:kern w:val="2"/>
                <w:sz w:val="24"/>
                <w:szCs w:val="24"/>
                <w:highlight w:val="none"/>
                <w:lang w:val="zh-CN"/>
                <w14:textFill>
                  <w14:solidFill>
                    <w14:schemeClr w14:val="tx1"/>
                  </w14:solidFill>
                </w14:textFill>
              </w:rPr>
              <w:t>厂区用地地面均为</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水泥路面</w:t>
            </w:r>
            <w:r>
              <w:rPr>
                <w:rFonts w:hint="default" w:ascii="Times New Roman" w:hAnsi="Times New Roman" w:eastAsia="宋体" w:cs="Times New Roman"/>
                <w:color w:val="000000" w:themeColor="text1"/>
                <w:kern w:val="2"/>
                <w:sz w:val="24"/>
                <w:szCs w:val="24"/>
                <w:highlight w:val="none"/>
                <w:lang w:val="zh-CN"/>
                <w14:textFill>
                  <w14:solidFill>
                    <w14:schemeClr w14:val="tx1"/>
                  </w14:solidFill>
                </w14:textFill>
              </w:rPr>
              <w:t>，贮存及运输过程中可能有各种污染物滴漏、散落在露天场地及路面上，遇雨天形成地表径流，污染物会随流带入周边水体，造成一定的环境污染，从而需要进行处理。</w:t>
            </w:r>
          </w:p>
          <w:p w14:paraId="39ABFF71">
            <w:pPr>
              <w:pageBreakBefore w:val="0"/>
              <w:kinsoku/>
              <w:wordWrap/>
              <w:overflowPunct w:val="0"/>
              <w:topLinePunct w:val="0"/>
              <w:autoSpaceDE/>
              <w:autoSpaceDN/>
              <w:bidi w:val="0"/>
              <w:spacing w:line="360" w:lineRule="auto"/>
              <w:ind w:firstLine="480" w:firstLineChars="200"/>
              <w:rPr>
                <w:rFonts w:hint="default" w:ascii="Times New Roman" w:hAnsi="Times New Roman" w:eastAsia="宋体" w:cs="Times New Roman"/>
                <w:color w:val="000000" w:themeColor="text1"/>
                <w:kern w:val="2"/>
                <w:sz w:val="24"/>
                <w:szCs w:val="24"/>
                <w:highlight w:val="none"/>
                <w:lang w:val="zh-CN"/>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zh-CN"/>
                <w14:textFill>
                  <w14:solidFill>
                    <w14:schemeClr w14:val="tx1"/>
                  </w14:solidFill>
                </w14:textFill>
              </w:rPr>
              <w:t>本项目位于曲靖市</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罗平县</w:t>
            </w:r>
            <w:r>
              <w:rPr>
                <w:rFonts w:hint="default" w:ascii="Times New Roman" w:hAnsi="Times New Roman" w:eastAsia="宋体" w:cs="Times New Roman"/>
                <w:color w:val="000000" w:themeColor="text1"/>
                <w:kern w:val="2"/>
                <w:sz w:val="24"/>
                <w:szCs w:val="24"/>
                <w:highlight w:val="none"/>
                <w:lang w:val="zh-CN"/>
                <w14:textFill>
                  <w14:solidFill>
                    <w14:schemeClr w14:val="tx1"/>
                  </w14:solidFill>
                </w14:textFill>
              </w:rPr>
              <w:t>，所在区域暴雨强度计算公式如下：</w:t>
            </w:r>
          </w:p>
          <w:p w14:paraId="095FB1C5">
            <w:pPr>
              <w:pageBreakBefore w:val="0"/>
              <w:kinsoku/>
              <w:wordWrap/>
              <w:overflowPunct w:val="0"/>
              <w:topLinePunct w:val="0"/>
              <w:autoSpaceDE/>
              <w:autoSpaceDN/>
              <w:bidi w:val="0"/>
              <w:spacing w:line="360" w:lineRule="auto"/>
              <w:jc w:val="center"/>
              <w:rPr>
                <w:rFonts w:hint="default" w:ascii="Times New Roman" w:hAnsi="Times New Roman" w:eastAsia="宋体" w:cs="Times New Roman"/>
                <w:color w:val="000000" w:themeColor="text1"/>
                <w:kern w:val="2"/>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object>
                <v:shape id="_x0000_i1025" o:spt="75" type="#_x0000_t75" style="height:36pt;width:117.75pt;" o:ole="t" filled="f" o:preferrelative="t" stroked="f" coordsize="21600,21600">
                  <v:path/>
                  <v:fill on="f" focussize="0,0"/>
                  <v:stroke on="f" joinstyle="miter"/>
                  <v:imagedata r:id="rId13" o:title=""/>
                  <o:lock v:ext="edit" aspectratio="t"/>
                  <w10:wrap type="none"/>
                  <w10:anchorlock/>
                </v:shape>
                <o:OLEObject Type="Embed" ProgID="Equation.3" ShapeID="_x0000_i1025" DrawAspect="Content" ObjectID="_1468075725" r:id="rId12">
                  <o:LockedField>false</o:LockedField>
                </o:OLEObject>
              </w:object>
            </w:r>
          </w:p>
          <w:p w14:paraId="3485057E">
            <w:pPr>
              <w:pageBreakBefore w:val="0"/>
              <w:kinsoku/>
              <w:wordWrap/>
              <w:overflowPunct w:val="0"/>
              <w:topLinePunct w:val="0"/>
              <w:autoSpaceDE/>
              <w:autoSpaceDN/>
              <w:bidi w:val="0"/>
              <w:spacing w:line="360" w:lineRule="auto"/>
              <w:ind w:firstLine="480" w:firstLineChars="200"/>
              <w:rPr>
                <w:rFonts w:hint="default" w:ascii="Times New Roman" w:hAnsi="Times New Roman" w:eastAsia="宋体" w:cs="Times New Roman"/>
                <w:color w:val="000000" w:themeColor="text1"/>
                <w:spacing w:val="-6"/>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式中：</w:t>
            </w:r>
            <w:r>
              <w:rPr>
                <w:rFonts w:hint="default" w:ascii="Times New Roman" w:hAnsi="Times New Roman" w:eastAsia="宋体" w:cs="Times New Roman"/>
                <w:color w:val="000000" w:themeColor="text1"/>
                <w:sz w:val="24"/>
                <w:szCs w:val="24"/>
                <w:highlight w:val="none"/>
                <w14:textFill>
                  <w14:solidFill>
                    <w14:schemeClr w14:val="tx1"/>
                  </w14:solidFill>
                </w14:textFill>
              </w:rPr>
              <w:t>q</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设计暴雨强度</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w:t>
            </w:r>
            <w:r>
              <w:rPr>
                <w:rFonts w:hint="default" w:ascii="Times New Roman" w:hAnsi="Times New Roman" w:eastAsia="宋体" w:cs="Times New Roman"/>
                <w:color w:val="000000" w:themeColor="text1"/>
                <w:spacing w:val="-120"/>
                <w:sz w:val="24"/>
                <w:szCs w:val="24"/>
                <w:highlight w:val="none"/>
                <w14:textFill>
                  <w14:solidFill>
                    <w14:schemeClr w14:val="tx1"/>
                  </w14:solidFill>
                </w14:textFill>
              </w:rPr>
              <w:t xml:space="preserve"> </w:t>
            </w:r>
            <w:r>
              <w:rPr>
                <w:rFonts w:hint="default" w:ascii="Times New Roman" w:hAnsi="Times New Roman" w:eastAsia="宋体" w:cs="Times New Roman"/>
                <w:color w:val="000000" w:themeColor="text1"/>
                <w:sz w:val="24"/>
                <w:szCs w:val="24"/>
                <w:highlight w:val="none"/>
                <w14:textFill>
                  <w14:solidFill>
                    <w14:schemeClr w14:val="tx1"/>
                  </w14:solidFill>
                </w14:textFill>
              </w:rPr>
              <w:t>L/s</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hm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w:t>
            </w:r>
          </w:p>
          <w:p w14:paraId="60616AF7">
            <w:pPr>
              <w:pageBreakBefore w:val="0"/>
              <w:kinsoku/>
              <w:wordWrap/>
              <w:overflowPunct w:val="0"/>
              <w:topLinePunct w:val="0"/>
              <w:autoSpaceDE/>
              <w:autoSpaceDN/>
              <w:bidi w:val="0"/>
              <w:spacing w:line="360" w:lineRule="auto"/>
              <w:ind w:firstLine="1200" w:firstLineChars="500"/>
              <w:rPr>
                <w:rFonts w:hint="default" w:ascii="Times New Roman" w:hAnsi="Times New Roman" w:eastAsia="宋体" w:cs="Times New Roman"/>
                <w:color w:val="000000" w:themeColor="text1"/>
                <w:kern w:val="2"/>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P</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设计降雨重现期a（5a）；</w:t>
            </w:r>
          </w:p>
          <w:p w14:paraId="379B41B9">
            <w:pPr>
              <w:pageBreakBefore w:val="0"/>
              <w:kinsoku/>
              <w:wordWrap/>
              <w:overflowPunct w:val="0"/>
              <w:topLinePunct w:val="0"/>
              <w:autoSpaceDE/>
              <w:autoSpaceDN/>
              <w:bidi w:val="0"/>
              <w:adjustRightInd w:val="0"/>
              <w:spacing w:line="360" w:lineRule="auto"/>
              <w:ind w:firstLine="1200" w:firstLineChars="500"/>
              <w:rPr>
                <w:rFonts w:hint="default" w:ascii="Times New Roman" w:hAnsi="Times New Roman" w:eastAsia="宋体" w:cs="Times New Roman"/>
                <w:color w:val="000000" w:themeColor="text1"/>
                <w:kern w:val="2"/>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t-</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降雨历时min（取</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60</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min）；</w:t>
            </w:r>
          </w:p>
          <w:p w14:paraId="1F2E9F97">
            <w:pPr>
              <w:keepNext w:val="0"/>
              <w:keepLines w:val="0"/>
              <w:pageBreakBefore w:val="0"/>
              <w:widowControl w:val="0"/>
              <w:kinsoku/>
              <w:wordWrap/>
              <w:overflowPunct w:val="0"/>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000000" w:themeColor="text1"/>
                <w:kern w:val="2"/>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计算结果q=</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109.15</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L/s</w:t>
            </w:r>
            <w:r>
              <w:rPr>
                <w:rFonts w:hint="default"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hm</w:t>
            </w:r>
            <w:r>
              <w:rPr>
                <w:rFonts w:hint="default" w:ascii="Times New Roman" w:hAnsi="Times New Roman" w:eastAsia="宋体" w:cs="Times New Roman"/>
                <w:color w:val="000000" w:themeColor="text1"/>
                <w:kern w:val="2"/>
                <w:sz w:val="24"/>
                <w:szCs w:val="24"/>
                <w:highlight w:val="none"/>
                <w:vertAlign w:val="superscript"/>
                <w14:textFill>
                  <w14:solidFill>
                    <w14:schemeClr w14:val="tx1"/>
                  </w14:solidFill>
                </w14:textFill>
              </w:rPr>
              <w:t>2</w:t>
            </w:r>
            <w:r>
              <w:rPr>
                <w:rFonts w:hint="eastAsia" w:ascii="Times New Roman" w:hAnsi="Times New Roman" w:eastAsia="宋体" w:cs="Times New Roman"/>
                <w:color w:val="000000" w:themeColor="text1"/>
                <w:kern w:val="2"/>
                <w:sz w:val="24"/>
                <w:szCs w:val="24"/>
                <w:highlight w:val="none"/>
                <w:vertAlign w:val="baseline"/>
                <w:lang w:eastAsia="zh-CN"/>
                <w14:textFill>
                  <w14:solidFill>
                    <w14:schemeClr w14:val="tx1"/>
                  </w14:solidFill>
                </w14:textFill>
              </w:rPr>
              <w:t>。</w:t>
            </w:r>
          </w:p>
          <w:p w14:paraId="34C1DFF6">
            <w:pPr>
              <w:pStyle w:val="2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bookmarkStart w:id="5" w:name="OLE_LINK4"/>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初期</w:t>
            </w:r>
            <w:r>
              <w:rPr>
                <w:rFonts w:hint="default" w:ascii="Times New Roman" w:hAnsi="Times New Roman" w:eastAsia="宋体" w:cs="Times New Roman"/>
                <w:color w:val="000000" w:themeColor="text1"/>
                <w:sz w:val="24"/>
                <w:szCs w:val="24"/>
                <w:highlight w:val="none"/>
                <w14:textFill>
                  <w14:solidFill>
                    <w14:schemeClr w14:val="tx1"/>
                  </w14:solidFill>
                </w14:textFill>
              </w:rPr>
              <w:t>雨水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涉及</w:t>
            </w:r>
            <w:r>
              <w:rPr>
                <w:rFonts w:hint="default" w:ascii="Times New Roman" w:hAnsi="Times New Roman" w:eastAsia="宋体" w:cs="Times New Roman"/>
                <w:color w:val="000000" w:themeColor="text1"/>
                <w:sz w:val="24"/>
                <w:szCs w:val="24"/>
                <w:highlight w:val="none"/>
                <w14:textFill>
                  <w14:solidFill>
                    <w14:schemeClr w14:val="tx1"/>
                  </w14:solidFill>
                </w14:textFill>
              </w:rPr>
              <w:t>汇水量计算公式：</w:t>
            </w:r>
          </w:p>
          <w:p w14:paraId="4275C049">
            <w:pPr>
              <w:pageBreakBefore w:val="0"/>
              <w:kinsoku/>
              <w:wordWrap/>
              <w:overflowPunct w:val="0"/>
              <w:topLinePunct w:val="0"/>
              <w:autoSpaceDE/>
              <w:autoSpaceDN/>
              <w:bidi w:val="0"/>
              <w:spacing w:line="360" w:lineRule="auto"/>
              <w:jc w:val="center"/>
              <w:rPr>
                <w:rFonts w:hint="default" w:ascii="Times New Roman" w:hAnsi="Times New Roman" w:eastAsia="宋体" w:cs="Times New Roman"/>
                <w:color w:val="000000" w:themeColor="text1"/>
                <w:kern w:val="2"/>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2"/>
                <w:position w:val="-10"/>
                <w:sz w:val="24"/>
                <w:szCs w:val="24"/>
                <w:highlight w:val="none"/>
                <w14:textFill>
                  <w14:solidFill>
                    <w14:schemeClr w14:val="tx1"/>
                  </w14:solidFill>
                </w14:textFill>
              </w:rPr>
              <w:object>
                <v:shape id="_x0000_i1026" o:spt="75" type="#_x0000_t75" style="height:16pt;width:51pt;" o:ole="t" filled="f" o:preferrelative="t" stroked="f" coordsize="21600,21600">
                  <v:path/>
                  <v:fill on="f" focussize="0,0"/>
                  <v:stroke on="f"/>
                  <v:imagedata r:id="rId15" o:title=""/>
                  <o:lock v:ext="edit" aspectratio="t"/>
                  <w10:wrap type="none"/>
                  <w10:anchorlock/>
                </v:shape>
                <o:OLEObject Type="Embed" ProgID="Equation.KSEE3" ShapeID="_x0000_i1026" DrawAspect="Content" ObjectID="_1468075726" r:id="rId14">
                  <o:LockedField>false</o:LockedField>
                </o:OLEObject>
              </w:object>
            </w:r>
          </w:p>
          <w:p w14:paraId="46E7EED0">
            <w:pPr>
              <w:pageBreakBefore w:val="0"/>
              <w:kinsoku/>
              <w:wordWrap/>
              <w:overflowPunct w:val="0"/>
              <w:topLinePunct w:val="0"/>
              <w:autoSpaceDE/>
              <w:autoSpaceDN/>
              <w:bidi w:val="0"/>
              <w:spacing w:line="360" w:lineRule="auto"/>
              <w:ind w:firstLine="480" w:firstLineChars="200"/>
              <w:jc w:val="left"/>
              <w:rPr>
                <w:rFonts w:hint="default" w:ascii="Times New Roman" w:hAnsi="Times New Roman" w:eastAsia="宋体" w:cs="Times New Roman"/>
                <w:color w:val="000000" w:themeColor="text1"/>
                <w:kern w:val="2"/>
                <w:sz w:val="24"/>
                <w:szCs w:val="24"/>
                <w:highlight w:val="none"/>
                <w:lang w:eastAsia="zh-CN"/>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式中：</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Q</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雨水流量，L；</w:t>
            </w:r>
          </w:p>
          <w:p w14:paraId="1FC8355A">
            <w:pPr>
              <w:pageBreakBefore w:val="0"/>
              <w:kinsoku/>
              <w:wordWrap/>
              <w:overflowPunct w:val="0"/>
              <w:topLinePunct w:val="0"/>
              <w:autoSpaceDE/>
              <w:autoSpaceDN/>
              <w:bidi w:val="0"/>
              <w:spacing w:line="360" w:lineRule="auto"/>
              <w:ind w:firstLine="1200" w:firstLineChars="500"/>
              <w:jc w:val="left"/>
              <w:rPr>
                <w:rFonts w:hint="default" w:ascii="Times New Roman" w:hAnsi="Times New Roman" w:eastAsia="宋体" w:cs="Times New Roman"/>
                <w:color w:val="000000" w:themeColor="text1"/>
                <w:kern w:val="2"/>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F</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汇水面积</w:t>
            </w:r>
            <w:r>
              <w:rPr>
                <w:rFonts w:hint="default" w:ascii="Times New Roman" w:hAnsi="Times New Roman" w:eastAsia="宋体" w:cs="Times New Roman"/>
                <w:color w:val="000000" w:themeColor="text1"/>
                <w:kern w:val="2"/>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hm</w:t>
            </w:r>
            <w:r>
              <w:rPr>
                <w:rFonts w:hint="default" w:ascii="Times New Roman" w:hAnsi="Times New Roman" w:eastAsia="宋体" w:cs="Times New Roman"/>
                <w:color w:val="000000" w:themeColor="text1"/>
                <w:kern w:val="2"/>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kern w:val="2"/>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lang w:eastAsia="zh-CN"/>
                <w14:textFill>
                  <w14:solidFill>
                    <w14:schemeClr w14:val="tx1"/>
                  </w14:solidFill>
                </w14:textFill>
              </w:rPr>
              <w:t>本项目为</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0.22</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hm</w:t>
            </w:r>
            <w:r>
              <w:rPr>
                <w:rFonts w:hint="default" w:ascii="Times New Roman" w:hAnsi="Times New Roman" w:eastAsia="宋体" w:cs="Times New Roman"/>
                <w:color w:val="000000" w:themeColor="text1"/>
                <w:kern w:val="2"/>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w:t>
            </w:r>
          </w:p>
          <w:p w14:paraId="0A958052">
            <w:pPr>
              <w:pageBreakBefore w:val="0"/>
              <w:kinsoku/>
              <w:wordWrap/>
              <w:overflowPunct w:val="0"/>
              <w:topLinePunct w:val="0"/>
              <w:autoSpaceDE/>
              <w:autoSpaceDN/>
              <w:bidi w:val="0"/>
              <w:spacing w:line="360" w:lineRule="auto"/>
              <w:ind w:firstLine="1200" w:firstLineChars="500"/>
              <w:jc w:val="left"/>
              <w:rPr>
                <w:rFonts w:hint="default" w:ascii="Times New Roman" w:hAnsi="Times New Roman" w:eastAsia="宋体" w:cs="Times New Roman"/>
                <w:color w:val="000000" w:themeColor="text1"/>
                <w:kern w:val="2"/>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φ</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为径流系数，</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水泥路面</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取值为</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0.9</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w:t>
            </w:r>
            <w:bookmarkEnd w:id="5"/>
          </w:p>
          <w:p w14:paraId="48BFF1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按照上述公式计算，项目区的暴雨强度为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109.15</w:t>
            </w:r>
            <w:r>
              <w:rPr>
                <w:rFonts w:hint="default" w:ascii="Times New Roman" w:hAnsi="Times New Roman" w:eastAsia="宋体" w:cs="Times New Roman"/>
                <w:color w:val="000000" w:themeColor="text1"/>
                <w:sz w:val="24"/>
                <w:szCs w:val="24"/>
                <w:highlight w:val="none"/>
                <w14:textFill>
                  <w14:solidFill>
                    <w14:schemeClr w14:val="tx1"/>
                  </w14:solidFill>
                </w14:textFill>
              </w:rPr>
              <w:t>L/秒·hm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，项目</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场地</w:t>
            </w:r>
            <w:r>
              <w:rPr>
                <w:rFonts w:hint="default" w:ascii="Times New Roman" w:hAnsi="Times New Roman" w:eastAsia="宋体" w:cs="Times New Roman"/>
                <w:color w:val="000000" w:themeColor="text1"/>
                <w:sz w:val="24"/>
                <w:szCs w:val="24"/>
                <w:highlight w:val="none"/>
                <w14:textFill>
                  <w14:solidFill>
                    <w14:schemeClr w14:val="tx1"/>
                  </w14:solidFill>
                </w14:textFill>
              </w:rPr>
              <w:t>在设计重现期</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14:textFill>
                  <w14:solidFill>
                    <w14:schemeClr w14:val="tx1"/>
                  </w14:solidFill>
                </w14:textFill>
              </w:rPr>
              <w:t>年的条件下，雨水流量为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9.6</w:t>
            </w:r>
            <w:r>
              <w:rPr>
                <w:rFonts w:hint="default" w:ascii="Times New Roman" w:hAnsi="Times New Roman" w:eastAsia="宋体" w:cs="Times New Roman"/>
                <w:color w:val="000000" w:themeColor="text1"/>
                <w:sz w:val="24"/>
                <w:szCs w:val="24"/>
                <w:highlight w:val="none"/>
                <w14:textFill>
                  <w14:solidFill>
                    <w14:schemeClr w14:val="tx1"/>
                  </w14:solidFill>
                </w14:textFill>
              </w:rPr>
              <w:t>L/s</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本次评价考虑对暴雨条件下前15min的雨水进行收集，则暴雨情况下需收集的雨水量为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19.4m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/次（2910m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/a）</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进入初期雨水收集池沉淀后回用于项目洒水降尘用水及搅拌用水，不外排。</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暴雨降雨15min以后的雨水不再计入初期雨水</w:t>
            </w:r>
            <w:r>
              <w:rPr>
                <w:rFonts w:hint="eastAsia" w:cs="Times New Roman"/>
                <w:color w:val="000000" w:themeColor="text1"/>
                <w:sz w:val="24"/>
                <w:szCs w:val="24"/>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15min后关闭收集阀不再收集雨水，雨水通过雨水</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沟渠</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排出。本项目</w:t>
            </w:r>
            <w:r>
              <w:rPr>
                <w:rFonts w:hint="eastAsia" w:eastAsia="宋体" w:cs="Times New Roman"/>
                <w:color w:val="000000" w:themeColor="text1"/>
                <w:sz w:val="24"/>
                <w:szCs w:val="24"/>
                <w:vertAlign w:val="baseline"/>
                <w:lang w:val="en-US" w:eastAsia="zh-CN"/>
                <w14:textFill>
                  <w14:solidFill>
                    <w14:schemeClr w14:val="tx1"/>
                  </w14:solidFill>
                </w14:textFill>
              </w:rPr>
              <w:t>建设</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完整的初期雨水收集</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管道</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，将</w:t>
            </w:r>
            <w:r>
              <w:rPr>
                <w:rFonts w:hint="eastAsia" w:eastAsia="宋体" w:cs="Times New Roman"/>
                <w:color w:val="000000" w:themeColor="text1"/>
                <w:sz w:val="24"/>
                <w:szCs w:val="24"/>
                <w:vertAlign w:val="baseline"/>
                <w:lang w:val="en-US" w:eastAsia="zh-CN"/>
                <w14:textFill>
                  <w14:solidFill>
                    <w14:schemeClr w14:val="tx1"/>
                  </w14:solidFill>
                </w14:textFill>
              </w:rPr>
              <w:t>初期</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雨水收集至</w:t>
            </w:r>
            <w:r>
              <w:rPr>
                <w:rFonts w:hint="eastAsia" w:eastAsia="宋体" w:cs="Times New Roman"/>
                <w:color w:val="000000" w:themeColor="text1"/>
                <w:sz w:val="24"/>
                <w:szCs w:val="24"/>
                <w:vertAlign w:val="baseline"/>
                <w:lang w:val="en-US" w:eastAsia="zh-CN"/>
                <w14:textFill>
                  <w14:solidFill>
                    <w14:schemeClr w14:val="tx1"/>
                  </w14:solidFill>
                </w14:textFill>
              </w:rPr>
              <w:t>初期雨水收集池</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，经</w:t>
            </w:r>
            <w:r>
              <w:rPr>
                <w:rFonts w:hint="eastAsia" w:eastAsia="宋体" w:cs="Times New Roman"/>
                <w:color w:val="000000" w:themeColor="text1"/>
                <w:sz w:val="24"/>
                <w:szCs w:val="24"/>
                <w:vertAlign w:val="baseline"/>
                <w:lang w:val="en-US" w:eastAsia="zh-CN"/>
                <w14:textFill>
                  <w14:solidFill>
                    <w14:schemeClr w14:val="tx1"/>
                  </w14:solidFill>
                </w14:textFill>
              </w:rPr>
              <w:t>初期雨水收集池</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沉淀后</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回用于项目洒水降尘用水及搅拌用水，不外排。</w:t>
            </w:r>
          </w:p>
          <w:p w14:paraId="009A8951">
            <w:pPr>
              <w:adjustRightInd w:val="0"/>
              <w:snapToGrid w:val="0"/>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项目用水及排水情况如下表所示：</w:t>
            </w:r>
          </w:p>
          <w:p w14:paraId="4A682505">
            <w:pPr>
              <w:adjustRightInd w:val="0"/>
              <w:snapToGrid w:val="0"/>
              <w:spacing w:line="276" w:lineRule="auto"/>
              <w:ind w:firstLine="482" w:firstLineChars="200"/>
              <w:jc w:val="center"/>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表2-</w:t>
            </w:r>
            <w:r>
              <w:rPr>
                <w:rFonts w:hint="eastAsia"/>
                <w:b/>
                <w:bCs/>
                <w:color w:val="000000" w:themeColor="text1"/>
                <w:sz w:val="24"/>
                <w:lang w:val="en-US" w:eastAsia="zh-CN"/>
                <w14:textFill>
                  <w14:solidFill>
                    <w14:schemeClr w14:val="tx1"/>
                  </w14:solidFill>
                </w14:textFill>
              </w:rPr>
              <w:t>11</w:t>
            </w:r>
            <w:r>
              <w:rPr>
                <w:rFonts w:hint="eastAsia"/>
                <w:b/>
                <w:bCs/>
                <w:color w:val="000000" w:themeColor="text1"/>
                <w:sz w:val="24"/>
                <w14:textFill>
                  <w14:solidFill>
                    <w14:schemeClr w14:val="tx1"/>
                  </w14:solidFill>
                </w14:textFill>
              </w:rPr>
              <w:t xml:space="preserve">  项目用水及排水情况表</w:t>
            </w:r>
          </w:p>
          <w:tbl>
            <w:tblPr>
              <w:tblStyle w:val="29"/>
              <w:tblW w:w="85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032"/>
              <w:gridCol w:w="1124"/>
              <w:gridCol w:w="952"/>
              <w:gridCol w:w="936"/>
              <w:gridCol w:w="1137"/>
              <w:gridCol w:w="1295"/>
              <w:gridCol w:w="1361"/>
            </w:tblGrid>
            <w:tr w14:paraId="0555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1" w:type="dxa"/>
                  <w:gridSpan w:val="3"/>
                  <w:noWrap w:val="0"/>
                  <w:vAlign w:val="center"/>
                </w:tcPr>
                <w:p w14:paraId="618F6E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用水情况</w:t>
                  </w:r>
                </w:p>
              </w:tc>
              <w:tc>
                <w:tcPr>
                  <w:tcW w:w="3025" w:type="dxa"/>
                  <w:gridSpan w:val="3"/>
                  <w:noWrap w:val="0"/>
                  <w:vAlign w:val="center"/>
                </w:tcPr>
                <w:p w14:paraId="0A326C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废水情况</w:t>
                  </w:r>
                </w:p>
              </w:tc>
              <w:tc>
                <w:tcPr>
                  <w:tcW w:w="1295" w:type="dxa"/>
                  <w:vMerge w:val="restart"/>
                  <w:noWrap w:val="0"/>
                  <w:vAlign w:val="center"/>
                </w:tcPr>
                <w:p w14:paraId="6EB775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措施</w:t>
                  </w:r>
                </w:p>
              </w:tc>
              <w:tc>
                <w:tcPr>
                  <w:tcW w:w="1361" w:type="dxa"/>
                  <w:vMerge w:val="restart"/>
                  <w:noWrap w:val="0"/>
                  <w:vAlign w:val="center"/>
                </w:tcPr>
                <w:p w14:paraId="08759B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排放去向</w:t>
                  </w:r>
                </w:p>
              </w:tc>
            </w:tr>
            <w:tr w14:paraId="7F85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center"/>
                </w:tcPr>
                <w:p w14:paraId="6FDBA0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用水项目</w:t>
                  </w:r>
                </w:p>
              </w:tc>
              <w:tc>
                <w:tcPr>
                  <w:tcW w:w="1032" w:type="dxa"/>
                  <w:noWrap w:val="0"/>
                  <w:vAlign w:val="center"/>
                </w:tcPr>
                <w:p w14:paraId="74B6C0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日用量（m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/d）</w:t>
                  </w:r>
                </w:p>
              </w:tc>
              <w:tc>
                <w:tcPr>
                  <w:tcW w:w="1124" w:type="dxa"/>
                  <w:noWrap w:val="0"/>
                  <w:vAlign w:val="center"/>
                </w:tcPr>
                <w:p w14:paraId="768811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年用量（m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/a）</w:t>
                  </w:r>
                </w:p>
              </w:tc>
              <w:tc>
                <w:tcPr>
                  <w:tcW w:w="952" w:type="dxa"/>
                  <w:noWrap w:val="0"/>
                  <w:vAlign w:val="center"/>
                </w:tcPr>
                <w:p w14:paraId="6833FB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废水来源</w:t>
                  </w:r>
                </w:p>
              </w:tc>
              <w:tc>
                <w:tcPr>
                  <w:tcW w:w="936" w:type="dxa"/>
                  <w:noWrap w:val="0"/>
                  <w:vAlign w:val="center"/>
                </w:tcPr>
                <w:p w14:paraId="67DFA4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日产量（m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/d）</w:t>
                  </w:r>
                </w:p>
              </w:tc>
              <w:tc>
                <w:tcPr>
                  <w:tcW w:w="1137" w:type="dxa"/>
                  <w:noWrap w:val="0"/>
                  <w:vAlign w:val="center"/>
                </w:tcPr>
                <w:p w14:paraId="1098DF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年产量（m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/a）</w:t>
                  </w:r>
                </w:p>
              </w:tc>
              <w:tc>
                <w:tcPr>
                  <w:tcW w:w="1295" w:type="dxa"/>
                  <w:vMerge w:val="continue"/>
                  <w:noWrap w:val="0"/>
                  <w:vAlign w:val="center"/>
                </w:tcPr>
                <w:p w14:paraId="030EB3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14:textFill>
                        <w14:solidFill>
                          <w14:schemeClr w14:val="tx1"/>
                        </w14:solidFill>
                      </w14:textFill>
                    </w:rPr>
                  </w:pPr>
                </w:p>
              </w:tc>
              <w:tc>
                <w:tcPr>
                  <w:tcW w:w="1361" w:type="dxa"/>
                  <w:vMerge w:val="continue"/>
                  <w:noWrap w:val="0"/>
                  <w:vAlign w:val="center"/>
                </w:tcPr>
                <w:p w14:paraId="19BB4A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14:textFill>
                        <w14:solidFill>
                          <w14:schemeClr w14:val="tx1"/>
                        </w14:solidFill>
                      </w14:textFill>
                    </w:rPr>
                  </w:pPr>
                </w:p>
              </w:tc>
            </w:tr>
            <w:tr w14:paraId="3FC2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center"/>
                </w:tcPr>
                <w:p w14:paraId="22A28C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搅拌</w:t>
                  </w:r>
                </w:p>
              </w:tc>
              <w:tc>
                <w:tcPr>
                  <w:tcW w:w="1032" w:type="dxa"/>
                  <w:noWrap w:val="0"/>
                  <w:vAlign w:val="center"/>
                </w:tcPr>
                <w:p w14:paraId="75B35A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304.3</w:t>
                  </w:r>
                </w:p>
              </w:tc>
              <w:tc>
                <w:tcPr>
                  <w:tcW w:w="1124" w:type="dxa"/>
                  <w:noWrap w:val="0"/>
                  <w:vAlign w:val="center"/>
                </w:tcPr>
                <w:p w14:paraId="6DB1C6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91300</w:t>
                  </w:r>
                </w:p>
              </w:tc>
              <w:tc>
                <w:tcPr>
                  <w:tcW w:w="952" w:type="dxa"/>
                  <w:noWrap w:val="0"/>
                  <w:vAlign w:val="center"/>
                </w:tcPr>
                <w:p w14:paraId="0FD372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无</w:t>
                  </w:r>
                </w:p>
              </w:tc>
              <w:tc>
                <w:tcPr>
                  <w:tcW w:w="936" w:type="dxa"/>
                  <w:noWrap w:val="0"/>
                  <w:vAlign w:val="center"/>
                </w:tcPr>
                <w:p w14:paraId="12078D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0</w:t>
                  </w:r>
                </w:p>
              </w:tc>
              <w:tc>
                <w:tcPr>
                  <w:tcW w:w="1137" w:type="dxa"/>
                  <w:noWrap w:val="0"/>
                  <w:vAlign w:val="center"/>
                </w:tcPr>
                <w:p w14:paraId="624D74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0</w:t>
                  </w:r>
                </w:p>
              </w:tc>
              <w:tc>
                <w:tcPr>
                  <w:tcW w:w="1295" w:type="dxa"/>
                  <w:noWrap w:val="0"/>
                  <w:vAlign w:val="center"/>
                </w:tcPr>
                <w:p w14:paraId="46829C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w:t>
                  </w:r>
                </w:p>
              </w:tc>
              <w:tc>
                <w:tcPr>
                  <w:tcW w:w="1361" w:type="dxa"/>
                  <w:noWrap w:val="0"/>
                  <w:vAlign w:val="center"/>
                </w:tcPr>
                <w:p w14:paraId="7C380E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w:t>
                  </w:r>
                </w:p>
              </w:tc>
            </w:tr>
            <w:tr w14:paraId="4346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center"/>
                </w:tcPr>
                <w:p w14:paraId="6759EE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炉窑降温</w:t>
                  </w:r>
                </w:p>
              </w:tc>
              <w:tc>
                <w:tcPr>
                  <w:tcW w:w="1032" w:type="dxa"/>
                  <w:noWrap w:val="0"/>
                  <w:vAlign w:val="center"/>
                </w:tcPr>
                <w:p w14:paraId="072650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5.1</w:t>
                  </w:r>
                </w:p>
              </w:tc>
              <w:tc>
                <w:tcPr>
                  <w:tcW w:w="1124" w:type="dxa"/>
                  <w:noWrap w:val="0"/>
                  <w:vAlign w:val="center"/>
                </w:tcPr>
                <w:p w14:paraId="18A4F3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360</w:t>
                  </w:r>
                </w:p>
              </w:tc>
              <w:tc>
                <w:tcPr>
                  <w:tcW w:w="952" w:type="dxa"/>
                  <w:noWrap w:val="0"/>
                  <w:vAlign w:val="center"/>
                </w:tcPr>
                <w:p w14:paraId="2BBDE2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无</w:t>
                  </w:r>
                </w:p>
              </w:tc>
              <w:tc>
                <w:tcPr>
                  <w:tcW w:w="936" w:type="dxa"/>
                  <w:noWrap w:val="0"/>
                  <w:vAlign w:val="center"/>
                </w:tcPr>
                <w:p w14:paraId="6CD152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0</w:t>
                  </w:r>
                </w:p>
              </w:tc>
              <w:tc>
                <w:tcPr>
                  <w:tcW w:w="1137" w:type="dxa"/>
                  <w:noWrap w:val="0"/>
                  <w:vAlign w:val="center"/>
                </w:tcPr>
                <w:p w14:paraId="31C754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0</w:t>
                  </w:r>
                </w:p>
              </w:tc>
              <w:tc>
                <w:tcPr>
                  <w:tcW w:w="1295" w:type="dxa"/>
                  <w:noWrap w:val="0"/>
                  <w:vAlign w:val="center"/>
                </w:tcPr>
                <w:p w14:paraId="02D108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w:t>
                  </w:r>
                </w:p>
              </w:tc>
              <w:tc>
                <w:tcPr>
                  <w:tcW w:w="1361" w:type="dxa"/>
                  <w:noWrap w:val="0"/>
                  <w:vAlign w:val="center"/>
                </w:tcPr>
                <w:p w14:paraId="4694F1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w:t>
                  </w:r>
                </w:p>
              </w:tc>
            </w:tr>
            <w:tr w14:paraId="30A2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center"/>
                </w:tcPr>
                <w:p w14:paraId="195236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烟气处理</w:t>
                  </w:r>
                </w:p>
              </w:tc>
              <w:tc>
                <w:tcPr>
                  <w:tcW w:w="1032" w:type="dxa"/>
                  <w:noWrap w:val="0"/>
                  <w:vAlign w:val="center"/>
                </w:tcPr>
                <w:p w14:paraId="1B0AEB2C">
                  <w:pPr>
                    <w:keepNext w:val="0"/>
                    <w:keepLines w:val="0"/>
                    <w:pageBreakBefore w:val="0"/>
                    <w:widowControl w:val="0"/>
                    <w:tabs>
                      <w:tab w:val="left" w:pos="331"/>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4586</w:t>
                  </w:r>
                </w:p>
              </w:tc>
              <w:tc>
                <w:tcPr>
                  <w:tcW w:w="1124" w:type="dxa"/>
                  <w:noWrap w:val="0"/>
                  <w:vAlign w:val="center"/>
                </w:tcPr>
                <w:p w14:paraId="0E6E2D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1054800</w:t>
                  </w:r>
                </w:p>
              </w:tc>
              <w:tc>
                <w:tcPr>
                  <w:tcW w:w="952" w:type="dxa"/>
                  <w:noWrap w:val="0"/>
                  <w:vAlign w:val="center"/>
                </w:tcPr>
                <w:p w14:paraId="27B290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烟气处理</w:t>
                  </w:r>
                </w:p>
              </w:tc>
              <w:tc>
                <w:tcPr>
                  <w:tcW w:w="936" w:type="dxa"/>
                  <w:noWrap w:val="0"/>
                  <w:vAlign w:val="center"/>
                </w:tcPr>
                <w:p w14:paraId="1BCB65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27</w:t>
                  </w:r>
                </w:p>
              </w:tc>
              <w:tc>
                <w:tcPr>
                  <w:tcW w:w="1137" w:type="dxa"/>
                  <w:noWrap w:val="0"/>
                  <w:vAlign w:val="center"/>
                </w:tcPr>
                <w:p w14:paraId="4DB856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6278.67</w:t>
                  </w:r>
                </w:p>
              </w:tc>
              <w:tc>
                <w:tcPr>
                  <w:tcW w:w="1295" w:type="dxa"/>
                  <w:noWrap w:val="0"/>
                  <w:vAlign w:val="center"/>
                </w:tcPr>
                <w:p w14:paraId="0A6CC7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循环沉淀池（中和絮凝沉淀）</w:t>
                  </w:r>
                </w:p>
              </w:tc>
              <w:tc>
                <w:tcPr>
                  <w:tcW w:w="1361" w:type="dxa"/>
                  <w:noWrap w:val="0"/>
                  <w:vAlign w:val="center"/>
                </w:tcPr>
                <w:p w14:paraId="40CE15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全部回用于搅拌用水</w:t>
                  </w:r>
                </w:p>
              </w:tc>
            </w:tr>
            <w:tr w14:paraId="10FA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center"/>
                </w:tcPr>
                <w:p w14:paraId="618B34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喷雾降尘</w:t>
                  </w:r>
                </w:p>
              </w:tc>
              <w:tc>
                <w:tcPr>
                  <w:tcW w:w="1032" w:type="dxa"/>
                  <w:noWrap w:val="0"/>
                  <w:vAlign w:val="center"/>
                </w:tcPr>
                <w:p w14:paraId="5B4666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0.36</w:t>
                  </w:r>
                </w:p>
              </w:tc>
              <w:tc>
                <w:tcPr>
                  <w:tcW w:w="1124" w:type="dxa"/>
                  <w:noWrap w:val="0"/>
                  <w:vAlign w:val="center"/>
                </w:tcPr>
                <w:p w14:paraId="026013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108</w:t>
                  </w:r>
                </w:p>
              </w:tc>
              <w:tc>
                <w:tcPr>
                  <w:tcW w:w="952" w:type="dxa"/>
                  <w:noWrap w:val="0"/>
                  <w:vAlign w:val="center"/>
                </w:tcPr>
                <w:p w14:paraId="4407D2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无</w:t>
                  </w:r>
                </w:p>
              </w:tc>
              <w:tc>
                <w:tcPr>
                  <w:tcW w:w="936" w:type="dxa"/>
                  <w:noWrap w:val="0"/>
                  <w:vAlign w:val="center"/>
                </w:tcPr>
                <w:p w14:paraId="3EDD68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0</w:t>
                  </w:r>
                </w:p>
              </w:tc>
              <w:tc>
                <w:tcPr>
                  <w:tcW w:w="1137" w:type="dxa"/>
                  <w:noWrap w:val="0"/>
                  <w:vAlign w:val="center"/>
                </w:tcPr>
                <w:p w14:paraId="1669EE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0</w:t>
                  </w:r>
                </w:p>
              </w:tc>
              <w:tc>
                <w:tcPr>
                  <w:tcW w:w="1295" w:type="dxa"/>
                  <w:noWrap w:val="0"/>
                  <w:vAlign w:val="center"/>
                </w:tcPr>
                <w:p w14:paraId="3C1C74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w:t>
                  </w:r>
                </w:p>
              </w:tc>
              <w:tc>
                <w:tcPr>
                  <w:tcW w:w="1361" w:type="dxa"/>
                  <w:noWrap w:val="0"/>
                  <w:vAlign w:val="center"/>
                </w:tcPr>
                <w:p w14:paraId="770D95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w:t>
                  </w:r>
                </w:p>
              </w:tc>
            </w:tr>
            <w:tr w14:paraId="5C97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center"/>
                </w:tcPr>
                <w:p w14:paraId="712A3A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洒水降尘</w:t>
                  </w:r>
                </w:p>
              </w:tc>
              <w:tc>
                <w:tcPr>
                  <w:tcW w:w="1032" w:type="dxa"/>
                  <w:noWrap w:val="0"/>
                  <w:vAlign w:val="center"/>
                </w:tcPr>
                <w:p w14:paraId="181BAC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4.4</w:t>
                  </w:r>
                </w:p>
              </w:tc>
              <w:tc>
                <w:tcPr>
                  <w:tcW w:w="1124" w:type="dxa"/>
                  <w:noWrap w:val="0"/>
                  <w:vAlign w:val="center"/>
                </w:tcPr>
                <w:p w14:paraId="0E74FC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946</w:t>
                  </w:r>
                </w:p>
              </w:tc>
              <w:tc>
                <w:tcPr>
                  <w:tcW w:w="952" w:type="dxa"/>
                  <w:noWrap w:val="0"/>
                  <w:vAlign w:val="center"/>
                </w:tcPr>
                <w:p w14:paraId="3DE7C6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无</w:t>
                  </w:r>
                </w:p>
              </w:tc>
              <w:tc>
                <w:tcPr>
                  <w:tcW w:w="936" w:type="dxa"/>
                  <w:noWrap w:val="0"/>
                  <w:vAlign w:val="center"/>
                </w:tcPr>
                <w:p w14:paraId="0491F3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0</w:t>
                  </w:r>
                </w:p>
              </w:tc>
              <w:tc>
                <w:tcPr>
                  <w:tcW w:w="1137" w:type="dxa"/>
                  <w:noWrap w:val="0"/>
                  <w:vAlign w:val="center"/>
                </w:tcPr>
                <w:p w14:paraId="71A3F6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0</w:t>
                  </w:r>
                </w:p>
              </w:tc>
              <w:tc>
                <w:tcPr>
                  <w:tcW w:w="1295" w:type="dxa"/>
                  <w:noWrap w:val="0"/>
                  <w:vAlign w:val="center"/>
                </w:tcPr>
                <w:p w14:paraId="0D4A8B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w:t>
                  </w:r>
                </w:p>
              </w:tc>
              <w:tc>
                <w:tcPr>
                  <w:tcW w:w="1361" w:type="dxa"/>
                  <w:noWrap w:val="0"/>
                  <w:vAlign w:val="center"/>
                </w:tcPr>
                <w:p w14:paraId="26BF91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w:t>
                  </w:r>
                </w:p>
              </w:tc>
            </w:tr>
            <w:tr w14:paraId="20ACF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center"/>
                </w:tcPr>
                <w:p w14:paraId="0A0849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生活用水</w:t>
                  </w:r>
                </w:p>
              </w:tc>
              <w:tc>
                <w:tcPr>
                  <w:tcW w:w="1032" w:type="dxa"/>
                  <w:noWrap w:val="0"/>
                  <w:vAlign w:val="center"/>
                </w:tcPr>
                <w:p w14:paraId="1B1F42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1.0</w:t>
                  </w:r>
                </w:p>
              </w:tc>
              <w:tc>
                <w:tcPr>
                  <w:tcW w:w="1124" w:type="dxa"/>
                  <w:noWrap w:val="0"/>
                  <w:vAlign w:val="center"/>
                </w:tcPr>
                <w:p w14:paraId="100024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300</w:t>
                  </w:r>
                </w:p>
              </w:tc>
              <w:tc>
                <w:tcPr>
                  <w:tcW w:w="952" w:type="dxa"/>
                  <w:noWrap w:val="0"/>
                  <w:vAlign w:val="center"/>
                </w:tcPr>
                <w:p w14:paraId="05D6B9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生活污水</w:t>
                  </w:r>
                </w:p>
              </w:tc>
              <w:tc>
                <w:tcPr>
                  <w:tcW w:w="936" w:type="dxa"/>
                  <w:noWrap w:val="0"/>
                  <w:vAlign w:val="center"/>
                </w:tcPr>
                <w:p w14:paraId="045DD4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0.8</w:t>
                  </w:r>
                </w:p>
              </w:tc>
              <w:tc>
                <w:tcPr>
                  <w:tcW w:w="1137" w:type="dxa"/>
                  <w:noWrap w:val="0"/>
                  <w:vAlign w:val="center"/>
                </w:tcPr>
                <w:p w14:paraId="59C5A3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240</w:t>
                  </w:r>
                </w:p>
              </w:tc>
              <w:tc>
                <w:tcPr>
                  <w:tcW w:w="1295" w:type="dxa"/>
                  <w:noWrap w:val="0"/>
                  <w:vAlign w:val="center"/>
                </w:tcPr>
                <w:p w14:paraId="73FFEA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化粪池</w:t>
                  </w:r>
                </w:p>
              </w:tc>
              <w:tc>
                <w:tcPr>
                  <w:tcW w:w="1361" w:type="dxa"/>
                  <w:noWrap w:val="0"/>
                  <w:vAlign w:val="center"/>
                </w:tcPr>
                <w:p w14:paraId="3C3E5C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定期清掏用作农肥</w:t>
                  </w:r>
                </w:p>
              </w:tc>
            </w:tr>
            <w:tr w14:paraId="3F98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center"/>
                </w:tcPr>
                <w:p w14:paraId="196411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p>
              </w:tc>
              <w:tc>
                <w:tcPr>
                  <w:tcW w:w="1032" w:type="dxa"/>
                  <w:noWrap w:val="0"/>
                  <w:vAlign w:val="center"/>
                </w:tcPr>
                <w:p w14:paraId="3EB461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p>
              </w:tc>
              <w:tc>
                <w:tcPr>
                  <w:tcW w:w="1124" w:type="dxa"/>
                  <w:noWrap w:val="0"/>
                  <w:vAlign w:val="center"/>
                </w:tcPr>
                <w:p w14:paraId="7E3DD1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p>
              </w:tc>
              <w:tc>
                <w:tcPr>
                  <w:tcW w:w="952" w:type="dxa"/>
                  <w:noWrap w:val="0"/>
                  <w:vAlign w:val="center"/>
                </w:tcPr>
                <w:p w14:paraId="6CF9F5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初期雨水</w:t>
                  </w:r>
                </w:p>
              </w:tc>
              <w:tc>
                <w:tcPr>
                  <w:tcW w:w="936" w:type="dxa"/>
                  <w:noWrap w:val="0"/>
                  <w:vAlign w:val="center"/>
                </w:tcPr>
                <w:p w14:paraId="3F5C37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19.4</w:t>
                  </w:r>
                </w:p>
              </w:tc>
              <w:tc>
                <w:tcPr>
                  <w:tcW w:w="1137" w:type="dxa"/>
                  <w:noWrap w:val="0"/>
                  <w:vAlign w:val="center"/>
                </w:tcPr>
                <w:p w14:paraId="76F997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2910</w:t>
                  </w:r>
                </w:p>
              </w:tc>
              <w:tc>
                <w:tcPr>
                  <w:tcW w:w="1295" w:type="dxa"/>
                  <w:noWrap w:val="0"/>
                  <w:vAlign w:val="center"/>
                </w:tcPr>
                <w:p w14:paraId="287792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初期雨水收集池</w:t>
                  </w:r>
                </w:p>
              </w:tc>
              <w:tc>
                <w:tcPr>
                  <w:tcW w:w="1361" w:type="dxa"/>
                  <w:noWrap w:val="0"/>
                  <w:vAlign w:val="center"/>
                </w:tcPr>
                <w:p w14:paraId="62386C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全部</w:t>
                  </w: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回用于项目洒水降尘用水及搅拌用水</w:t>
                  </w:r>
                </w:p>
              </w:tc>
            </w:tr>
            <w:tr w14:paraId="762B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center"/>
                </w:tcPr>
                <w:p w14:paraId="064B0C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合计</w:t>
                  </w:r>
                </w:p>
              </w:tc>
              <w:tc>
                <w:tcPr>
                  <w:tcW w:w="1032" w:type="dxa"/>
                  <w:noWrap w:val="0"/>
                  <w:vAlign w:val="center"/>
                </w:tcPr>
                <w:p w14:paraId="4DADD931">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4901.16</w:t>
                  </w:r>
                </w:p>
              </w:tc>
              <w:tc>
                <w:tcPr>
                  <w:tcW w:w="1124" w:type="dxa"/>
                  <w:noWrap w:val="0"/>
                  <w:vAlign w:val="center"/>
                </w:tcPr>
                <w:p w14:paraId="00F897E4">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1147814</w:t>
                  </w:r>
                </w:p>
              </w:tc>
              <w:tc>
                <w:tcPr>
                  <w:tcW w:w="952" w:type="dxa"/>
                  <w:noWrap w:val="0"/>
                  <w:vAlign w:val="center"/>
                </w:tcPr>
                <w:p w14:paraId="4CEAD003">
                  <w:pPr>
                    <w:keepNext w:val="0"/>
                    <w:keepLines w:val="0"/>
                    <w:widowControl/>
                    <w:suppressLineNumbers w:val="0"/>
                    <w:jc w:val="center"/>
                    <w:textAlignment w:val="cente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0</w:t>
                  </w:r>
                </w:p>
              </w:tc>
              <w:tc>
                <w:tcPr>
                  <w:tcW w:w="936" w:type="dxa"/>
                  <w:noWrap w:val="0"/>
                  <w:vAlign w:val="center"/>
                </w:tcPr>
                <w:p w14:paraId="2DED3704">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47.2</w:t>
                  </w:r>
                </w:p>
              </w:tc>
              <w:tc>
                <w:tcPr>
                  <w:tcW w:w="1137" w:type="dxa"/>
                  <w:noWrap w:val="0"/>
                  <w:vAlign w:val="center"/>
                </w:tcPr>
                <w:p w14:paraId="21794180">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9428.67</w:t>
                  </w:r>
                </w:p>
              </w:tc>
              <w:tc>
                <w:tcPr>
                  <w:tcW w:w="1295" w:type="dxa"/>
                  <w:noWrap w:val="0"/>
                  <w:vAlign w:val="center"/>
                </w:tcPr>
                <w:p w14:paraId="769B59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w:t>
                  </w:r>
                </w:p>
              </w:tc>
              <w:tc>
                <w:tcPr>
                  <w:tcW w:w="1361" w:type="dxa"/>
                  <w:noWrap w:val="0"/>
                  <w:vAlign w:val="center"/>
                </w:tcPr>
                <w:p w14:paraId="60A32A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w:t>
                  </w:r>
                </w:p>
              </w:tc>
            </w:tr>
          </w:tbl>
          <w:p w14:paraId="432B9937">
            <w:pPr>
              <w:pStyle w:val="13"/>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项目水量平衡如下所示：</w:t>
            </w:r>
          </w:p>
          <w:p w14:paraId="5B26CF8F">
            <w:pPr>
              <w:pStyle w:val="13"/>
              <w:rPr>
                <w:rFonts w:hint="eastAsia" w:ascii="Times New Roman" w:hAnsi="Times New Roman" w:eastAsia="宋体" w:cs="Times New Roman"/>
                <w:color w:val="000000" w:themeColor="text1"/>
                <w:sz w:val="24"/>
                <w:szCs w:val="24"/>
                <w:lang w:val="en-US" w:eastAsia="zh-CN"/>
                <w14:textFill>
                  <w14:solidFill>
                    <w14:schemeClr w14:val="tx1"/>
                  </w14:solidFill>
                </w14:textFill>
              </w:rPr>
            </w:pPr>
          </w:p>
          <w:p w14:paraId="3930D632">
            <w:pPr>
              <w:pStyle w:val="13"/>
              <w:rPr>
                <w:rFonts w:hint="eastAsia" w:ascii="Times New Roman" w:hAnsi="Times New Roman" w:eastAsia="宋体" w:cs="Times New Roman"/>
                <w:color w:val="000000" w:themeColor="text1"/>
                <w:sz w:val="24"/>
                <w:szCs w:val="24"/>
                <w:lang w:val="en-US" w:eastAsia="zh-CN"/>
                <w14:textFill>
                  <w14:solidFill>
                    <w14:schemeClr w14:val="tx1"/>
                  </w14:solidFill>
                </w14:textFill>
              </w:rPr>
            </w:pPr>
          </w:p>
          <w:p w14:paraId="5DDC57CD">
            <w:pPr>
              <w:pStyle w:val="13"/>
              <w:rPr>
                <w:rFonts w:hint="eastAsia" w:ascii="Times New Roman" w:hAnsi="Times New Roman" w:eastAsia="宋体" w:cs="Times New Roman"/>
                <w:color w:val="000000" w:themeColor="text1"/>
                <w:sz w:val="24"/>
                <w:szCs w:val="24"/>
                <w:lang w:val="en-US" w:eastAsia="zh-CN"/>
                <w14:textFill>
                  <w14:solidFill>
                    <w14:schemeClr w14:val="tx1"/>
                  </w14:solidFill>
                </w14:textFill>
              </w:rPr>
            </w:pPr>
          </w:p>
          <w:p w14:paraId="6A9E8464">
            <w:pPr>
              <w:pStyle w:val="13"/>
              <w:rPr>
                <w:rFonts w:hint="eastAsia" w:ascii="Times New Roman" w:hAnsi="Times New Roman" w:eastAsia="宋体" w:cs="Times New Roman"/>
                <w:color w:val="000000" w:themeColor="text1"/>
                <w:sz w:val="24"/>
                <w:szCs w:val="24"/>
                <w:lang w:val="en-US" w:eastAsia="zh-CN"/>
                <w14:textFill>
                  <w14:solidFill>
                    <w14:schemeClr w14:val="tx1"/>
                  </w14:solidFill>
                </w14:textFill>
              </w:rPr>
            </w:pPr>
          </w:p>
          <w:p w14:paraId="71CA3981">
            <w:pPr>
              <w:pStyle w:val="13"/>
              <w:rPr>
                <w:rFonts w:hint="eastAsia" w:ascii="Times New Roman" w:hAnsi="Times New Roman" w:eastAsia="宋体" w:cs="Times New Roman"/>
                <w:color w:val="000000" w:themeColor="text1"/>
                <w:sz w:val="24"/>
                <w:szCs w:val="24"/>
                <w:lang w:val="en-US" w:eastAsia="zh-CN"/>
                <w14:textFill>
                  <w14:solidFill>
                    <w14:schemeClr w14:val="tx1"/>
                  </w14:solidFill>
                </w14:textFill>
              </w:rPr>
            </w:pPr>
          </w:p>
          <w:p w14:paraId="685440F7">
            <w:pPr>
              <w:pStyle w:val="13"/>
              <w:rPr>
                <w:rFonts w:hint="eastAsia" w:ascii="Times New Roman" w:hAnsi="Times New Roman" w:eastAsia="宋体" w:cs="Times New Roman"/>
                <w:color w:val="000000" w:themeColor="text1"/>
                <w:sz w:val="24"/>
                <w:szCs w:val="24"/>
                <w:lang w:val="en-US" w:eastAsia="zh-CN"/>
                <w14:textFill>
                  <w14:solidFill>
                    <w14:schemeClr w14:val="tx1"/>
                  </w14:solidFill>
                </w14:textFill>
              </w:rPr>
            </w:pPr>
          </w:p>
          <w:p w14:paraId="5A871835">
            <w:pPr>
              <w:pStyle w:val="13"/>
              <w:rPr>
                <w:rFonts w:hint="eastAsia" w:ascii="Times New Roman" w:hAnsi="Times New Roman" w:eastAsia="宋体" w:cs="Times New Roman"/>
                <w:color w:val="000000" w:themeColor="text1"/>
                <w:sz w:val="24"/>
                <w:szCs w:val="24"/>
                <w:lang w:val="en-US" w:eastAsia="zh-CN"/>
                <w14:textFill>
                  <w14:solidFill>
                    <w14:schemeClr w14:val="tx1"/>
                  </w14:solidFill>
                </w14:textFill>
              </w:rPr>
            </w:pPr>
          </w:p>
          <w:p w14:paraId="7CA6808A">
            <w:pPr>
              <w:pStyle w:val="13"/>
              <w:rPr>
                <w:rFonts w:hint="eastAsia" w:ascii="Times New Roman" w:hAnsi="Times New Roman" w:eastAsia="宋体" w:cs="Times New Roman"/>
                <w:color w:val="000000" w:themeColor="text1"/>
                <w:sz w:val="24"/>
                <w:szCs w:val="24"/>
                <w:lang w:val="en-US" w:eastAsia="zh-CN"/>
                <w14:textFill>
                  <w14:solidFill>
                    <w14:schemeClr w14:val="tx1"/>
                  </w14:solidFill>
                </w14:textFill>
              </w:rPr>
            </w:pPr>
          </w:p>
          <w:p w14:paraId="14D1A380">
            <w:pPr>
              <w:pStyle w:val="13"/>
              <w:rPr>
                <w:rFonts w:hint="eastAsia" w:ascii="Times New Roman" w:hAnsi="Times New Roman" w:eastAsia="宋体" w:cs="Times New Roman"/>
                <w:color w:val="000000" w:themeColor="text1"/>
                <w:sz w:val="24"/>
                <w:szCs w:val="24"/>
                <w:lang w:val="en-US" w:eastAsia="zh-CN"/>
                <w14:textFill>
                  <w14:solidFill>
                    <w14:schemeClr w14:val="tx1"/>
                  </w14:solidFill>
                </w14:textFill>
              </w:rPr>
            </w:pPr>
          </w:p>
          <w:p w14:paraId="4F87FB4B">
            <w:pPr>
              <w:pStyle w:val="13"/>
              <w:rPr>
                <w:rFonts w:hint="eastAsia" w:ascii="Times New Roman" w:hAnsi="Times New Roman" w:eastAsia="宋体" w:cs="Times New Roman"/>
                <w:color w:val="000000" w:themeColor="text1"/>
                <w:sz w:val="24"/>
                <w:szCs w:val="24"/>
                <w:lang w:val="en-US" w:eastAsia="zh-CN"/>
                <w14:textFill>
                  <w14:solidFill>
                    <w14:schemeClr w14:val="tx1"/>
                  </w14:solidFill>
                </w14:textFill>
              </w:rPr>
            </w:pPr>
          </w:p>
          <w:p w14:paraId="291813B8">
            <w:pPr>
              <w:pStyle w:val="13"/>
              <w:rPr>
                <w:rFonts w:hint="eastAsia" w:ascii="Times New Roman" w:hAnsi="Times New Roman" w:eastAsia="宋体" w:cs="Times New Roman"/>
                <w:color w:val="000000" w:themeColor="text1"/>
                <w:sz w:val="24"/>
                <w:szCs w:val="24"/>
                <w:lang w:val="en-US" w:eastAsia="zh-CN"/>
                <w14:textFill>
                  <w14:solidFill>
                    <w14:schemeClr w14:val="tx1"/>
                  </w14:solidFill>
                </w14:textFill>
              </w:rPr>
            </w:pPr>
          </w:p>
          <w:p w14:paraId="470124D2">
            <w:pPr>
              <w:pStyle w:val="13"/>
              <w:rPr>
                <w:rFonts w:hint="eastAsia" w:ascii="Times New Roman" w:hAnsi="Times New Roman" w:eastAsia="宋体" w:cs="Times New Roman"/>
                <w:color w:val="000000" w:themeColor="text1"/>
                <w:sz w:val="24"/>
                <w:szCs w:val="24"/>
                <w:lang w:val="en-US" w:eastAsia="zh-CN"/>
                <w14:textFill>
                  <w14:solidFill>
                    <w14:schemeClr w14:val="tx1"/>
                  </w14:solidFill>
                </w14:textFill>
              </w:rPr>
            </w:pPr>
          </w:p>
          <w:p w14:paraId="73056487">
            <w:pPr>
              <w:pStyle w:val="27"/>
              <w:keepNext w:val="0"/>
              <w:keepLines w:val="0"/>
              <w:pageBreakBefore w:val="0"/>
              <w:widowControl w:val="0"/>
              <w:kinsoku/>
              <w:wordWrap/>
              <w:overflowPunct/>
              <w:topLinePunct w:val="0"/>
              <w:autoSpaceDE/>
              <w:autoSpaceDN/>
              <w:bidi w:val="0"/>
              <w:adjustRightInd/>
              <w:snapToGrid/>
              <w:spacing w:after="0"/>
              <w:ind w:left="0" w:leftChars="0" w:firstLine="0"/>
              <w:textAlignment w:val="auto"/>
              <w:outlineLvl w:val="9"/>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object>
                <v:shape id="_x0000_i1027" o:spt="75" type="#_x0000_t75" style="height:309.9pt;width:418.2pt;" o:ole="t" filled="f" o:preferrelative="t" stroked="f" coordsize="21600,21600">
                  <v:path/>
                  <v:fill on="f" focussize="0,0"/>
                  <v:stroke on="f"/>
                  <v:imagedata r:id="rId17" o:title=""/>
                  <o:lock v:ext="edit" aspectratio="f"/>
                  <w10:wrap type="none"/>
                  <w10:anchorlock/>
                </v:shape>
                <o:OLEObject Type="Embed" ProgID="Visio.Drawing.15" ShapeID="_x0000_i1027" DrawAspect="Content" ObjectID="_1468075727" r:id="rId16">
                  <o:LockedField>false</o:LockedField>
                </o:OLEObject>
              </w:object>
            </w:r>
          </w:p>
          <w:p w14:paraId="6D921DCF">
            <w:pPr>
              <w:pStyle w:val="27"/>
              <w:keepNext w:val="0"/>
              <w:keepLines w:val="0"/>
              <w:pageBreakBefore w:val="0"/>
              <w:widowControl w:val="0"/>
              <w:kinsoku/>
              <w:wordWrap/>
              <w:overflowPunct/>
              <w:topLinePunct w:val="0"/>
              <w:autoSpaceDE/>
              <w:autoSpaceDN/>
              <w:bidi w:val="0"/>
              <w:adjustRightInd/>
              <w:snapToGrid/>
              <w:spacing w:after="0" w:line="360" w:lineRule="auto"/>
              <w:ind w:left="0" w:leftChars="0" w:firstLine="0"/>
              <w:jc w:val="center"/>
              <w:textAlignment w:val="auto"/>
              <w:outlineLvl w:val="9"/>
              <w:rPr>
                <w:rFonts w:hint="default" w:ascii="Times New Roman" w:hAnsi="Times New Roman" w:eastAsia="宋体" w:cs="Times New Roman"/>
                <w:b/>
                <w:bCs/>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图2-1  项目日水量平衡图  单位：m</w:t>
            </w:r>
            <w:r>
              <w:rPr>
                <w:rFonts w:hint="eastAsia" w:ascii="Times New Roman" w:hAnsi="Times New Roman" w:eastAsia="宋体" w:cs="Times New Roman"/>
                <w:b/>
                <w:bCs/>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b/>
                <w:bCs/>
                <w:color w:val="000000" w:themeColor="text1"/>
                <w:sz w:val="24"/>
                <w:szCs w:val="24"/>
                <w:highlight w:val="none"/>
                <w:vertAlign w:val="baseline"/>
                <w:lang w:val="en-US" w:eastAsia="zh-CN"/>
                <w14:textFill>
                  <w14:solidFill>
                    <w14:schemeClr w14:val="tx1"/>
                  </w14:solidFill>
                </w14:textFill>
              </w:rPr>
              <w:t>/d</w:t>
            </w:r>
          </w:p>
          <w:p w14:paraId="588113B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object>
                <v:shape id="_x0000_i1028" o:spt="75" type="#_x0000_t75" style="height:288.35pt;width:407.45pt;" o:ole="t" filled="f" o:preferrelative="t" stroked="f" coordsize="21600,21600">
                  <v:path/>
                  <v:fill on="f" focussize="0,0"/>
                  <v:stroke on="f"/>
                  <v:imagedata r:id="rId19" o:title=""/>
                  <o:lock v:ext="edit" aspectratio="f"/>
                  <w10:wrap type="none"/>
                  <w10:anchorlock/>
                </v:shape>
                <o:OLEObject Type="Embed" ProgID="Visio.Drawing.15" ShapeID="_x0000_i1028" DrawAspect="Content" ObjectID="_1468075728" r:id="rId18">
                  <o:LockedField>false</o:LockedField>
                </o:OLEObject>
              </w:object>
            </w:r>
          </w:p>
          <w:p w14:paraId="129B65F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themeColor="text1"/>
                <w:szCs w:val="24"/>
                <w:highlight w:val="none"/>
                <w:lang w:val="en-US" w:eastAsia="zh-CN"/>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图2-</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2  项目年水量平衡图</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（m</w:t>
            </w:r>
            <w:r>
              <w:rPr>
                <w:rFonts w:hint="default" w:ascii="Times New Roman" w:hAnsi="Times New Roman" w:cs="Times New Roman"/>
                <w:b/>
                <w:bCs/>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a</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w:t>
            </w:r>
          </w:p>
          <w:p w14:paraId="2626B92A">
            <w:pPr>
              <w:keepNext w:val="0"/>
              <w:keepLines w:val="0"/>
              <w:pageBreakBefore w:val="0"/>
              <w:kinsoku/>
              <w:wordWrap w:val="0"/>
              <w:overflowPunct/>
              <w:topLinePunct w:val="0"/>
              <w:bidi w:val="0"/>
              <w:snapToGrid/>
              <w:spacing w:line="360" w:lineRule="auto"/>
              <w:ind w:left="0" w:leftChars="0" w:firstLine="482" w:firstLineChars="200"/>
              <w:outlineLvl w:val="9"/>
              <w:rPr>
                <w:rFonts w:hint="eastAsia"/>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6.2项目物料平衡</w:t>
            </w:r>
          </w:p>
          <w:p w14:paraId="675B8829">
            <w:pPr>
              <w:keepNext w:val="0"/>
              <w:keepLines w:val="0"/>
              <w:pageBreakBefore w:val="0"/>
              <w:widowControl w:val="0"/>
              <w:kinsoku/>
              <w:wordWrap w:val="0"/>
              <w:overflowPunct/>
              <w:topLinePunct w:val="0"/>
              <w:autoSpaceDE/>
              <w:autoSpaceDN/>
              <w:bidi w:val="0"/>
              <w:adjustRightInd/>
              <w:snapToGrid/>
              <w:spacing w:line="276" w:lineRule="auto"/>
              <w:ind w:left="0" w:leftChars="0" w:firstLine="0" w:firstLineChars="0"/>
              <w:jc w:val="center"/>
              <w:textAlignment w:val="auto"/>
              <w:outlineLvl w:val="9"/>
              <w:rPr>
                <w:rFonts w:hint="default"/>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表2-12  项目物料平衡</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1329"/>
              <w:gridCol w:w="1651"/>
              <w:gridCol w:w="2280"/>
              <w:gridCol w:w="2238"/>
            </w:tblGrid>
            <w:tr w14:paraId="47C3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3860" w:type="dxa"/>
                  <w:gridSpan w:val="3"/>
                  <w:noWrap w:val="0"/>
                  <w:vAlign w:val="center"/>
                </w:tcPr>
                <w:p w14:paraId="65DD98BD">
                  <w:pPr>
                    <w:pStyle w:val="82"/>
                    <w:keepNext w:val="0"/>
                    <w:keepLines w:val="0"/>
                    <w:pageBreakBefore w:val="0"/>
                    <w:kinsoku/>
                    <w:wordWrap/>
                    <w:overflowPunct/>
                    <w:topLinePunct w:val="0"/>
                    <w:autoSpaceDE/>
                    <w:autoSpaceDN/>
                    <w:bidi w:val="0"/>
                    <w:adjustRightInd w:val="0"/>
                    <w:snapToGrid w:val="0"/>
                    <w:spacing w:line="240" w:lineRule="auto"/>
                    <w:ind w:firstLine="0"/>
                    <w:jc w:val="center"/>
                    <w:textAlignment w:val="auto"/>
                    <w:outlineLvl w:val="2"/>
                    <w:rPr>
                      <w:rFonts w:hint="default"/>
                      <w:b/>
                      <w:color w:val="000000" w:themeColor="text1"/>
                      <w:sz w:val="21"/>
                      <w:szCs w:val="21"/>
                      <w:vertAlign w:val="baseline"/>
                      <w:lang w:val="en-US" w:eastAsia="zh-CN"/>
                      <w14:textFill>
                        <w14:solidFill>
                          <w14:schemeClr w14:val="tx1"/>
                        </w14:solidFill>
                      </w14:textFill>
                    </w:rPr>
                  </w:pPr>
                  <w:r>
                    <w:rPr>
                      <w:rFonts w:hint="eastAsia"/>
                      <w:b/>
                      <w:color w:val="000000" w:themeColor="text1"/>
                      <w:sz w:val="21"/>
                      <w:szCs w:val="21"/>
                      <w:vertAlign w:val="baseline"/>
                      <w:lang w:val="en-US" w:eastAsia="zh-CN"/>
                      <w14:textFill>
                        <w14:solidFill>
                          <w14:schemeClr w14:val="tx1"/>
                        </w14:solidFill>
                      </w14:textFill>
                    </w:rPr>
                    <w:t>输入（t/a）</w:t>
                  </w:r>
                </w:p>
              </w:tc>
              <w:tc>
                <w:tcPr>
                  <w:tcW w:w="4518" w:type="dxa"/>
                  <w:gridSpan w:val="2"/>
                  <w:noWrap w:val="0"/>
                  <w:vAlign w:val="center"/>
                </w:tcPr>
                <w:p w14:paraId="6E8E3F28">
                  <w:pPr>
                    <w:pStyle w:val="82"/>
                    <w:keepNext w:val="0"/>
                    <w:keepLines w:val="0"/>
                    <w:pageBreakBefore w:val="0"/>
                    <w:kinsoku/>
                    <w:wordWrap/>
                    <w:overflowPunct/>
                    <w:topLinePunct w:val="0"/>
                    <w:autoSpaceDE/>
                    <w:autoSpaceDN/>
                    <w:bidi w:val="0"/>
                    <w:adjustRightInd w:val="0"/>
                    <w:snapToGrid w:val="0"/>
                    <w:spacing w:line="240" w:lineRule="auto"/>
                    <w:ind w:firstLine="0"/>
                    <w:jc w:val="center"/>
                    <w:textAlignment w:val="auto"/>
                    <w:outlineLvl w:val="2"/>
                    <w:rPr>
                      <w:rFonts w:hint="default"/>
                      <w:b/>
                      <w:color w:val="000000" w:themeColor="text1"/>
                      <w:sz w:val="21"/>
                      <w:szCs w:val="21"/>
                      <w:vertAlign w:val="baseline"/>
                      <w:lang w:val="en-US" w:eastAsia="zh-CN"/>
                      <w14:textFill>
                        <w14:solidFill>
                          <w14:schemeClr w14:val="tx1"/>
                        </w14:solidFill>
                      </w14:textFill>
                    </w:rPr>
                  </w:pPr>
                  <w:r>
                    <w:rPr>
                      <w:rFonts w:hint="eastAsia"/>
                      <w:b/>
                      <w:color w:val="000000" w:themeColor="text1"/>
                      <w:sz w:val="21"/>
                      <w:szCs w:val="21"/>
                      <w:vertAlign w:val="baseline"/>
                      <w:lang w:val="en-US" w:eastAsia="zh-CN"/>
                      <w14:textFill>
                        <w14:solidFill>
                          <w14:schemeClr w14:val="tx1"/>
                        </w14:solidFill>
                      </w14:textFill>
                    </w:rPr>
                    <w:t>产出（t/a）</w:t>
                  </w:r>
                </w:p>
              </w:tc>
            </w:tr>
            <w:tr w14:paraId="3488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exact"/>
              </w:trPr>
              <w:tc>
                <w:tcPr>
                  <w:tcW w:w="880" w:type="dxa"/>
                  <w:vMerge w:val="restart"/>
                  <w:noWrap w:val="0"/>
                  <w:vAlign w:val="center"/>
                </w:tcPr>
                <w:p w14:paraId="0F87FD8C">
                  <w:pPr>
                    <w:pStyle w:val="82"/>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outlineLvl w:val="2"/>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原料</w:t>
                  </w:r>
                </w:p>
              </w:tc>
              <w:tc>
                <w:tcPr>
                  <w:tcW w:w="1329" w:type="dxa"/>
                  <w:noWrap w:val="0"/>
                  <w:vAlign w:val="center"/>
                </w:tcPr>
                <w:p w14:paraId="1A846A8D">
                  <w:pPr>
                    <w:widowControl/>
                    <w:snapToGrid w:val="0"/>
                    <w:jc w:val="center"/>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color w:val="000000" w:themeColor="text1"/>
                      <w:kern w:val="0"/>
                      <w:szCs w:val="21"/>
                      <w:lang w:val="en-US" w:eastAsia="zh-CN" w:bidi="ar"/>
                      <w14:textFill>
                        <w14:solidFill>
                          <w14:schemeClr w14:val="tx1"/>
                        </w14:solidFill>
                      </w14:textFill>
                    </w:rPr>
                    <w:t>粘土</w:t>
                  </w:r>
                </w:p>
              </w:tc>
              <w:tc>
                <w:tcPr>
                  <w:tcW w:w="1651" w:type="dxa"/>
                  <w:noWrap w:val="0"/>
                  <w:vAlign w:val="center"/>
                </w:tcPr>
                <w:p w14:paraId="2649CE94">
                  <w:pPr>
                    <w:keepNext w:val="0"/>
                    <w:keepLines w:val="0"/>
                    <w:widowControl/>
                    <w:suppressLineNumbers w:val="0"/>
                    <w:jc w:val="center"/>
                    <w:textAlignment w:val="center"/>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34097.14</w:t>
                  </w:r>
                </w:p>
              </w:tc>
              <w:tc>
                <w:tcPr>
                  <w:tcW w:w="2280" w:type="dxa"/>
                  <w:noWrap w:val="0"/>
                  <w:vAlign w:val="center"/>
                </w:tcPr>
                <w:p w14:paraId="13241FAE">
                  <w:pPr>
                    <w:pStyle w:val="82"/>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outlineLvl w:val="2"/>
                    <w:rPr>
                      <w:rFonts w:hint="default"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青瓦</w:t>
                  </w:r>
                </w:p>
              </w:tc>
              <w:tc>
                <w:tcPr>
                  <w:tcW w:w="2238" w:type="dxa"/>
                  <w:noWrap w:val="0"/>
                  <w:vAlign w:val="center"/>
                </w:tcPr>
                <w:p w14:paraId="51627659">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114000</w:t>
                  </w:r>
                </w:p>
              </w:tc>
            </w:tr>
            <w:tr w14:paraId="58E6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exact"/>
              </w:trPr>
              <w:tc>
                <w:tcPr>
                  <w:tcW w:w="880" w:type="dxa"/>
                  <w:vMerge w:val="continue"/>
                  <w:noWrap w:val="0"/>
                  <w:vAlign w:val="center"/>
                </w:tcPr>
                <w:p w14:paraId="1C3C7178">
                  <w:pPr>
                    <w:pStyle w:val="82"/>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outlineLvl w:val="2"/>
                    <w:rPr>
                      <w:rFonts w:hint="eastAsia"/>
                      <w:b w:val="0"/>
                      <w:bCs/>
                      <w:color w:val="000000" w:themeColor="text1"/>
                      <w:sz w:val="21"/>
                      <w:szCs w:val="21"/>
                      <w:vertAlign w:val="baseline"/>
                      <w:lang w:val="en-US" w:eastAsia="zh-CN"/>
                      <w14:textFill>
                        <w14:solidFill>
                          <w14:schemeClr w14:val="tx1"/>
                        </w14:solidFill>
                      </w14:textFill>
                    </w:rPr>
                  </w:pPr>
                </w:p>
              </w:tc>
              <w:tc>
                <w:tcPr>
                  <w:tcW w:w="1329" w:type="dxa"/>
                  <w:noWrap w:val="0"/>
                  <w:vAlign w:val="center"/>
                </w:tcPr>
                <w:p w14:paraId="15A6FD84">
                  <w:pPr>
                    <w:widowControl/>
                    <w:snapToGrid w:val="0"/>
                    <w:jc w:val="center"/>
                    <w:rPr>
                      <w:rFonts w:hint="default"/>
                      <w:color w:val="000000" w:themeColor="text1"/>
                      <w:kern w:val="0"/>
                      <w:szCs w:val="21"/>
                      <w:lang w:val="en-US" w:eastAsia="zh-CN" w:bidi="ar"/>
                      <w14:textFill>
                        <w14:solidFill>
                          <w14:schemeClr w14:val="tx1"/>
                        </w14:solidFill>
                      </w14:textFill>
                    </w:rPr>
                  </w:pPr>
                  <w:r>
                    <w:rPr>
                      <w:rFonts w:hint="eastAsia"/>
                      <w:color w:val="000000" w:themeColor="text1"/>
                      <w:kern w:val="0"/>
                      <w:szCs w:val="21"/>
                      <w:lang w:val="en-US" w:eastAsia="zh-CN" w:bidi="ar"/>
                      <w14:textFill>
                        <w14:solidFill>
                          <w14:schemeClr w14:val="tx1"/>
                        </w14:solidFill>
                      </w14:textFill>
                    </w:rPr>
                    <w:t>页岩土</w:t>
                  </w:r>
                </w:p>
              </w:tc>
              <w:tc>
                <w:tcPr>
                  <w:tcW w:w="1651" w:type="dxa"/>
                  <w:noWrap w:val="0"/>
                  <w:vAlign w:val="center"/>
                </w:tcPr>
                <w:p w14:paraId="0415B4C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80000</w:t>
                  </w:r>
                </w:p>
              </w:tc>
              <w:tc>
                <w:tcPr>
                  <w:tcW w:w="2280" w:type="dxa"/>
                  <w:noWrap w:val="0"/>
                  <w:vAlign w:val="center"/>
                </w:tcPr>
                <w:p w14:paraId="2251FA3F">
                  <w:pPr>
                    <w:pStyle w:val="82"/>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outlineLvl w:val="2"/>
                    <w:rPr>
                      <w:rFonts w:hint="eastAsia"/>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highlight w:val="none"/>
                      <w:vertAlign w:val="baseline"/>
                      <w:lang w:val="en-US" w:eastAsia="zh-CN"/>
                      <w14:textFill>
                        <w14:solidFill>
                          <w14:schemeClr w14:val="tx1"/>
                        </w14:solidFill>
                      </w14:textFill>
                    </w:rPr>
                    <w:t>粉尘</w:t>
                  </w:r>
                </w:p>
              </w:tc>
              <w:tc>
                <w:tcPr>
                  <w:tcW w:w="2238" w:type="dxa"/>
                  <w:noWrap w:val="0"/>
                  <w:vAlign w:val="center"/>
                </w:tcPr>
                <w:p w14:paraId="3C9290A7">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74.34</w:t>
                  </w:r>
                </w:p>
              </w:tc>
            </w:tr>
            <w:tr w14:paraId="781F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exact"/>
              </w:trPr>
              <w:tc>
                <w:tcPr>
                  <w:tcW w:w="880" w:type="dxa"/>
                  <w:noWrap w:val="0"/>
                  <w:vAlign w:val="center"/>
                </w:tcPr>
                <w:p w14:paraId="2856D0CD">
                  <w:pPr>
                    <w:pStyle w:val="82"/>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outlineLvl w:val="2"/>
                    <w:rPr>
                      <w:rFonts w:hint="default"/>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辅料</w:t>
                  </w:r>
                </w:p>
              </w:tc>
              <w:tc>
                <w:tcPr>
                  <w:tcW w:w="1329" w:type="dxa"/>
                  <w:noWrap w:val="0"/>
                  <w:vAlign w:val="center"/>
                </w:tcPr>
                <w:p w14:paraId="526A5802">
                  <w:pPr>
                    <w:widowControl/>
                    <w:snapToGrid w:val="0"/>
                    <w:jc w:val="center"/>
                    <w:rPr>
                      <w:rFonts w:hint="default"/>
                      <w:color w:val="000000" w:themeColor="text1"/>
                      <w:kern w:val="0"/>
                      <w:szCs w:val="21"/>
                      <w:highlight w:val="none"/>
                      <w:lang w:val="en-US" w:eastAsia="zh-CN" w:bidi="ar"/>
                      <w14:textFill>
                        <w14:solidFill>
                          <w14:schemeClr w14:val="tx1"/>
                        </w14:solidFill>
                      </w14:textFill>
                    </w:rPr>
                  </w:pPr>
                  <w:r>
                    <w:rPr>
                      <w:rFonts w:hint="eastAsia"/>
                      <w:color w:val="000000" w:themeColor="text1"/>
                      <w:kern w:val="0"/>
                      <w:szCs w:val="21"/>
                      <w:highlight w:val="none"/>
                      <w:lang w:val="en-US" w:eastAsia="zh-CN" w:bidi="ar"/>
                      <w14:textFill>
                        <w14:solidFill>
                          <w14:schemeClr w14:val="tx1"/>
                        </w14:solidFill>
                      </w14:textFill>
                    </w:rPr>
                    <w:t>水</w:t>
                  </w:r>
                </w:p>
              </w:tc>
              <w:tc>
                <w:tcPr>
                  <w:tcW w:w="1651" w:type="dxa"/>
                  <w:noWrap w:val="0"/>
                  <w:vAlign w:val="center"/>
                </w:tcPr>
                <w:p w14:paraId="74A80C6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91300</w:t>
                  </w:r>
                </w:p>
              </w:tc>
              <w:tc>
                <w:tcPr>
                  <w:tcW w:w="2280" w:type="dxa"/>
                  <w:noWrap w:val="0"/>
                  <w:vAlign w:val="center"/>
                </w:tcPr>
                <w:p w14:paraId="3770E259">
                  <w:pPr>
                    <w:pStyle w:val="82"/>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outlineLvl w:val="2"/>
                    <w:rPr>
                      <w:rFonts w:hint="eastAsia"/>
                      <w:b w:val="0"/>
                      <w:bCs/>
                      <w:color w:val="000000" w:themeColor="text1"/>
                      <w:sz w:val="21"/>
                      <w:szCs w:val="21"/>
                      <w:highlight w:val="none"/>
                      <w:vertAlign w:val="baseline"/>
                      <w:lang w:val="en-US" w:eastAsia="zh-CN"/>
                      <w14:textFill>
                        <w14:solidFill>
                          <w14:schemeClr w14:val="tx1"/>
                        </w14:solidFill>
                      </w14:textFill>
                    </w:rPr>
                  </w:pPr>
                  <w:r>
                    <w:rPr>
                      <w:rFonts w:hint="eastAsia"/>
                      <w:b w:val="0"/>
                      <w:bCs/>
                      <w:color w:val="000000" w:themeColor="text1"/>
                      <w:sz w:val="21"/>
                      <w:szCs w:val="21"/>
                      <w:highlight w:val="none"/>
                      <w:vertAlign w:val="baseline"/>
                      <w:lang w:val="en-US" w:eastAsia="zh-CN"/>
                      <w14:textFill>
                        <w14:solidFill>
                          <w14:schemeClr w14:val="tx1"/>
                        </w14:solidFill>
                      </w14:textFill>
                    </w:rPr>
                    <w:t>水蒸气</w:t>
                  </w:r>
                </w:p>
              </w:tc>
              <w:tc>
                <w:tcPr>
                  <w:tcW w:w="2238" w:type="dxa"/>
                  <w:noWrap w:val="0"/>
                  <w:vAlign w:val="center"/>
                </w:tcPr>
                <w:p w14:paraId="284C0401">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91300</w:t>
                  </w:r>
                </w:p>
              </w:tc>
            </w:tr>
            <w:tr w14:paraId="1C920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9" w:type="dxa"/>
                  <w:gridSpan w:val="2"/>
                  <w:noWrap w:val="0"/>
                  <w:vAlign w:val="center"/>
                </w:tcPr>
                <w:p w14:paraId="2A00E253">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outlineLvl w:val="2"/>
                    <w:rPr>
                      <w:rFonts w:hint="default"/>
                      <w:b w:val="0"/>
                      <w:bCs/>
                      <w:color w:val="000000" w:themeColor="text1"/>
                      <w:sz w:val="21"/>
                      <w:szCs w:val="21"/>
                      <w:highlight w:val="none"/>
                      <w:vertAlign w:val="baseline"/>
                      <w:lang w:val="en-US" w:eastAsia="zh-CN"/>
                      <w14:textFill>
                        <w14:solidFill>
                          <w14:schemeClr w14:val="tx1"/>
                        </w14:solidFill>
                      </w14:textFill>
                    </w:rPr>
                  </w:pPr>
                  <w:r>
                    <w:rPr>
                      <w:rFonts w:hint="eastAsia"/>
                      <w:b w:val="0"/>
                      <w:bCs/>
                      <w:color w:val="000000" w:themeColor="text1"/>
                      <w:sz w:val="21"/>
                      <w:szCs w:val="21"/>
                      <w:highlight w:val="none"/>
                      <w:vertAlign w:val="baseline"/>
                      <w:lang w:val="en-US" w:eastAsia="zh-CN"/>
                      <w14:textFill>
                        <w14:solidFill>
                          <w14:schemeClr w14:val="tx1"/>
                        </w14:solidFill>
                      </w14:textFill>
                    </w:rPr>
                    <w:t>/</w:t>
                  </w:r>
                </w:p>
              </w:tc>
              <w:tc>
                <w:tcPr>
                  <w:tcW w:w="1651" w:type="dxa"/>
                  <w:noWrap w:val="0"/>
                  <w:vAlign w:val="center"/>
                </w:tcPr>
                <w:p w14:paraId="354CA9A1">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outlineLvl w:val="2"/>
                    <w:rPr>
                      <w:rFonts w:hint="default"/>
                      <w:b w:val="0"/>
                      <w:bCs/>
                      <w:color w:val="000000" w:themeColor="text1"/>
                      <w:sz w:val="21"/>
                      <w:szCs w:val="21"/>
                      <w:highlight w:val="none"/>
                      <w:vertAlign w:val="baseline"/>
                      <w:lang w:val="en-US" w:eastAsia="zh-CN"/>
                      <w14:textFill>
                        <w14:solidFill>
                          <w14:schemeClr w14:val="tx1"/>
                        </w14:solidFill>
                      </w14:textFill>
                    </w:rPr>
                  </w:pPr>
                  <w:r>
                    <w:rPr>
                      <w:rFonts w:hint="eastAsia"/>
                      <w:b w:val="0"/>
                      <w:bCs/>
                      <w:color w:val="000000" w:themeColor="text1"/>
                      <w:sz w:val="21"/>
                      <w:szCs w:val="21"/>
                      <w:highlight w:val="none"/>
                      <w:vertAlign w:val="baseline"/>
                      <w:lang w:val="en-US" w:eastAsia="zh-CN"/>
                      <w14:textFill>
                        <w14:solidFill>
                          <w14:schemeClr w14:val="tx1"/>
                        </w14:solidFill>
                      </w14:textFill>
                    </w:rPr>
                    <w:t>/</w:t>
                  </w:r>
                </w:p>
              </w:tc>
              <w:tc>
                <w:tcPr>
                  <w:tcW w:w="2280" w:type="dxa"/>
                  <w:noWrap w:val="0"/>
                  <w:vAlign w:val="center"/>
                </w:tcPr>
                <w:p w14:paraId="5A1D51D0">
                  <w:pPr>
                    <w:pStyle w:val="82"/>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outlineLvl w:val="2"/>
                    <w:rPr>
                      <w:rFonts w:hint="default" w:ascii="Times New Roman" w:hAnsi="Times New Roman" w:eastAsia="宋体" w:cs="Times New Roman"/>
                      <w:b w:val="0"/>
                      <w:bCs/>
                      <w:color w:val="000000" w:themeColor="text1"/>
                      <w:kern w:val="2"/>
                      <w:sz w:val="21"/>
                      <w:szCs w:val="21"/>
                      <w:highlight w:val="none"/>
                      <w:vertAlign w:val="baseline"/>
                      <w:lang w:val="en-US" w:eastAsia="zh-CN" w:bidi="ar-SA"/>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边角料及不合格产品</w:t>
                  </w:r>
                </w:p>
              </w:tc>
              <w:tc>
                <w:tcPr>
                  <w:tcW w:w="2238" w:type="dxa"/>
                  <w:noWrap w:val="0"/>
                  <w:vAlign w:val="center"/>
                </w:tcPr>
                <w:p w14:paraId="764AC9F9">
                  <w:pPr>
                    <w:keepNext w:val="0"/>
                    <w:keepLines w:val="0"/>
                    <w:widowControl/>
                    <w:suppressLineNumbers w:val="0"/>
                    <w:jc w:val="center"/>
                    <w:textAlignment w:val="center"/>
                    <w:rPr>
                      <w:rFonts w:hint="default"/>
                      <w:b w:val="0"/>
                      <w:bCs/>
                      <w:color w:val="000000" w:themeColor="text1"/>
                      <w:sz w:val="21"/>
                      <w:szCs w:val="21"/>
                      <w:highlight w:val="none"/>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22.8</w:t>
                  </w:r>
                </w:p>
              </w:tc>
            </w:tr>
            <w:tr w14:paraId="3B979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9" w:type="dxa"/>
                  <w:gridSpan w:val="2"/>
                  <w:noWrap w:val="0"/>
                  <w:vAlign w:val="center"/>
                </w:tcPr>
                <w:p w14:paraId="56178EEC">
                  <w:pPr>
                    <w:pStyle w:val="82"/>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outlineLvl w:val="2"/>
                    <w:rPr>
                      <w:rFonts w:hint="default"/>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合计</w:t>
                  </w:r>
                </w:p>
              </w:tc>
              <w:tc>
                <w:tcPr>
                  <w:tcW w:w="1651" w:type="dxa"/>
                  <w:noWrap w:val="0"/>
                  <w:vAlign w:val="center"/>
                </w:tcPr>
                <w:p w14:paraId="36642A7A">
                  <w:pPr>
                    <w:keepNext w:val="0"/>
                    <w:keepLines w:val="0"/>
                    <w:widowControl/>
                    <w:suppressLineNumbers w:val="0"/>
                    <w:jc w:val="center"/>
                    <w:textAlignment w:val="center"/>
                    <w:rPr>
                      <w:rFonts w:hint="default"/>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205397.14</w:t>
                  </w:r>
                </w:p>
              </w:tc>
              <w:tc>
                <w:tcPr>
                  <w:tcW w:w="2280" w:type="dxa"/>
                  <w:noWrap w:val="0"/>
                  <w:vAlign w:val="center"/>
                </w:tcPr>
                <w:p w14:paraId="2429F625">
                  <w:pPr>
                    <w:keepNext w:val="0"/>
                    <w:keepLines w:val="0"/>
                    <w:widowControl/>
                    <w:suppressLineNumbers w:val="0"/>
                    <w:jc w:val="center"/>
                    <w:textAlignment w:val="center"/>
                    <w:rPr>
                      <w:rFonts w:hint="eastAsia"/>
                      <w:b w:val="0"/>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合计</w:t>
                  </w:r>
                </w:p>
              </w:tc>
              <w:tc>
                <w:tcPr>
                  <w:tcW w:w="2238" w:type="dxa"/>
                  <w:noWrap w:val="0"/>
                  <w:vAlign w:val="center"/>
                </w:tcPr>
                <w:p w14:paraId="61A4A9BC">
                  <w:pPr>
                    <w:keepNext w:val="0"/>
                    <w:keepLines w:val="0"/>
                    <w:widowControl/>
                    <w:suppressLineNumbers w:val="0"/>
                    <w:jc w:val="center"/>
                    <w:textAlignment w:val="center"/>
                    <w:rPr>
                      <w:rFonts w:hint="default"/>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205397.14</w:t>
                  </w:r>
                </w:p>
              </w:tc>
            </w:tr>
          </w:tbl>
          <w:p w14:paraId="51D9ECE9">
            <w:pPr>
              <w:spacing w:line="360" w:lineRule="auto"/>
              <w:ind w:firstLine="482" w:firstLineChars="200"/>
              <w:rPr>
                <w:b/>
                <w:bCs/>
                <w:color w:val="000000" w:themeColor="text1"/>
                <w:sz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7、</w:t>
            </w:r>
            <w:r>
              <w:rPr>
                <w:rFonts w:hint="eastAsia"/>
                <w:b/>
                <w:bCs/>
                <w:color w:val="000000" w:themeColor="text1"/>
                <w:sz w:val="24"/>
                <w14:textFill>
                  <w14:solidFill>
                    <w14:schemeClr w14:val="tx1"/>
                  </w14:solidFill>
                </w14:textFill>
              </w:rPr>
              <w:t>依托工程及可行性分析</w:t>
            </w:r>
          </w:p>
          <w:p w14:paraId="2848AE1F">
            <w:pPr>
              <w:adjustRightInd w:val="0"/>
              <w:snapToGrid w:val="0"/>
              <w:spacing w:line="360" w:lineRule="auto"/>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w:t>
            </w:r>
            <w:r>
              <w:rPr>
                <w:rFonts w:hint="eastAsia"/>
                <w:b/>
                <w:bCs/>
                <w:color w:val="000000" w:themeColor="text1"/>
                <w:sz w:val="24"/>
                <w:lang w:val="en-US" w:eastAsia="zh-CN"/>
                <w14:textFill>
                  <w14:solidFill>
                    <w14:schemeClr w14:val="tx1"/>
                  </w14:solidFill>
                </w14:textFill>
              </w:rPr>
              <w:t>生产设施设备</w:t>
            </w:r>
            <w:r>
              <w:rPr>
                <w:rFonts w:hint="eastAsia"/>
                <w:b/>
                <w:bCs/>
                <w:color w:val="000000" w:themeColor="text1"/>
                <w:sz w:val="24"/>
                <w14:textFill>
                  <w14:solidFill>
                    <w14:schemeClr w14:val="tx1"/>
                  </w14:solidFill>
                </w14:textFill>
              </w:rPr>
              <w:t>依托可行性分析</w:t>
            </w:r>
          </w:p>
          <w:p w14:paraId="699665BD">
            <w:pPr>
              <w:adjustRightInd w:val="0"/>
              <w:snapToGrid w:val="0"/>
              <w:spacing w:line="360" w:lineRule="auto"/>
              <w:ind w:firstLine="480" w:firstLineChars="200"/>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本次改扩建制瓦车间、瓦坯晾晒陈化区、原料贮存库、成品堆存区均依托现有项目已建设施，本次改扩建新增1台破碎机其余设备依托现有项目已有的，根据建设单位提供的资料，项目依托的生产设施可行性分析如下表所示：</w:t>
            </w:r>
          </w:p>
          <w:p w14:paraId="7898DF1B">
            <w:pPr>
              <w:keepNext w:val="0"/>
              <w:keepLines w:val="0"/>
              <w:pageBreakBefore w:val="0"/>
              <w:widowControl w:val="0"/>
              <w:kinsoku/>
              <w:wordWrap w:val="0"/>
              <w:overflowPunct/>
              <w:topLinePunct w:val="0"/>
              <w:autoSpaceDE/>
              <w:autoSpaceDN/>
              <w:bidi w:val="0"/>
              <w:adjustRightInd/>
              <w:snapToGrid/>
              <w:spacing w:line="276" w:lineRule="auto"/>
              <w:ind w:left="0" w:leftChars="0" w:firstLine="0" w:firstLineChars="0"/>
              <w:jc w:val="center"/>
              <w:textAlignment w:val="auto"/>
              <w:outlineLvl w:val="9"/>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表2-13  项目生产设施依托可行性分析一览表</w:t>
            </w:r>
          </w:p>
          <w:tbl>
            <w:tblPr>
              <w:tblStyle w:val="29"/>
              <w:tblW w:w="86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189"/>
              <w:gridCol w:w="2094"/>
              <w:gridCol w:w="901"/>
              <w:gridCol w:w="1260"/>
              <w:gridCol w:w="1428"/>
              <w:gridCol w:w="1091"/>
            </w:tblGrid>
            <w:tr w14:paraId="66AE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9" w:type="dxa"/>
                  <w:gridSpan w:val="2"/>
                  <w:noWrap w:val="0"/>
                  <w:vAlign w:val="center"/>
                </w:tcPr>
                <w:p w14:paraId="304EA14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生产单元名称</w:t>
                  </w:r>
                </w:p>
              </w:tc>
              <w:tc>
                <w:tcPr>
                  <w:tcW w:w="2094" w:type="dxa"/>
                  <w:noWrap w:val="0"/>
                  <w:vAlign w:val="center"/>
                </w:tcPr>
                <w:p w14:paraId="3FBF653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设施参数</w:t>
                  </w:r>
                </w:p>
              </w:tc>
              <w:tc>
                <w:tcPr>
                  <w:tcW w:w="901" w:type="dxa"/>
                  <w:noWrap w:val="0"/>
                  <w:vAlign w:val="center"/>
                </w:tcPr>
                <w:p w14:paraId="3ABF2EC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设计年生产时间（h）</w:t>
                  </w:r>
                </w:p>
              </w:tc>
              <w:tc>
                <w:tcPr>
                  <w:tcW w:w="1260" w:type="dxa"/>
                  <w:noWrap w:val="0"/>
                  <w:vAlign w:val="center"/>
                </w:tcPr>
                <w:p w14:paraId="3D7A29B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最大处理量</w:t>
                  </w:r>
                </w:p>
              </w:tc>
              <w:tc>
                <w:tcPr>
                  <w:tcW w:w="1428" w:type="dxa"/>
                  <w:noWrap w:val="0"/>
                  <w:vAlign w:val="center"/>
                </w:tcPr>
                <w:p w14:paraId="163E1F5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cs="Times New Roman"/>
                      <w:b/>
                      <w:bCs/>
                      <w:color w:val="000000" w:themeColor="text1"/>
                      <w:sz w:val="21"/>
                      <w:szCs w:val="21"/>
                      <w:vertAlign w:val="baseline"/>
                      <w:lang w:val="en-US" w:eastAsia="zh-CN"/>
                      <w14:textFill>
                        <w14:solidFill>
                          <w14:schemeClr w14:val="tx1"/>
                        </w14:solidFill>
                      </w14:textFill>
                    </w:rPr>
                    <w:t>扩建完成后最大使用量</w:t>
                  </w:r>
                </w:p>
              </w:tc>
              <w:tc>
                <w:tcPr>
                  <w:tcW w:w="1091" w:type="dxa"/>
                  <w:noWrap w:val="0"/>
                  <w:vAlign w:val="center"/>
                </w:tcPr>
                <w:p w14:paraId="688C241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是否满足改扩建后生产要求</w:t>
                  </w:r>
                </w:p>
              </w:tc>
            </w:tr>
            <w:tr w14:paraId="6D168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Merge w:val="restart"/>
                  <w:noWrap w:val="0"/>
                  <w:vAlign w:val="center"/>
                </w:tcPr>
                <w:p w14:paraId="5D81411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原辅料制备</w:t>
                  </w:r>
                </w:p>
              </w:tc>
              <w:tc>
                <w:tcPr>
                  <w:tcW w:w="1189" w:type="dxa"/>
                  <w:noWrap w:val="0"/>
                  <w:vAlign w:val="center"/>
                </w:tcPr>
                <w:p w14:paraId="01AEFE4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原料堆场</w:t>
                  </w:r>
                </w:p>
              </w:tc>
              <w:tc>
                <w:tcPr>
                  <w:tcW w:w="2094" w:type="dxa"/>
                  <w:noWrap w:val="0"/>
                  <w:vAlign w:val="center"/>
                </w:tcPr>
                <w:p w14:paraId="4DCBC89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占地面积：</w:t>
                  </w: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1200m</w:t>
                  </w:r>
                  <w:r>
                    <w:rPr>
                      <w:rFonts w:hint="eastAsia" w:ascii="Times New Roman" w:hAnsi="Times New Roman" w:eastAsia="宋体" w:cs="Times New Roman"/>
                      <w:b w:val="0"/>
                      <w:bCs w:val="0"/>
                      <w:color w:val="000000" w:themeColor="text1"/>
                      <w:kern w:val="0"/>
                      <w:sz w:val="21"/>
                      <w:szCs w:val="21"/>
                      <w:vertAlign w:val="superscript"/>
                      <w:lang w:val="en-US" w:eastAsia="zh-CN"/>
                      <w14:textFill>
                        <w14:solidFill>
                          <w14:schemeClr w14:val="tx1"/>
                        </w14:solidFill>
                      </w14:textFill>
                    </w:rPr>
                    <w:t>2</w:t>
                  </w:r>
                </w:p>
                <w:p w14:paraId="58B52965">
                  <w:pPr>
                    <w:bidi w:val="0"/>
                    <w:jc w:val="center"/>
                    <w:rPr>
                      <w:rFonts w:hint="default"/>
                      <w:color w:val="000000" w:themeColor="text1"/>
                      <w:vertAlign w:val="baseli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储量：2400m</w:t>
                  </w:r>
                  <w:r>
                    <w:rPr>
                      <w:rFonts w:hint="eastAsia"/>
                      <w:color w:val="000000" w:themeColor="text1"/>
                      <w:vertAlign w:val="superscript"/>
                      <w:lang w:val="en-US" w:eastAsia="zh-CN"/>
                      <w14:textFill>
                        <w14:solidFill>
                          <w14:schemeClr w14:val="tx1"/>
                        </w14:solidFill>
                      </w14:textFill>
                    </w:rPr>
                    <w:t>3</w:t>
                  </w:r>
                  <w:r>
                    <w:rPr>
                      <w:rFonts w:hint="eastAsia"/>
                      <w:color w:val="000000" w:themeColor="text1"/>
                      <w:vertAlign w:val="baseline"/>
                      <w:lang w:val="en-US" w:eastAsia="zh-CN"/>
                      <w14:textFill>
                        <w14:solidFill>
                          <w14:schemeClr w14:val="tx1"/>
                        </w14:solidFill>
                      </w14:textFill>
                    </w:rPr>
                    <w:t>（3600t）</w:t>
                  </w:r>
                </w:p>
              </w:tc>
              <w:tc>
                <w:tcPr>
                  <w:tcW w:w="901" w:type="dxa"/>
                  <w:vMerge w:val="restart"/>
                  <w:noWrap w:val="0"/>
                  <w:vAlign w:val="center"/>
                </w:tcPr>
                <w:p w14:paraId="149ADC3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4800</w:t>
                  </w:r>
                </w:p>
              </w:tc>
              <w:tc>
                <w:tcPr>
                  <w:tcW w:w="1260" w:type="dxa"/>
                  <w:noWrap w:val="0"/>
                  <w:vAlign w:val="center"/>
                </w:tcPr>
                <w:p w14:paraId="67D13C4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3600t/次</w:t>
                  </w:r>
                </w:p>
              </w:tc>
              <w:tc>
                <w:tcPr>
                  <w:tcW w:w="1428" w:type="dxa"/>
                  <w:noWrap w:val="0"/>
                  <w:vAlign w:val="center"/>
                </w:tcPr>
                <w:p w14:paraId="2BABC4C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11.409714万t/a</w:t>
                  </w:r>
                </w:p>
              </w:tc>
              <w:tc>
                <w:tcPr>
                  <w:tcW w:w="1091" w:type="dxa"/>
                  <w:noWrap w:val="0"/>
                  <w:vAlign w:val="center"/>
                </w:tcPr>
                <w:p w14:paraId="3F459A6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是</w:t>
                  </w:r>
                </w:p>
              </w:tc>
            </w:tr>
            <w:tr w14:paraId="0158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Merge w:val="continue"/>
                  <w:noWrap w:val="0"/>
                  <w:vAlign w:val="center"/>
                </w:tcPr>
                <w:p w14:paraId="38B69B8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189" w:type="dxa"/>
                  <w:noWrap w:val="0"/>
                  <w:vAlign w:val="center"/>
                </w:tcPr>
                <w:p w14:paraId="6DD809B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筛分机</w:t>
                  </w:r>
                </w:p>
              </w:tc>
              <w:tc>
                <w:tcPr>
                  <w:tcW w:w="2094" w:type="dxa"/>
                  <w:noWrap w:val="0"/>
                  <w:vAlign w:val="center"/>
                </w:tcPr>
                <w:p w14:paraId="0885A36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台时产量：</w:t>
                  </w:r>
                  <w:r>
                    <w:rPr>
                      <w:rFonts w:hint="eastAsia" w:cs="Times New Roman"/>
                      <w:b w:val="0"/>
                      <w:bCs w:val="0"/>
                      <w:color w:val="000000" w:themeColor="text1"/>
                      <w:kern w:val="0"/>
                      <w:sz w:val="21"/>
                      <w:szCs w:val="21"/>
                      <w:vertAlign w:val="baseline"/>
                      <w:lang w:val="en-US" w:eastAsia="zh-CN"/>
                      <w14:textFill>
                        <w14:solidFill>
                          <w14:schemeClr w14:val="tx1"/>
                        </w14:solidFill>
                      </w14:textFill>
                    </w:rPr>
                    <w:t>30</w:t>
                  </w: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t/h</w:t>
                  </w:r>
                </w:p>
              </w:tc>
              <w:tc>
                <w:tcPr>
                  <w:tcW w:w="901" w:type="dxa"/>
                  <w:vMerge w:val="continue"/>
                  <w:noWrap w:val="0"/>
                  <w:vAlign w:val="center"/>
                </w:tcPr>
                <w:p w14:paraId="584B363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260" w:type="dxa"/>
                  <w:noWrap w:val="0"/>
                  <w:vAlign w:val="center"/>
                </w:tcPr>
                <w:p w14:paraId="756B5EC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14.4</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万t/a</w:t>
                  </w:r>
                </w:p>
              </w:tc>
              <w:tc>
                <w:tcPr>
                  <w:tcW w:w="1428" w:type="dxa"/>
                  <w:noWrap w:val="0"/>
                  <w:vAlign w:val="center"/>
                </w:tcPr>
                <w:p w14:paraId="1E97025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11.409714万t/a</w:t>
                  </w:r>
                </w:p>
              </w:tc>
              <w:tc>
                <w:tcPr>
                  <w:tcW w:w="1091" w:type="dxa"/>
                  <w:noWrap w:val="0"/>
                  <w:vAlign w:val="center"/>
                </w:tcPr>
                <w:p w14:paraId="076D60D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是</w:t>
                  </w:r>
                </w:p>
              </w:tc>
            </w:tr>
            <w:tr w14:paraId="6623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Merge w:val="continue"/>
                  <w:noWrap w:val="0"/>
                  <w:vAlign w:val="center"/>
                </w:tcPr>
                <w:p w14:paraId="6166A9E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189" w:type="dxa"/>
                  <w:noWrap w:val="0"/>
                  <w:vAlign w:val="center"/>
                </w:tcPr>
                <w:p w14:paraId="5291AEB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粉磨机</w:t>
                  </w:r>
                </w:p>
              </w:tc>
              <w:tc>
                <w:tcPr>
                  <w:tcW w:w="2094" w:type="dxa"/>
                  <w:noWrap w:val="0"/>
                  <w:vAlign w:val="center"/>
                </w:tcPr>
                <w:p w14:paraId="532D5DD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台时产量：</w:t>
                  </w:r>
                  <w:r>
                    <w:rPr>
                      <w:rFonts w:hint="eastAsia" w:cs="Times New Roman"/>
                      <w:b w:val="0"/>
                      <w:bCs w:val="0"/>
                      <w:color w:val="000000" w:themeColor="text1"/>
                      <w:kern w:val="0"/>
                      <w:sz w:val="21"/>
                      <w:szCs w:val="21"/>
                      <w:vertAlign w:val="baseline"/>
                      <w:lang w:val="en-US" w:eastAsia="zh-CN"/>
                      <w14:textFill>
                        <w14:solidFill>
                          <w14:schemeClr w14:val="tx1"/>
                        </w14:solidFill>
                      </w14:textFill>
                    </w:rPr>
                    <w:t>30</w:t>
                  </w: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t/h</w:t>
                  </w:r>
                </w:p>
              </w:tc>
              <w:tc>
                <w:tcPr>
                  <w:tcW w:w="901" w:type="dxa"/>
                  <w:vMerge w:val="continue"/>
                  <w:noWrap w:val="0"/>
                  <w:vAlign w:val="center"/>
                </w:tcPr>
                <w:p w14:paraId="0FC827D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260" w:type="dxa"/>
                  <w:noWrap w:val="0"/>
                  <w:vAlign w:val="center"/>
                </w:tcPr>
                <w:p w14:paraId="1D21721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14.4</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万t/a</w:t>
                  </w:r>
                </w:p>
              </w:tc>
              <w:tc>
                <w:tcPr>
                  <w:tcW w:w="1428" w:type="dxa"/>
                  <w:noWrap w:val="0"/>
                  <w:vAlign w:val="center"/>
                </w:tcPr>
                <w:p w14:paraId="2FC1BB4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11.409714万t/a</w:t>
                  </w:r>
                </w:p>
              </w:tc>
              <w:tc>
                <w:tcPr>
                  <w:tcW w:w="1091" w:type="dxa"/>
                  <w:noWrap w:val="0"/>
                  <w:vAlign w:val="center"/>
                </w:tcPr>
                <w:p w14:paraId="5413787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是</w:t>
                  </w:r>
                </w:p>
              </w:tc>
            </w:tr>
            <w:tr w14:paraId="5B94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Merge w:val="continue"/>
                  <w:noWrap w:val="0"/>
                  <w:vAlign w:val="center"/>
                </w:tcPr>
                <w:p w14:paraId="1AA5CEA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189" w:type="dxa"/>
                  <w:noWrap w:val="0"/>
                  <w:vAlign w:val="center"/>
                </w:tcPr>
                <w:p w14:paraId="5FF5640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螺旋搅拌机</w:t>
                  </w:r>
                </w:p>
              </w:tc>
              <w:tc>
                <w:tcPr>
                  <w:tcW w:w="2094" w:type="dxa"/>
                  <w:noWrap w:val="0"/>
                  <w:vAlign w:val="center"/>
                </w:tcPr>
                <w:p w14:paraId="7E1F4B4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台时产量：</w:t>
                  </w:r>
                  <w:r>
                    <w:rPr>
                      <w:rFonts w:hint="eastAsia" w:cs="Times New Roman"/>
                      <w:b w:val="0"/>
                      <w:bCs w:val="0"/>
                      <w:color w:val="000000" w:themeColor="text1"/>
                      <w:kern w:val="0"/>
                      <w:sz w:val="21"/>
                      <w:szCs w:val="21"/>
                      <w:vertAlign w:val="baseline"/>
                      <w:lang w:val="en-US" w:eastAsia="zh-CN"/>
                      <w14:textFill>
                        <w14:solidFill>
                          <w14:schemeClr w14:val="tx1"/>
                        </w14:solidFill>
                      </w14:textFill>
                    </w:rPr>
                    <w:t>30</w:t>
                  </w: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t/h</w:t>
                  </w:r>
                </w:p>
              </w:tc>
              <w:tc>
                <w:tcPr>
                  <w:tcW w:w="901" w:type="dxa"/>
                  <w:vMerge w:val="continue"/>
                  <w:noWrap w:val="0"/>
                  <w:vAlign w:val="center"/>
                </w:tcPr>
                <w:p w14:paraId="443694C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260" w:type="dxa"/>
                  <w:noWrap w:val="0"/>
                  <w:vAlign w:val="center"/>
                </w:tcPr>
                <w:p w14:paraId="6C37310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14.4</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万t/a</w:t>
                  </w:r>
                </w:p>
              </w:tc>
              <w:tc>
                <w:tcPr>
                  <w:tcW w:w="1428" w:type="dxa"/>
                  <w:noWrap w:val="0"/>
                  <w:vAlign w:val="center"/>
                </w:tcPr>
                <w:p w14:paraId="010DDB2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11.409714万t/a</w:t>
                  </w:r>
                </w:p>
              </w:tc>
              <w:tc>
                <w:tcPr>
                  <w:tcW w:w="1091" w:type="dxa"/>
                  <w:noWrap w:val="0"/>
                  <w:vAlign w:val="center"/>
                </w:tcPr>
                <w:p w14:paraId="6E64107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是</w:t>
                  </w:r>
                </w:p>
              </w:tc>
            </w:tr>
            <w:tr w14:paraId="0B96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Merge w:val="restart"/>
                  <w:noWrap w:val="0"/>
                  <w:vAlign w:val="center"/>
                </w:tcPr>
                <w:p w14:paraId="2175FBF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成型系统</w:t>
                  </w:r>
                </w:p>
              </w:tc>
              <w:tc>
                <w:tcPr>
                  <w:tcW w:w="1189" w:type="dxa"/>
                  <w:noWrap w:val="0"/>
                  <w:vAlign w:val="center"/>
                </w:tcPr>
                <w:p w14:paraId="21A746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真空瓦机</w:t>
                  </w:r>
                </w:p>
              </w:tc>
              <w:tc>
                <w:tcPr>
                  <w:tcW w:w="2094" w:type="dxa"/>
                  <w:noWrap w:val="0"/>
                  <w:vAlign w:val="center"/>
                </w:tcPr>
                <w:p w14:paraId="4690F89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台时产量：1.5万片/h</w:t>
                  </w:r>
                </w:p>
              </w:tc>
              <w:tc>
                <w:tcPr>
                  <w:tcW w:w="901" w:type="dxa"/>
                  <w:vMerge w:val="continue"/>
                  <w:noWrap w:val="0"/>
                  <w:vAlign w:val="center"/>
                </w:tcPr>
                <w:p w14:paraId="4C5A230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260" w:type="dxa"/>
                  <w:noWrap w:val="0"/>
                  <w:vAlign w:val="center"/>
                </w:tcPr>
                <w:p w14:paraId="5031581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7200</w:t>
                  </w: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万片/a</w:t>
                  </w:r>
                </w:p>
              </w:tc>
              <w:tc>
                <w:tcPr>
                  <w:tcW w:w="1428" w:type="dxa"/>
                  <w:noWrap w:val="0"/>
                  <w:vAlign w:val="center"/>
                </w:tcPr>
                <w:p w14:paraId="2602892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3000</w:t>
                  </w: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万片/a</w:t>
                  </w:r>
                </w:p>
              </w:tc>
              <w:tc>
                <w:tcPr>
                  <w:tcW w:w="1091" w:type="dxa"/>
                  <w:noWrap w:val="0"/>
                  <w:vAlign w:val="center"/>
                </w:tcPr>
                <w:p w14:paraId="3706C15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是</w:t>
                  </w:r>
                </w:p>
              </w:tc>
            </w:tr>
            <w:tr w14:paraId="06DC9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Merge w:val="continue"/>
                  <w:noWrap w:val="0"/>
                  <w:vAlign w:val="center"/>
                </w:tcPr>
                <w:p w14:paraId="21CFB1C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189" w:type="dxa"/>
                  <w:noWrap w:val="0"/>
                  <w:vAlign w:val="center"/>
                </w:tcPr>
                <w:p w14:paraId="4CCB55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切条机</w:t>
                  </w:r>
                </w:p>
              </w:tc>
              <w:tc>
                <w:tcPr>
                  <w:tcW w:w="2094" w:type="dxa"/>
                  <w:noWrap w:val="0"/>
                  <w:vAlign w:val="center"/>
                </w:tcPr>
                <w:p w14:paraId="5AFEDDC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台时产量：1.5万片/h</w:t>
                  </w:r>
                </w:p>
              </w:tc>
              <w:tc>
                <w:tcPr>
                  <w:tcW w:w="901" w:type="dxa"/>
                  <w:vMerge w:val="continue"/>
                  <w:noWrap w:val="0"/>
                  <w:vAlign w:val="center"/>
                </w:tcPr>
                <w:p w14:paraId="455B44E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260" w:type="dxa"/>
                  <w:noWrap w:val="0"/>
                  <w:vAlign w:val="center"/>
                </w:tcPr>
                <w:p w14:paraId="19C3BC6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7200</w:t>
                  </w: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万片/a</w:t>
                  </w:r>
                </w:p>
              </w:tc>
              <w:tc>
                <w:tcPr>
                  <w:tcW w:w="1428" w:type="dxa"/>
                  <w:noWrap w:val="0"/>
                  <w:vAlign w:val="center"/>
                </w:tcPr>
                <w:p w14:paraId="4F45D88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3000</w:t>
                  </w: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万片/a</w:t>
                  </w:r>
                </w:p>
              </w:tc>
              <w:tc>
                <w:tcPr>
                  <w:tcW w:w="1091" w:type="dxa"/>
                  <w:noWrap w:val="0"/>
                  <w:vAlign w:val="center"/>
                </w:tcPr>
                <w:p w14:paraId="05086A6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是</w:t>
                  </w:r>
                </w:p>
              </w:tc>
            </w:tr>
            <w:tr w14:paraId="4079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Merge w:val="continue"/>
                  <w:noWrap w:val="0"/>
                  <w:vAlign w:val="center"/>
                </w:tcPr>
                <w:p w14:paraId="2CE0098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189" w:type="dxa"/>
                  <w:noWrap w:val="0"/>
                  <w:vAlign w:val="center"/>
                </w:tcPr>
                <w:p w14:paraId="185ABB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切坯机</w:t>
                  </w:r>
                </w:p>
              </w:tc>
              <w:tc>
                <w:tcPr>
                  <w:tcW w:w="2094" w:type="dxa"/>
                  <w:noWrap w:val="0"/>
                  <w:vAlign w:val="center"/>
                </w:tcPr>
                <w:p w14:paraId="33BA254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台时产量：1.5万片/h</w:t>
                  </w:r>
                </w:p>
              </w:tc>
              <w:tc>
                <w:tcPr>
                  <w:tcW w:w="901" w:type="dxa"/>
                  <w:vMerge w:val="continue"/>
                  <w:noWrap w:val="0"/>
                  <w:vAlign w:val="center"/>
                </w:tcPr>
                <w:p w14:paraId="0A5D501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260" w:type="dxa"/>
                  <w:noWrap w:val="0"/>
                  <w:vAlign w:val="center"/>
                </w:tcPr>
                <w:p w14:paraId="459A9D1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7200</w:t>
                  </w: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万片/a</w:t>
                  </w:r>
                </w:p>
              </w:tc>
              <w:tc>
                <w:tcPr>
                  <w:tcW w:w="1428" w:type="dxa"/>
                  <w:noWrap w:val="0"/>
                  <w:vAlign w:val="center"/>
                </w:tcPr>
                <w:p w14:paraId="2F5C23E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3000</w:t>
                  </w: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万片/a</w:t>
                  </w:r>
                </w:p>
              </w:tc>
              <w:tc>
                <w:tcPr>
                  <w:tcW w:w="1091" w:type="dxa"/>
                  <w:noWrap w:val="0"/>
                  <w:vAlign w:val="center"/>
                </w:tcPr>
                <w:p w14:paraId="18A0301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是</w:t>
                  </w:r>
                </w:p>
              </w:tc>
            </w:tr>
            <w:tr w14:paraId="5EEF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Merge w:val="continue"/>
                  <w:noWrap w:val="0"/>
                  <w:vAlign w:val="center"/>
                </w:tcPr>
                <w:p w14:paraId="2A93DC1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189" w:type="dxa"/>
                  <w:noWrap w:val="0"/>
                  <w:vAlign w:val="center"/>
                </w:tcPr>
                <w:p w14:paraId="740562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1#瓦坯晾晒陈化区</w:t>
                  </w:r>
                </w:p>
              </w:tc>
              <w:tc>
                <w:tcPr>
                  <w:tcW w:w="2094" w:type="dxa"/>
                  <w:vMerge w:val="restart"/>
                  <w:noWrap w:val="0"/>
                  <w:vAlign w:val="center"/>
                </w:tcPr>
                <w:p w14:paraId="124BEA1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占地面积：</w:t>
                  </w: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2870m</w:t>
                  </w:r>
                  <w:r>
                    <w:rPr>
                      <w:rFonts w:hint="eastAsia" w:ascii="Times New Roman" w:hAnsi="Times New Roman" w:eastAsia="宋体" w:cs="Times New Roman"/>
                      <w:b w:val="0"/>
                      <w:bCs w:val="0"/>
                      <w:color w:val="000000" w:themeColor="text1"/>
                      <w:kern w:val="0"/>
                      <w:sz w:val="21"/>
                      <w:szCs w:val="21"/>
                      <w:vertAlign w:val="superscript"/>
                      <w:lang w:val="en-US" w:eastAsia="zh-CN"/>
                      <w14:textFill>
                        <w14:solidFill>
                          <w14:schemeClr w14:val="tx1"/>
                        </w14:solidFill>
                      </w14:textFill>
                    </w:rPr>
                    <w:t>2</w:t>
                  </w:r>
                </w:p>
                <w:p w14:paraId="46E54E0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储量：300万片</w:t>
                  </w:r>
                </w:p>
              </w:tc>
              <w:tc>
                <w:tcPr>
                  <w:tcW w:w="901" w:type="dxa"/>
                  <w:vMerge w:val="continue"/>
                  <w:noWrap w:val="0"/>
                  <w:vAlign w:val="center"/>
                </w:tcPr>
                <w:p w14:paraId="1E6CCE3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260" w:type="dxa"/>
                  <w:vMerge w:val="restart"/>
                  <w:noWrap w:val="0"/>
                  <w:vAlign w:val="center"/>
                </w:tcPr>
                <w:p w14:paraId="2EA9DA3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300万片/次</w:t>
                  </w:r>
                </w:p>
              </w:tc>
              <w:tc>
                <w:tcPr>
                  <w:tcW w:w="1428" w:type="dxa"/>
                  <w:vMerge w:val="restart"/>
                  <w:noWrap w:val="0"/>
                  <w:vAlign w:val="center"/>
                </w:tcPr>
                <w:p w14:paraId="67B08C1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000000" w:themeColor="text1"/>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3000</w:t>
                  </w: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万片/a</w:t>
                  </w:r>
                </w:p>
              </w:tc>
              <w:tc>
                <w:tcPr>
                  <w:tcW w:w="1091" w:type="dxa"/>
                  <w:vMerge w:val="restart"/>
                  <w:noWrap w:val="0"/>
                  <w:vAlign w:val="center"/>
                </w:tcPr>
                <w:p w14:paraId="3D787C4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是</w:t>
                  </w:r>
                </w:p>
              </w:tc>
            </w:tr>
            <w:tr w14:paraId="270DD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Merge w:val="continue"/>
                  <w:noWrap w:val="0"/>
                  <w:vAlign w:val="center"/>
                </w:tcPr>
                <w:p w14:paraId="3A0C428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189" w:type="dxa"/>
                  <w:noWrap w:val="0"/>
                  <w:vAlign w:val="center"/>
                </w:tcPr>
                <w:p w14:paraId="4E0008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2#瓦坯晾晒陈化区</w:t>
                  </w:r>
                </w:p>
              </w:tc>
              <w:tc>
                <w:tcPr>
                  <w:tcW w:w="2094" w:type="dxa"/>
                  <w:vMerge w:val="continue"/>
                  <w:noWrap w:val="0"/>
                  <w:vAlign w:val="center"/>
                </w:tcPr>
                <w:p w14:paraId="2A94BD9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901" w:type="dxa"/>
                  <w:vMerge w:val="continue"/>
                  <w:noWrap w:val="0"/>
                  <w:vAlign w:val="center"/>
                </w:tcPr>
                <w:p w14:paraId="49AA02A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260" w:type="dxa"/>
                  <w:vMerge w:val="continue"/>
                  <w:noWrap w:val="0"/>
                  <w:vAlign w:val="center"/>
                </w:tcPr>
                <w:p w14:paraId="598E3A2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428" w:type="dxa"/>
                  <w:vMerge w:val="continue"/>
                  <w:noWrap w:val="0"/>
                  <w:vAlign w:val="center"/>
                </w:tcPr>
                <w:p w14:paraId="23C6D21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091" w:type="dxa"/>
                  <w:vMerge w:val="continue"/>
                  <w:noWrap w:val="0"/>
                  <w:vAlign w:val="center"/>
                </w:tcPr>
                <w:p w14:paraId="3A9F203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r>
            <w:tr w14:paraId="5BAA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center"/>
                </w:tcPr>
                <w:p w14:paraId="0A50A59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成品系统</w:t>
                  </w:r>
                </w:p>
              </w:tc>
              <w:tc>
                <w:tcPr>
                  <w:tcW w:w="1189" w:type="dxa"/>
                  <w:noWrap w:val="0"/>
                  <w:vAlign w:val="center"/>
                </w:tcPr>
                <w:p w14:paraId="2F5EF2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成品堆场</w:t>
                  </w:r>
                </w:p>
              </w:tc>
              <w:tc>
                <w:tcPr>
                  <w:tcW w:w="2094" w:type="dxa"/>
                  <w:noWrap w:val="0"/>
                  <w:vAlign w:val="center"/>
                </w:tcPr>
                <w:p w14:paraId="044E568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占地面积：</w:t>
                  </w: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4500m</w:t>
                  </w:r>
                  <w:r>
                    <w:rPr>
                      <w:rFonts w:hint="eastAsia" w:ascii="Times New Roman" w:hAnsi="Times New Roman" w:eastAsia="宋体" w:cs="Times New Roman"/>
                      <w:b w:val="0"/>
                      <w:bCs w:val="0"/>
                      <w:color w:val="000000" w:themeColor="text1"/>
                      <w:kern w:val="0"/>
                      <w:sz w:val="21"/>
                      <w:szCs w:val="21"/>
                      <w:vertAlign w:val="superscript"/>
                      <w:lang w:val="en-US" w:eastAsia="zh-CN"/>
                      <w14:textFill>
                        <w14:solidFill>
                          <w14:schemeClr w14:val="tx1"/>
                        </w14:solidFill>
                      </w14:textFill>
                    </w:rPr>
                    <w:t>2</w:t>
                  </w:r>
                </w:p>
                <w:p w14:paraId="5CC4C639">
                  <w:pPr>
                    <w:keepNext w:val="0"/>
                    <w:keepLines w:val="0"/>
                    <w:pageBreakBefore w:val="0"/>
                    <w:widowControl w:val="0"/>
                    <w:tabs>
                      <w:tab w:val="left" w:pos="526"/>
                    </w:tabs>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储量：500万片</w:t>
                  </w:r>
                </w:p>
              </w:tc>
              <w:tc>
                <w:tcPr>
                  <w:tcW w:w="901" w:type="dxa"/>
                  <w:vMerge w:val="continue"/>
                  <w:noWrap w:val="0"/>
                  <w:vAlign w:val="center"/>
                </w:tcPr>
                <w:p w14:paraId="5F9C188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260" w:type="dxa"/>
                  <w:noWrap w:val="0"/>
                  <w:vAlign w:val="center"/>
                </w:tcPr>
                <w:p w14:paraId="4243646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500万片/次</w:t>
                  </w:r>
                </w:p>
              </w:tc>
              <w:tc>
                <w:tcPr>
                  <w:tcW w:w="1428" w:type="dxa"/>
                  <w:noWrap w:val="0"/>
                  <w:vAlign w:val="center"/>
                </w:tcPr>
                <w:p w14:paraId="13A4182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000000" w:themeColor="text1"/>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3000</w:t>
                  </w: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万片/a</w:t>
                  </w:r>
                </w:p>
              </w:tc>
              <w:tc>
                <w:tcPr>
                  <w:tcW w:w="1091" w:type="dxa"/>
                  <w:noWrap w:val="0"/>
                  <w:vAlign w:val="center"/>
                </w:tcPr>
                <w:p w14:paraId="69A1043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是</w:t>
                  </w:r>
                </w:p>
              </w:tc>
            </w:tr>
          </w:tbl>
          <w:p w14:paraId="4F0FA23D">
            <w:pPr>
              <w:adjustRightInd w:val="0"/>
              <w:snapToGrid w:val="0"/>
              <w:spacing w:line="360" w:lineRule="auto"/>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根据上表分析，项目依托的现有项目已建的生产设施的最大生产能力均能满足本次改扩建生产需求，</w:t>
            </w:r>
            <w:r>
              <w:rPr>
                <w:rFonts w:hint="eastAsia"/>
                <w:color w:val="000000" w:themeColor="text1"/>
                <w:sz w:val="24"/>
                <w:highlight w:val="none"/>
                <w14:textFill>
                  <w14:solidFill>
                    <w14:schemeClr w14:val="tx1"/>
                  </w14:solidFill>
                </w14:textFill>
              </w:rPr>
              <w:t>依托可行。</w:t>
            </w:r>
          </w:p>
          <w:p w14:paraId="16CC9F32">
            <w:pPr>
              <w:spacing w:line="360" w:lineRule="auto"/>
              <w:ind w:firstLine="482" w:firstLineChars="200"/>
              <w:rPr>
                <w:rFonts w:hint="default"/>
                <w:b/>
                <w:bCs/>
                <w:color w:val="000000" w:themeColor="text1"/>
                <w:sz w:val="24"/>
                <w:lang w:val="en-US" w:eastAsia="zh-CN"/>
                <w14:textFill>
                  <w14:solidFill>
                    <w14:schemeClr w14:val="tx1"/>
                  </w14:solidFill>
                </w14:textFill>
              </w:rPr>
            </w:pPr>
            <w:r>
              <w:rPr>
                <w:rFonts w:hint="eastAsia"/>
                <w:b/>
                <w:bCs/>
                <w:color w:val="000000" w:themeColor="text1"/>
                <w:sz w:val="24"/>
                <w14:textFill>
                  <w14:solidFill>
                    <w14:schemeClr w14:val="tx1"/>
                  </w14:solidFill>
                </w14:textFill>
              </w:rPr>
              <w:t>（</w:t>
            </w:r>
            <w:r>
              <w:rPr>
                <w:b/>
                <w:bCs/>
                <w:color w:val="000000" w:themeColor="text1"/>
                <w:sz w:val="24"/>
                <w14:textFill>
                  <w14:solidFill>
                    <w14:schemeClr w14:val="tx1"/>
                  </w14:solidFill>
                </w14:textFill>
              </w:rPr>
              <w:t>2）</w:t>
            </w:r>
            <w:r>
              <w:rPr>
                <w:rFonts w:hint="eastAsia"/>
                <w:b/>
                <w:bCs/>
                <w:color w:val="000000" w:themeColor="text1"/>
                <w:sz w:val="24"/>
                <w:lang w:val="en-US" w:eastAsia="zh-CN"/>
                <w14:textFill>
                  <w14:solidFill>
                    <w14:schemeClr w14:val="tx1"/>
                  </w14:solidFill>
                </w14:textFill>
              </w:rPr>
              <w:t>废水收集处理设施存在问题及依托可行性</w:t>
            </w:r>
          </w:p>
          <w:p w14:paraId="3563DDB8">
            <w:pPr>
              <w:tabs>
                <w:tab w:val="left" w:pos="236"/>
              </w:tabs>
              <w:spacing w:line="360" w:lineRule="auto"/>
              <w:ind w:firstLine="480" w:firstLineChars="200"/>
              <w:rPr>
                <w:rFonts w:hint="eastAsia"/>
                <w:b/>
                <w:bCs/>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根据现场调查，原有项目</w:t>
            </w:r>
            <w:r>
              <w:rPr>
                <w:rFonts w:hint="eastAsia" w:cs="Times New Roman"/>
                <w:color w:val="000000" w:themeColor="text1"/>
                <w:sz w:val="24"/>
                <w:szCs w:val="24"/>
                <w:lang w:val="en-US" w:eastAsia="zh-CN"/>
                <w14:textFill>
                  <w14:solidFill>
                    <w14:schemeClr w14:val="tx1"/>
                  </w14:solidFill>
                </w14:textFill>
              </w:rPr>
              <w:t>建设有1个初期雨水收集池及1个化粪池，废水收集处理设施存在问题及依托情况如下所示：</w:t>
            </w:r>
          </w:p>
          <w:p w14:paraId="78BFEC87">
            <w:pPr>
              <w:tabs>
                <w:tab w:val="left" w:pos="236"/>
              </w:tabs>
              <w:spacing w:line="360" w:lineRule="auto"/>
              <w:ind w:firstLine="482" w:firstLineChars="200"/>
              <w:rPr>
                <w:rFonts w:hint="eastAsia" w:eastAsia="宋体"/>
                <w:b/>
                <w:bCs/>
                <w:color w:val="000000" w:themeColor="text1"/>
                <w:sz w:val="24"/>
                <w:lang w:eastAsia="zh-CN"/>
                <w14:textFill>
                  <w14:solidFill>
                    <w14:schemeClr w14:val="tx1"/>
                  </w14:solidFill>
                </w14:textFill>
              </w:rPr>
            </w:pPr>
            <w:r>
              <w:rPr>
                <w:rFonts w:hint="eastAsia"/>
                <w:b/>
                <w:bCs/>
                <w:color w:val="000000" w:themeColor="text1"/>
                <w:sz w:val="24"/>
                <w14:textFill>
                  <w14:solidFill>
                    <w14:schemeClr w14:val="tx1"/>
                  </w14:solidFill>
                </w14:textFill>
              </w:rPr>
              <w:t>①</w:t>
            </w:r>
            <w:r>
              <w:rPr>
                <w:rFonts w:hint="eastAsia"/>
                <w:b/>
                <w:bCs/>
                <w:color w:val="000000" w:themeColor="text1"/>
                <w:sz w:val="24"/>
                <w:lang w:eastAsia="zh-CN"/>
                <w14:textFill>
                  <w14:solidFill>
                    <w14:schemeClr w14:val="tx1"/>
                  </w14:solidFill>
                </w14:textFill>
              </w:rPr>
              <w:t>初期雨水收集池</w:t>
            </w:r>
          </w:p>
          <w:p w14:paraId="4CA561A7">
            <w:pPr>
              <w:tabs>
                <w:tab w:val="left" w:pos="2850"/>
              </w:tabs>
              <w:spacing w:line="360" w:lineRule="auto"/>
              <w:ind w:firstLine="480" w:firstLineChars="200"/>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初期雨水收集系统：厂区现状雨水依托地势自流汇入西侧南北走向的雨水明渠，雨水沟渠末端经管道接入初期雨水收集池。经现场核查，该套初期雨水收集设施存在管道管径偏小、未安装切换阀门等问题。</w:t>
            </w:r>
          </w:p>
          <w:p w14:paraId="437D7ABE">
            <w:pPr>
              <w:tabs>
                <w:tab w:val="left" w:pos="2850"/>
              </w:tabs>
              <w:spacing w:line="360" w:lineRule="auto"/>
              <w:ind w:firstLine="480" w:firstLineChars="200"/>
              <w:rPr>
                <w:rFonts w:hint="default" w:eastAsia="宋体"/>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结合项目污染防控要求，本次环评提出如下整改措施：更换管径满足收集要求的进水管道，并配套安装切断阀；严格管控收集时长，仅收集降雨前15分钟的初期雨水，后期雨水通过沿原有雨水沟渠外排；同时按规范设置标准化雨水排放口。</w:t>
            </w:r>
          </w:p>
          <w:p w14:paraId="277C28C2">
            <w:pPr>
              <w:tabs>
                <w:tab w:val="left" w:pos="2850"/>
              </w:tabs>
              <w:spacing w:line="360" w:lineRule="auto"/>
              <w:ind w:firstLine="480" w:firstLineChars="200"/>
              <w:rPr>
                <w:rFonts w:hint="default" w:eastAsia="宋体"/>
                <w:color w:val="000000" w:themeColor="text1"/>
                <w:sz w:val="24"/>
                <w:vertAlign w:val="baseline"/>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初期雨水收集池：</w:t>
            </w:r>
            <w:r>
              <w:rPr>
                <w:rFonts w:hint="eastAsia" w:eastAsia="宋体"/>
                <w:color w:val="000000" w:themeColor="text1"/>
                <w:sz w:val="24"/>
                <w:lang w:val="en-US" w:eastAsia="zh-CN"/>
                <w14:textFill>
                  <w14:solidFill>
                    <w14:schemeClr w14:val="tx1"/>
                  </w14:solidFill>
                </w14:textFill>
              </w:rPr>
              <w:t>本次改扩建后初期雨水收集池依托现有已建的1个容积为20m</w:t>
            </w:r>
            <w:r>
              <w:rPr>
                <w:rFonts w:hint="eastAsia" w:eastAsia="宋体"/>
                <w:color w:val="000000" w:themeColor="text1"/>
                <w:sz w:val="24"/>
                <w:vertAlign w:val="superscript"/>
                <w:lang w:val="en-US" w:eastAsia="zh-CN"/>
                <w14:textFill>
                  <w14:solidFill>
                    <w14:schemeClr w14:val="tx1"/>
                  </w14:solidFill>
                </w14:textFill>
              </w:rPr>
              <w:t>3</w:t>
            </w:r>
            <w:r>
              <w:rPr>
                <w:rFonts w:hint="eastAsia" w:eastAsia="宋体"/>
                <w:color w:val="000000" w:themeColor="text1"/>
                <w:sz w:val="24"/>
                <w:vertAlign w:val="baseline"/>
                <w:lang w:val="en-US" w:eastAsia="zh-CN"/>
                <w14:textFill>
                  <w14:solidFill>
                    <w14:schemeClr w14:val="tx1"/>
                  </w14:solidFill>
                </w14:textFill>
              </w:rPr>
              <w:t>的初期雨水收集池，根据水量平衡计算可知，改扩建完成后项目初期雨水产生量为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19.4m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/次（2910m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/a），已建的初期雨水收集池容积能够满足改扩建完成后初期雨水收集需求，依托可行。</w:t>
            </w:r>
          </w:p>
          <w:p w14:paraId="4184E745">
            <w:pPr>
              <w:tabs>
                <w:tab w:val="left" w:pos="2850"/>
              </w:tabs>
              <w:spacing w:line="360" w:lineRule="auto"/>
              <w:ind w:firstLine="480" w:firstLineChars="200"/>
              <w:rPr>
                <w:rFonts w:hint="default" w:eastAsia="宋体"/>
                <w:b/>
                <w:bCs/>
                <w:color w:val="000000" w:themeColor="text1"/>
                <w:sz w:val="24"/>
                <w:lang w:val="en-US" w:eastAsia="zh-CN"/>
                <w14:textFill>
                  <w14:solidFill>
                    <w14:schemeClr w14:val="tx1"/>
                  </w14:solidFill>
                </w14:textFill>
              </w:rPr>
            </w:pPr>
            <w:r>
              <w:rPr>
                <w:rFonts w:hint="eastAsia"/>
                <w:b w:val="0"/>
                <w:bCs w:val="0"/>
                <w:color w:val="000000" w:themeColor="text1"/>
                <w:sz w:val="24"/>
                <w:lang w:val="en-US" w:eastAsia="zh-CN"/>
                <w14:textFill>
                  <w14:solidFill>
                    <w14:schemeClr w14:val="tx1"/>
                  </w14:solidFill>
                </w14:textFill>
              </w:rPr>
              <w:t>初期雨水回用系统：经现场核查，未配套建设初期雨水回用系统。本次环评提出整改措施：配套建设初期雨水回用系统。</w:t>
            </w:r>
          </w:p>
          <w:p w14:paraId="49A49437">
            <w:pPr>
              <w:tabs>
                <w:tab w:val="left" w:pos="2850"/>
              </w:tabs>
              <w:spacing w:line="360" w:lineRule="auto"/>
              <w:ind w:firstLine="482" w:firstLineChars="200"/>
              <w:rPr>
                <w:rFonts w:hint="eastAsia"/>
                <w:b/>
                <w:bCs/>
                <w:color w:val="000000" w:themeColor="text1"/>
                <w:sz w:val="24"/>
                <w:lang w:eastAsia="zh-CN"/>
                <w14:textFill>
                  <w14:solidFill>
                    <w14:schemeClr w14:val="tx1"/>
                  </w14:solidFill>
                </w14:textFill>
              </w:rPr>
            </w:pPr>
            <w:r>
              <w:rPr>
                <w:rFonts w:hint="eastAsia"/>
                <w:b/>
                <w:bCs/>
                <w:color w:val="000000" w:themeColor="text1"/>
                <w:sz w:val="24"/>
                <w14:textFill>
                  <w14:solidFill>
                    <w14:schemeClr w14:val="tx1"/>
                  </w14:solidFill>
                </w14:textFill>
              </w:rPr>
              <w:t>②</w:t>
            </w:r>
            <w:r>
              <w:rPr>
                <w:rFonts w:hint="eastAsia"/>
                <w:b/>
                <w:bCs/>
                <w:color w:val="000000" w:themeColor="text1"/>
                <w:sz w:val="24"/>
                <w:lang w:eastAsia="zh-CN"/>
                <w14:textFill>
                  <w14:solidFill>
                    <w14:schemeClr w14:val="tx1"/>
                  </w14:solidFill>
                </w14:textFill>
              </w:rPr>
              <w:t>生活污水收集设施</w:t>
            </w:r>
          </w:p>
          <w:p w14:paraId="6A52FE26">
            <w:pPr>
              <w:keepNext w:val="0"/>
              <w:keepLines w:val="0"/>
              <w:pageBreakBefore w:val="0"/>
              <w:kinsoku/>
              <w:wordWrap w:val="0"/>
              <w:overflowPunct/>
              <w:topLinePunct w:val="0"/>
              <w:bidi w:val="0"/>
              <w:snapToGrid/>
              <w:spacing w:line="360" w:lineRule="auto"/>
              <w:ind w:left="0" w:leftChars="0" w:firstLine="480" w:firstLineChars="200"/>
              <w:outlineLvl w:val="9"/>
              <w:rPr>
                <w:rFonts w:hint="default" w:eastAsia="宋体"/>
                <w:color w:val="000000" w:themeColor="text1"/>
                <w:sz w:val="24"/>
                <w:vertAlign w:val="baseline"/>
                <w:lang w:val="en-US" w:eastAsia="zh-CN"/>
                <w14:textFill>
                  <w14:solidFill>
                    <w14:schemeClr w14:val="tx1"/>
                  </w14:solidFill>
                </w14:textFill>
              </w:rPr>
            </w:pPr>
            <w:r>
              <w:rPr>
                <w:rFonts w:hint="eastAsia" w:eastAsia="宋体"/>
                <w:color w:val="000000" w:themeColor="text1"/>
                <w:sz w:val="24"/>
                <w:lang w:val="en-US" w:eastAsia="zh-CN"/>
                <w14:textFill>
                  <w14:solidFill>
                    <w14:schemeClr w14:val="tx1"/>
                  </w14:solidFill>
                </w14:textFill>
              </w:rPr>
              <w:t>本次改扩建后生活污水依托现有项目已建的1个容积为10m</w:t>
            </w:r>
            <w:r>
              <w:rPr>
                <w:rFonts w:hint="eastAsia" w:eastAsia="宋体"/>
                <w:color w:val="000000" w:themeColor="text1"/>
                <w:sz w:val="24"/>
                <w:vertAlign w:val="superscript"/>
                <w:lang w:val="en-US" w:eastAsia="zh-CN"/>
                <w14:textFill>
                  <w14:solidFill>
                    <w14:schemeClr w14:val="tx1"/>
                  </w14:solidFill>
                </w14:textFill>
              </w:rPr>
              <w:t>3</w:t>
            </w:r>
            <w:r>
              <w:rPr>
                <w:rFonts w:hint="eastAsia" w:eastAsia="宋体"/>
                <w:color w:val="000000" w:themeColor="text1"/>
                <w:sz w:val="24"/>
                <w:vertAlign w:val="baseline"/>
                <w:lang w:val="en-US" w:eastAsia="zh-CN"/>
                <w14:textFill>
                  <w14:solidFill>
                    <w14:schemeClr w14:val="tx1"/>
                  </w14:solidFill>
                </w14:textFill>
              </w:rPr>
              <w:t>的化粪池处理，本次改扩建完成后生活污水产生量为</w:t>
            </w:r>
            <w:r>
              <w:rPr>
                <w:rFonts w:hint="eastAsia"/>
                <w:color w:val="000000" w:themeColor="text1"/>
                <w:sz w:val="24"/>
                <w:highlight w:val="none"/>
                <w:lang w:val="en-US" w:eastAsia="zh-CN"/>
                <w14:textFill>
                  <w14:solidFill>
                    <w14:schemeClr w14:val="tx1"/>
                  </w14:solidFill>
                </w14:textFill>
              </w:rPr>
              <w:t>0.8</w:t>
            </w:r>
            <w:r>
              <w:rPr>
                <w:rFonts w:hint="eastAsia"/>
                <w:color w:val="000000" w:themeColor="text1"/>
                <w:sz w:val="24"/>
                <w:highlight w:val="none"/>
                <w14:textFill>
                  <w14:solidFill>
                    <w14:schemeClr w14:val="tx1"/>
                  </w14:solidFill>
                </w14:textFill>
              </w:rPr>
              <w:t>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/d</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已建的化粪池能够满足生活污水处理需求，依托可行。</w:t>
            </w:r>
          </w:p>
          <w:p w14:paraId="7B71C869">
            <w:pPr>
              <w:keepNext w:val="0"/>
              <w:keepLines w:val="0"/>
              <w:pageBreakBefore w:val="0"/>
              <w:numPr>
                <w:ilvl w:val="0"/>
                <w:numId w:val="2"/>
              </w:numPr>
              <w:kinsoku/>
              <w:wordWrap w:val="0"/>
              <w:overflowPunct/>
              <w:topLinePunct w:val="0"/>
              <w:bidi w:val="0"/>
              <w:snapToGrid/>
              <w:spacing w:line="360" w:lineRule="auto"/>
              <w:ind w:left="0" w:leftChars="0" w:firstLine="482" w:firstLineChars="200"/>
              <w:outlineLvl w:val="9"/>
              <w:rPr>
                <w:rFonts w:hint="eastAsia"/>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废气收集处理设施存在问题及依托可行性分析</w:t>
            </w:r>
          </w:p>
          <w:p w14:paraId="2141FB9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经现场调查</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，原有项目炉窑废气收集治理系统为圆窑废气通过</w:t>
            </w:r>
            <w:r>
              <w:rPr>
                <w:rFonts w:hint="eastAsia" w:cs="Times New Roman"/>
                <w:color w:val="000000" w:themeColor="text1"/>
                <w:sz w:val="24"/>
                <w:szCs w:val="24"/>
                <w:lang w:val="en-US" w:eastAsia="zh-CN"/>
                <w14:textFill>
                  <w14:solidFill>
                    <w14:schemeClr w14:val="tx1"/>
                  </w14:solidFill>
                </w14:textFill>
              </w:rPr>
              <w:t>长约200m，</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DN800的烟气收集管道收集后经一套脱硫塔（</w:t>
            </w:r>
            <w:r>
              <w:rPr>
                <w:rFonts w:hint="eastAsia"/>
                <w:color w:val="000000" w:themeColor="text1"/>
                <w:sz w:val="24"/>
                <w:szCs w:val="24"/>
                <w:lang w:val="en-US" w:eastAsia="zh-CN"/>
                <w14:textFill>
                  <w14:solidFill>
                    <w14:schemeClr w14:val="tx1"/>
                  </w14:solidFill>
                </w14:textFill>
              </w:rPr>
              <w:t>Φ2600×13000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）处理后通过1根15m高的排气筒排放</w:t>
            </w:r>
            <w:r>
              <w:rPr>
                <w:rFonts w:hint="eastAsia" w:cs="Times New Roman"/>
                <w:color w:val="000000" w:themeColor="text1"/>
                <w:sz w:val="24"/>
                <w:szCs w:val="24"/>
                <w:lang w:val="en-US" w:eastAsia="zh-CN"/>
                <w14:textFill>
                  <w14:solidFill>
                    <w14:schemeClr w14:val="tx1"/>
                  </w14:solidFill>
                </w14:textFill>
              </w:rPr>
              <w:t>，原有项目排气筒内径为0.35m</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01E9F46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①烟气收集管道</w:t>
            </w:r>
          </w:p>
          <w:p w14:paraId="643DE7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原有项目已建设有长约50m，</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DN800的烟气</w:t>
            </w:r>
            <w:r>
              <w:rPr>
                <w:rFonts w:hint="eastAsia" w:cs="Times New Roman"/>
                <w:color w:val="000000" w:themeColor="text1"/>
                <w:sz w:val="24"/>
                <w:szCs w:val="24"/>
                <w:lang w:val="en-US" w:eastAsia="zh-CN"/>
                <w14:textFill>
                  <w14:solidFill>
                    <w14:schemeClr w14:val="tx1"/>
                  </w14:solidFill>
                </w14:textFill>
              </w:rPr>
              <w:t>总</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收集管道，</w:t>
            </w:r>
            <w:r>
              <w:rPr>
                <w:rFonts w:hint="eastAsia" w:cs="Times New Roman"/>
                <w:color w:val="000000" w:themeColor="text1"/>
                <w:sz w:val="24"/>
                <w:szCs w:val="24"/>
                <w:vertAlign w:val="baseline"/>
                <w:lang w:val="en-US" w:eastAsia="zh-CN"/>
                <w14:textFill>
                  <w14:solidFill>
                    <w14:schemeClr w14:val="tx1"/>
                  </w14:solidFill>
                </w14:textFill>
              </w:rPr>
              <w:t>能够满足项目改扩建后烟气收集需求。</w:t>
            </w:r>
          </w:p>
          <w:p w14:paraId="3FAC32B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②</w:t>
            </w:r>
            <w:r>
              <w:rPr>
                <w:rFonts w:hint="eastAsia" w:cs="Times New Roman"/>
                <w:color w:val="000000" w:themeColor="text1"/>
                <w:sz w:val="24"/>
                <w:szCs w:val="24"/>
                <w:lang w:val="en-US" w:eastAsia="zh-CN"/>
                <w14:textFill>
                  <w14:solidFill>
                    <w14:schemeClr w14:val="tx1"/>
                  </w14:solidFill>
                </w14:textFill>
              </w:rPr>
              <w:t>脱硫塔处理能力</w:t>
            </w:r>
          </w:p>
          <w:p w14:paraId="707C3A4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根据《石灰石/石灰－石膏湿法烟气脱硫工程通用技术规范》（HJ-2018）</w:t>
            </w:r>
            <w:r>
              <w:rPr>
                <w:rFonts w:hint="eastAsia" w:cs="Times New Roman"/>
                <w:color w:val="000000" w:themeColor="text1"/>
                <w:sz w:val="24"/>
                <w:szCs w:val="24"/>
                <w:lang w:val="en-US" w:eastAsia="zh-CN"/>
                <w14:textFill>
                  <w14:solidFill>
                    <w14:schemeClr w14:val="tx1"/>
                  </w14:solidFill>
                </w14:textFill>
              </w:rPr>
              <w:t>，吸收塔烟气区空塔截面尺寸宜保证最不利设计条件下空塔流速不大于3.8m/s，项目已有的脱硫塔直径为2.6m，高为13m，计算得原有项目脱硫塔处理最大烟气量为72594.288m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vertAlign w:val="baseline"/>
                <w:lang w:val="en-US" w:eastAsia="zh-CN"/>
                <w14:textFill>
                  <w14:solidFill>
                    <w14:schemeClr w14:val="tx1"/>
                  </w14:solidFill>
                </w14:textFill>
              </w:rPr>
              <w:t>/h，项目改扩建后烟气量为38218.73m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vertAlign w:val="baseline"/>
                <w:lang w:val="en-US" w:eastAsia="zh-CN"/>
                <w14:textFill>
                  <w14:solidFill>
                    <w14:schemeClr w14:val="tx1"/>
                  </w14:solidFill>
                </w14:textFill>
              </w:rPr>
              <w:t>/h，能够满足改扩建后烟气处理需求，依托可行。</w:t>
            </w:r>
          </w:p>
          <w:p w14:paraId="6C530C9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③</w:t>
            </w:r>
            <w:r>
              <w:rPr>
                <w:rFonts w:hint="eastAsia" w:cs="Times New Roman" w:eastAsiaTheme="minorEastAsia"/>
                <w:color w:val="000000" w:themeColor="text1"/>
                <w:sz w:val="24"/>
                <w:szCs w:val="24"/>
                <w:lang w:val="en-US" w:eastAsia="zh-CN"/>
                <w14:textFill>
                  <w14:solidFill>
                    <w14:schemeClr w14:val="tx1"/>
                  </w14:solidFill>
                </w14:textFill>
              </w:rPr>
              <w:t>废气处理技术</w:t>
            </w:r>
          </w:p>
          <w:p w14:paraId="2DDBB38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原有项目炉窑废气</w:t>
            </w:r>
            <w:r>
              <w:rPr>
                <w:rFonts w:hint="eastAsia" w:cs="Times New Roman" w:eastAsiaTheme="minorEastAsia"/>
                <w:color w:val="000000" w:themeColor="text1"/>
                <w:sz w:val="24"/>
                <w:szCs w:val="24"/>
                <w:lang w:val="en-US" w:eastAsia="zh-CN"/>
                <w14:textFill>
                  <w14:solidFill>
                    <w14:schemeClr w14:val="tx1"/>
                  </w14:solidFill>
                </w14:textFill>
              </w:rPr>
              <w:t>仅</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设置</w:t>
            </w:r>
            <w:r>
              <w:rPr>
                <w:rFonts w:hint="eastAsia" w:cs="Times New Roman" w:eastAsiaTheme="minorEastAsia"/>
                <w:color w:val="000000" w:themeColor="text1"/>
                <w:sz w:val="24"/>
                <w:szCs w:val="24"/>
                <w:lang w:val="en-US" w:eastAsia="zh-CN"/>
                <w14:textFill>
                  <w14:solidFill>
                    <w14:schemeClr w14:val="tx1"/>
                  </w14:solidFill>
                </w14:textFill>
              </w:rPr>
              <w:t>有1套</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脱硫塔处理</w:t>
            </w:r>
            <w:r>
              <w:rPr>
                <w:rFonts w:hint="eastAsia" w:cs="Times New Roman" w:eastAsiaTheme="minorEastAsia"/>
                <w:color w:val="000000" w:themeColor="text1"/>
                <w:sz w:val="24"/>
                <w:szCs w:val="24"/>
                <w:lang w:val="en-US" w:eastAsia="zh-CN"/>
                <w14:textFill>
                  <w14:solidFill>
                    <w14:schemeClr w14:val="tx1"/>
                  </w14:solidFill>
                </w14:textFill>
              </w:rPr>
              <w:t>炉窑废气，本次改扩建完成后依托原有的脱硫塔脱硫，采用湿法脱硫技术，为</w:t>
            </w:r>
            <w:r>
              <w:rPr>
                <w:rFonts w:hint="eastAsia"/>
                <w:bCs/>
                <w:color w:val="000000" w:themeColor="text1"/>
                <w:sz w:val="24"/>
                <w14:textFill>
                  <w14:solidFill>
                    <w14:schemeClr w14:val="tx1"/>
                  </w14:solidFill>
                </w14:textFill>
              </w:rPr>
              <w:t>《排污许可证申请与核发技术规范</w:t>
            </w:r>
            <w:r>
              <w:rPr>
                <w:rFonts w:hint="eastAsia"/>
                <w:bCs/>
                <w:color w:val="000000" w:themeColor="text1"/>
                <w:sz w:val="24"/>
                <w:lang w:val="en-US" w:eastAsia="zh-CN"/>
                <w14:textFill>
                  <w14:solidFill>
                    <w14:schemeClr w14:val="tx1"/>
                  </w14:solidFill>
                </w14:textFill>
              </w:rPr>
              <w:t xml:space="preserve">  </w:t>
            </w:r>
            <w:r>
              <w:rPr>
                <w:rFonts w:hint="eastAsia"/>
                <w:bCs/>
                <w:color w:val="000000" w:themeColor="text1"/>
                <w:sz w:val="24"/>
                <w14:textFill>
                  <w14:solidFill>
                    <w14:schemeClr w14:val="tx1"/>
                  </w14:solidFill>
                </w14:textFill>
              </w:rPr>
              <w:t>陶瓷砖瓦工业》（HJ954</w:t>
            </w:r>
            <w:r>
              <w:rPr>
                <w:rFonts w:hint="eastAsia"/>
                <w:bCs/>
                <w:color w:val="000000" w:themeColor="text1"/>
                <w:sz w:val="24"/>
                <w:lang w:val="en-US" w:eastAsia="zh-CN"/>
                <w14:textFill>
                  <w14:solidFill>
                    <w14:schemeClr w14:val="tx1"/>
                  </w14:solidFill>
                </w14:textFill>
              </w:rPr>
              <w:t>-</w:t>
            </w:r>
            <w:r>
              <w:rPr>
                <w:rFonts w:hint="eastAsia"/>
                <w:bCs/>
                <w:color w:val="000000" w:themeColor="text1"/>
                <w:sz w:val="24"/>
                <w14:textFill>
                  <w14:solidFill>
                    <w14:schemeClr w14:val="tx1"/>
                  </w14:solidFill>
                </w14:textFill>
              </w:rPr>
              <w:t>2018）</w:t>
            </w:r>
            <w:r>
              <w:rPr>
                <w:rFonts w:hint="eastAsia"/>
                <w:bCs/>
                <w:color w:val="000000" w:themeColor="text1"/>
                <w:sz w:val="24"/>
                <w:lang w:val="en-US" w:eastAsia="zh-CN"/>
                <w14:textFill>
                  <w14:solidFill>
                    <w14:schemeClr w14:val="tx1"/>
                  </w14:solidFill>
                </w14:textFill>
              </w:rPr>
              <w:t>中二氧化硫防治可行技术，依托脱硫塔处理炉窑烟气中产生的二氧化硫可行</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534B69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根据关于印发2025年《国家污染防治技术指导目录》（环办科财函〔2025〕197号），烟气湿法除尘脱硫一体化技术被列为限制类低效类技术，存在除尘效率低，单独使用颗粒物难以稳定达标排放技术缺陷。</w:t>
            </w:r>
            <w:r>
              <w:rPr>
                <w:rFonts w:hint="eastAsia" w:cs="Times New Roman"/>
                <w:color w:val="000000" w:themeColor="text1"/>
                <w:sz w:val="24"/>
                <w:szCs w:val="24"/>
                <w:lang w:val="en-US" w:eastAsia="zh-CN"/>
                <w14:textFill>
                  <w14:solidFill>
                    <w14:schemeClr w14:val="tx1"/>
                  </w14:solidFill>
                </w14:textFill>
              </w:rPr>
              <w:t>因此，本次环评对炉窑烟气处理系统提出整改措施：增加1套高温脉冲袋式除尘器与原有脱硫塔组合处理炉窑烟气。</w:t>
            </w:r>
          </w:p>
          <w:p w14:paraId="46DE483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④</w:t>
            </w:r>
            <w:r>
              <w:rPr>
                <w:rFonts w:hint="eastAsia" w:cs="Times New Roman" w:eastAsiaTheme="minorEastAsia"/>
                <w:color w:val="000000" w:themeColor="text1"/>
                <w:sz w:val="24"/>
                <w:szCs w:val="24"/>
                <w:highlight w:val="none"/>
                <w:lang w:val="en-US" w:eastAsia="zh-CN"/>
                <w14:textFill>
                  <w14:solidFill>
                    <w14:schemeClr w14:val="tx1"/>
                  </w14:solidFill>
                </w14:textFill>
              </w:rPr>
              <w:t>脱硫废水处理系统</w:t>
            </w:r>
          </w:p>
          <w:p w14:paraId="79F7EF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根据建设单位提供的资料，项目</w:t>
            </w:r>
            <w:r>
              <w:rPr>
                <w:rFonts w:hint="eastAsia" w:cs="Times New Roman"/>
                <w:b w:val="0"/>
                <w:bCs/>
                <w:color w:val="000000" w:themeColor="text1"/>
                <w:sz w:val="24"/>
                <w:szCs w:val="24"/>
                <w:highlight w:val="none"/>
                <w:lang w:val="en-US" w:eastAsia="zh-CN"/>
                <w14:textFill>
                  <w14:solidFill>
                    <w14:schemeClr w14:val="tx1"/>
                  </w14:solidFill>
                </w14:textFill>
              </w:rPr>
              <w:t>脱硫塔配套设置有一个容积为80m</w:t>
            </w:r>
            <w:r>
              <w:rPr>
                <w:rFonts w:hint="eastAsia" w:cs="Times New Roman"/>
                <w:b w:val="0"/>
                <w:bCs/>
                <w:color w:val="000000" w:themeColor="text1"/>
                <w:sz w:val="24"/>
                <w:szCs w:val="24"/>
                <w:highlight w:val="none"/>
                <w:vertAlign w:val="superscript"/>
                <w:lang w:val="en-US" w:eastAsia="zh-CN"/>
                <w14:textFill>
                  <w14:solidFill>
                    <w14:schemeClr w14:val="tx1"/>
                  </w14:solidFill>
                </w14:textFill>
              </w:rPr>
              <w:t>3</w:t>
            </w:r>
            <w:r>
              <w:rPr>
                <w:rFonts w:hint="eastAsia" w:cs="Times New Roman"/>
                <w:b w:val="0"/>
                <w:bCs/>
                <w:color w:val="000000" w:themeColor="text1"/>
                <w:sz w:val="24"/>
                <w:szCs w:val="24"/>
                <w:highlight w:val="none"/>
                <w:vertAlign w:val="baseline"/>
                <w:lang w:val="en-US" w:eastAsia="zh-CN"/>
                <w14:textFill>
                  <w14:solidFill>
                    <w14:schemeClr w14:val="tx1"/>
                  </w14:solidFill>
                </w14:textFill>
              </w:rPr>
              <w:t>的循环沉淀池，前文核算，项目改扩建完成后日排水量为20t/d，循环沉淀池容积能够满足项目改扩建完成后脱硫塔废水处理需求，依托可行。</w:t>
            </w:r>
          </w:p>
          <w:p w14:paraId="3A121DB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eastAsia" w:cs="Times New Roman"/>
                <w:b w:val="0"/>
                <w:bCs/>
                <w:color w:val="000000" w:themeColor="text1"/>
                <w:sz w:val="24"/>
                <w:szCs w:val="24"/>
                <w:highlight w:val="none"/>
                <w:vertAlign w:val="baseline"/>
                <w:lang w:val="en-US" w:eastAsia="zh-CN"/>
                <w14:textFill>
                  <w14:solidFill>
                    <w14:schemeClr w14:val="tx1"/>
                  </w14:solidFill>
                </w14:textFill>
              </w:rPr>
              <w:t>根据</w:t>
            </w:r>
            <w:r>
              <w:rPr>
                <w:rFonts w:hint="eastAsia"/>
                <w:b w:val="0"/>
                <w:bCs w:val="0"/>
                <w:color w:val="000000" w:themeColor="text1"/>
                <w:sz w:val="24"/>
                <w:shd w:val="clear" w:color="auto" w:fill="FFFFFF"/>
                <w:lang w:val="en-US" w:eastAsia="zh-CN"/>
                <w14:textFill>
                  <w14:solidFill>
                    <w14:schemeClr w14:val="tx1"/>
                  </w14:solidFill>
                </w14:textFill>
              </w:rPr>
              <w:t>《石灰石/石灰－石膏湿法烟气脱硫工程通用技术规范》（HJ-2018）要求，脱硫废水宜纳入全厂废水统一规划管理；单独设置脱硫废水处理系统时一般采用中和、絮凝、沉降、氧化、澄清等工艺去除废水中的悬浮物、COD等污染物。经现场踏勘核实，原有项目脱硫废水处理系统不完善，仅设置有沉淀处理。因此，本次环评对脱硫废水处理系统提出整改措施：</w:t>
            </w:r>
            <w:r>
              <w:rPr>
                <w:rFonts w:hint="eastAsia"/>
                <w:b w:val="0"/>
                <w:bCs w:val="0"/>
                <w:color w:val="000000" w:themeColor="text1"/>
                <w:sz w:val="24"/>
                <w:szCs w:val="24"/>
                <w:shd w:val="clear" w:color="auto" w:fill="FFFFFF"/>
                <w:lang w:val="en-US" w:eastAsia="zh-CN"/>
                <w14:textFill>
                  <w14:solidFill>
                    <w14:schemeClr w14:val="tx1"/>
                  </w14:solidFill>
                </w14:textFill>
              </w:rPr>
              <w:t>完善项目脱硫废水处理系统，产生的脱硫废水经中和絮凝沉淀处理</w:t>
            </w:r>
            <w:r>
              <w:rPr>
                <w:rFonts w:hint="eastAsia" w:cs="Times New Roman"/>
                <w:b w:val="0"/>
                <w:bCs/>
                <w:color w:val="000000" w:themeColor="text1"/>
                <w:sz w:val="24"/>
                <w:szCs w:val="24"/>
                <w:highlight w:val="none"/>
                <w:vertAlign w:val="baseline"/>
                <w:lang w:val="en-US" w:eastAsia="zh-CN"/>
                <w14:textFill>
                  <w14:solidFill>
                    <w14:schemeClr w14:val="tx1"/>
                  </w14:solidFill>
                </w14:textFill>
              </w:rPr>
              <w:t>后全部回用于搅拌用水，不外排。</w:t>
            </w:r>
          </w:p>
          <w:p w14:paraId="06651F8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⑤</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排气筒</w:t>
            </w:r>
          </w:p>
          <w:p w14:paraId="15EE28E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根据建设单位提供的资料，项目原有排气筒离地高15m，管径为0.35m。改扩建完成后</w:t>
            </w:r>
            <w:r>
              <w:rPr>
                <w:rFonts w:hint="eastAsia" w:cs="Times New Roman"/>
                <w:color w:val="000000" w:themeColor="text1"/>
                <w:sz w:val="24"/>
                <w:szCs w:val="24"/>
                <w:vertAlign w:val="baseline"/>
                <w:lang w:val="en-US" w:eastAsia="zh-CN"/>
                <w14:textFill>
                  <w14:solidFill>
                    <w14:schemeClr w14:val="tx1"/>
                  </w14:solidFill>
                </w14:textFill>
              </w:rPr>
              <w:t>烟气量为38218.73m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vertAlign w:val="baseline"/>
                <w:lang w:val="en-US" w:eastAsia="zh-CN"/>
                <w14:textFill>
                  <w14:solidFill>
                    <w14:schemeClr w14:val="tx1"/>
                  </w14:solidFill>
                </w14:textFill>
              </w:rPr>
              <w:t>/h，沿用原排气筒会导致烟气流速过大。本次环评提出整改措施：拆除原有排气筒，设置1根高15m，内径为0.8m的排气筒。</w:t>
            </w:r>
          </w:p>
          <w:p w14:paraId="6172B0A2">
            <w:pPr>
              <w:keepNext w:val="0"/>
              <w:keepLines w:val="0"/>
              <w:pageBreakBefore w:val="0"/>
              <w:kinsoku/>
              <w:wordWrap w:val="0"/>
              <w:overflowPunct/>
              <w:topLinePunct w:val="0"/>
              <w:bidi w:val="0"/>
              <w:snapToGrid/>
              <w:spacing w:line="360" w:lineRule="auto"/>
              <w:ind w:left="0" w:leftChars="0" w:firstLine="482" w:firstLineChars="200"/>
              <w:outlineLvl w:val="9"/>
              <w:rPr>
                <w:b/>
                <w:bCs/>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8、</w:t>
            </w:r>
            <w:r>
              <w:rPr>
                <w:b/>
                <w:bCs/>
                <w:color w:val="000000" w:themeColor="text1"/>
                <w:sz w:val="24"/>
                <w:szCs w:val="24"/>
                <w14:textFill>
                  <w14:solidFill>
                    <w14:schemeClr w14:val="tx1"/>
                  </w14:solidFill>
                </w14:textFill>
              </w:rPr>
              <w:t>劳动定员与工作制度</w:t>
            </w:r>
          </w:p>
          <w:p w14:paraId="53798D8A">
            <w:pPr>
              <w:widowControl/>
              <w:spacing w:line="360" w:lineRule="auto"/>
              <w:ind w:firstLine="482" w:firstLineChars="200"/>
              <w:jc w:val="left"/>
              <w:rPr>
                <w:rFonts w:hint="default" w:ascii="Times New Roman" w:hAnsi="Times New Roman" w:cs="Times New Roman"/>
                <w:color w:val="000000" w:themeColor="text1"/>
                <w:sz w:val="24"/>
                <w14:textFill>
                  <w14:solidFill>
                    <w14:schemeClr w14:val="tx1"/>
                  </w14:solidFill>
                </w14:textFill>
              </w:rPr>
            </w:pPr>
            <w:r>
              <w:rPr>
                <w:b/>
                <w:color w:val="000000" w:themeColor="text1"/>
                <w:sz w:val="24"/>
                <w14:textFill>
                  <w14:solidFill>
                    <w14:schemeClr w14:val="tx1"/>
                  </w14:solidFill>
                </w14:textFill>
              </w:rPr>
              <w:t>劳动定员：</w:t>
            </w:r>
            <w:r>
              <w:rPr>
                <w:rFonts w:hint="eastAsia" w:eastAsia="宋体"/>
                <w:color w:val="000000" w:themeColor="text1"/>
                <w:kern w:val="0"/>
                <w:sz w:val="24"/>
                <w:lang w:val="en-US" w:eastAsia="zh-CN" w:bidi="ar"/>
                <w14:textFill>
                  <w14:solidFill>
                    <w14:schemeClr w14:val="tx1"/>
                  </w14:solidFill>
                </w14:textFill>
              </w:rPr>
              <w:t>原有项目共有员工12人，本次改建新增10人，共22人。其中管理人员2人在项目区食宿</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w:t>
            </w:r>
          </w:p>
          <w:p w14:paraId="6C8CC2C8">
            <w:pPr>
              <w:keepNext w:val="0"/>
              <w:keepLines w:val="0"/>
              <w:pageBreakBefore w:val="0"/>
              <w:kinsoku/>
              <w:wordWrap w:val="0"/>
              <w:overflowPunct/>
              <w:topLinePunct w:val="0"/>
              <w:bidi w:val="0"/>
              <w:spacing w:line="360" w:lineRule="auto"/>
              <w:ind w:firstLine="482" w:firstLineChars="200"/>
              <w:outlineLvl w:val="9"/>
              <w:rPr>
                <w:rFonts w:hint="default" w:ascii="Times New Roman" w:hAnsi="Times New Roman" w:eastAsia="宋体" w:cs="Times New Roman"/>
                <w:color w:val="000000" w:themeColor="text1"/>
                <w:sz w:val="24"/>
                <w:szCs w:val="24"/>
                <w14:textFill>
                  <w14:solidFill>
                    <w14:schemeClr w14:val="tx1"/>
                  </w14:solidFill>
                </w14:textFill>
              </w:rPr>
            </w:pPr>
            <w:r>
              <w:rPr>
                <w:b/>
                <w:color w:val="000000" w:themeColor="text1"/>
                <w:sz w:val="24"/>
                <w14:textFill>
                  <w14:solidFill>
                    <w14:schemeClr w14:val="tx1"/>
                  </w14:solidFill>
                </w14:textFill>
              </w:rPr>
              <w:t>工作制</w:t>
            </w:r>
            <w:r>
              <w:rPr>
                <w:rFonts w:hint="default" w:ascii="Times New Roman" w:hAnsi="Times New Roman" w:cs="Times New Roman"/>
                <w:b/>
                <w:color w:val="000000" w:themeColor="text1"/>
                <w:sz w:val="24"/>
                <w14:textFill>
                  <w14:solidFill>
                    <w14:schemeClr w14:val="tx1"/>
                  </w14:solidFill>
                </w14:textFill>
              </w:rPr>
              <w:t>度：</w:t>
            </w:r>
            <w:r>
              <w:rPr>
                <w:rFonts w:hint="default" w:ascii="Times New Roman" w:hAnsi="Times New Roman" w:cs="Times New Roman"/>
                <w:bCs/>
                <w:color w:val="000000" w:themeColor="text1"/>
                <w:sz w:val="24"/>
                <w14:textFill>
                  <w14:solidFill>
                    <w14:schemeClr w14:val="tx1"/>
                  </w14:solidFill>
                </w14:textFill>
              </w:rPr>
              <w:t>原有</w:t>
            </w:r>
            <w:r>
              <w:rPr>
                <w:rFonts w:hint="default" w:ascii="Times New Roman" w:hAnsi="Times New Roman" w:cs="Times New Roman"/>
                <w:color w:val="000000" w:themeColor="text1"/>
                <w:kern w:val="0"/>
                <w:sz w:val="24"/>
                <w:lang w:bidi="ar"/>
                <w14:textFill>
                  <w14:solidFill>
                    <w14:schemeClr w14:val="tx1"/>
                  </w14:solidFill>
                </w14:textFill>
              </w:rPr>
              <w:t>项目年工作300d，</w:t>
            </w:r>
            <w:r>
              <w:rPr>
                <w:rFonts w:hint="default" w:ascii="Times New Roman" w:hAnsi="Times New Roman" w:cs="Times New Roman"/>
                <w:color w:val="000000" w:themeColor="text1"/>
                <w:kern w:val="0"/>
                <w:sz w:val="24"/>
                <w:lang w:val="en-US" w:eastAsia="zh-CN" w:bidi="ar"/>
                <w14:textFill>
                  <w14:solidFill>
                    <w14:schemeClr w14:val="tx1"/>
                  </w14:solidFill>
                </w14:textFill>
              </w:rPr>
              <w:t>其中烧结岗为3班制，其他岗1班制，每班工作8小时</w:t>
            </w:r>
            <w:r>
              <w:rPr>
                <w:rFonts w:hint="default" w:ascii="Times New Roman" w:hAnsi="Times New Roman" w:cs="Times New Roman"/>
                <w:color w:val="000000" w:themeColor="text1"/>
                <w:kern w:val="0"/>
                <w:sz w:val="24"/>
                <w:lang w:bidi="ar"/>
                <w14:textFill>
                  <w14:solidFill>
                    <w14:schemeClr w14:val="tx1"/>
                  </w14:solidFill>
                </w14:textFill>
              </w:rPr>
              <w:t>。</w:t>
            </w:r>
            <w:r>
              <w:rPr>
                <w:rFonts w:hint="eastAsia" w:ascii="Times New Roman" w:hAnsi="Times New Roman" w:cs="Times New Roman"/>
                <w:color w:val="000000" w:themeColor="text1"/>
                <w:kern w:val="0"/>
                <w:sz w:val="24"/>
                <w:lang w:val="en-US" w:eastAsia="zh-CN" w:bidi="ar"/>
                <w14:textFill>
                  <w14:solidFill>
                    <w14:schemeClr w14:val="tx1"/>
                  </w14:solidFill>
                </w14:textFill>
              </w:rPr>
              <w:t>本次改扩建完成后，</w:t>
            </w:r>
            <w:r>
              <w:rPr>
                <w:rFonts w:hint="default" w:ascii="Times New Roman" w:hAnsi="Times New Roman" w:cs="Times New Roman"/>
                <w:color w:val="000000" w:themeColor="text1"/>
                <w:kern w:val="0"/>
                <w:sz w:val="24"/>
                <w:lang w:bidi="ar"/>
                <w14:textFill>
                  <w14:solidFill>
                    <w14:schemeClr w14:val="tx1"/>
                  </w14:solidFill>
                </w14:textFill>
              </w:rPr>
              <w:t>年工作300d，</w:t>
            </w:r>
            <w:r>
              <w:rPr>
                <w:rFonts w:hint="default" w:ascii="Times New Roman" w:hAnsi="Times New Roman" w:cs="Times New Roman"/>
                <w:color w:val="000000" w:themeColor="text1"/>
                <w:kern w:val="0"/>
                <w:sz w:val="24"/>
                <w:lang w:val="en-US" w:eastAsia="zh-CN" w:bidi="ar"/>
                <w14:textFill>
                  <w14:solidFill>
                    <w14:schemeClr w14:val="tx1"/>
                  </w14:solidFill>
                </w14:textFill>
              </w:rPr>
              <w:t>其中烧结岗为3班制，其他岗</w:t>
            </w:r>
            <w:r>
              <w:rPr>
                <w:rFonts w:hint="eastAsia" w:ascii="Times New Roman" w:hAnsi="Times New Roman" w:cs="Times New Roman"/>
                <w:color w:val="000000" w:themeColor="text1"/>
                <w:kern w:val="0"/>
                <w:sz w:val="24"/>
                <w:lang w:val="en-US" w:eastAsia="zh-CN" w:bidi="ar"/>
                <w14:textFill>
                  <w14:solidFill>
                    <w14:schemeClr w14:val="tx1"/>
                  </w14:solidFill>
                </w14:textFill>
              </w:rPr>
              <w:t>2</w:t>
            </w:r>
            <w:r>
              <w:rPr>
                <w:rFonts w:hint="default" w:ascii="Times New Roman" w:hAnsi="Times New Roman" w:cs="Times New Roman"/>
                <w:color w:val="000000" w:themeColor="text1"/>
                <w:kern w:val="0"/>
                <w:sz w:val="24"/>
                <w:lang w:val="en-US" w:eastAsia="zh-CN" w:bidi="ar"/>
                <w14:textFill>
                  <w14:solidFill>
                    <w14:schemeClr w14:val="tx1"/>
                  </w14:solidFill>
                </w14:textFill>
              </w:rPr>
              <w:t>班制，每班工作8小时</w:t>
            </w:r>
            <w:r>
              <w:rPr>
                <w:rFonts w:hint="default" w:ascii="Times New Roman" w:hAnsi="Times New Roman" w:cs="Times New Roman"/>
                <w:color w:val="000000" w:themeColor="text1"/>
                <w:kern w:val="0"/>
                <w:sz w:val="24"/>
                <w:lang w:bidi="ar"/>
                <w14:textFill>
                  <w14:solidFill>
                    <w14:schemeClr w14:val="tx1"/>
                  </w14:solidFill>
                </w14:textFill>
              </w:rPr>
              <w:t>。</w:t>
            </w:r>
          </w:p>
          <w:p w14:paraId="020A4C59">
            <w:pPr>
              <w:keepNext w:val="0"/>
              <w:keepLines w:val="0"/>
              <w:pageBreakBefore w:val="0"/>
              <w:kinsoku/>
              <w:overflowPunct/>
              <w:topLinePunct w:val="0"/>
              <w:bidi w:val="0"/>
              <w:snapToGrid/>
              <w:spacing w:afterAutospacing="0" w:line="360" w:lineRule="auto"/>
              <w:ind w:left="0" w:leftChars="0" w:firstLine="482" w:firstLineChars="200"/>
              <w:outlineLvl w:val="9"/>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9、平面布置</w:t>
            </w:r>
          </w:p>
          <w:p w14:paraId="7CA137C8">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outlineLvl w:val="9"/>
              <w:rPr>
                <w:rFonts w:hint="default" w:ascii="Times New Roman" w:hAnsi="Times New Roman" w:eastAsia="宋体" w:cs="宋体"/>
                <w:b w:val="0"/>
                <w:bCs w:val="0"/>
                <w:color w:val="000000" w:themeColor="text1"/>
                <w:spacing w:val="0"/>
                <w:kern w:val="0"/>
                <w:sz w:val="24"/>
                <w:szCs w:val="24"/>
                <w:highlight w:val="none"/>
                <w:lang w:val="en-US" w:eastAsia="zh-CN"/>
                <w14:textFill>
                  <w14:solidFill>
                    <w14:schemeClr w14:val="tx1"/>
                  </w14:solidFill>
                </w14:textFill>
              </w:rPr>
            </w:pPr>
            <w:r>
              <w:rPr>
                <w:rFonts w:hint="eastAsia" w:eastAsia="宋体"/>
                <w:color w:val="000000" w:themeColor="text1"/>
                <w:sz w:val="24"/>
                <w:szCs w:val="24"/>
                <w:lang w:val="en-US" w:eastAsia="zh-CN"/>
                <w14:textFill>
                  <w14:solidFill>
                    <w14:schemeClr w14:val="tx1"/>
                  </w14:solidFill>
                </w14:textFill>
              </w:rPr>
              <w:t>本次改扩建在现有项目占地范围内进行，不新增占地</w:t>
            </w:r>
            <w:r>
              <w:rPr>
                <w:rFonts w:eastAsia="宋体"/>
                <w:color w:val="000000" w:themeColor="text1"/>
                <w:sz w:val="24"/>
                <w:szCs w:val="24"/>
                <w14:textFill>
                  <w14:solidFill>
                    <w14:schemeClr w14:val="tx1"/>
                  </w14:solidFill>
                </w14:textFill>
              </w:rPr>
              <w:t>，</w:t>
            </w:r>
            <w:r>
              <w:rPr>
                <w:rFonts w:hint="eastAsia" w:eastAsia="宋体"/>
                <w:color w:val="000000" w:themeColor="text1"/>
                <w:sz w:val="24"/>
                <w:szCs w:val="24"/>
                <w:lang w:val="en-US" w:eastAsia="zh-CN"/>
                <w14:textFill>
                  <w14:solidFill>
                    <w14:schemeClr w14:val="tx1"/>
                  </w14:solidFill>
                </w14:textFill>
              </w:rPr>
              <w:t>厂区出入口位于厂区东侧，原料贮存库位于</w:t>
            </w:r>
            <w:r>
              <w:rPr>
                <w:rFonts w:eastAsia="宋体"/>
                <w:color w:val="000000" w:themeColor="text1"/>
                <w:sz w:val="24"/>
                <w:szCs w:val="24"/>
                <w14:textFill>
                  <w14:solidFill>
                    <w14:schemeClr w14:val="tx1"/>
                  </w14:solidFill>
                </w14:textFill>
              </w:rPr>
              <w:t>项目区东侧，</w:t>
            </w:r>
            <w:r>
              <w:rPr>
                <w:rFonts w:hint="eastAsia" w:eastAsia="宋体"/>
                <w:color w:val="000000" w:themeColor="text1"/>
                <w:sz w:val="24"/>
                <w:szCs w:val="24"/>
                <w:lang w:val="en-US" w:eastAsia="zh-CN"/>
                <w14:textFill>
                  <w14:solidFill>
                    <w14:schemeClr w14:val="tx1"/>
                  </w14:solidFill>
                </w14:textFill>
              </w:rPr>
              <w:t>自东向西依次布设原料贮存库、制瓦车间、烧制车间</w:t>
            </w:r>
            <w:r>
              <w:rPr>
                <w:rFonts w:eastAsia="宋体"/>
                <w:color w:val="000000" w:themeColor="text1"/>
                <w:sz w:val="24"/>
                <w:szCs w:val="24"/>
                <w14:textFill>
                  <w14:solidFill>
                    <w14:schemeClr w14:val="tx1"/>
                  </w14:solidFill>
                </w14:textFill>
              </w:rPr>
              <w:t>，</w:t>
            </w:r>
            <w:r>
              <w:rPr>
                <w:rFonts w:hint="eastAsia" w:eastAsia="宋体"/>
                <w:color w:val="000000" w:themeColor="text1"/>
                <w:sz w:val="24"/>
                <w:szCs w:val="24"/>
                <w:lang w:val="en-US" w:eastAsia="zh-CN"/>
                <w14:textFill>
                  <w14:solidFill>
                    <w14:schemeClr w14:val="tx1"/>
                  </w14:solidFill>
                </w14:textFill>
              </w:rPr>
              <w:t>新建的6#仿古窑位于制瓦车间西侧，原有圆窑的北侧，1#-5#窑位于厂区南侧，制瓦车间南侧，成品堆放区位于项目区北侧，生产设施按生产工艺依次布设</w:t>
            </w:r>
            <w:r>
              <w:rPr>
                <w:rFonts w:eastAsia="宋体"/>
                <w:color w:val="000000" w:themeColor="text1"/>
                <w:sz w:val="24"/>
                <w:szCs w:val="24"/>
                <w14:textFill>
                  <w14:solidFill>
                    <w14:schemeClr w14:val="tx1"/>
                  </w14:solidFill>
                </w14:textFill>
              </w:rPr>
              <w:t>满足生产功能需求。</w:t>
            </w:r>
            <w:r>
              <w:rPr>
                <w:rFonts w:hint="eastAsia" w:ascii="Times New Roman" w:hAnsi="Times New Roman" w:cs="宋体"/>
                <w:b w:val="0"/>
                <w:bCs w:val="0"/>
                <w:color w:val="000000" w:themeColor="text1"/>
                <w:spacing w:val="0"/>
                <w:kern w:val="0"/>
                <w:sz w:val="24"/>
                <w:szCs w:val="24"/>
                <w:lang w:val="en-US" w:eastAsia="zh-CN"/>
                <w14:textFill>
                  <w14:solidFill>
                    <w14:schemeClr w14:val="tx1"/>
                  </w14:solidFill>
                </w14:textFill>
              </w:rPr>
              <w:t>设置的排气筒位于项目西南面，位于主导风侧风向；办公生活区与生产区分开设置，布设于项目区南侧，有效地避免了生产噪声的影响。</w:t>
            </w:r>
            <w:r>
              <w:rPr>
                <w:rFonts w:hint="eastAsia" w:ascii="Times New Roman" w:hAnsi="Times New Roman" w:eastAsia="宋体" w:cs="宋体"/>
                <w:b w:val="0"/>
                <w:bCs w:val="0"/>
                <w:color w:val="000000" w:themeColor="text1"/>
                <w:spacing w:val="0"/>
                <w:kern w:val="0"/>
                <w:sz w:val="24"/>
                <w:szCs w:val="24"/>
                <w:highlight w:val="none"/>
                <w:lang w:val="en-US" w:eastAsia="zh-CN"/>
                <w14:textFill>
                  <w14:solidFill>
                    <w14:schemeClr w14:val="tx1"/>
                  </w14:solidFill>
                </w14:textFill>
              </w:rPr>
              <w:t>综</w:t>
            </w:r>
            <w:r>
              <w:rPr>
                <w:rFonts w:hint="eastAsia" w:ascii="Times New Roman" w:hAnsi="Times New Roman" w:cs="宋体"/>
                <w:b w:val="0"/>
                <w:bCs w:val="0"/>
                <w:color w:val="000000" w:themeColor="text1"/>
                <w:spacing w:val="0"/>
                <w:kern w:val="0"/>
                <w:sz w:val="24"/>
                <w:szCs w:val="24"/>
                <w:highlight w:val="none"/>
                <w:lang w:val="en-US" w:eastAsia="zh-CN"/>
                <w14:textFill>
                  <w14:solidFill>
                    <w14:schemeClr w14:val="tx1"/>
                  </w14:solidFill>
                </w14:textFill>
              </w:rPr>
              <w:t>上所述，项目平面布置合理。项目平面布</w:t>
            </w:r>
            <w:r>
              <w:rPr>
                <w:rFonts w:hint="eastAsia" w:ascii="Times New Roman" w:hAnsi="Times New Roman" w:eastAsia="宋体" w:cs="宋体"/>
                <w:b w:val="0"/>
                <w:bCs w:val="0"/>
                <w:color w:val="000000" w:themeColor="text1"/>
                <w:spacing w:val="0"/>
                <w:kern w:val="0"/>
                <w:sz w:val="24"/>
                <w:szCs w:val="24"/>
                <w:highlight w:val="none"/>
                <w:lang w:val="en-US" w:eastAsia="zh-CN"/>
                <w14:textFill>
                  <w14:solidFill>
                    <w14:schemeClr w14:val="tx1"/>
                  </w14:solidFill>
                </w14:textFill>
              </w:rPr>
              <w:t>置详见附图2。</w:t>
            </w:r>
          </w:p>
          <w:p w14:paraId="6B54744C">
            <w:pPr>
              <w:keepNext w:val="0"/>
              <w:keepLines w:val="0"/>
              <w:pageBreakBefore w:val="0"/>
              <w:kinsoku/>
              <w:overflowPunct/>
              <w:topLinePunct w:val="0"/>
              <w:bidi w:val="0"/>
              <w:snapToGrid/>
              <w:spacing w:beforeAutospacing="0" w:line="360" w:lineRule="auto"/>
              <w:ind w:left="0" w:leftChars="0" w:firstLine="482" w:firstLineChars="200"/>
              <w:outlineLvl w:val="9"/>
              <w:rPr>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10、</w:t>
            </w:r>
            <w:r>
              <w:rPr>
                <w:b/>
                <w:bCs/>
                <w:color w:val="000000" w:themeColor="text1"/>
                <w:sz w:val="24"/>
                <w:szCs w:val="24"/>
                <w14:textFill>
                  <w14:solidFill>
                    <w14:schemeClr w14:val="tx1"/>
                  </w14:solidFill>
                </w14:textFill>
              </w:rPr>
              <w:t>工程投资及环保投资</w:t>
            </w:r>
          </w:p>
          <w:p w14:paraId="0015A241">
            <w:pPr>
              <w:keepNext w:val="0"/>
              <w:keepLines w:val="0"/>
              <w:pageBreakBefore w:val="0"/>
              <w:kinsoku/>
              <w:overflowPunct/>
              <w:topLinePunct w:val="0"/>
              <w:bidi w:val="0"/>
              <w:snapToGrid/>
              <w:spacing w:line="360" w:lineRule="auto"/>
              <w:ind w:firstLine="480" w:firstLineChars="200"/>
              <w:outlineLvl w:val="9"/>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项目备案证总</w:t>
            </w:r>
            <w:r>
              <w:rPr>
                <w:rFonts w:hint="eastAsia"/>
                <w:color w:val="000000" w:themeColor="text1"/>
                <w:sz w:val="24"/>
                <w:szCs w:val="24"/>
                <w:highlight w:val="none"/>
                <w:lang w:val="en-US" w:eastAsia="zh-CN"/>
                <w14:textFill>
                  <w14:solidFill>
                    <w14:schemeClr w14:val="tx1"/>
                  </w14:solidFill>
                </w14:textFill>
              </w:rPr>
              <w:t>投资20万元，仅为主体工程投资，根据估算，本次改扩建环保投资为17.2万元，则本次改扩建项目</w:t>
            </w:r>
            <w:r>
              <w:rPr>
                <w:color w:val="000000" w:themeColor="text1"/>
                <w:sz w:val="24"/>
                <w:szCs w:val="24"/>
                <w:highlight w:val="none"/>
                <w14:textFill>
                  <w14:solidFill>
                    <w14:schemeClr w14:val="tx1"/>
                  </w14:solidFill>
                </w14:textFill>
              </w:rPr>
              <w:t>总投资</w:t>
            </w:r>
            <w:r>
              <w:rPr>
                <w:rFonts w:hint="eastAsia"/>
                <w:color w:val="000000" w:themeColor="text1"/>
                <w:sz w:val="24"/>
                <w:szCs w:val="24"/>
                <w:highlight w:val="none"/>
                <w:lang w:val="en-US" w:eastAsia="zh-CN"/>
                <w14:textFill>
                  <w14:solidFill>
                    <w14:schemeClr w14:val="tx1"/>
                  </w14:solidFill>
                </w14:textFill>
              </w:rPr>
              <w:t>37.2</w:t>
            </w:r>
            <w:r>
              <w:rPr>
                <w:color w:val="000000" w:themeColor="text1"/>
                <w:sz w:val="24"/>
                <w:szCs w:val="24"/>
                <w:highlight w:val="none"/>
                <w14:textFill>
                  <w14:solidFill>
                    <w14:schemeClr w14:val="tx1"/>
                  </w14:solidFill>
                </w14:textFill>
              </w:rPr>
              <w:t>万元，</w:t>
            </w:r>
            <w:r>
              <w:rPr>
                <w:rFonts w:hint="default" w:ascii="Times New Roman" w:hAnsi="Times New Roman" w:eastAsia="宋体" w:cs="Times New Roman"/>
                <w:color w:val="000000" w:themeColor="text1"/>
                <w:sz w:val="24"/>
                <w:szCs w:val="24"/>
                <w:highlight w:val="none"/>
                <w14:textFill>
                  <w14:solidFill>
                    <w14:schemeClr w14:val="tx1"/>
                  </w14:solidFill>
                </w14:textFill>
              </w:rPr>
              <w:t>环保投资</w:t>
            </w:r>
            <w:r>
              <w:rPr>
                <w:rFonts w:hint="eastAsia" w:cs="Times New Roman"/>
                <w:color w:val="000000" w:themeColor="text1"/>
                <w:sz w:val="24"/>
                <w:szCs w:val="24"/>
                <w:highlight w:val="none"/>
                <w:lang w:val="en-US" w:eastAsia="zh-CN"/>
                <w14:textFill>
                  <w14:solidFill>
                    <w14:schemeClr w14:val="tx1"/>
                  </w14:solidFill>
                </w14:textFill>
              </w:rPr>
              <w:t>17.2</w:t>
            </w:r>
            <w:r>
              <w:rPr>
                <w:rFonts w:hint="default" w:ascii="Times New Roman" w:hAnsi="Times New Roman" w:eastAsia="宋体" w:cs="Times New Roman"/>
                <w:color w:val="000000" w:themeColor="text1"/>
                <w:sz w:val="24"/>
                <w:szCs w:val="24"/>
                <w:highlight w:val="none"/>
                <w14:textFill>
                  <w14:solidFill>
                    <w14:schemeClr w14:val="tx1"/>
                  </w14:solidFill>
                </w14:textFill>
              </w:rPr>
              <w:t>万元，占总投资的</w:t>
            </w:r>
            <w:r>
              <w:rPr>
                <w:rFonts w:hint="eastAsia" w:cs="Times New Roman"/>
                <w:color w:val="000000" w:themeColor="text1"/>
                <w:sz w:val="24"/>
                <w:szCs w:val="24"/>
                <w:highlight w:val="none"/>
                <w:lang w:val="en-US" w:eastAsia="zh-CN"/>
                <w14:textFill>
                  <w14:solidFill>
                    <w14:schemeClr w14:val="tx1"/>
                  </w14:solidFill>
                </w14:textFill>
              </w:rPr>
              <w:t>46.2</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eastAsia="zh-CN"/>
                <w14:textFill>
                  <w14:solidFill>
                    <w14:schemeClr w14:val="tx1"/>
                  </w14:solidFill>
                </w14:textFill>
              </w:rPr>
              <w:t>环保投资</w:t>
            </w:r>
            <w:r>
              <w:rPr>
                <w:color w:val="000000" w:themeColor="text1"/>
                <w:sz w:val="24"/>
                <w:szCs w:val="24"/>
                <w:highlight w:val="none"/>
                <w14:textFill>
                  <w14:solidFill>
                    <w14:schemeClr w14:val="tx1"/>
                  </w14:solidFill>
                </w14:textFill>
              </w:rPr>
              <w:t>主</w:t>
            </w:r>
            <w:r>
              <w:rPr>
                <w:color w:val="000000" w:themeColor="text1"/>
                <w:sz w:val="24"/>
                <w:szCs w:val="24"/>
                <w14:textFill>
                  <w14:solidFill>
                    <w14:schemeClr w14:val="tx1"/>
                  </w14:solidFill>
                </w14:textFill>
              </w:rPr>
              <w:t>要用于</w:t>
            </w:r>
            <w:r>
              <w:rPr>
                <w:rFonts w:hint="eastAsia"/>
                <w:color w:val="000000" w:themeColor="text1"/>
                <w:sz w:val="24"/>
                <w:szCs w:val="24"/>
                <w14:textFill>
                  <w14:solidFill>
                    <w14:schemeClr w14:val="tx1"/>
                  </w14:solidFill>
                </w14:textFill>
              </w:rPr>
              <w:t>水</w:t>
            </w:r>
            <w:r>
              <w:rPr>
                <w:rFonts w:hint="eastAsia"/>
                <w:color w:val="000000" w:themeColor="text1"/>
                <w:sz w:val="24"/>
                <w:szCs w:val="24"/>
                <w:lang w:eastAsia="zh-CN"/>
                <w14:textFill>
                  <w14:solidFill>
                    <w14:schemeClr w14:val="tx1"/>
                  </w14:solidFill>
                </w14:textFill>
              </w:rPr>
              <w:t>污染防治设施</w:t>
            </w:r>
            <w:r>
              <w:rPr>
                <w:rFonts w:hint="eastAsia"/>
                <w:color w:val="000000" w:themeColor="text1"/>
                <w:sz w:val="24"/>
                <w:szCs w:val="24"/>
                <w14:textFill>
                  <w14:solidFill>
                    <w14:schemeClr w14:val="tx1"/>
                  </w14:solidFill>
                </w14:textFill>
              </w:rPr>
              <w:t>、大气</w:t>
            </w:r>
            <w:r>
              <w:rPr>
                <w:rFonts w:hint="eastAsia"/>
                <w:color w:val="000000" w:themeColor="text1"/>
                <w:sz w:val="24"/>
                <w:szCs w:val="24"/>
                <w:lang w:eastAsia="zh-CN"/>
                <w14:textFill>
                  <w14:solidFill>
                    <w14:schemeClr w14:val="tx1"/>
                  </w14:solidFill>
                </w14:textFill>
              </w:rPr>
              <w:t>污染防治设施和噪</w:t>
            </w:r>
            <w:r>
              <w:rPr>
                <w:rFonts w:hint="eastAsia"/>
                <w:color w:val="000000" w:themeColor="text1"/>
                <w:sz w:val="24"/>
                <w:szCs w:val="24"/>
                <w14:textFill>
                  <w14:solidFill>
                    <w14:schemeClr w14:val="tx1"/>
                  </w14:solidFill>
                </w14:textFill>
              </w:rPr>
              <w:t>声</w:t>
            </w:r>
            <w:r>
              <w:rPr>
                <w:rFonts w:hint="eastAsia"/>
                <w:color w:val="000000" w:themeColor="text1"/>
                <w:sz w:val="24"/>
                <w:szCs w:val="24"/>
                <w:lang w:eastAsia="zh-CN"/>
                <w14:textFill>
                  <w14:solidFill>
                    <w14:schemeClr w14:val="tx1"/>
                  </w14:solidFill>
                </w14:textFill>
              </w:rPr>
              <w:t>污染防治设施</w:t>
            </w:r>
            <w:r>
              <w:rPr>
                <w:color w:val="000000" w:themeColor="text1"/>
                <w:sz w:val="24"/>
                <w:szCs w:val="24"/>
                <w14:textFill>
                  <w14:solidFill>
                    <w14:schemeClr w14:val="tx1"/>
                  </w14:solidFill>
                </w14:textFill>
              </w:rPr>
              <w:t>等环保设施建设。</w:t>
            </w:r>
            <w:r>
              <w:rPr>
                <w:rFonts w:hint="eastAsia"/>
                <w:color w:val="000000" w:themeColor="text1"/>
                <w:sz w:val="24"/>
                <w:szCs w:val="24"/>
                <w14:textFill>
                  <w14:solidFill>
                    <w14:schemeClr w14:val="tx1"/>
                  </w14:solidFill>
                </w14:textFill>
              </w:rPr>
              <w:t>环保投资见表</w:t>
            </w:r>
            <w:r>
              <w:rPr>
                <w:rFonts w:hint="eastAsia"/>
                <w:color w:val="000000" w:themeColor="text1"/>
                <w:sz w:val="24"/>
                <w:szCs w:val="24"/>
                <w:lang w:val="en-US" w:eastAsia="zh-CN"/>
                <w14:textFill>
                  <w14:solidFill>
                    <w14:schemeClr w14:val="tx1"/>
                  </w14:solidFill>
                </w14:textFill>
              </w:rPr>
              <w:t>2</w:t>
            </w:r>
            <w:r>
              <w:rPr>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14</w:t>
            </w:r>
            <w:r>
              <w:rPr>
                <w:color w:val="000000" w:themeColor="text1"/>
                <w:sz w:val="24"/>
                <w:szCs w:val="24"/>
                <w14:textFill>
                  <w14:solidFill>
                    <w14:schemeClr w14:val="tx1"/>
                  </w14:solidFill>
                </w14:textFill>
              </w:rPr>
              <w:t>。</w:t>
            </w:r>
          </w:p>
          <w:p w14:paraId="210A46CA">
            <w:pPr>
              <w:keepNext w:val="0"/>
              <w:keepLines w:val="0"/>
              <w:pageBreakBefore w:val="0"/>
              <w:widowControl w:val="0"/>
              <w:kinsoku/>
              <w:wordWrap/>
              <w:overflowPunct/>
              <w:topLinePunct w:val="0"/>
              <w:autoSpaceDE/>
              <w:autoSpaceDN/>
              <w:bidi w:val="0"/>
              <w:adjustRightInd/>
              <w:snapToGrid w:val="0"/>
              <w:spacing w:line="276" w:lineRule="auto"/>
              <w:ind w:firstLine="0" w:firstLineChars="0"/>
              <w:jc w:val="center"/>
              <w:textAlignment w:val="auto"/>
              <w:outlineLvl w:val="9"/>
              <w:rPr>
                <w:rFonts w:hint="eastAsia"/>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表</w:t>
            </w:r>
            <w:r>
              <w:rPr>
                <w:rFonts w:hint="eastAsia"/>
                <w:b/>
                <w:color w:val="000000" w:themeColor="text1"/>
                <w:sz w:val="24"/>
                <w:szCs w:val="24"/>
                <w:lang w:val="en-US" w:eastAsia="zh-CN"/>
                <w14:textFill>
                  <w14:solidFill>
                    <w14:schemeClr w14:val="tx1"/>
                  </w14:solidFill>
                </w14:textFill>
              </w:rPr>
              <w:t>2</w:t>
            </w:r>
            <w:r>
              <w:rPr>
                <w:b/>
                <w:color w:val="000000" w:themeColor="text1"/>
                <w:sz w:val="24"/>
                <w:szCs w:val="24"/>
                <w14:textFill>
                  <w14:solidFill>
                    <w14:schemeClr w14:val="tx1"/>
                  </w14:solidFill>
                </w14:textFill>
              </w:rPr>
              <w:t>-</w:t>
            </w:r>
            <w:r>
              <w:rPr>
                <w:rFonts w:hint="eastAsia"/>
                <w:b/>
                <w:color w:val="000000" w:themeColor="text1"/>
                <w:sz w:val="24"/>
                <w:szCs w:val="24"/>
                <w:lang w:val="en-US" w:eastAsia="zh-CN"/>
                <w14:textFill>
                  <w14:solidFill>
                    <w14:schemeClr w14:val="tx1"/>
                  </w14:solidFill>
                </w14:textFill>
              </w:rPr>
              <w:t>14  项目环保投资</w:t>
            </w:r>
            <w:r>
              <w:rPr>
                <w:rFonts w:hint="eastAsia"/>
                <w:b/>
                <w:color w:val="000000" w:themeColor="text1"/>
                <w:sz w:val="24"/>
                <w:szCs w:val="24"/>
                <w:lang w:eastAsia="zh-CN"/>
                <w14:textFill>
                  <w14:solidFill>
                    <w14:schemeClr w14:val="tx1"/>
                  </w14:solidFill>
                </w14:textFill>
              </w:rPr>
              <w:t>估算</w:t>
            </w:r>
            <w:r>
              <w:rPr>
                <w:rFonts w:hint="eastAsia"/>
                <w:b/>
                <w:color w:val="000000" w:themeColor="text1"/>
                <w:sz w:val="24"/>
                <w:szCs w:val="24"/>
                <w14:textFill>
                  <w14:solidFill>
                    <w14:schemeClr w14:val="tx1"/>
                  </w14:solidFill>
                </w14:textFill>
              </w:rPr>
              <w:t>一览表</w:t>
            </w:r>
          </w:p>
          <w:tbl>
            <w:tblPr>
              <w:tblStyle w:val="28"/>
              <w:tblW w:w="8674" w:type="dxa"/>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
            <w:tblGrid>
              <w:gridCol w:w="707"/>
              <w:gridCol w:w="804"/>
              <w:gridCol w:w="648"/>
              <w:gridCol w:w="84"/>
              <w:gridCol w:w="708"/>
              <w:gridCol w:w="1176"/>
              <w:gridCol w:w="3492"/>
              <w:gridCol w:w="1055"/>
            </w:tblGrid>
            <w:tr w14:paraId="51212F65">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84" w:hRule="atLeast"/>
                <w:jc w:val="center"/>
              </w:trPr>
              <w:tc>
                <w:tcPr>
                  <w:tcW w:w="407" w:type="pct"/>
                  <w:tcBorders>
                    <w:right w:val="single" w:color="auto" w:sz="4" w:space="0"/>
                  </w:tcBorders>
                  <w:noWrap w:val="0"/>
                  <w:vAlign w:val="center"/>
                </w:tcPr>
                <w:p w14:paraId="2F71C439">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环境要素</w:t>
                  </w:r>
                </w:p>
              </w:tc>
              <w:tc>
                <w:tcPr>
                  <w:tcW w:w="463" w:type="pct"/>
                  <w:tcBorders>
                    <w:bottom w:val="single" w:color="auto" w:sz="4" w:space="0"/>
                    <w:right w:val="single" w:color="auto" w:sz="4" w:space="0"/>
                  </w:tcBorders>
                  <w:noWrap w:val="0"/>
                  <w:vAlign w:val="center"/>
                </w:tcPr>
                <w:p w14:paraId="12A24BFE">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时段</w:t>
                  </w:r>
                </w:p>
              </w:tc>
              <w:tc>
                <w:tcPr>
                  <w:tcW w:w="3520" w:type="pct"/>
                  <w:gridSpan w:val="5"/>
                  <w:tcBorders>
                    <w:bottom w:val="single" w:color="auto" w:sz="4" w:space="0"/>
                    <w:right w:val="single" w:color="auto" w:sz="4" w:space="0"/>
                  </w:tcBorders>
                  <w:noWrap w:val="0"/>
                  <w:vAlign w:val="center"/>
                </w:tcPr>
                <w:p w14:paraId="762E00FA">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环保措施</w:t>
                  </w:r>
                </w:p>
              </w:tc>
              <w:tc>
                <w:tcPr>
                  <w:tcW w:w="608" w:type="pct"/>
                  <w:tcBorders>
                    <w:bottom w:val="single" w:color="auto" w:sz="4" w:space="0"/>
                    <w:right w:val="single" w:color="auto" w:sz="4" w:space="0"/>
                  </w:tcBorders>
                  <w:noWrap w:val="0"/>
                  <w:vAlign w:val="center"/>
                </w:tcPr>
                <w:p w14:paraId="26543AF0">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投资</w:t>
                  </w:r>
                </w:p>
                <w:p w14:paraId="579F2E2F">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（万元）</w:t>
                  </w:r>
                </w:p>
              </w:tc>
            </w:tr>
            <w:tr w14:paraId="683E3803">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84" w:hRule="atLeast"/>
                <w:jc w:val="center"/>
              </w:trPr>
              <w:tc>
                <w:tcPr>
                  <w:tcW w:w="407" w:type="pct"/>
                  <w:vMerge w:val="restart"/>
                  <w:tcBorders>
                    <w:right w:val="single" w:color="auto" w:sz="4" w:space="0"/>
                  </w:tcBorders>
                  <w:noWrap w:val="0"/>
                  <w:vAlign w:val="center"/>
                </w:tcPr>
                <w:p w14:paraId="2C28E2EC">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废气</w:t>
                  </w:r>
                </w:p>
              </w:tc>
              <w:tc>
                <w:tcPr>
                  <w:tcW w:w="463" w:type="pct"/>
                  <w:tcBorders>
                    <w:right w:val="single" w:color="auto" w:sz="4" w:space="0"/>
                  </w:tcBorders>
                  <w:noWrap w:val="0"/>
                  <w:vAlign w:val="center"/>
                </w:tcPr>
                <w:p w14:paraId="7E46E851">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施工期</w:t>
                  </w:r>
                </w:p>
              </w:tc>
              <w:tc>
                <w:tcPr>
                  <w:tcW w:w="3520" w:type="pct"/>
                  <w:gridSpan w:val="5"/>
                  <w:tcBorders>
                    <w:right w:val="single" w:color="auto" w:sz="4" w:space="0"/>
                  </w:tcBorders>
                  <w:noWrap w:val="0"/>
                  <w:vAlign w:val="center"/>
                </w:tcPr>
                <w:p w14:paraId="44478A3E">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洒水降尘、封闭运输、覆盖</w:t>
                  </w:r>
                </w:p>
              </w:tc>
              <w:tc>
                <w:tcPr>
                  <w:tcW w:w="608" w:type="pct"/>
                  <w:tcBorders>
                    <w:right w:val="single" w:color="auto" w:sz="4" w:space="0"/>
                  </w:tcBorders>
                  <w:noWrap w:val="0"/>
                  <w:vAlign w:val="center"/>
                </w:tcPr>
                <w:p w14:paraId="2D027489">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1</w:t>
                  </w:r>
                </w:p>
              </w:tc>
            </w:tr>
            <w:tr w14:paraId="19BDFE1E">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84" w:hRule="atLeast"/>
                <w:jc w:val="center"/>
              </w:trPr>
              <w:tc>
                <w:tcPr>
                  <w:tcW w:w="407" w:type="pct"/>
                  <w:vMerge w:val="continue"/>
                  <w:tcBorders>
                    <w:right w:val="single" w:color="auto" w:sz="4" w:space="0"/>
                  </w:tcBorders>
                  <w:noWrap w:val="0"/>
                  <w:vAlign w:val="center"/>
                </w:tcPr>
                <w:p w14:paraId="526508D4">
                  <w:pPr>
                    <w:bidi w:val="0"/>
                    <w:jc w:val="center"/>
                    <w:rPr>
                      <w:rFonts w:hint="default"/>
                      <w:color w:val="000000" w:themeColor="text1"/>
                      <w14:textFill>
                        <w14:solidFill>
                          <w14:schemeClr w14:val="tx1"/>
                        </w14:solidFill>
                      </w14:textFill>
                    </w:rPr>
                  </w:pPr>
                </w:p>
              </w:tc>
              <w:tc>
                <w:tcPr>
                  <w:tcW w:w="463" w:type="pct"/>
                  <w:vMerge w:val="restart"/>
                  <w:tcBorders>
                    <w:right w:val="single" w:color="auto" w:sz="4" w:space="0"/>
                  </w:tcBorders>
                  <w:noWrap w:val="0"/>
                  <w:vAlign w:val="center"/>
                </w:tcPr>
                <w:p w14:paraId="0936D9A7">
                  <w:pPr>
                    <w:bidi w:val="0"/>
                    <w:jc w:val="cente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运营期</w:t>
                  </w:r>
                </w:p>
              </w:tc>
              <w:tc>
                <w:tcPr>
                  <w:tcW w:w="373" w:type="pct"/>
                  <w:vMerge w:val="restart"/>
                  <w:tcBorders>
                    <w:right w:val="single" w:color="auto" w:sz="4" w:space="0"/>
                  </w:tcBorders>
                  <w:noWrap w:val="0"/>
                  <w:vAlign w:val="center"/>
                </w:tcPr>
                <w:p w14:paraId="374DEA84">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炉窑废气处理系统</w:t>
                  </w:r>
                </w:p>
              </w:tc>
              <w:tc>
                <w:tcPr>
                  <w:tcW w:w="1134" w:type="pct"/>
                  <w:gridSpan w:val="3"/>
                  <w:tcBorders>
                    <w:right w:val="single" w:color="auto" w:sz="4" w:space="0"/>
                  </w:tcBorders>
                  <w:noWrap w:val="0"/>
                  <w:vAlign w:val="center"/>
                </w:tcPr>
                <w:p w14:paraId="2A3F4B4B">
                  <w:pPr>
                    <w:bidi w:val="0"/>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石灰石石膏法脱硫塔及烟气收集管道</w:t>
                  </w:r>
                </w:p>
              </w:tc>
              <w:tc>
                <w:tcPr>
                  <w:tcW w:w="2012" w:type="pct"/>
                  <w:tcBorders>
                    <w:left w:val="single" w:color="auto" w:sz="4" w:space="0"/>
                    <w:right w:val="single" w:color="auto" w:sz="4" w:space="0"/>
                  </w:tcBorders>
                  <w:noWrap w:val="0"/>
                  <w:vAlign w:val="center"/>
                </w:tcPr>
                <w:p w14:paraId="7C0C95BB">
                  <w:pPr>
                    <w:bidi w:val="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1套，用于处理炉窑烟气</w:t>
                  </w:r>
                </w:p>
              </w:tc>
              <w:tc>
                <w:tcPr>
                  <w:tcW w:w="608" w:type="pct"/>
                  <w:tcBorders>
                    <w:right w:val="single" w:color="auto" w:sz="4" w:space="0"/>
                  </w:tcBorders>
                  <w:noWrap w:val="0"/>
                  <w:vAlign w:val="center"/>
                </w:tcPr>
                <w:p w14:paraId="45DDFF16">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依托现有</w:t>
                  </w:r>
                </w:p>
              </w:tc>
            </w:tr>
            <w:tr w14:paraId="27EA25AB">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84" w:hRule="atLeast"/>
                <w:jc w:val="center"/>
              </w:trPr>
              <w:tc>
                <w:tcPr>
                  <w:tcW w:w="407" w:type="pct"/>
                  <w:vMerge w:val="continue"/>
                  <w:tcBorders>
                    <w:right w:val="single" w:color="auto" w:sz="4" w:space="0"/>
                  </w:tcBorders>
                  <w:noWrap w:val="0"/>
                  <w:vAlign w:val="center"/>
                </w:tcPr>
                <w:p w14:paraId="35F6D6D3">
                  <w:pPr>
                    <w:bidi w:val="0"/>
                    <w:jc w:val="center"/>
                    <w:rPr>
                      <w:rFonts w:hint="default"/>
                      <w:color w:val="000000" w:themeColor="text1"/>
                      <w14:textFill>
                        <w14:solidFill>
                          <w14:schemeClr w14:val="tx1"/>
                        </w14:solidFill>
                      </w14:textFill>
                    </w:rPr>
                  </w:pPr>
                </w:p>
              </w:tc>
              <w:tc>
                <w:tcPr>
                  <w:tcW w:w="463" w:type="pct"/>
                  <w:vMerge w:val="continue"/>
                  <w:tcBorders>
                    <w:right w:val="single" w:color="auto" w:sz="4" w:space="0"/>
                  </w:tcBorders>
                  <w:noWrap w:val="0"/>
                  <w:vAlign w:val="center"/>
                </w:tcPr>
                <w:p w14:paraId="7A73EC63">
                  <w:pPr>
                    <w:bidi w:val="0"/>
                    <w:jc w:val="center"/>
                    <w:rPr>
                      <w:rFonts w:hint="default"/>
                      <w:color w:val="000000" w:themeColor="text1"/>
                      <w:lang w:val="en-US" w:eastAsia="zh-CN"/>
                      <w14:textFill>
                        <w14:solidFill>
                          <w14:schemeClr w14:val="tx1"/>
                        </w14:solidFill>
                      </w14:textFill>
                    </w:rPr>
                  </w:pPr>
                </w:p>
              </w:tc>
              <w:tc>
                <w:tcPr>
                  <w:tcW w:w="373" w:type="pct"/>
                  <w:vMerge w:val="continue"/>
                  <w:tcBorders>
                    <w:right w:val="single" w:color="auto" w:sz="4" w:space="0"/>
                  </w:tcBorders>
                  <w:noWrap w:val="0"/>
                  <w:vAlign w:val="center"/>
                </w:tcPr>
                <w:p w14:paraId="165EE27D">
                  <w:pPr>
                    <w:bidi w:val="0"/>
                    <w:jc w:val="center"/>
                    <w:rPr>
                      <w:rFonts w:hint="default"/>
                      <w:color w:val="000000" w:themeColor="text1"/>
                      <w:lang w:val="en-US" w:eastAsia="zh-CN"/>
                      <w14:textFill>
                        <w14:solidFill>
                          <w14:schemeClr w14:val="tx1"/>
                        </w14:solidFill>
                      </w14:textFill>
                    </w:rPr>
                  </w:pPr>
                </w:p>
              </w:tc>
              <w:tc>
                <w:tcPr>
                  <w:tcW w:w="1134" w:type="pct"/>
                  <w:gridSpan w:val="3"/>
                  <w:tcBorders>
                    <w:right w:val="single" w:color="auto" w:sz="4" w:space="0"/>
                  </w:tcBorders>
                  <w:noWrap w:val="0"/>
                  <w:vAlign w:val="center"/>
                </w:tcPr>
                <w:p w14:paraId="6D6243F8">
                  <w:pPr>
                    <w:bidi w:val="0"/>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高温脉冲袋式除尘器</w:t>
                  </w:r>
                </w:p>
              </w:tc>
              <w:tc>
                <w:tcPr>
                  <w:tcW w:w="2012" w:type="pct"/>
                  <w:tcBorders>
                    <w:left w:val="single" w:color="auto" w:sz="4" w:space="0"/>
                    <w:right w:val="single" w:color="auto" w:sz="4" w:space="0"/>
                  </w:tcBorders>
                  <w:noWrap w:val="0"/>
                  <w:vAlign w:val="center"/>
                </w:tcPr>
                <w:p w14:paraId="4C5AC7CE">
                  <w:pPr>
                    <w:bidi w:val="0"/>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1套，用于处理炉窑烟气</w:t>
                  </w:r>
                </w:p>
              </w:tc>
              <w:tc>
                <w:tcPr>
                  <w:tcW w:w="608" w:type="pct"/>
                  <w:tcBorders>
                    <w:right w:val="single" w:color="auto" w:sz="4" w:space="0"/>
                  </w:tcBorders>
                  <w:noWrap w:val="0"/>
                  <w:vAlign w:val="center"/>
                </w:tcPr>
                <w:p w14:paraId="05DCA241">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5.0</w:t>
                  </w:r>
                </w:p>
              </w:tc>
            </w:tr>
            <w:tr w14:paraId="5242811D">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84" w:hRule="atLeast"/>
                <w:jc w:val="center"/>
              </w:trPr>
              <w:tc>
                <w:tcPr>
                  <w:tcW w:w="407" w:type="pct"/>
                  <w:vMerge w:val="continue"/>
                  <w:tcBorders>
                    <w:right w:val="single" w:color="auto" w:sz="4" w:space="0"/>
                  </w:tcBorders>
                  <w:noWrap w:val="0"/>
                  <w:vAlign w:val="center"/>
                </w:tcPr>
                <w:p w14:paraId="41F585CB">
                  <w:pPr>
                    <w:bidi w:val="0"/>
                    <w:jc w:val="center"/>
                    <w:rPr>
                      <w:rFonts w:hint="default"/>
                      <w:color w:val="000000" w:themeColor="text1"/>
                      <w14:textFill>
                        <w14:solidFill>
                          <w14:schemeClr w14:val="tx1"/>
                        </w14:solidFill>
                      </w14:textFill>
                    </w:rPr>
                  </w:pPr>
                </w:p>
              </w:tc>
              <w:tc>
                <w:tcPr>
                  <w:tcW w:w="463" w:type="pct"/>
                  <w:vMerge w:val="continue"/>
                  <w:tcBorders>
                    <w:right w:val="single" w:color="auto" w:sz="4" w:space="0"/>
                  </w:tcBorders>
                  <w:noWrap w:val="0"/>
                  <w:vAlign w:val="center"/>
                </w:tcPr>
                <w:p w14:paraId="428E42C7">
                  <w:pPr>
                    <w:bidi w:val="0"/>
                    <w:jc w:val="center"/>
                    <w:rPr>
                      <w:rFonts w:hint="default"/>
                      <w:color w:val="000000" w:themeColor="text1"/>
                      <w:lang w:val="en-US" w:eastAsia="zh-CN"/>
                      <w14:textFill>
                        <w14:solidFill>
                          <w14:schemeClr w14:val="tx1"/>
                        </w14:solidFill>
                      </w14:textFill>
                    </w:rPr>
                  </w:pPr>
                </w:p>
              </w:tc>
              <w:tc>
                <w:tcPr>
                  <w:tcW w:w="373" w:type="pct"/>
                  <w:vMerge w:val="continue"/>
                  <w:tcBorders>
                    <w:right w:val="single" w:color="auto" w:sz="4" w:space="0"/>
                  </w:tcBorders>
                  <w:noWrap w:val="0"/>
                  <w:vAlign w:val="center"/>
                </w:tcPr>
                <w:p w14:paraId="31F04F2E">
                  <w:pPr>
                    <w:bidi w:val="0"/>
                    <w:jc w:val="center"/>
                    <w:rPr>
                      <w:rFonts w:hint="default"/>
                      <w:color w:val="000000" w:themeColor="text1"/>
                      <w:lang w:val="en-US" w:eastAsia="zh-CN"/>
                      <w14:textFill>
                        <w14:solidFill>
                          <w14:schemeClr w14:val="tx1"/>
                        </w14:solidFill>
                      </w14:textFill>
                    </w:rPr>
                  </w:pPr>
                </w:p>
              </w:tc>
              <w:tc>
                <w:tcPr>
                  <w:tcW w:w="1134" w:type="pct"/>
                  <w:gridSpan w:val="3"/>
                  <w:tcBorders>
                    <w:right w:val="single" w:color="auto" w:sz="4" w:space="0"/>
                  </w:tcBorders>
                  <w:noWrap w:val="0"/>
                  <w:vAlign w:val="center"/>
                </w:tcPr>
                <w:p w14:paraId="2AA536E9">
                  <w:pPr>
                    <w:bidi w:val="0"/>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排气筒（DA001）</w:t>
                  </w:r>
                </w:p>
              </w:tc>
              <w:tc>
                <w:tcPr>
                  <w:tcW w:w="2012" w:type="pct"/>
                  <w:tcBorders>
                    <w:left w:val="single" w:color="auto" w:sz="4" w:space="0"/>
                    <w:right w:val="single" w:color="auto" w:sz="4" w:space="0"/>
                  </w:tcBorders>
                  <w:noWrap w:val="0"/>
                  <w:vAlign w:val="center"/>
                </w:tcPr>
                <w:p w14:paraId="0E02F9CD">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1根15m高的排气筒，内径为0.8m，设置采样平台、采样口</w:t>
                  </w:r>
                </w:p>
              </w:tc>
              <w:tc>
                <w:tcPr>
                  <w:tcW w:w="608" w:type="pct"/>
                  <w:tcBorders>
                    <w:right w:val="single" w:color="auto" w:sz="4" w:space="0"/>
                  </w:tcBorders>
                  <w:noWrap w:val="0"/>
                  <w:vAlign w:val="center"/>
                </w:tcPr>
                <w:p w14:paraId="2B3F1DA9">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3.0</w:t>
                  </w:r>
                </w:p>
              </w:tc>
            </w:tr>
            <w:tr w14:paraId="00BFB6C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84" w:hRule="atLeast"/>
                <w:jc w:val="center"/>
              </w:trPr>
              <w:tc>
                <w:tcPr>
                  <w:tcW w:w="407" w:type="pct"/>
                  <w:vMerge w:val="continue"/>
                  <w:tcBorders>
                    <w:right w:val="single" w:color="auto" w:sz="4" w:space="0"/>
                  </w:tcBorders>
                  <w:noWrap w:val="0"/>
                  <w:vAlign w:val="center"/>
                </w:tcPr>
                <w:p w14:paraId="376E038E">
                  <w:pPr>
                    <w:bidi w:val="0"/>
                    <w:jc w:val="center"/>
                    <w:rPr>
                      <w:rFonts w:hint="default"/>
                      <w:color w:val="000000" w:themeColor="text1"/>
                      <w14:textFill>
                        <w14:solidFill>
                          <w14:schemeClr w14:val="tx1"/>
                        </w14:solidFill>
                      </w14:textFill>
                    </w:rPr>
                  </w:pPr>
                </w:p>
              </w:tc>
              <w:tc>
                <w:tcPr>
                  <w:tcW w:w="463" w:type="pct"/>
                  <w:vMerge w:val="continue"/>
                  <w:tcBorders>
                    <w:right w:val="single" w:color="auto" w:sz="4" w:space="0"/>
                  </w:tcBorders>
                  <w:noWrap w:val="0"/>
                  <w:vAlign w:val="center"/>
                </w:tcPr>
                <w:p w14:paraId="1CE2FD22">
                  <w:pPr>
                    <w:bidi w:val="0"/>
                    <w:jc w:val="center"/>
                    <w:rPr>
                      <w:rFonts w:hint="default"/>
                      <w:color w:val="000000" w:themeColor="text1"/>
                      <w14:textFill>
                        <w14:solidFill>
                          <w14:schemeClr w14:val="tx1"/>
                        </w14:solidFill>
                      </w14:textFill>
                    </w:rPr>
                  </w:pPr>
                </w:p>
              </w:tc>
              <w:tc>
                <w:tcPr>
                  <w:tcW w:w="373" w:type="pct"/>
                  <w:vMerge w:val="restart"/>
                  <w:tcBorders>
                    <w:right w:val="single" w:color="auto" w:sz="4" w:space="0"/>
                  </w:tcBorders>
                  <w:noWrap w:val="0"/>
                  <w:vAlign w:val="center"/>
                </w:tcPr>
                <w:p w14:paraId="6ECDAAB9">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原料制备废气处理措施</w:t>
                  </w:r>
                </w:p>
              </w:tc>
              <w:tc>
                <w:tcPr>
                  <w:tcW w:w="1134" w:type="pct"/>
                  <w:gridSpan w:val="3"/>
                  <w:tcBorders>
                    <w:right w:val="single" w:color="auto" w:sz="4" w:space="0"/>
                  </w:tcBorders>
                  <w:noWrap w:val="0"/>
                  <w:vAlign w:val="center"/>
                </w:tcPr>
                <w:p w14:paraId="4C2033DA">
                  <w:pPr>
                    <w:bidi w:val="0"/>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喷雾设施</w:t>
                  </w:r>
                </w:p>
              </w:tc>
              <w:tc>
                <w:tcPr>
                  <w:tcW w:w="2012" w:type="pct"/>
                  <w:tcBorders>
                    <w:left w:val="single" w:color="auto" w:sz="4" w:space="0"/>
                    <w:right w:val="single" w:color="auto" w:sz="4" w:space="0"/>
                  </w:tcBorders>
                  <w:noWrap w:val="0"/>
                  <w:vAlign w:val="center"/>
                </w:tcPr>
                <w:p w14:paraId="15BBDBDF">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1套，位于原料贮存库，用于原料贮存库降尘</w:t>
                  </w:r>
                </w:p>
              </w:tc>
              <w:tc>
                <w:tcPr>
                  <w:tcW w:w="608" w:type="pct"/>
                  <w:tcBorders>
                    <w:bottom w:val="single" w:color="auto" w:sz="4" w:space="0"/>
                    <w:right w:val="single" w:color="auto" w:sz="4" w:space="0"/>
                  </w:tcBorders>
                  <w:noWrap w:val="0"/>
                  <w:vAlign w:val="center"/>
                </w:tcPr>
                <w:p w14:paraId="43046FF1">
                  <w:pPr>
                    <w:bidi w:val="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依托现有</w:t>
                  </w:r>
                </w:p>
              </w:tc>
            </w:tr>
            <w:tr w14:paraId="2ED9A119">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84" w:hRule="atLeast"/>
                <w:jc w:val="center"/>
              </w:trPr>
              <w:tc>
                <w:tcPr>
                  <w:tcW w:w="407" w:type="pct"/>
                  <w:vMerge w:val="continue"/>
                  <w:tcBorders>
                    <w:right w:val="single" w:color="auto" w:sz="4" w:space="0"/>
                  </w:tcBorders>
                  <w:noWrap w:val="0"/>
                  <w:vAlign w:val="center"/>
                </w:tcPr>
                <w:p w14:paraId="38D08C34">
                  <w:pPr>
                    <w:bidi w:val="0"/>
                    <w:jc w:val="center"/>
                    <w:rPr>
                      <w:rFonts w:hint="default"/>
                      <w:color w:val="000000" w:themeColor="text1"/>
                      <w14:textFill>
                        <w14:solidFill>
                          <w14:schemeClr w14:val="tx1"/>
                        </w14:solidFill>
                      </w14:textFill>
                    </w:rPr>
                  </w:pPr>
                </w:p>
              </w:tc>
              <w:tc>
                <w:tcPr>
                  <w:tcW w:w="463" w:type="pct"/>
                  <w:vMerge w:val="continue"/>
                  <w:tcBorders>
                    <w:right w:val="single" w:color="auto" w:sz="4" w:space="0"/>
                  </w:tcBorders>
                  <w:noWrap w:val="0"/>
                  <w:vAlign w:val="center"/>
                </w:tcPr>
                <w:p w14:paraId="76B98148">
                  <w:pPr>
                    <w:bidi w:val="0"/>
                    <w:jc w:val="center"/>
                    <w:rPr>
                      <w:rFonts w:hint="default"/>
                      <w:color w:val="000000" w:themeColor="text1"/>
                      <w14:textFill>
                        <w14:solidFill>
                          <w14:schemeClr w14:val="tx1"/>
                        </w14:solidFill>
                      </w14:textFill>
                    </w:rPr>
                  </w:pPr>
                </w:p>
              </w:tc>
              <w:tc>
                <w:tcPr>
                  <w:tcW w:w="373" w:type="pct"/>
                  <w:vMerge w:val="continue"/>
                  <w:tcBorders>
                    <w:right w:val="single" w:color="auto" w:sz="4" w:space="0"/>
                  </w:tcBorders>
                  <w:noWrap w:val="0"/>
                  <w:vAlign w:val="center"/>
                </w:tcPr>
                <w:p w14:paraId="0D573086">
                  <w:pPr>
                    <w:bidi w:val="0"/>
                    <w:jc w:val="center"/>
                    <w:rPr>
                      <w:rFonts w:hint="default"/>
                      <w:color w:val="000000" w:themeColor="text1"/>
                      <w:lang w:val="en-US" w:eastAsia="zh-CN"/>
                      <w14:textFill>
                        <w14:solidFill>
                          <w14:schemeClr w14:val="tx1"/>
                        </w14:solidFill>
                      </w14:textFill>
                    </w:rPr>
                  </w:pPr>
                </w:p>
              </w:tc>
              <w:tc>
                <w:tcPr>
                  <w:tcW w:w="1134" w:type="pct"/>
                  <w:gridSpan w:val="3"/>
                  <w:tcBorders>
                    <w:right w:val="single" w:color="auto" w:sz="4" w:space="0"/>
                  </w:tcBorders>
                  <w:noWrap w:val="0"/>
                  <w:vAlign w:val="center"/>
                </w:tcPr>
                <w:p w14:paraId="015F62D4">
                  <w:pPr>
                    <w:bidi w:val="0"/>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原料贮存库封闭围挡</w:t>
                  </w:r>
                </w:p>
              </w:tc>
              <w:tc>
                <w:tcPr>
                  <w:tcW w:w="2012" w:type="pct"/>
                  <w:tcBorders>
                    <w:left w:val="single" w:color="auto" w:sz="4" w:space="0"/>
                    <w:right w:val="single" w:color="auto" w:sz="4" w:space="0"/>
                  </w:tcBorders>
                  <w:noWrap w:val="0"/>
                  <w:vAlign w:val="center"/>
                </w:tcPr>
                <w:p w14:paraId="0A6BA726">
                  <w:pPr>
                    <w:bidi w:val="0"/>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原料贮存库北侧和东侧设置封闭围挡</w:t>
                  </w:r>
                </w:p>
              </w:tc>
              <w:tc>
                <w:tcPr>
                  <w:tcW w:w="608" w:type="pct"/>
                  <w:tcBorders>
                    <w:bottom w:val="single" w:color="auto" w:sz="4" w:space="0"/>
                    <w:right w:val="single" w:color="auto" w:sz="4" w:space="0"/>
                  </w:tcBorders>
                  <w:noWrap w:val="0"/>
                  <w:vAlign w:val="center"/>
                </w:tcPr>
                <w:p w14:paraId="2B0614C2">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0.3</w:t>
                  </w:r>
                </w:p>
              </w:tc>
            </w:tr>
            <w:tr w14:paraId="6449DE44">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67" w:hRule="atLeast"/>
                <w:jc w:val="center"/>
              </w:trPr>
              <w:tc>
                <w:tcPr>
                  <w:tcW w:w="407" w:type="pct"/>
                  <w:vMerge w:val="continue"/>
                  <w:tcBorders>
                    <w:right w:val="single" w:color="auto" w:sz="4" w:space="0"/>
                  </w:tcBorders>
                  <w:noWrap w:val="0"/>
                  <w:vAlign w:val="center"/>
                </w:tcPr>
                <w:p w14:paraId="748469FD">
                  <w:pPr>
                    <w:bidi w:val="0"/>
                    <w:jc w:val="center"/>
                    <w:rPr>
                      <w:rFonts w:hint="default"/>
                      <w:color w:val="000000" w:themeColor="text1"/>
                      <w14:textFill>
                        <w14:solidFill>
                          <w14:schemeClr w14:val="tx1"/>
                        </w14:solidFill>
                      </w14:textFill>
                    </w:rPr>
                  </w:pPr>
                </w:p>
              </w:tc>
              <w:tc>
                <w:tcPr>
                  <w:tcW w:w="463" w:type="pct"/>
                  <w:vMerge w:val="continue"/>
                  <w:tcBorders>
                    <w:right w:val="single" w:color="auto" w:sz="4" w:space="0"/>
                  </w:tcBorders>
                  <w:noWrap w:val="0"/>
                  <w:vAlign w:val="center"/>
                </w:tcPr>
                <w:p w14:paraId="69237F28">
                  <w:pPr>
                    <w:bidi w:val="0"/>
                    <w:jc w:val="center"/>
                    <w:rPr>
                      <w:rFonts w:hint="default"/>
                      <w:color w:val="000000" w:themeColor="text1"/>
                      <w14:textFill>
                        <w14:solidFill>
                          <w14:schemeClr w14:val="tx1"/>
                        </w14:solidFill>
                      </w14:textFill>
                    </w:rPr>
                  </w:pPr>
                </w:p>
              </w:tc>
              <w:tc>
                <w:tcPr>
                  <w:tcW w:w="373" w:type="pct"/>
                  <w:vMerge w:val="continue"/>
                  <w:tcBorders>
                    <w:right w:val="single" w:color="auto" w:sz="4" w:space="0"/>
                  </w:tcBorders>
                  <w:noWrap w:val="0"/>
                  <w:vAlign w:val="center"/>
                </w:tcPr>
                <w:p w14:paraId="447308AF">
                  <w:pPr>
                    <w:bidi w:val="0"/>
                    <w:jc w:val="center"/>
                    <w:rPr>
                      <w:rFonts w:hint="default"/>
                      <w:color w:val="000000" w:themeColor="text1"/>
                      <w:lang w:val="en-US" w:eastAsia="zh-CN"/>
                      <w14:textFill>
                        <w14:solidFill>
                          <w14:schemeClr w14:val="tx1"/>
                        </w14:solidFill>
                      </w14:textFill>
                    </w:rPr>
                  </w:pPr>
                </w:p>
              </w:tc>
              <w:tc>
                <w:tcPr>
                  <w:tcW w:w="456" w:type="pct"/>
                  <w:gridSpan w:val="2"/>
                  <w:vMerge w:val="restart"/>
                  <w:tcBorders>
                    <w:right w:val="single" w:color="auto" w:sz="4" w:space="0"/>
                  </w:tcBorders>
                  <w:noWrap w:val="0"/>
                  <w:vAlign w:val="center"/>
                </w:tcPr>
                <w:p w14:paraId="5D91A242">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破碎、筛分、粉磨废气处理系统</w:t>
                  </w:r>
                </w:p>
              </w:tc>
              <w:tc>
                <w:tcPr>
                  <w:tcW w:w="677" w:type="pct"/>
                  <w:vMerge w:val="restart"/>
                  <w:tcBorders>
                    <w:right w:val="single" w:color="auto" w:sz="4" w:space="0"/>
                  </w:tcBorders>
                  <w:noWrap w:val="0"/>
                  <w:vAlign w:val="center"/>
                </w:tcPr>
                <w:p w14:paraId="0012C842">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收集系统</w:t>
                  </w:r>
                </w:p>
              </w:tc>
              <w:tc>
                <w:tcPr>
                  <w:tcW w:w="2012" w:type="pct"/>
                  <w:tcBorders>
                    <w:left w:val="single" w:color="auto" w:sz="4" w:space="0"/>
                    <w:right w:val="single" w:color="auto" w:sz="4" w:space="0"/>
                  </w:tcBorders>
                  <w:noWrap w:val="0"/>
                  <w:vAlign w:val="center"/>
                </w:tcPr>
                <w:p w14:paraId="66A72F13">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集气罩，2套，分别设置于破碎机、筛分机上方</w:t>
                  </w:r>
                </w:p>
              </w:tc>
              <w:tc>
                <w:tcPr>
                  <w:tcW w:w="608" w:type="pct"/>
                  <w:tcBorders>
                    <w:bottom w:val="single" w:color="auto" w:sz="4" w:space="0"/>
                    <w:right w:val="single" w:color="auto" w:sz="4" w:space="0"/>
                  </w:tcBorders>
                  <w:noWrap w:val="0"/>
                  <w:vAlign w:val="center"/>
                </w:tcPr>
                <w:p w14:paraId="593C3E10">
                  <w:pPr>
                    <w:bidi w:val="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0.2</w:t>
                  </w:r>
                </w:p>
              </w:tc>
            </w:tr>
            <w:tr w14:paraId="03F8BBF9">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67" w:hRule="atLeast"/>
                <w:jc w:val="center"/>
              </w:trPr>
              <w:tc>
                <w:tcPr>
                  <w:tcW w:w="407" w:type="pct"/>
                  <w:vMerge w:val="continue"/>
                  <w:tcBorders>
                    <w:right w:val="single" w:color="auto" w:sz="4" w:space="0"/>
                  </w:tcBorders>
                  <w:noWrap w:val="0"/>
                  <w:vAlign w:val="center"/>
                </w:tcPr>
                <w:p w14:paraId="53F1B73C">
                  <w:pPr>
                    <w:bidi w:val="0"/>
                    <w:jc w:val="center"/>
                    <w:rPr>
                      <w:color w:val="000000" w:themeColor="text1"/>
                      <w14:textFill>
                        <w14:solidFill>
                          <w14:schemeClr w14:val="tx1"/>
                        </w14:solidFill>
                      </w14:textFill>
                    </w:rPr>
                  </w:pPr>
                </w:p>
              </w:tc>
              <w:tc>
                <w:tcPr>
                  <w:tcW w:w="463" w:type="pct"/>
                  <w:vMerge w:val="continue"/>
                  <w:tcBorders>
                    <w:right w:val="single" w:color="auto" w:sz="4" w:space="0"/>
                  </w:tcBorders>
                  <w:noWrap w:val="0"/>
                  <w:vAlign w:val="center"/>
                </w:tcPr>
                <w:p w14:paraId="6FAC5CED">
                  <w:pPr>
                    <w:bidi w:val="0"/>
                    <w:jc w:val="center"/>
                    <w:rPr>
                      <w:color w:val="000000" w:themeColor="text1"/>
                      <w14:textFill>
                        <w14:solidFill>
                          <w14:schemeClr w14:val="tx1"/>
                        </w14:solidFill>
                      </w14:textFill>
                    </w:rPr>
                  </w:pPr>
                </w:p>
              </w:tc>
              <w:tc>
                <w:tcPr>
                  <w:tcW w:w="373" w:type="pct"/>
                  <w:vMerge w:val="continue"/>
                  <w:tcBorders>
                    <w:right w:val="single" w:color="auto" w:sz="4" w:space="0"/>
                  </w:tcBorders>
                  <w:noWrap w:val="0"/>
                  <w:vAlign w:val="center"/>
                </w:tcPr>
                <w:p w14:paraId="3E1141F2">
                  <w:pPr>
                    <w:bidi w:val="0"/>
                    <w:jc w:val="center"/>
                    <w:rPr>
                      <w:color w:val="000000" w:themeColor="text1"/>
                      <w14:textFill>
                        <w14:solidFill>
                          <w14:schemeClr w14:val="tx1"/>
                        </w14:solidFill>
                      </w14:textFill>
                    </w:rPr>
                  </w:pPr>
                </w:p>
              </w:tc>
              <w:tc>
                <w:tcPr>
                  <w:tcW w:w="456" w:type="pct"/>
                  <w:gridSpan w:val="2"/>
                  <w:vMerge w:val="continue"/>
                  <w:tcBorders>
                    <w:right w:val="single" w:color="auto" w:sz="4" w:space="0"/>
                  </w:tcBorders>
                  <w:noWrap w:val="0"/>
                  <w:vAlign w:val="center"/>
                </w:tcPr>
                <w:p w14:paraId="068A46F4">
                  <w:pPr>
                    <w:bidi w:val="0"/>
                    <w:jc w:val="center"/>
                    <w:rPr>
                      <w:color w:val="000000" w:themeColor="text1"/>
                      <w14:textFill>
                        <w14:solidFill>
                          <w14:schemeClr w14:val="tx1"/>
                        </w14:solidFill>
                      </w14:textFill>
                    </w:rPr>
                  </w:pPr>
                </w:p>
              </w:tc>
              <w:tc>
                <w:tcPr>
                  <w:tcW w:w="677" w:type="pct"/>
                  <w:vMerge w:val="continue"/>
                  <w:tcBorders>
                    <w:right w:val="single" w:color="auto" w:sz="4" w:space="0"/>
                  </w:tcBorders>
                  <w:noWrap w:val="0"/>
                  <w:vAlign w:val="center"/>
                </w:tcPr>
                <w:p w14:paraId="315E3557">
                  <w:pPr>
                    <w:bidi w:val="0"/>
                    <w:jc w:val="center"/>
                    <w:rPr>
                      <w:color w:val="000000" w:themeColor="text1"/>
                      <w14:textFill>
                        <w14:solidFill>
                          <w14:schemeClr w14:val="tx1"/>
                        </w14:solidFill>
                      </w14:textFill>
                    </w:rPr>
                  </w:pPr>
                </w:p>
              </w:tc>
              <w:tc>
                <w:tcPr>
                  <w:tcW w:w="2012" w:type="pct"/>
                  <w:tcBorders>
                    <w:left w:val="single" w:color="auto" w:sz="4" w:space="0"/>
                    <w:right w:val="single" w:color="auto" w:sz="4" w:space="0"/>
                  </w:tcBorders>
                  <w:noWrap w:val="0"/>
                  <w:vAlign w:val="center"/>
                </w:tcPr>
                <w:p w14:paraId="115D47CF">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粉磨废气收集管道</w:t>
                  </w:r>
                </w:p>
              </w:tc>
              <w:tc>
                <w:tcPr>
                  <w:tcW w:w="608" w:type="pct"/>
                  <w:tcBorders>
                    <w:bottom w:val="single" w:color="auto" w:sz="4" w:space="0"/>
                    <w:right w:val="single" w:color="auto" w:sz="4" w:space="0"/>
                  </w:tcBorders>
                  <w:noWrap w:val="0"/>
                  <w:vAlign w:val="center"/>
                </w:tcPr>
                <w:p w14:paraId="089819B6">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依托现有</w:t>
                  </w:r>
                </w:p>
              </w:tc>
            </w:tr>
            <w:tr w14:paraId="5A756233">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59" w:hRule="atLeast"/>
                <w:jc w:val="center"/>
              </w:trPr>
              <w:tc>
                <w:tcPr>
                  <w:tcW w:w="407" w:type="pct"/>
                  <w:vMerge w:val="continue"/>
                  <w:tcBorders>
                    <w:right w:val="single" w:color="auto" w:sz="4" w:space="0"/>
                  </w:tcBorders>
                  <w:noWrap w:val="0"/>
                  <w:vAlign w:val="center"/>
                </w:tcPr>
                <w:p w14:paraId="3F2A3020">
                  <w:pPr>
                    <w:bidi w:val="0"/>
                    <w:jc w:val="center"/>
                    <w:rPr>
                      <w:color w:val="000000" w:themeColor="text1"/>
                      <w14:textFill>
                        <w14:solidFill>
                          <w14:schemeClr w14:val="tx1"/>
                        </w14:solidFill>
                      </w14:textFill>
                    </w:rPr>
                  </w:pPr>
                </w:p>
              </w:tc>
              <w:tc>
                <w:tcPr>
                  <w:tcW w:w="463" w:type="pct"/>
                  <w:vMerge w:val="continue"/>
                  <w:tcBorders>
                    <w:right w:val="single" w:color="auto" w:sz="4" w:space="0"/>
                  </w:tcBorders>
                  <w:noWrap w:val="0"/>
                  <w:vAlign w:val="center"/>
                </w:tcPr>
                <w:p w14:paraId="7DA044F9">
                  <w:pPr>
                    <w:bidi w:val="0"/>
                    <w:jc w:val="center"/>
                    <w:rPr>
                      <w:color w:val="000000" w:themeColor="text1"/>
                      <w14:textFill>
                        <w14:solidFill>
                          <w14:schemeClr w14:val="tx1"/>
                        </w14:solidFill>
                      </w14:textFill>
                    </w:rPr>
                  </w:pPr>
                </w:p>
              </w:tc>
              <w:tc>
                <w:tcPr>
                  <w:tcW w:w="373" w:type="pct"/>
                  <w:vMerge w:val="continue"/>
                  <w:tcBorders>
                    <w:right w:val="single" w:color="auto" w:sz="4" w:space="0"/>
                  </w:tcBorders>
                  <w:noWrap w:val="0"/>
                  <w:vAlign w:val="center"/>
                </w:tcPr>
                <w:p w14:paraId="6D60FEB9">
                  <w:pPr>
                    <w:bidi w:val="0"/>
                    <w:jc w:val="center"/>
                    <w:rPr>
                      <w:color w:val="000000" w:themeColor="text1"/>
                      <w14:textFill>
                        <w14:solidFill>
                          <w14:schemeClr w14:val="tx1"/>
                        </w14:solidFill>
                      </w14:textFill>
                    </w:rPr>
                  </w:pPr>
                </w:p>
              </w:tc>
              <w:tc>
                <w:tcPr>
                  <w:tcW w:w="456" w:type="pct"/>
                  <w:gridSpan w:val="2"/>
                  <w:vMerge w:val="continue"/>
                  <w:tcBorders>
                    <w:right w:val="single" w:color="auto" w:sz="4" w:space="0"/>
                  </w:tcBorders>
                  <w:noWrap w:val="0"/>
                  <w:vAlign w:val="center"/>
                </w:tcPr>
                <w:p w14:paraId="197CC0B8">
                  <w:pPr>
                    <w:bidi w:val="0"/>
                    <w:jc w:val="center"/>
                    <w:rPr>
                      <w:rFonts w:hint="eastAsia"/>
                      <w:color w:val="000000" w:themeColor="text1"/>
                      <w:lang w:val="en-US" w:eastAsia="zh-CN"/>
                      <w14:textFill>
                        <w14:solidFill>
                          <w14:schemeClr w14:val="tx1"/>
                        </w14:solidFill>
                      </w14:textFill>
                    </w:rPr>
                  </w:pPr>
                </w:p>
              </w:tc>
              <w:tc>
                <w:tcPr>
                  <w:tcW w:w="677" w:type="pct"/>
                  <w:tcBorders>
                    <w:right w:val="single" w:color="auto" w:sz="4" w:space="0"/>
                  </w:tcBorders>
                  <w:noWrap w:val="0"/>
                  <w:vAlign w:val="center"/>
                </w:tcPr>
                <w:p w14:paraId="4F68CDAC">
                  <w:pPr>
                    <w:bidi w:val="0"/>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脉冲袋式除尘器</w:t>
                  </w:r>
                </w:p>
              </w:tc>
              <w:tc>
                <w:tcPr>
                  <w:tcW w:w="2012" w:type="pct"/>
                  <w:tcBorders>
                    <w:left w:val="single" w:color="auto" w:sz="4" w:space="0"/>
                    <w:right w:val="single" w:color="auto" w:sz="4" w:space="0"/>
                  </w:tcBorders>
                  <w:noWrap w:val="0"/>
                  <w:vAlign w:val="center"/>
                </w:tcPr>
                <w:p w14:paraId="1CCAA450">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1套，用于处理破碎、筛分、粉磨废气处理系统</w:t>
                  </w:r>
                </w:p>
              </w:tc>
              <w:tc>
                <w:tcPr>
                  <w:tcW w:w="608" w:type="pct"/>
                  <w:tcBorders>
                    <w:bottom w:val="single" w:color="auto" w:sz="4" w:space="0"/>
                    <w:right w:val="single" w:color="auto" w:sz="4" w:space="0"/>
                  </w:tcBorders>
                  <w:noWrap w:val="0"/>
                  <w:vAlign w:val="center"/>
                </w:tcPr>
                <w:p w14:paraId="468B076E">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3.0</w:t>
                  </w:r>
                </w:p>
              </w:tc>
            </w:tr>
            <w:tr w14:paraId="6D1786FA">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59" w:hRule="atLeast"/>
                <w:jc w:val="center"/>
              </w:trPr>
              <w:tc>
                <w:tcPr>
                  <w:tcW w:w="407" w:type="pct"/>
                  <w:vMerge w:val="continue"/>
                  <w:tcBorders>
                    <w:right w:val="single" w:color="auto" w:sz="4" w:space="0"/>
                  </w:tcBorders>
                  <w:noWrap w:val="0"/>
                  <w:vAlign w:val="center"/>
                </w:tcPr>
                <w:p w14:paraId="3BC38730">
                  <w:pPr>
                    <w:bidi w:val="0"/>
                    <w:jc w:val="center"/>
                    <w:rPr>
                      <w:rFonts w:hint="eastAsia"/>
                      <w:color w:val="000000" w:themeColor="text1"/>
                      <w:lang w:val="en-US" w:eastAsia="zh-CN"/>
                      <w14:textFill>
                        <w14:solidFill>
                          <w14:schemeClr w14:val="tx1"/>
                        </w14:solidFill>
                      </w14:textFill>
                    </w:rPr>
                  </w:pPr>
                </w:p>
              </w:tc>
              <w:tc>
                <w:tcPr>
                  <w:tcW w:w="463" w:type="pct"/>
                  <w:vMerge w:val="continue"/>
                  <w:tcBorders>
                    <w:right w:val="single" w:color="auto" w:sz="4" w:space="0"/>
                  </w:tcBorders>
                  <w:noWrap w:val="0"/>
                  <w:vAlign w:val="center"/>
                </w:tcPr>
                <w:p w14:paraId="2125F2AE">
                  <w:pPr>
                    <w:bidi w:val="0"/>
                    <w:jc w:val="center"/>
                    <w:rPr>
                      <w:rFonts w:hint="eastAsia"/>
                      <w:color w:val="000000" w:themeColor="text1"/>
                      <w:lang w:val="en-US" w:eastAsia="zh-CN"/>
                      <w14:textFill>
                        <w14:solidFill>
                          <w14:schemeClr w14:val="tx1"/>
                        </w14:solidFill>
                      </w14:textFill>
                    </w:rPr>
                  </w:pPr>
                </w:p>
              </w:tc>
              <w:tc>
                <w:tcPr>
                  <w:tcW w:w="373" w:type="pct"/>
                  <w:vMerge w:val="continue"/>
                  <w:tcBorders>
                    <w:right w:val="single" w:color="auto" w:sz="4" w:space="0"/>
                  </w:tcBorders>
                  <w:noWrap w:val="0"/>
                  <w:vAlign w:val="center"/>
                </w:tcPr>
                <w:p w14:paraId="70694D38">
                  <w:pPr>
                    <w:bidi w:val="0"/>
                    <w:jc w:val="center"/>
                    <w:rPr>
                      <w:rFonts w:hint="eastAsia"/>
                      <w:color w:val="000000" w:themeColor="text1"/>
                      <w:lang w:val="en-US" w:eastAsia="zh-CN"/>
                      <w14:textFill>
                        <w14:solidFill>
                          <w14:schemeClr w14:val="tx1"/>
                        </w14:solidFill>
                      </w14:textFill>
                    </w:rPr>
                  </w:pPr>
                </w:p>
              </w:tc>
              <w:tc>
                <w:tcPr>
                  <w:tcW w:w="456" w:type="pct"/>
                  <w:gridSpan w:val="2"/>
                  <w:vMerge w:val="continue"/>
                  <w:tcBorders>
                    <w:right w:val="single" w:color="auto" w:sz="4" w:space="0"/>
                  </w:tcBorders>
                  <w:noWrap w:val="0"/>
                  <w:vAlign w:val="center"/>
                </w:tcPr>
                <w:p w14:paraId="398A5EE8">
                  <w:pPr>
                    <w:bidi w:val="0"/>
                    <w:jc w:val="center"/>
                    <w:rPr>
                      <w:rFonts w:hint="eastAsia"/>
                      <w:color w:val="000000" w:themeColor="text1"/>
                      <w:lang w:val="en-US" w:eastAsia="zh-CN"/>
                      <w14:textFill>
                        <w14:solidFill>
                          <w14:schemeClr w14:val="tx1"/>
                        </w14:solidFill>
                      </w14:textFill>
                    </w:rPr>
                  </w:pPr>
                </w:p>
              </w:tc>
              <w:tc>
                <w:tcPr>
                  <w:tcW w:w="677" w:type="pct"/>
                  <w:tcBorders>
                    <w:right w:val="single" w:color="auto" w:sz="4" w:space="0"/>
                  </w:tcBorders>
                  <w:noWrap w:val="0"/>
                  <w:vAlign w:val="center"/>
                </w:tcPr>
                <w:p w14:paraId="33BB5353">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排气筒（DA002）</w:t>
                  </w:r>
                </w:p>
              </w:tc>
              <w:tc>
                <w:tcPr>
                  <w:tcW w:w="2012" w:type="pct"/>
                  <w:tcBorders>
                    <w:left w:val="single" w:color="auto" w:sz="4" w:space="0"/>
                    <w:right w:val="single" w:color="auto" w:sz="4" w:space="0"/>
                  </w:tcBorders>
                  <w:noWrap w:val="0"/>
                  <w:vAlign w:val="center"/>
                </w:tcPr>
                <w:p w14:paraId="585CC2AF">
                  <w:pPr>
                    <w:bidi w:val="0"/>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1根15m高的排气筒，内径为0.5m，设置采样平台、采样口</w:t>
                  </w:r>
                </w:p>
              </w:tc>
              <w:tc>
                <w:tcPr>
                  <w:tcW w:w="608" w:type="pct"/>
                  <w:tcBorders>
                    <w:bottom w:val="single" w:color="auto" w:sz="4" w:space="0"/>
                    <w:right w:val="single" w:color="auto" w:sz="4" w:space="0"/>
                  </w:tcBorders>
                  <w:noWrap w:val="0"/>
                  <w:vAlign w:val="center"/>
                </w:tcPr>
                <w:p w14:paraId="3695DD70">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2.0</w:t>
                  </w:r>
                </w:p>
              </w:tc>
            </w:tr>
            <w:tr w14:paraId="1029F26C">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84" w:hRule="atLeast"/>
                <w:jc w:val="center"/>
              </w:trPr>
              <w:tc>
                <w:tcPr>
                  <w:tcW w:w="407" w:type="pct"/>
                  <w:vMerge w:val="restart"/>
                  <w:tcBorders>
                    <w:top w:val="single" w:color="auto" w:sz="4" w:space="0"/>
                    <w:right w:val="single" w:color="auto" w:sz="4" w:space="0"/>
                  </w:tcBorders>
                  <w:noWrap w:val="0"/>
                  <w:vAlign w:val="center"/>
                </w:tcPr>
                <w:p w14:paraId="05891122">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废水</w:t>
                  </w:r>
                </w:p>
              </w:tc>
              <w:tc>
                <w:tcPr>
                  <w:tcW w:w="463" w:type="pct"/>
                  <w:tcBorders>
                    <w:right w:val="single" w:color="auto" w:sz="4" w:space="0"/>
                  </w:tcBorders>
                  <w:noWrap w:val="0"/>
                  <w:vAlign w:val="center"/>
                </w:tcPr>
                <w:p w14:paraId="23BFC4BC">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施工期</w:t>
                  </w:r>
                </w:p>
              </w:tc>
              <w:tc>
                <w:tcPr>
                  <w:tcW w:w="3520" w:type="pct"/>
                  <w:gridSpan w:val="5"/>
                  <w:tcBorders>
                    <w:right w:val="single" w:color="auto" w:sz="4" w:space="0"/>
                  </w:tcBorders>
                  <w:noWrap w:val="0"/>
                  <w:vAlign w:val="center"/>
                </w:tcPr>
                <w:p w14:paraId="31522067">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废水收集桶收集沉淀后用于洒水降尘</w:t>
                  </w:r>
                </w:p>
              </w:tc>
              <w:tc>
                <w:tcPr>
                  <w:tcW w:w="608" w:type="pct"/>
                  <w:tcBorders>
                    <w:top w:val="single" w:color="auto" w:sz="4" w:space="0"/>
                    <w:bottom w:val="single" w:color="auto" w:sz="4" w:space="0"/>
                    <w:right w:val="single" w:color="auto" w:sz="4" w:space="0"/>
                  </w:tcBorders>
                  <w:noWrap w:val="0"/>
                  <w:vAlign w:val="center"/>
                </w:tcPr>
                <w:p w14:paraId="7E4C5FFE">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0.2</w:t>
                  </w:r>
                </w:p>
              </w:tc>
            </w:tr>
            <w:tr w14:paraId="3C56DF9E">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67" w:hRule="atLeast"/>
                <w:jc w:val="center"/>
              </w:trPr>
              <w:tc>
                <w:tcPr>
                  <w:tcW w:w="407" w:type="pct"/>
                  <w:vMerge w:val="continue"/>
                  <w:tcBorders>
                    <w:right w:val="single" w:color="auto" w:sz="4" w:space="0"/>
                  </w:tcBorders>
                  <w:noWrap w:val="0"/>
                  <w:vAlign w:val="center"/>
                </w:tcPr>
                <w:p w14:paraId="3C5E8287">
                  <w:pPr>
                    <w:bidi w:val="0"/>
                    <w:jc w:val="center"/>
                    <w:rPr>
                      <w:rFonts w:hint="default"/>
                      <w:color w:val="000000" w:themeColor="text1"/>
                      <w14:textFill>
                        <w14:solidFill>
                          <w14:schemeClr w14:val="tx1"/>
                        </w14:solidFill>
                      </w14:textFill>
                    </w:rPr>
                  </w:pPr>
                </w:p>
              </w:tc>
              <w:tc>
                <w:tcPr>
                  <w:tcW w:w="463" w:type="pct"/>
                  <w:vMerge w:val="restart"/>
                  <w:tcBorders>
                    <w:right w:val="single" w:color="auto" w:sz="4" w:space="0"/>
                  </w:tcBorders>
                  <w:noWrap w:val="0"/>
                  <w:vAlign w:val="center"/>
                </w:tcPr>
                <w:p w14:paraId="7B6606E0">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运营期</w:t>
                  </w:r>
                </w:p>
              </w:tc>
              <w:tc>
                <w:tcPr>
                  <w:tcW w:w="421" w:type="pct"/>
                  <w:gridSpan w:val="2"/>
                  <w:vMerge w:val="restart"/>
                  <w:tcBorders>
                    <w:right w:val="single" w:color="auto" w:sz="4" w:space="0"/>
                  </w:tcBorders>
                  <w:noWrap w:val="0"/>
                  <w:vAlign w:val="center"/>
                </w:tcPr>
                <w:p w14:paraId="541FADEF">
                  <w:pPr>
                    <w:bidi w:val="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初期雨水收集系统</w:t>
                  </w:r>
                </w:p>
              </w:tc>
              <w:tc>
                <w:tcPr>
                  <w:tcW w:w="408" w:type="pct"/>
                  <w:tcBorders>
                    <w:right w:val="single" w:color="auto" w:sz="4" w:space="0"/>
                  </w:tcBorders>
                  <w:noWrap w:val="0"/>
                  <w:vAlign w:val="center"/>
                </w:tcPr>
                <w:p w14:paraId="195BD3DC">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收集系统</w:t>
                  </w:r>
                </w:p>
              </w:tc>
              <w:tc>
                <w:tcPr>
                  <w:tcW w:w="2690" w:type="pct"/>
                  <w:gridSpan w:val="2"/>
                  <w:tcBorders>
                    <w:left w:val="single" w:color="auto" w:sz="4" w:space="0"/>
                    <w:right w:val="single" w:color="auto" w:sz="4" w:space="0"/>
                  </w:tcBorders>
                  <w:noWrap w:val="0"/>
                  <w:vAlign w:val="center"/>
                </w:tcPr>
                <w:p w14:paraId="25B1E601">
                  <w:pPr>
                    <w:bidi w:val="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1套，完善的初期雨水收集系统，初期雨水收集池进水管设置切断阀，</w:t>
                  </w:r>
                  <w:r>
                    <w:rPr>
                      <w:rFonts w:hint="eastAsia"/>
                      <w:b w:val="0"/>
                      <w:bCs w:val="0"/>
                      <w:color w:val="000000" w:themeColor="text1"/>
                      <w:sz w:val="21"/>
                      <w:szCs w:val="21"/>
                      <w:vertAlign w:val="baseline"/>
                      <w:lang w:val="en-US" w:eastAsia="zh-CN"/>
                      <w14:textFill>
                        <w14:solidFill>
                          <w14:schemeClr w14:val="tx1"/>
                        </w14:solidFill>
                      </w14:textFill>
                    </w:rPr>
                    <w:t>只收集降雨前15min初期雨水，后期雨水通过雨水沟渠外排，并设置规范的雨水排放口</w:t>
                  </w:r>
                </w:p>
              </w:tc>
              <w:tc>
                <w:tcPr>
                  <w:tcW w:w="608" w:type="pct"/>
                  <w:tcBorders>
                    <w:top w:val="single" w:color="auto" w:sz="4" w:space="0"/>
                    <w:right w:val="single" w:color="auto" w:sz="4" w:space="0"/>
                  </w:tcBorders>
                  <w:noWrap w:val="0"/>
                  <w:vAlign w:val="center"/>
                </w:tcPr>
                <w:p w14:paraId="2F26AFD2">
                  <w:pPr>
                    <w:bidi w:val="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0.1</w:t>
                  </w:r>
                </w:p>
              </w:tc>
            </w:tr>
            <w:tr w14:paraId="07D70AFE">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67" w:hRule="atLeast"/>
                <w:jc w:val="center"/>
              </w:trPr>
              <w:tc>
                <w:tcPr>
                  <w:tcW w:w="407" w:type="pct"/>
                  <w:vMerge w:val="continue"/>
                  <w:tcBorders>
                    <w:right w:val="single" w:color="auto" w:sz="4" w:space="0"/>
                  </w:tcBorders>
                  <w:noWrap w:val="0"/>
                  <w:vAlign w:val="center"/>
                </w:tcPr>
                <w:p w14:paraId="36DFD65D">
                  <w:pPr>
                    <w:bidi w:val="0"/>
                    <w:jc w:val="center"/>
                    <w:rPr>
                      <w:color w:val="000000" w:themeColor="text1"/>
                      <w14:textFill>
                        <w14:solidFill>
                          <w14:schemeClr w14:val="tx1"/>
                        </w14:solidFill>
                      </w14:textFill>
                    </w:rPr>
                  </w:pPr>
                </w:p>
              </w:tc>
              <w:tc>
                <w:tcPr>
                  <w:tcW w:w="463" w:type="pct"/>
                  <w:vMerge w:val="continue"/>
                  <w:tcBorders>
                    <w:right w:val="single" w:color="auto" w:sz="4" w:space="0"/>
                  </w:tcBorders>
                  <w:noWrap w:val="0"/>
                  <w:vAlign w:val="center"/>
                </w:tcPr>
                <w:p w14:paraId="28D6B15C">
                  <w:pPr>
                    <w:bidi w:val="0"/>
                    <w:jc w:val="center"/>
                    <w:rPr>
                      <w:color w:val="000000" w:themeColor="text1"/>
                      <w14:textFill>
                        <w14:solidFill>
                          <w14:schemeClr w14:val="tx1"/>
                        </w14:solidFill>
                      </w14:textFill>
                    </w:rPr>
                  </w:pPr>
                </w:p>
              </w:tc>
              <w:tc>
                <w:tcPr>
                  <w:tcW w:w="421" w:type="pct"/>
                  <w:gridSpan w:val="2"/>
                  <w:vMerge w:val="continue"/>
                  <w:tcBorders>
                    <w:right w:val="single" w:color="auto" w:sz="4" w:space="0"/>
                  </w:tcBorders>
                  <w:noWrap w:val="0"/>
                  <w:vAlign w:val="center"/>
                </w:tcPr>
                <w:p w14:paraId="54A9137F">
                  <w:pPr>
                    <w:bidi w:val="0"/>
                    <w:jc w:val="center"/>
                    <w:rPr>
                      <w:rFonts w:hint="eastAsia"/>
                      <w:color w:val="000000" w:themeColor="text1"/>
                      <w:lang w:val="en-US" w:eastAsia="zh-CN"/>
                      <w14:textFill>
                        <w14:solidFill>
                          <w14:schemeClr w14:val="tx1"/>
                        </w14:solidFill>
                      </w14:textFill>
                    </w:rPr>
                  </w:pPr>
                </w:p>
              </w:tc>
              <w:tc>
                <w:tcPr>
                  <w:tcW w:w="408" w:type="pct"/>
                  <w:tcBorders>
                    <w:right w:val="single" w:color="auto" w:sz="4" w:space="0"/>
                  </w:tcBorders>
                  <w:noWrap w:val="0"/>
                  <w:vAlign w:val="center"/>
                </w:tcPr>
                <w:p w14:paraId="47DAECB9">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初期雨水收集池</w:t>
                  </w:r>
                </w:p>
              </w:tc>
              <w:tc>
                <w:tcPr>
                  <w:tcW w:w="2690" w:type="pct"/>
                  <w:gridSpan w:val="2"/>
                  <w:tcBorders>
                    <w:left w:val="single" w:color="auto" w:sz="4" w:space="0"/>
                    <w:right w:val="single" w:color="auto" w:sz="4" w:space="0"/>
                  </w:tcBorders>
                  <w:noWrap w:val="0"/>
                  <w:vAlign w:val="center"/>
                </w:tcPr>
                <w:p w14:paraId="6F8E786F">
                  <w:pPr>
                    <w:bidi w:val="0"/>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1个，容积为20m</w:t>
                  </w:r>
                  <w:r>
                    <w:rPr>
                      <w:rFonts w:hint="eastAsia"/>
                      <w:color w:val="000000" w:themeColor="text1"/>
                      <w:vertAlign w:val="superscript"/>
                      <w:lang w:val="en-US" w:eastAsia="zh-CN"/>
                      <w14:textFill>
                        <w14:solidFill>
                          <w14:schemeClr w14:val="tx1"/>
                        </w14:solidFill>
                      </w14:textFill>
                    </w:rPr>
                    <w:t>3</w:t>
                  </w:r>
                  <w:r>
                    <w:rPr>
                      <w:rFonts w:hint="eastAsia"/>
                      <w:color w:val="000000" w:themeColor="text1"/>
                      <w:vertAlign w:val="baseline"/>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位于项目区北侧，用于收集沉淀初期雨水</w:t>
                  </w:r>
                </w:p>
              </w:tc>
              <w:tc>
                <w:tcPr>
                  <w:tcW w:w="608" w:type="pct"/>
                  <w:tcBorders>
                    <w:top w:val="single" w:color="auto" w:sz="4" w:space="0"/>
                    <w:right w:val="single" w:color="auto" w:sz="4" w:space="0"/>
                  </w:tcBorders>
                  <w:noWrap w:val="0"/>
                  <w:vAlign w:val="center"/>
                </w:tcPr>
                <w:p w14:paraId="1EFE2AB6">
                  <w:pPr>
                    <w:bidi w:val="0"/>
                    <w:jc w:val="center"/>
                    <w:rPr>
                      <w:rFonts w:hint="eastAsia"/>
                      <w:color w:val="000000" w:themeColor="text1"/>
                      <w:lang w:val="en-US" w:eastAsia="zh-CN"/>
                      <w14:textFill>
                        <w14:solidFill>
                          <w14:schemeClr w14:val="tx1"/>
                        </w14:solidFill>
                      </w14:textFill>
                    </w:rPr>
                  </w:pPr>
                  <w:r>
                    <w:rPr>
                      <w:rFonts w:hint="default"/>
                      <w:color w:val="000000" w:themeColor="text1"/>
                      <w14:textFill>
                        <w14:solidFill>
                          <w14:schemeClr w14:val="tx1"/>
                        </w14:solidFill>
                      </w14:textFill>
                    </w:rPr>
                    <w:t>依托</w:t>
                  </w:r>
                  <w:r>
                    <w:rPr>
                      <w:rFonts w:hint="eastAsia"/>
                      <w:color w:val="000000" w:themeColor="text1"/>
                      <w:lang w:val="en-US" w:eastAsia="zh-CN"/>
                      <w14:textFill>
                        <w14:solidFill>
                          <w14:schemeClr w14:val="tx1"/>
                        </w14:solidFill>
                      </w14:textFill>
                    </w:rPr>
                    <w:t>现有</w:t>
                  </w:r>
                </w:p>
              </w:tc>
            </w:tr>
            <w:tr w14:paraId="61B73F5A">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67" w:hRule="atLeast"/>
                <w:jc w:val="center"/>
              </w:trPr>
              <w:tc>
                <w:tcPr>
                  <w:tcW w:w="407" w:type="pct"/>
                  <w:vMerge w:val="continue"/>
                  <w:tcBorders>
                    <w:right w:val="single" w:color="auto" w:sz="4" w:space="0"/>
                  </w:tcBorders>
                  <w:noWrap w:val="0"/>
                  <w:vAlign w:val="center"/>
                </w:tcPr>
                <w:p w14:paraId="1BA9BF63">
                  <w:pPr>
                    <w:bidi w:val="0"/>
                    <w:jc w:val="center"/>
                    <w:rPr>
                      <w:color w:val="000000" w:themeColor="text1"/>
                      <w14:textFill>
                        <w14:solidFill>
                          <w14:schemeClr w14:val="tx1"/>
                        </w14:solidFill>
                      </w14:textFill>
                    </w:rPr>
                  </w:pPr>
                </w:p>
              </w:tc>
              <w:tc>
                <w:tcPr>
                  <w:tcW w:w="463" w:type="pct"/>
                  <w:vMerge w:val="continue"/>
                  <w:tcBorders>
                    <w:right w:val="single" w:color="auto" w:sz="4" w:space="0"/>
                  </w:tcBorders>
                  <w:noWrap w:val="0"/>
                  <w:vAlign w:val="center"/>
                </w:tcPr>
                <w:p w14:paraId="37806A19">
                  <w:pPr>
                    <w:bidi w:val="0"/>
                    <w:jc w:val="center"/>
                    <w:rPr>
                      <w:color w:val="000000" w:themeColor="text1"/>
                      <w14:textFill>
                        <w14:solidFill>
                          <w14:schemeClr w14:val="tx1"/>
                        </w14:solidFill>
                      </w14:textFill>
                    </w:rPr>
                  </w:pPr>
                </w:p>
              </w:tc>
              <w:tc>
                <w:tcPr>
                  <w:tcW w:w="421" w:type="pct"/>
                  <w:gridSpan w:val="2"/>
                  <w:vMerge w:val="continue"/>
                  <w:tcBorders>
                    <w:right w:val="single" w:color="auto" w:sz="4" w:space="0"/>
                  </w:tcBorders>
                  <w:noWrap w:val="0"/>
                  <w:vAlign w:val="center"/>
                </w:tcPr>
                <w:p w14:paraId="75F65B5E">
                  <w:pPr>
                    <w:bidi w:val="0"/>
                    <w:jc w:val="center"/>
                    <w:rPr>
                      <w:rFonts w:hint="eastAsia"/>
                      <w:color w:val="000000" w:themeColor="text1"/>
                      <w:lang w:val="en-US" w:eastAsia="zh-CN"/>
                      <w14:textFill>
                        <w14:solidFill>
                          <w14:schemeClr w14:val="tx1"/>
                        </w14:solidFill>
                      </w14:textFill>
                    </w:rPr>
                  </w:pPr>
                </w:p>
              </w:tc>
              <w:tc>
                <w:tcPr>
                  <w:tcW w:w="408" w:type="pct"/>
                  <w:tcBorders>
                    <w:right w:val="single" w:color="auto" w:sz="4" w:space="0"/>
                  </w:tcBorders>
                  <w:noWrap w:val="0"/>
                  <w:vAlign w:val="center"/>
                </w:tcPr>
                <w:p w14:paraId="52DACA0B">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回用系统</w:t>
                  </w:r>
                </w:p>
              </w:tc>
              <w:tc>
                <w:tcPr>
                  <w:tcW w:w="2690" w:type="pct"/>
                  <w:gridSpan w:val="2"/>
                  <w:tcBorders>
                    <w:left w:val="single" w:color="auto" w:sz="4" w:space="0"/>
                    <w:right w:val="single" w:color="auto" w:sz="4" w:space="0"/>
                  </w:tcBorders>
                  <w:noWrap w:val="0"/>
                  <w:vAlign w:val="center"/>
                </w:tcPr>
                <w:p w14:paraId="4D56A817">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1套，初期雨水回用全部至搅拌用水及洒水降尘用水</w:t>
                  </w:r>
                </w:p>
              </w:tc>
              <w:tc>
                <w:tcPr>
                  <w:tcW w:w="608" w:type="pct"/>
                  <w:tcBorders>
                    <w:top w:val="single" w:color="auto" w:sz="4" w:space="0"/>
                    <w:right w:val="single" w:color="auto" w:sz="4" w:space="0"/>
                  </w:tcBorders>
                  <w:noWrap w:val="0"/>
                  <w:vAlign w:val="center"/>
                </w:tcPr>
                <w:p w14:paraId="31705C79">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0.1</w:t>
                  </w:r>
                </w:p>
              </w:tc>
            </w:tr>
            <w:tr w14:paraId="6CF693D2">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84" w:hRule="atLeast"/>
                <w:jc w:val="center"/>
              </w:trPr>
              <w:tc>
                <w:tcPr>
                  <w:tcW w:w="407" w:type="pct"/>
                  <w:vMerge w:val="continue"/>
                  <w:tcBorders>
                    <w:right w:val="single" w:color="auto" w:sz="4" w:space="0"/>
                  </w:tcBorders>
                  <w:noWrap w:val="0"/>
                  <w:vAlign w:val="center"/>
                </w:tcPr>
                <w:p w14:paraId="069EAD12">
                  <w:pPr>
                    <w:bidi w:val="0"/>
                    <w:jc w:val="center"/>
                    <w:rPr>
                      <w:rFonts w:hint="default"/>
                      <w:color w:val="000000" w:themeColor="text1"/>
                      <w14:textFill>
                        <w14:solidFill>
                          <w14:schemeClr w14:val="tx1"/>
                        </w14:solidFill>
                      </w14:textFill>
                    </w:rPr>
                  </w:pPr>
                </w:p>
              </w:tc>
              <w:tc>
                <w:tcPr>
                  <w:tcW w:w="463" w:type="pct"/>
                  <w:vMerge w:val="continue"/>
                  <w:tcBorders>
                    <w:right w:val="single" w:color="auto" w:sz="4" w:space="0"/>
                  </w:tcBorders>
                  <w:noWrap w:val="0"/>
                  <w:vAlign w:val="center"/>
                </w:tcPr>
                <w:p w14:paraId="6123F0C7">
                  <w:pPr>
                    <w:bidi w:val="0"/>
                    <w:jc w:val="center"/>
                    <w:rPr>
                      <w:rFonts w:hint="default"/>
                      <w:color w:val="000000" w:themeColor="text1"/>
                      <w14:textFill>
                        <w14:solidFill>
                          <w14:schemeClr w14:val="tx1"/>
                        </w14:solidFill>
                      </w14:textFill>
                    </w:rPr>
                  </w:pPr>
                </w:p>
              </w:tc>
              <w:tc>
                <w:tcPr>
                  <w:tcW w:w="830" w:type="pct"/>
                  <w:gridSpan w:val="3"/>
                  <w:tcBorders>
                    <w:right w:val="single" w:color="auto" w:sz="4" w:space="0"/>
                  </w:tcBorders>
                  <w:noWrap w:val="0"/>
                  <w:vAlign w:val="center"/>
                </w:tcPr>
                <w:p w14:paraId="7597C313">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循环沉淀池</w:t>
                  </w:r>
                </w:p>
              </w:tc>
              <w:tc>
                <w:tcPr>
                  <w:tcW w:w="2690" w:type="pct"/>
                  <w:gridSpan w:val="2"/>
                  <w:tcBorders>
                    <w:left w:val="single" w:color="auto" w:sz="4" w:space="0"/>
                    <w:right w:val="single" w:color="auto" w:sz="4" w:space="0"/>
                  </w:tcBorders>
                  <w:noWrap w:val="0"/>
                  <w:vAlign w:val="center"/>
                </w:tcPr>
                <w:p w14:paraId="65EA45D5">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1个，容积为80m</w:t>
                  </w:r>
                  <w:r>
                    <w:rPr>
                      <w:rFonts w:hint="eastAsia"/>
                      <w:color w:val="000000" w:themeColor="text1"/>
                      <w:vertAlign w:val="superscript"/>
                      <w:lang w:val="en-US" w:eastAsia="zh-CN"/>
                      <w14:textFill>
                        <w14:solidFill>
                          <w14:schemeClr w14:val="tx1"/>
                        </w14:solidFill>
                      </w14:textFill>
                    </w:rPr>
                    <w:t>3</w:t>
                  </w:r>
                  <w:r>
                    <w:rPr>
                      <w:rFonts w:hint="eastAsia"/>
                      <w:color w:val="000000" w:themeColor="text1"/>
                      <w:vertAlign w:val="baseline"/>
                      <w:lang w:val="en-US" w:eastAsia="zh-CN"/>
                      <w14:textFill>
                        <w14:solidFill>
                          <w14:schemeClr w14:val="tx1"/>
                        </w14:solidFill>
                      </w14:textFill>
                    </w:rPr>
                    <w:t>，用于收集处理脱硫废水</w:t>
                  </w:r>
                </w:p>
              </w:tc>
              <w:tc>
                <w:tcPr>
                  <w:tcW w:w="608" w:type="pct"/>
                  <w:tcBorders>
                    <w:top w:val="single" w:color="auto" w:sz="4" w:space="0"/>
                    <w:right w:val="single" w:color="auto" w:sz="4" w:space="0"/>
                  </w:tcBorders>
                  <w:noWrap w:val="0"/>
                  <w:vAlign w:val="center"/>
                </w:tcPr>
                <w:p w14:paraId="1C885A8C">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依托现有</w:t>
                  </w:r>
                </w:p>
              </w:tc>
            </w:tr>
            <w:tr w14:paraId="68D60478">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84" w:hRule="atLeast"/>
                <w:jc w:val="center"/>
              </w:trPr>
              <w:tc>
                <w:tcPr>
                  <w:tcW w:w="407" w:type="pct"/>
                  <w:vMerge w:val="continue"/>
                  <w:tcBorders>
                    <w:right w:val="single" w:color="auto" w:sz="4" w:space="0"/>
                  </w:tcBorders>
                  <w:noWrap w:val="0"/>
                  <w:vAlign w:val="center"/>
                </w:tcPr>
                <w:p w14:paraId="5B78E2C6">
                  <w:pPr>
                    <w:bidi w:val="0"/>
                    <w:jc w:val="center"/>
                    <w:rPr>
                      <w:rFonts w:hint="default"/>
                      <w:color w:val="000000" w:themeColor="text1"/>
                      <w14:textFill>
                        <w14:solidFill>
                          <w14:schemeClr w14:val="tx1"/>
                        </w14:solidFill>
                      </w14:textFill>
                    </w:rPr>
                  </w:pPr>
                </w:p>
              </w:tc>
              <w:tc>
                <w:tcPr>
                  <w:tcW w:w="463" w:type="pct"/>
                  <w:vMerge w:val="continue"/>
                  <w:tcBorders>
                    <w:right w:val="single" w:color="auto" w:sz="4" w:space="0"/>
                  </w:tcBorders>
                  <w:noWrap w:val="0"/>
                  <w:vAlign w:val="center"/>
                </w:tcPr>
                <w:p w14:paraId="632560CB">
                  <w:pPr>
                    <w:bidi w:val="0"/>
                    <w:jc w:val="center"/>
                    <w:rPr>
                      <w:rFonts w:hint="default"/>
                      <w:color w:val="000000" w:themeColor="text1"/>
                      <w14:textFill>
                        <w14:solidFill>
                          <w14:schemeClr w14:val="tx1"/>
                        </w14:solidFill>
                      </w14:textFill>
                    </w:rPr>
                  </w:pPr>
                </w:p>
              </w:tc>
              <w:tc>
                <w:tcPr>
                  <w:tcW w:w="830" w:type="pct"/>
                  <w:gridSpan w:val="3"/>
                  <w:tcBorders>
                    <w:right w:val="single" w:color="auto" w:sz="4" w:space="0"/>
                  </w:tcBorders>
                  <w:noWrap w:val="0"/>
                  <w:vAlign w:val="center"/>
                </w:tcPr>
                <w:p w14:paraId="50AADE66">
                  <w:pPr>
                    <w:bidi w:val="0"/>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化粪池</w:t>
                  </w:r>
                </w:p>
              </w:tc>
              <w:tc>
                <w:tcPr>
                  <w:tcW w:w="2690" w:type="pct"/>
                  <w:gridSpan w:val="2"/>
                  <w:tcBorders>
                    <w:left w:val="single" w:color="auto" w:sz="4" w:space="0"/>
                    <w:right w:val="single" w:color="auto" w:sz="4" w:space="0"/>
                  </w:tcBorders>
                  <w:noWrap w:val="0"/>
                  <w:vAlign w:val="center"/>
                </w:tcPr>
                <w:p w14:paraId="12C32CA0">
                  <w:pPr>
                    <w:bidi w:val="0"/>
                    <w:jc w:val="center"/>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1个，容积为10m</w:t>
                  </w:r>
                  <w:r>
                    <w:rPr>
                      <w:rFonts w:hint="eastAsia"/>
                      <w:color w:val="000000" w:themeColor="text1"/>
                      <w:vertAlign w:val="superscript"/>
                      <w:lang w:val="en-US" w:eastAsia="zh-CN"/>
                      <w14:textFill>
                        <w14:solidFill>
                          <w14:schemeClr w14:val="tx1"/>
                        </w14:solidFill>
                      </w14:textFill>
                    </w:rPr>
                    <w:t>3</w:t>
                  </w:r>
                  <w:r>
                    <w:rPr>
                      <w:rFonts w:hint="eastAsia"/>
                      <w:color w:val="000000" w:themeColor="text1"/>
                      <w:vertAlign w:val="baseline"/>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位于生活区北侧。用于处理生活污水</w:t>
                  </w:r>
                </w:p>
              </w:tc>
              <w:tc>
                <w:tcPr>
                  <w:tcW w:w="608" w:type="pct"/>
                  <w:tcBorders>
                    <w:top w:val="single" w:color="auto" w:sz="4" w:space="0"/>
                    <w:right w:val="single" w:color="auto" w:sz="4" w:space="0"/>
                  </w:tcBorders>
                  <w:noWrap w:val="0"/>
                  <w:vAlign w:val="center"/>
                </w:tcPr>
                <w:p w14:paraId="16D6476A">
                  <w:pPr>
                    <w:bidi w:val="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依托现有</w:t>
                  </w:r>
                </w:p>
              </w:tc>
            </w:tr>
            <w:tr w14:paraId="1A7073AA">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84" w:hRule="atLeast"/>
                <w:jc w:val="center"/>
              </w:trPr>
              <w:tc>
                <w:tcPr>
                  <w:tcW w:w="407" w:type="pct"/>
                  <w:vMerge w:val="restart"/>
                  <w:tcBorders>
                    <w:right w:val="single" w:color="auto" w:sz="4" w:space="0"/>
                  </w:tcBorders>
                  <w:noWrap w:val="0"/>
                  <w:vAlign w:val="center"/>
                </w:tcPr>
                <w:p w14:paraId="4558BDE2">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噪声</w:t>
                  </w:r>
                </w:p>
              </w:tc>
              <w:tc>
                <w:tcPr>
                  <w:tcW w:w="463" w:type="pct"/>
                  <w:tcBorders>
                    <w:right w:val="single" w:color="auto" w:sz="4" w:space="0"/>
                  </w:tcBorders>
                  <w:noWrap w:val="0"/>
                  <w:vAlign w:val="center"/>
                </w:tcPr>
                <w:p w14:paraId="60FA6427">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施工期</w:t>
                  </w:r>
                </w:p>
              </w:tc>
              <w:tc>
                <w:tcPr>
                  <w:tcW w:w="3520" w:type="pct"/>
                  <w:gridSpan w:val="5"/>
                  <w:tcBorders>
                    <w:right w:val="single" w:color="auto" w:sz="4" w:space="0"/>
                  </w:tcBorders>
                  <w:noWrap w:val="0"/>
                  <w:vAlign w:val="center"/>
                </w:tcPr>
                <w:p w14:paraId="2487C69F">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合理安排施工布局和施工时间</w:t>
                  </w:r>
                </w:p>
              </w:tc>
              <w:tc>
                <w:tcPr>
                  <w:tcW w:w="608" w:type="pct"/>
                  <w:tcBorders>
                    <w:right w:val="single" w:color="auto" w:sz="4" w:space="0"/>
                  </w:tcBorders>
                  <w:noWrap w:val="0"/>
                  <w:vAlign w:val="center"/>
                </w:tcPr>
                <w:p w14:paraId="346B4E8F">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w:t>
                  </w:r>
                </w:p>
              </w:tc>
            </w:tr>
            <w:tr w14:paraId="2E5C7A0F">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84" w:hRule="atLeast"/>
                <w:jc w:val="center"/>
              </w:trPr>
              <w:tc>
                <w:tcPr>
                  <w:tcW w:w="407" w:type="pct"/>
                  <w:vMerge w:val="continue"/>
                  <w:tcBorders>
                    <w:right w:val="single" w:color="auto" w:sz="4" w:space="0"/>
                  </w:tcBorders>
                  <w:noWrap w:val="0"/>
                  <w:vAlign w:val="center"/>
                </w:tcPr>
                <w:p w14:paraId="445A5371">
                  <w:pPr>
                    <w:bidi w:val="0"/>
                    <w:jc w:val="center"/>
                    <w:rPr>
                      <w:rFonts w:hint="default"/>
                      <w:color w:val="000000" w:themeColor="text1"/>
                      <w14:textFill>
                        <w14:solidFill>
                          <w14:schemeClr w14:val="tx1"/>
                        </w14:solidFill>
                      </w14:textFill>
                    </w:rPr>
                  </w:pPr>
                </w:p>
              </w:tc>
              <w:tc>
                <w:tcPr>
                  <w:tcW w:w="463" w:type="pct"/>
                  <w:tcBorders>
                    <w:right w:val="single" w:color="auto" w:sz="4" w:space="0"/>
                  </w:tcBorders>
                  <w:noWrap w:val="0"/>
                  <w:vAlign w:val="center"/>
                </w:tcPr>
                <w:p w14:paraId="54EC2E84">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运营期</w:t>
                  </w:r>
                </w:p>
              </w:tc>
              <w:tc>
                <w:tcPr>
                  <w:tcW w:w="3520" w:type="pct"/>
                  <w:gridSpan w:val="5"/>
                  <w:tcBorders>
                    <w:right w:val="single" w:color="auto" w:sz="4" w:space="0"/>
                  </w:tcBorders>
                  <w:noWrap w:val="0"/>
                  <w:vAlign w:val="center"/>
                </w:tcPr>
                <w:p w14:paraId="1FD63D41">
                  <w:pPr>
                    <w:bidi w:val="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安装减振垫</w:t>
                  </w:r>
                </w:p>
              </w:tc>
              <w:tc>
                <w:tcPr>
                  <w:tcW w:w="608" w:type="pct"/>
                  <w:tcBorders>
                    <w:right w:val="single" w:color="auto" w:sz="4" w:space="0"/>
                  </w:tcBorders>
                  <w:noWrap w:val="0"/>
                  <w:vAlign w:val="center"/>
                </w:tcPr>
                <w:p w14:paraId="0B805220">
                  <w:pPr>
                    <w:bidi w:val="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0.2</w:t>
                  </w:r>
                </w:p>
              </w:tc>
            </w:tr>
            <w:tr w14:paraId="523B60B5">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84" w:hRule="atLeast"/>
                <w:jc w:val="center"/>
              </w:trPr>
              <w:tc>
                <w:tcPr>
                  <w:tcW w:w="407" w:type="pct"/>
                  <w:vMerge w:val="restart"/>
                  <w:tcBorders>
                    <w:right w:val="single" w:color="auto" w:sz="4" w:space="0"/>
                  </w:tcBorders>
                  <w:noWrap w:val="0"/>
                  <w:vAlign w:val="center"/>
                </w:tcPr>
                <w:p w14:paraId="7F1EB555">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固废</w:t>
                  </w:r>
                </w:p>
              </w:tc>
              <w:tc>
                <w:tcPr>
                  <w:tcW w:w="463" w:type="pct"/>
                  <w:tcBorders>
                    <w:right w:val="single" w:color="auto" w:sz="4" w:space="0"/>
                  </w:tcBorders>
                  <w:noWrap w:val="0"/>
                  <w:vAlign w:val="center"/>
                </w:tcPr>
                <w:p w14:paraId="0387B110">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施工期</w:t>
                  </w:r>
                </w:p>
              </w:tc>
              <w:tc>
                <w:tcPr>
                  <w:tcW w:w="3520" w:type="pct"/>
                  <w:gridSpan w:val="5"/>
                  <w:tcBorders>
                    <w:right w:val="single" w:color="auto" w:sz="4" w:space="0"/>
                  </w:tcBorders>
                  <w:noWrap w:val="0"/>
                  <w:vAlign w:val="center"/>
                </w:tcPr>
                <w:p w14:paraId="0A1FF53B">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能利用的收集外售、不能利用的委托环卫部门清运</w:t>
                  </w:r>
                </w:p>
              </w:tc>
              <w:tc>
                <w:tcPr>
                  <w:tcW w:w="608" w:type="pct"/>
                  <w:tcBorders>
                    <w:right w:val="single" w:color="auto" w:sz="4" w:space="0"/>
                  </w:tcBorders>
                  <w:noWrap w:val="0"/>
                  <w:vAlign w:val="center"/>
                </w:tcPr>
                <w:p w14:paraId="04996DA7">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0.1</w:t>
                  </w:r>
                </w:p>
              </w:tc>
            </w:tr>
            <w:tr w14:paraId="2B8530F4">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84" w:hRule="atLeast"/>
                <w:jc w:val="center"/>
              </w:trPr>
              <w:tc>
                <w:tcPr>
                  <w:tcW w:w="407" w:type="pct"/>
                  <w:vMerge w:val="continue"/>
                  <w:tcBorders>
                    <w:right w:val="single" w:color="auto" w:sz="4" w:space="0"/>
                  </w:tcBorders>
                  <w:noWrap w:val="0"/>
                  <w:vAlign w:val="center"/>
                </w:tcPr>
                <w:p w14:paraId="2ACE50A6">
                  <w:pPr>
                    <w:bidi w:val="0"/>
                    <w:jc w:val="center"/>
                    <w:rPr>
                      <w:rFonts w:hint="default"/>
                      <w:color w:val="000000" w:themeColor="text1"/>
                      <w14:textFill>
                        <w14:solidFill>
                          <w14:schemeClr w14:val="tx1"/>
                        </w14:solidFill>
                      </w14:textFill>
                    </w:rPr>
                  </w:pPr>
                </w:p>
              </w:tc>
              <w:tc>
                <w:tcPr>
                  <w:tcW w:w="463" w:type="pct"/>
                  <w:vMerge w:val="restart"/>
                  <w:tcBorders>
                    <w:right w:val="single" w:color="auto" w:sz="4" w:space="0"/>
                  </w:tcBorders>
                  <w:noWrap w:val="0"/>
                  <w:vAlign w:val="center"/>
                </w:tcPr>
                <w:p w14:paraId="63BCAAA4">
                  <w:pPr>
                    <w:bidi w:val="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运营期</w:t>
                  </w:r>
                </w:p>
              </w:tc>
              <w:tc>
                <w:tcPr>
                  <w:tcW w:w="830" w:type="pct"/>
                  <w:gridSpan w:val="3"/>
                  <w:tcBorders>
                    <w:right w:val="single" w:color="auto" w:sz="4" w:space="0"/>
                  </w:tcBorders>
                  <w:noWrap w:val="0"/>
                  <w:vAlign w:val="center"/>
                </w:tcPr>
                <w:p w14:paraId="6F59F27B">
                  <w:pPr>
                    <w:bidi w:val="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生活垃圾收集箱</w:t>
                  </w:r>
                </w:p>
              </w:tc>
              <w:tc>
                <w:tcPr>
                  <w:tcW w:w="2690" w:type="pct"/>
                  <w:gridSpan w:val="2"/>
                  <w:tcBorders>
                    <w:left w:val="single" w:color="auto" w:sz="4" w:space="0"/>
                    <w:right w:val="single" w:color="auto" w:sz="4" w:space="0"/>
                  </w:tcBorders>
                  <w:noWrap w:val="0"/>
                  <w:vAlign w:val="center"/>
                </w:tcPr>
                <w:p w14:paraId="38781AF7">
                  <w:pPr>
                    <w:bidi w:val="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1个，位于项目区北侧，收集生活垃圾</w:t>
                  </w:r>
                </w:p>
              </w:tc>
              <w:tc>
                <w:tcPr>
                  <w:tcW w:w="608" w:type="pct"/>
                  <w:tcBorders>
                    <w:right w:val="single" w:color="auto" w:sz="4" w:space="0"/>
                  </w:tcBorders>
                  <w:noWrap w:val="0"/>
                  <w:vAlign w:val="center"/>
                </w:tcPr>
                <w:p w14:paraId="09E69033">
                  <w:pPr>
                    <w:bidi w:val="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依托现有</w:t>
                  </w:r>
                </w:p>
              </w:tc>
            </w:tr>
            <w:tr w14:paraId="7DAA116A">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84" w:hRule="atLeast"/>
                <w:jc w:val="center"/>
              </w:trPr>
              <w:tc>
                <w:tcPr>
                  <w:tcW w:w="407" w:type="pct"/>
                  <w:vMerge w:val="continue"/>
                  <w:tcBorders>
                    <w:right w:val="single" w:color="auto" w:sz="4" w:space="0"/>
                  </w:tcBorders>
                  <w:noWrap w:val="0"/>
                  <w:vAlign w:val="center"/>
                </w:tcPr>
                <w:p w14:paraId="446CD507">
                  <w:pPr>
                    <w:bidi w:val="0"/>
                    <w:jc w:val="center"/>
                    <w:rPr>
                      <w:rFonts w:hint="default"/>
                      <w:color w:val="000000" w:themeColor="text1"/>
                      <w14:textFill>
                        <w14:solidFill>
                          <w14:schemeClr w14:val="tx1"/>
                        </w14:solidFill>
                      </w14:textFill>
                    </w:rPr>
                  </w:pPr>
                </w:p>
              </w:tc>
              <w:tc>
                <w:tcPr>
                  <w:tcW w:w="463" w:type="pct"/>
                  <w:vMerge w:val="continue"/>
                  <w:tcBorders>
                    <w:right w:val="single" w:color="auto" w:sz="4" w:space="0"/>
                  </w:tcBorders>
                  <w:noWrap w:val="0"/>
                  <w:vAlign w:val="center"/>
                </w:tcPr>
                <w:p w14:paraId="4AA87072">
                  <w:pPr>
                    <w:bidi w:val="0"/>
                    <w:jc w:val="center"/>
                    <w:rPr>
                      <w:rFonts w:hint="default"/>
                      <w:color w:val="000000" w:themeColor="text1"/>
                      <w14:textFill>
                        <w14:solidFill>
                          <w14:schemeClr w14:val="tx1"/>
                        </w14:solidFill>
                      </w14:textFill>
                    </w:rPr>
                  </w:pPr>
                </w:p>
              </w:tc>
              <w:tc>
                <w:tcPr>
                  <w:tcW w:w="830" w:type="pct"/>
                  <w:gridSpan w:val="3"/>
                  <w:tcBorders>
                    <w:right w:val="single" w:color="auto" w:sz="4" w:space="0"/>
                  </w:tcBorders>
                  <w:noWrap w:val="0"/>
                  <w:vAlign w:val="center"/>
                </w:tcPr>
                <w:p w14:paraId="3B291F0B">
                  <w:pPr>
                    <w:bidi w:val="0"/>
                    <w:jc w:val="center"/>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一般固废暂存间</w:t>
                  </w:r>
                </w:p>
              </w:tc>
              <w:tc>
                <w:tcPr>
                  <w:tcW w:w="2690" w:type="pct"/>
                  <w:gridSpan w:val="2"/>
                  <w:tcBorders>
                    <w:left w:val="single" w:color="auto" w:sz="4" w:space="0"/>
                    <w:right w:val="single" w:color="auto" w:sz="4" w:space="0"/>
                  </w:tcBorders>
                  <w:noWrap w:val="0"/>
                  <w:vAlign w:val="center"/>
                </w:tcPr>
                <w:p w14:paraId="50880B2A">
                  <w:pPr>
                    <w:bidi w:val="0"/>
                    <w:jc w:val="left"/>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1间，位于制瓦车间北侧，用于收集一般固体废物，按照一般防渗要求建设，即防渗标准及要求达到等效黏土防渗层厚度Mb≥1.5m，渗透系数K≤等于1.0×10</w:t>
                  </w:r>
                  <w:r>
                    <w:rPr>
                      <w:rFonts w:hint="eastAsia"/>
                      <w:color w:val="000000" w:themeColor="text1"/>
                      <w:vertAlign w:val="superscript"/>
                      <w:lang w:val="en-US" w:eastAsia="zh-CN"/>
                      <w14:textFill>
                        <w14:solidFill>
                          <w14:schemeClr w14:val="tx1"/>
                        </w14:solidFill>
                      </w14:textFill>
                    </w:rPr>
                    <w:t>-7</w:t>
                  </w:r>
                  <w:r>
                    <w:rPr>
                      <w:rFonts w:hint="eastAsia"/>
                      <w:color w:val="000000" w:themeColor="text1"/>
                      <w:lang w:val="en-US" w:eastAsia="zh-CN"/>
                      <w14:textFill>
                        <w14:solidFill>
                          <w14:schemeClr w14:val="tx1"/>
                        </w14:solidFill>
                      </w14:textFill>
                    </w:rPr>
                    <w:t>cm/s</w:t>
                  </w:r>
                </w:p>
              </w:tc>
              <w:tc>
                <w:tcPr>
                  <w:tcW w:w="608" w:type="pct"/>
                  <w:tcBorders>
                    <w:right w:val="single" w:color="auto" w:sz="4" w:space="0"/>
                  </w:tcBorders>
                  <w:noWrap w:val="0"/>
                  <w:vAlign w:val="center"/>
                </w:tcPr>
                <w:p w14:paraId="4D53325D">
                  <w:pPr>
                    <w:bidi w:val="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0.5</w:t>
                  </w:r>
                </w:p>
              </w:tc>
            </w:tr>
            <w:tr w14:paraId="7C38DAE2">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84" w:hRule="atLeast"/>
                <w:jc w:val="center"/>
              </w:trPr>
              <w:tc>
                <w:tcPr>
                  <w:tcW w:w="407" w:type="pct"/>
                  <w:vMerge w:val="continue"/>
                  <w:tcBorders>
                    <w:right w:val="single" w:color="auto" w:sz="4" w:space="0"/>
                  </w:tcBorders>
                  <w:noWrap w:val="0"/>
                  <w:vAlign w:val="center"/>
                </w:tcPr>
                <w:p w14:paraId="1D06BE4B">
                  <w:pPr>
                    <w:bidi w:val="0"/>
                    <w:jc w:val="center"/>
                    <w:rPr>
                      <w:rFonts w:hint="default"/>
                      <w:color w:val="000000" w:themeColor="text1"/>
                      <w14:textFill>
                        <w14:solidFill>
                          <w14:schemeClr w14:val="tx1"/>
                        </w14:solidFill>
                      </w14:textFill>
                    </w:rPr>
                  </w:pPr>
                </w:p>
              </w:tc>
              <w:tc>
                <w:tcPr>
                  <w:tcW w:w="463" w:type="pct"/>
                  <w:vMerge w:val="continue"/>
                  <w:tcBorders>
                    <w:right w:val="single" w:color="auto" w:sz="4" w:space="0"/>
                  </w:tcBorders>
                  <w:noWrap w:val="0"/>
                  <w:vAlign w:val="center"/>
                </w:tcPr>
                <w:p w14:paraId="0CF50742">
                  <w:pPr>
                    <w:bidi w:val="0"/>
                    <w:jc w:val="center"/>
                    <w:rPr>
                      <w:rFonts w:hint="default"/>
                      <w:color w:val="000000" w:themeColor="text1"/>
                      <w14:textFill>
                        <w14:solidFill>
                          <w14:schemeClr w14:val="tx1"/>
                        </w14:solidFill>
                      </w14:textFill>
                    </w:rPr>
                  </w:pPr>
                </w:p>
              </w:tc>
              <w:tc>
                <w:tcPr>
                  <w:tcW w:w="830" w:type="pct"/>
                  <w:gridSpan w:val="3"/>
                  <w:tcBorders>
                    <w:right w:val="single" w:color="auto" w:sz="4" w:space="0"/>
                  </w:tcBorders>
                  <w:noWrap w:val="0"/>
                  <w:vAlign w:val="center"/>
                </w:tcPr>
                <w:p w14:paraId="75BBF4D9">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危险废物暂存间</w:t>
                  </w:r>
                </w:p>
              </w:tc>
              <w:tc>
                <w:tcPr>
                  <w:tcW w:w="2690" w:type="pct"/>
                  <w:gridSpan w:val="2"/>
                  <w:tcBorders>
                    <w:left w:val="single" w:color="auto" w:sz="4" w:space="0"/>
                    <w:right w:val="single" w:color="auto" w:sz="4" w:space="0"/>
                  </w:tcBorders>
                  <w:noWrap w:val="0"/>
                  <w:vAlign w:val="center"/>
                </w:tcPr>
                <w:p w14:paraId="2843E057">
                  <w:pPr>
                    <w:bidi w:val="0"/>
                    <w:jc w:val="left"/>
                    <w:rPr>
                      <w:rFonts w:hint="default"/>
                      <w:color w:val="000000" w:themeColor="text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1间，位于制瓦车间北侧，按照重点防渗要求建设，即</w:t>
                  </w:r>
                  <w:r>
                    <w:rPr>
                      <w:rFonts w:hint="eastAsia" w:cs="宋体"/>
                      <w:snapToGrid/>
                      <w:color w:val="000000" w:themeColor="text1"/>
                      <w:spacing w:val="0"/>
                      <w:kern w:val="0"/>
                      <w:sz w:val="21"/>
                      <w:szCs w:val="21"/>
                      <w:lang w:val="en-US" w:eastAsia="zh-CN"/>
                      <w14:textFill>
                        <w14:solidFill>
                          <w14:schemeClr w14:val="tx1"/>
                        </w14:solidFill>
                      </w14:textFill>
                    </w:rPr>
                    <w:t>防渗标准及要求达到</w:t>
                  </w:r>
                  <w:r>
                    <w:rPr>
                      <w:color w:val="000000" w:themeColor="text1"/>
                      <w:sz w:val="21"/>
                      <w:szCs w:val="21"/>
                      <w14:textFill>
                        <w14:solidFill>
                          <w14:schemeClr w14:val="tx1"/>
                        </w14:solidFill>
                      </w14:textFill>
                    </w:rPr>
                    <w:t>等效黏土防渗层Mb≥6m，K≤1×10</w:t>
                  </w:r>
                  <w:r>
                    <w:rPr>
                      <w:color w:val="000000" w:themeColor="text1"/>
                      <w:sz w:val="21"/>
                      <w:szCs w:val="21"/>
                      <w:vertAlign w:val="superscript"/>
                      <w14:textFill>
                        <w14:solidFill>
                          <w14:schemeClr w14:val="tx1"/>
                        </w14:solidFill>
                      </w14:textFill>
                    </w:rPr>
                    <w:t>-7</w:t>
                  </w:r>
                  <w:r>
                    <w:rPr>
                      <w:color w:val="000000" w:themeColor="text1"/>
                      <w:sz w:val="21"/>
                      <w:szCs w:val="21"/>
                      <w14:textFill>
                        <w14:solidFill>
                          <w14:schemeClr w14:val="tx1"/>
                        </w14:solidFill>
                      </w14:textFill>
                    </w:rPr>
                    <w:t>cm/s</w:t>
                  </w:r>
                  <w:r>
                    <w:rPr>
                      <w:rFonts w:hint="eastAsia"/>
                      <w:color w:val="000000" w:themeColor="text1"/>
                      <w:sz w:val="21"/>
                      <w:szCs w:val="21"/>
                      <w:lang w:val="en-US" w:eastAsia="zh-CN"/>
                      <w14:textFill>
                        <w14:solidFill>
                          <w14:schemeClr w14:val="tx1"/>
                        </w14:solidFill>
                      </w14:textFill>
                    </w:rPr>
                    <w:t>，委托有资质的单位清运处置。</w:t>
                  </w:r>
                </w:p>
              </w:tc>
              <w:tc>
                <w:tcPr>
                  <w:tcW w:w="608" w:type="pct"/>
                  <w:tcBorders>
                    <w:right w:val="single" w:color="auto" w:sz="4" w:space="0"/>
                  </w:tcBorders>
                  <w:noWrap w:val="0"/>
                  <w:vAlign w:val="center"/>
                </w:tcPr>
                <w:p w14:paraId="2A1D59F7">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1.5</w:t>
                  </w:r>
                </w:p>
              </w:tc>
            </w:tr>
            <w:tr w14:paraId="40CDD47D">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84" w:hRule="atLeast"/>
                <w:jc w:val="center"/>
              </w:trPr>
              <w:tc>
                <w:tcPr>
                  <w:tcW w:w="4391" w:type="pct"/>
                  <w:gridSpan w:val="7"/>
                  <w:tcBorders>
                    <w:right w:val="single" w:color="auto" w:sz="4" w:space="0"/>
                  </w:tcBorders>
                  <w:noWrap w:val="0"/>
                  <w:vAlign w:val="center"/>
                </w:tcPr>
                <w:p w14:paraId="7D569B80">
                  <w:pPr>
                    <w:bidi w:val="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合计</w:t>
                  </w:r>
                </w:p>
              </w:tc>
              <w:tc>
                <w:tcPr>
                  <w:tcW w:w="608" w:type="pct"/>
                  <w:tcBorders>
                    <w:right w:val="single" w:color="auto" w:sz="4" w:space="0"/>
                  </w:tcBorders>
                  <w:noWrap w:val="0"/>
                  <w:vAlign w:val="center"/>
                </w:tcPr>
                <w:p w14:paraId="012E0CB3">
                  <w:pPr>
                    <w:bidi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17.2</w:t>
                  </w:r>
                </w:p>
              </w:tc>
            </w:tr>
          </w:tbl>
          <w:p w14:paraId="01EAD1D9">
            <w:pPr>
              <w:keepNext w:val="0"/>
              <w:keepLines w:val="0"/>
              <w:pageBreakBefore w:val="0"/>
              <w:kinsoku/>
              <w:overflowPunct/>
              <w:topLinePunct w:val="0"/>
              <w:bidi w:val="0"/>
              <w:adjustRightInd w:val="0"/>
              <w:snapToGrid w:val="0"/>
              <w:jc w:val="both"/>
              <w:outlineLvl w:val="9"/>
              <w:rPr>
                <w:rFonts w:ascii="宋体" w:hAnsi="宋体" w:cs="宋体"/>
                <w:bCs/>
                <w:color w:val="000000" w:themeColor="text1"/>
                <w:szCs w:val="21"/>
                <w14:textFill>
                  <w14:solidFill>
                    <w14:schemeClr w14:val="tx1"/>
                  </w14:solidFill>
                </w14:textFill>
              </w:rPr>
            </w:pPr>
          </w:p>
        </w:tc>
      </w:tr>
      <w:tr w14:paraId="79F457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492" w:type="dxa"/>
            <w:noWrap w:val="0"/>
            <w:vAlign w:val="center"/>
          </w:tcPr>
          <w:p w14:paraId="1E7EC88B">
            <w:pPr>
              <w:bidi w:val="0"/>
              <w:jc w:val="center"/>
              <w:rPr>
                <w:rFonts w:cs="宋体"/>
                <w:color w:val="000000" w:themeColor="text1"/>
                <w:szCs w:val="21"/>
                <w14:textFill>
                  <w14:solidFill>
                    <w14:schemeClr w14:val="tx1"/>
                  </w14:solidFill>
                </w14:textFill>
              </w:rPr>
            </w:pPr>
            <w:r>
              <w:rPr>
                <w:rFonts w:hint="eastAsia"/>
                <w:color w:val="000000" w:themeColor="text1"/>
                <w:sz w:val="24"/>
                <w:szCs w:val="24"/>
                <w14:textFill>
                  <w14:solidFill>
                    <w14:schemeClr w14:val="tx1"/>
                  </w14:solidFill>
                </w14:textFill>
              </w:rPr>
              <w:t>工艺流程和产排污环节</w:t>
            </w:r>
          </w:p>
        </w:tc>
        <w:tc>
          <w:tcPr>
            <w:tcW w:w="8749" w:type="dxa"/>
            <w:noWrap w:val="0"/>
            <w:vAlign w:val="top"/>
          </w:tcPr>
          <w:p w14:paraId="5BC91143">
            <w:pPr>
              <w:keepNext w:val="0"/>
              <w:keepLines w:val="0"/>
              <w:pageBreakBefore w:val="0"/>
              <w:kinsoku/>
              <w:overflowPunct/>
              <w:topLinePunct w:val="0"/>
              <w:bidi w:val="0"/>
              <w:spacing w:line="360" w:lineRule="auto"/>
              <w:ind w:firstLine="472" w:firstLineChars="196"/>
              <w:outlineLvl w:val="9"/>
              <w:rPr>
                <w:rFonts w:hint="eastAsia"/>
                <w:b/>
                <w:bCs/>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1、</w:t>
            </w:r>
            <w:r>
              <w:rPr>
                <w:rFonts w:hint="eastAsia"/>
                <w:b/>
                <w:bCs/>
                <w:color w:val="000000" w:themeColor="text1"/>
                <w:sz w:val="24"/>
                <w:szCs w:val="24"/>
                <w14:textFill>
                  <w14:solidFill>
                    <w14:schemeClr w14:val="tx1"/>
                  </w14:solidFill>
                </w14:textFill>
              </w:rPr>
              <w:t>施工期施工工序及产污节点</w:t>
            </w:r>
          </w:p>
          <w:p w14:paraId="2DD64A6D">
            <w:pPr>
              <w:keepNext w:val="0"/>
              <w:keepLines w:val="0"/>
              <w:pageBreakBefore w:val="0"/>
              <w:kinsoku/>
              <w:overflowPunct/>
              <w:topLinePunct w:val="0"/>
              <w:bidi w:val="0"/>
              <w:spacing w:line="360" w:lineRule="auto"/>
              <w:ind w:firstLine="480" w:firstLineChars="200"/>
              <w:outlineLvl w:val="9"/>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本项目为改建项目，在原有项目占地范围内进行建设，不涉及土建工程。施工期建设内容主要为扩建1座4门青瓦烧制窑，对原有项目5座圆窑进行修葺以及配套烟气收集处理设施建设，施工期的工艺流程及产污环节见图2-3。</w:t>
            </w:r>
          </w:p>
          <w:p w14:paraId="1F0D78BF">
            <w:pPr>
              <w:keepNext w:val="0"/>
              <w:keepLines w:val="0"/>
              <w:pageBreakBefore w:val="0"/>
              <w:numPr>
                <w:ilvl w:val="0"/>
                <w:numId w:val="0"/>
              </w:numPr>
              <w:kinsoku/>
              <w:overflowPunct/>
              <w:topLinePunct w:val="0"/>
              <w:bidi w:val="0"/>
              <w:spacing w:line="360" w:lineRule="auto"/>
              <w:ind w:left="0" w:leftChars="0" w:firstLine="0" w:firstLineChars="0"/>
              <w:jc w:val="center"/>
              <w:textAlignment w:val="baseline"/>
              <w:outlineLvl w:val="9"/>
              <w:rPr>
                <w:rFonts w:hint="default"/>
                <w:color w:val="000000" w:themeColor="text1"/>
                <w:sz w:val="24"/>
                <w:szCs w:val="24"/>
                <w:lang w:eastAsia="zh-CN"/>
                <w14:textFill>
                  <w14:solidFill>
                    <w14:schemeClr w14:val="tx1"/>
                  </w14:solidFill>
                </w14:textFill>
              </w:rPr>
            </w:pPr>
            <w:r>
              <w:rPr>
                <w:rFonts w:hint="default"/>
                <w:color w:val="000000" w:themeColor="text1"/>
                <w:sz w:val="24"/>
                <w:szCs w:val="24"/>
                <w:lang w:eastAsia="zh-CN"/>
                <w14:textFill>
                  <w14:solidFill>
                    <w14:schemeClr w14:val="tx1"/>
                  </w14:solidFill>
                </w14:textFill>
              </w:rPr>
              <w:object>
                <v:shape id="_x0000_i1029" o:spt="75" type="#_x0000_t75" style="height:126.9pt;width:390.95pt;" o:ole="t" filled="f" o:preferrelative="t" stroked="f" coordsize="21600,21600">
                  <v:path/>
                  <v:fill on="f" focussize="0,0"/>
                  <v:stroke on="f"/>
                  <v:imagedata r:id="rId21" o:title=""/>
                  <o:lock v:ext="edit" aspectratio="f"/>
                  <w10:wrap type="none"/>
                  <w10:anchorlock/>
                </v:shape>
                <o:OLEObject Type="Embed" ProgID="Visio.Drawing.15" ShapeID="_x0000_i1029" DrawAspect="Content" ObjectID="_1468075729" r:id="rId20">
                  <o:LockedField>false</o:LockedField>
                </o:OLEObject>
              </w:object>
            </w:r>
          </w:p>
          <w:p w14:paraId="6E917056">
            <w:pPr>
              <w:keepNext w:val="0"/>
              <w:keepLines w:val="0"/>
              <w:pageBreakBefore w:val="0"/>
              <w:numPr>
                <w:ilvl w:val="0"/>
                <w:numId w:val="0"/>
              </w:numPr>
              <w:kinsoku/>
              <w:overflowPunct/>
              <w:topLinePunct w:val="0"/>
              <w:bidi w:val="0"/>
              <w:spacing w:line="360" w:lineRule="auto"/>
              <w:ind w:left="0" w:leftChars="0" w:firstLine="149" w:firstLineChars="0"/>
              <w:jc w:val="center"/>
              <w:textAlignment w:val="baseline"/>
              <w:outlineLvl w:val="9"/>
              <w:rPr>
                <w:rFonts w:hint="default"/>
                <w:color w:val="000000" w:themeColor="text1"/>
                <w:sz w:val="24"/>
                <w:szCs w:val="24"/>
                <w:lang w:val="en-US" w:eastAsia="zh-CN"/>
                <w14:textFill>
                  <w14:solidFill>
                    <w14:schemeClr w14:val="tx1"/>
                  </w14:solidFill>
                </w14:textFill>
              </w:rPr>
            </w:pPr>
            <w:r>
              <w:rPr>
                <w:rFonts w:hint="default"/>
                <w:b/>
                <w:bCs/>
                <w:color w:val="000000" w:themeColor="text1"/>
                <w:sz w:val="24"/>
                <w:szCs w:val="24"/>
                <w:lang w:eastAsia="zh-CN"/>
                <w14:textFill>
                  <w14:solidFill>
                    <w14:schemeClr w14:val="tx1"/>
                  </w14:solidFill>
                </w14:textFill>
              </w:rPr>
              <w:t>图</w:t>
            </w:r>
            <w:r>
              <w:rPr>
                <w:rFonts w:hint="eastAsia"/>
                <w:b/>
                <w:bCs/>
                <w:color w:val="000000" w:themeColor="text1"/>
                <w:sz w:val="24"/>
                <w:szCs w:val="24"/>
                <w:lang w:val="en-US" w:eastAsia="zh-CN"/>
                <w14:textFill>
                  <w14:solidFill>
                    <w14:schemeClr w14:val="tx1"/>
                  </w14:solidFill>
                </w14:textFill>
              </w:rPr>
              <w:t xml:space="preserve">2-3   </w:t>
            </w:r>
            <w:r>
              <w:rPr>
                <w:rFonts w:hint="default"/>
                <w:b/>
                <w:bCs/>
                <w:color w:val="000000" w:themeColor="text1"/>
                <w:sz w:val="24"/>
                <w:szCs w:val="24"/>
                <w:lang w:eastAsia="zh-CN"/>
                <w14:textFill>
                  <w14:solidFill>
                    <w14:schemeClr w14:val="tx1"/>
                  </w14:solidFill>
                </w14:textFill>
              </w:rPr>
              <w:t>施工期工艺流程及产污节点</w:t>
            </w:r>
            <w:r>
              <w:rPr>
                <w:rFonts w:hint="eastAsia"/>
                <w:b/>
                <w:bCs/>
                <w:color w:val="000000" w:themeColor="text1"/>
                <w:sz w:val="24"/>
                <w:szCs w:val="24"/>
                <w:lang w:val="en-US" w:eastAsia="zh-CN"/>
                <w14:textFill>
                  <w14:solidFill>
                    <w14:schemeClr w14:val="tx1"/>
                  </w14:solidFill>
                </w14:textFill>
              </w:rPr>
              <w:t>图</w:t>
            </w:r>
          </w:p>
          <w:p w14:paraId="1EF1D102">
            <w:pPr>
              <w:pStyle w:val="8"/>
              <w:spacing w:line="360" w:lineRule="auto"/>
              <w:ind w:firstLine="480" w:firstLineChars="200"/>
              <w:jc w:val="both"/>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本次改扩建施工期</w:t>
            </w:r>
            <w:r>
              <w:rPr>
                <w:rFonts w:hint="eastAsia"/>
                <w:color w:val="000000" w:themeColor="text1"/>
                <w14:textFill>
                  <w14:solidFill>
                    <w14:schemeClr w14:val="tx1"/>
                  </w14:solidFill>
                </w14:textFill>
              </w:rPr>
              <w:t>产生的污染物按照废水、废气、固废进行分类，污染物产生的环节见表2-</w:t>
            </w:r>
            <w:r>
              <w:rPr>
                <w:rFonts w:hint="eastAsia"/>
                <w:color w:val="000000" w:themeColor="text1"/>
                <w:lang w:val="en-US" w:eastAsia="zh-CN"/>
                <w14:textFill>
                  <w14:solidFill>
                    <w14:schemeClr w14:val="tx1"/>
                  </w14:solidFill>
                </w14:textFill>
              </w:rPr>
              <w:t>15</w:t>
            </w:r>
            <w:r>
              <w:rPr>
                <w:rFonts w:hint="eastAsia"/>
                <w:color w:val="000000" w:themeColor="text1"/>
                <w14:textFill>
                  <w14:solidFill>
                    <w14:schemeClr w14:val="tx1"/>
                  </w14:solidFill>
                </w14:textFill>
              </w:rPr>
              <w:t>。</w:t>
            </w:r>
          </w:p>
          <w:p w14:paraId="2719FB55">
            <w:pPr>
              <w:keepNext w:val="0"/>
              <w:keepLines w:val="0"/>
              <w:pageBreakBefore w:val="0"/>
              <w:widowControl w:val="0"/>
              <w:kinsoku/>
              <w:wordWrap/>
              <w:overflowPunct/>
              <w:topLinePunct w:val="0"/>
              <w:autoSpaceDE/>
              <w:autoSpaceDN/>
              <w:bidi w:val="0"/>
              <w:adjustRightInd/>
              <w:snapToGrid/>
              <w:spacing w:line="348" w:lineRule="auto"/>
              <w:jc w:val="center"/>
              <w:textAlignment w:val="auto"/>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表2-</w:t>
            </w:r>
            <w:r>
              <w:rPr>
                <w:rFonts w:hint="eastAsia"/>
                <w:b/>
                <w:bCs/>
                <w:color w:val="000000" w:themeColor="text1"/>
                <w:sz w:val="24"/>
                <w:szCs w:val="24"/>
                <w:lang w:val="en-US" w:eastAsia="zh-CN"/>
                <w14:textFill>
                  <w14:solidFill>
                    <w14:schemeClr w14:val="tx1"/>
                  </w14:solidFill>
                </w14:textFill>
              </w:rPr>
              <w:t>15</w:t>
            </w:r>
            <w:r>
              <w:rPr>
                <w:b/>
                <w:bCs/>
                <w:color w:val="000000" w:themeColor="text1"/>
                <w:sz w:val="24"/>
                <w:szCs w:val="24"/>
                <w14:textFill>
                  <w14:solidFill>
                    <w14:schemeClr w14:val="tx1"/>
                  </w14:solidFill>
                </w14:textFill>
              </w:rPr>
              <w:t xml:space="preserve">  </w:t>
            </w:r>
            <w:r>
              <w:rPr>
                <w:rFonts w:hint="eastAsia"/>
                <w:b/>
                <w:bCs/>
                <w:color w:val="000000" w:themeColor="text1"/>
                <w:sz w:val="24"/>
                <w:szCs w:val="24"/>
                <w:lang w:val="en-US" w:eastAsia="zh-CN"/>
                <w14:textFill>
                  <w14:solidFill>
                    <w14:schemeClr w14:val="tx1"/>
                  </w14:solidFill>
                </w14:textFill>
              </w:rPr>
              <w:t xml:space="preserve"> </w:t>
            </w:r>
            <w:r>
              <w:rPr>
                <w:rFonts w:hint="eastAsia"/>
                <w:b/>
                <w:bCs/>
                <w:color w:val="000000" w:themeColor="text1"/>
                <w:sz w:val="24"/>
                <w:szCs w:val="24"/>
                <w14:textFill>
                  <w14:solidFill>
                    <w14:schemeClr w14:val="tx1"/>
                  </w14:solidFill>
                </w14:textFill>
              </w:rPr>
              <w:t>施工</w:t>
            </w:r>
            <w:r>
              <w:rPr>
                <w:rFonts w:hint="eastAsia"/>
                <w:b/>
                <w:bCs/>
                <w:color w:val="000000" w:themeColor="text1"/>
                <w:sz w:val="24"/>
                <w:szCs w:val="24"/>
                <w:lang w:eastAsia="zh-CN"/>
                <w14:textFill>
                  <w14:solidFill>
                    <w14:schemeClr w14:val="tx1"/>
                  </w14:solidFill>
                </w14:textFill>
              </w:rPr>
              <w:t>期</w:t>
            </w:r>
            <w:r>
              <w:rPr>
                <w:rFonts w:hint="eastAsia"/>
                <w:b/>
                <w:bCs/>
                <w:color w:val="000000" w:themeColor="text1"/>
                <w:sz w:val="24"/>
                <w:szCs w:val="24"/>
                <w14:textFill>
                  <w14:solidFill>
                    <w14:schemeClr w14:val="tx1"/>
                  </w14:solidFill>
                </w14:textFill>
              </w:rPr>
              <w:t>污染物产生环节一览表</w:t>
            </w:r>
          </w:p>
          <w:tbl>
            <w:tblPr>
              <w:tblStyle w:val="28"/>
              <w:tblW w:w="837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20"/>
              <w:gridCol w:w="1346"/>
              <w:gridCol w:w="1763"/>
              <w:gridCol w:w="1488"/>
              <w:gridCol w:w="2036"/>
              <w:gridCol w:w="1122"/>
            </w:tblGrid>
            <w:tr w14:paraId="03A9DE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tblHeader/>
                <w:jc w:val="center"/>
              </w:trPr>
              <w:tc>
                <w:tcPr>
                  <w:tcW w:w="370" w:type="pct"/>
                  <w:noWrap w:val="0"/>
                  <w:vAlign w:val="center"/>
                </w:tcPr>
                <w:p w14:paraId="63063C29">
                  <w:pPr>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类别</w:t>
                  </w:r>
                </w:p>
              </w:tc>
              <w:tc>
                <w:tcPr>
                  <w:tcW w:w="803" w:type="pct"/>
                  <w:noWrap w:val="0"/>
                  <w:vAlign w:val="center"/>
                </w:tcPr>
                <w:p w14:paraId="2CD44CBD">
                  <w:pPr>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污染物名称</w:t>
                  </w:r>
                </w:p>
              </w:tc>
              <w:tc>
                <w:tcPr>
                  <w:tcW w:w="1052" w:type="pct"/>
                  <w:noWrap w:val="0"/>
                  <w:vAlign w:val="center"/>
                </w:tcPr>
                <w:p w14:paraId="5F85297E">
                  <w:pPr>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产生环节</w:t>
                  </w:r>
                </w:p>
              </w:tc>
              <w:tc>
                <w:tcPr>
                  <w:tcW w:w="888" w:type="pct"/>
                  <w:tcBorders>
                    <w:right w:val="single" w:color="auto" w:sz="4" w:space="0"/>
                  </w:tcBorders>
                  <w:noWrap w:val="0"/>
                  <w:vAlign w:val="center"/>
                </w:tcPr>
                <w:p w14:paraId="74AF1941">
                  <w:pPr>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主要污染因子</w:t>
                  </w:r>
                </w:p>
              </w:tc>
              <w:tc>
                <w:tcPr>
                  <w:tcW w:w="1215" w:type="pct"/>
                  <w:tcBorders>
                    <w:left w:val="single" w:color="auto" w:sz="4" w:space="0"/>
                  </w:tcBorders>
                  <w:noWrap w:val="0"/>
                  <w:vAlign w:val="center"/>
                </w:tcPr>
                <w:p w14:paraId="154BBF2F">
                  <w:pPr>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处置措施</w:t>
                  </w:r>
                </w:p>
              </w:tc>
              <w:tc>
                <w:tcPr>
                  <w:tcW w:w="669" w:type="pct"/>
                  <w:noWrap w:val="0"/>
                  <w:vAlign w:val="center"/>
                </w:tcPr>
                <w:p w14:paraId="204696F3">
                  <w:pPr>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去向</w:t>
                  </w:r>
                </w:p>
              </w:tc>
            </w:tr>
            <w:tr w14:paraId="4C0AD2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70" w:type="pct"/>
                  <w:vMerge w:val="restart"/>
                  <w:noWrap w:val="0"/>
                  <w:vAlign w:val="center"/>
                </w:tcPr>
                <w:p w14:paraId="1792889E">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废气</w:t>
                  </w:r>
                </w:p>
              </w:tc>
              <w:tc>
                <w:tcPr>
                  <w:tcW w:w="803" w:type="pct"/>
                  <w:noWrap w:val="0"/>
                  <w:vAlign w:val="center"/>
                </w:tcPr>
                <w:p w14:paraId="0453F29E">
                  <w:pPr>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扬尘</w:t>
                  </w:r>
                </w:p>
              </w:tc>
              <w:tc>
                <w:tcPr>
                  <w:tcW w:w="1052" w:type="pct"/>
                  <w:noWrap w:val="0"/>
                  <w:vAlign w:val="center"/>
                </w:tcPr>
                <w:p w14:paraId="516847A4">
                  <w:pPr>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物料运输</w:t>
                  </w:r>
                </w:p>
              </w:tc>
              <w:tc>
                <w:tcPr>
                  <w:tcW w:w="888" w:type="pct"/>
                  <w:tcBorders>
                    <w:right w:val="single" w:color="auto" w:sz="4" w:space="0"/>
                  </w:tcBorders>
                  <w:noWrap w:val="0"/>
                  <w:vAlign w:val="center"/>
                </w:tcPr>
                <w:p w14:paraId="0493DC83">
                  <w:pPr>
                    <w:jc w:val="center"/>
                    <w:rPr>
                      <w:color w:val="000000" w:themeColor="text1"/>
                      <w:kern w:val="0"/>
                      <w:szCs w:val="21"/>
                      <w:vertAlign w:val="subscript"/>
                      <w14:textFill>
                        <w14:solidFill>
                          <w14:schemeClr w14:val="tx1"/>
                        </w14:solidFill>
                      </w14:textFill>
                    </w:rPr>
                  </w:pPr>
                  <w:r>
                    <w:rPr>
                      <w:rFonts w:hint="eastAsia"/>
                      <w:color w:val="000000" w:themeColor="text1"/>
                      <w:kern w:val="0"/>
                      <w:szCs w:val="21"/>
                      <w14:textFill>
                        <w14:solidFill>
                          <w14:schemeClr w14:val="tx1"/>
                        </w14:solidFill>
                      </w14:textFill>
                    </w:rPr>
                    <w:t>颗粒物</w:t>
                  </w:r>
                </w:p>
              </w:tc>
              <w:tc>
                <w:tcPr>
                  <w:tcW w:w="1215" w:type="pct"/>
                  <w:tcBorders>
                    <w:left w:val="single" w:color="auto" w:sz="4" w:space="0"/>
                  </w:tcBorders>
                  <w:noWrap w:val="0"/>
                  <w:vAlign w:val="center"/>
                </w:tcPr>
                <w:p w14:paraId="0AA9332E">
                  <w:pPr>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洒水降尘、覆盖、封闭运输</w:t>
                  </w:r>
                </w:p>
              </w:tc>
              <w:tc>
                <w:tcPr>
                  <w:tcW w:w="669" w:type="pct"/>
                  <w:noWrap w:val="0"/>
                  <w:vAlign w:val="center"/>
                </w:tcPr>
                <w:p w14:paraId="035A2994">
                  <w:pPr>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无组织排放</w:t>
                  </w:r>
                </w:p>
              </w:tc>
            </w:tr>
            <w:tr w14:paraId="56C8F5C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370" w:type="pct"/>
                  <w:vMerge w:val="continue"/>
                  <w:noWrap w:val="0"/>
                  <w:vAlign w:val="center"/>
                </w:tcPr>
                <w:p w14:paraId="1157AF91">
                  <w:pPr>
                    <w:jc w:val="center"/>
                    <w:rPr>
                      <w:color w:val="000000" w:themeColor="text1"/>
                      <w:kern w:val="0"/>
                      <w:szCs w:val="21"/>
                      <w14:textFill>
                        <w14:solidFill>
                          <w14:schemeClr w14:val="tx1"/>
                        </w14:solidFill>
                      </w14:textFill>
                    </w:rPr>
                  </w:pPr>
                </w:p>
              </w:tc>
              <w:tc>
                <w:tcPr>
                  <w:tcW w:w="803" w:type="pct"/>
                  <w:noWrap w:val="0"/>
                  <w:vAlign w:val="center"/>
                </w:tcPr>
                <w:p w14:paraId="2E92BA6A">
                  <w:pPr>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燃油机械废气</w:t>
                  </w:r>
                </w:p>
              </w:tc>
              <w:tc>
                <w:tcPr>
                  <w:tcW w:w="1052" w:type="pct"/>
                  <w:noWrap w:val="0"/>
                  <w:vAlign w:val="center"/>
                </w:tcPr>
                <w:p w14:paraId="414AC855">
                  <w:pPr>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运输车辆</w:t>
                  </w:r>
                </w:p>
              </w:tc>
              <w:tc>
                <w:tcPr>
                  <w:tcW w:w="888" w:type="pct"/>
                  <w:tcBorders>
                    <w:right w:val="single" w:color="auto" w:sz="4" w:space="0"/>
                  </w:tcBorders>
                  <w:noWrap w:val="0"/>
                  <w:vAlign w:val="center"/>
                </w:tcPr>
                <w:p w14:paraId="7E8D52F4">
                  <w:pPr>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烯烃类、CO和NO</w:t>
                  </w:r>
                  <w:r>
                    <w:rPr>
                      <w:rFonts w:hint="eastAsia"/>
                      <w:color w:val="000000" w:themeColor="text1"/>
                      <w:kern w:val="0"/>
                      <w:szCs w:val="21"/>
                      <w:vertAlign w:val="subscript"/>
                      <w14:textFill>
                        <w14:solidFill>
                          <w14:schemeClr w14:val="tx1"/>
                        </w14:solidFill>
                      </w14:textFill>
                    </w:rPr>
                    <w:t>X</w:t>
                  </w:r>
                </w:p>
              </w:tc>
              <w:tc>
                <w:tcPr>
                  <w:tcW w:w="1215" w:type="pct"/>
                  <w:tcBorders>
                    <w:left w:val="single" w:color="auto" w:sz="4" w:space="0"/>
                  </w:tcBorders>
                  <w:noWrap w:val="0"/>
                  <w:vAlign w:val="center"/>
                </w:tcPr>
                <w:p w14:paraId="1E50466C">
                  <w:pPr>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c>
                <w:tcPr>
                  <w:tcW w:w="669" w:type="pct"/>
                  <w:noWrap w:val="0"/>
                  <w:vAlign w:val="center"/>
                </w:tcPr>
                <w:p w14:paraId="38C6D912">
                  <w:pPr>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自然稀释</w:t>
                  </w:r>
                </w:p>
                <w:p w14:paraId="5F8AE0B7">
                  <w:pPr>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扩散</w:t>
                  </w:r>
                </w:p>
              </w:tc>
            </w:tr>
            <w:tr w14:paraId="20771B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70" w:type="pct"/>
                  <w:vMerge w:val="restart"/>
                  <w:noWrap w:val="0"/>
                  <w:vAlign w:val="center"/>
                </w:tcPr>
                <w:p w14:paraId="2CF09825">
                  <w:pPr>
                    <w:pStyle w:val="12"/>
                    <w:jc w:val="center"/>
                    <w:rPr>
                      <w:rFonts w:ascii="Times New Roman" w:hAnsi="Times New Roman"/>
                      <w:bCs/>
                      <w:color w:val="000000" w:themeColor="text1"/>
                      <w:szCs w:val="21"/>
                      <w:lang w:val="zh-CN"/>
                      <w14:textFill>
                        <w14:solidFill>
                          <w14:schemeClr w14:val="tx1"/>
                        </w14:solidFill>
                      </w14:textFill>
                    </w:rPr>
                  </w:pPr>
                  <w:r>
                    <w:rPr>
                      <w:rFonts w:ascii="Times New Roman" w:hAnsi="Times New Roman"/>
                      <w:bCs/>
                      <w:color w:val="000000" w:themeColor="text1"/>
                      <w:szCs w:val="21"/>
                      <w:lang w:val="zh-CN"/>
                      <w14:textFill>
                        <w14:solidFill>
                          <w14:schemeClr w14:val="tx1"/>
                        </w14:solidFill>
                      </w14:textFill>
                    </w:rPr>
                    <w:t>废水</w:t>
                  </w:r>
                </w:p>
              </w:tc>
              <w:tc>
                <w:tcPr>
                  <w:tcW w:w="803" w:type="pct"/>
                  <w:noWrap w:val="0"/>
                  <w:vAlign w:val="center"/>
                </w:tcPr>
                <w:p w14:paraId="420D9153">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施工废水</w:t>
                  </w:r>
                </w:p>
              </w:tc>
              <w:tc>
                <w:tcPr>
                  <w:tcW w:w="1052" w:type="pct"/>
                  <w:noWrap w:val="0"/>
                  <w:vAlign w:val="center"/>
                </w:tcPr>
                <w:p w14:paraId="5BA889D6">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前期施工</w:t>
                  </w:r>
                </w:p>
              </w:tc>
              <w:tc>
                <w:tcPr>
                  <w:tcW w:w="888" w:type="pct"/>
                  <w:tcBorders>
                    <w:right w:val="single" w:color="auto" w:sz="4" w:space="0"/>
                  </w:tcBorders>
                  <w:noWrap w:val="0"/>
                  <w:vAlign w:val="center"/>
                </w:tcPr>
                <w:p w14:paraId="0C7EBF49">
                  <w:pPr>
                    <w:widowControl/>
                    <w:jc w:val="center"/>
                    <w:rPr>
                      <w:color w:val="000000" w:themeColor="text1"/>
                      <w:kern w:val="0"/>
                      <w:szCs w:val="21"/>
                      <w:vertAlign w:val="superscript"/>
                      <w14:textFill>
                        <w14:solidFill>
                          <w14:schemeClr w14:val="tx1"/>
                        </w14:solidFill>
                      </w14:textFill>
                    </w:rPr>
                  </w:pPr>
                  <w:r>
                    <w:rPr>
                      <w:rFonts w:hint="eastAsia"/>
                      <w:color w:val="000000" w:themeColor="text1"/>
                      <w:kern w:val="0"/>
                      <w:szCs w:val="21"/>
                      <w14:textFill>
                        <w14:solidFill>
                          <w14:schemeClr w14:val="tx1"/>
                        </w14:solidFill>
                      </w14:textFill>
                    </w:rPr>
                    <w:t>SS</w:t>
                  </w:r>
                </w:p>
              </w:tc>
              <w:tc>
                <w:tcPr>
                  <w:tcW w:w="1885" w:type="pct"/>
                  <w:gridSpan w:val="2"/>
                  <w:vMerge w:val="restart"/>
                  <w:tcBorders>
                    <w:left w:val="single" w:color="auto" w:sz="4" w:space="0"/>
                  </w:tcBorders>
                  <w:noWrap w:val="0"/>
                  <w:vAlign w:val="center"/>
                </w:tcPr>
                <w:p w14:paraId="6B27F501">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收集沉淀后用于洒水降尘</w:t>
                  </w:r>
                </w:p>
              </w:tc>
            </w:tr>
            <w:tr w14:paraId="0A4D10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361" w:hRule="atLeast"/>
                <w:jc w:val="center"/>
              </w:trPr>
              <w:tc>
                <w:tcPr>
                  <w:tcW w:w="370" w:type="pct"/>
                  <w:vMerge w:val="continue"/>
                  <w:noWrap w:val="0"/>
                  <w:vAlign w:val="center"/>
                </w:tcPr>
                <w:p w14:paraId="33E46EF1">
                  <w:pPr>
                    <w:pStyle w:val="12"/>
                    <w:jc w:val="center"/>
                    <w:rPr>
                      <w:rFonts w:ascii="Times New Roman" w:hAnsi="Times New Roman"/>
                      <w:bCs/>
                      <w:color w:val="000000" w:themeColor="text1"/>
                      <w:szCs w:val="21"/>
                      <w:lang w:val="zh-CN"/>
                      <w14:textFill>
                        <w14:solidFill>
                          <w14:schemeClr w14:val="tx1"/>
                        </w14:solidFill>
                      </w14:textFill>
                    </w:rPr>
                  </w:pPr>
                </w:p>
              </w:tc>
              <w:tc>
                <w:tcPr>
                  <w:tcW w:w="803" w:type="pct"/>
                  <w:noWrap w:val="0"/>
                  <w:vAlign w:val="center"/>
                </w:tcPr>
                <w:p w14:paraId="1E4606A0">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洗手污水</w:t>
                  </w:r>
                </w:p>
              </w:tc>
              <w:tc>
                <w:tcPr>
                  <w:tcW w:w="1052" w:type="pct"/>
                  <w:noWrap w:val="0"/>
                  <w:vAlign w:val="center"/>
                </w:tcPr>
                <w:p w14:paraId="4248F08F">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施工人员洗手等</w:t>
                  </w:r>
                </w:p>
              </w:tc>
              <w:tc>
                <w:tcPr>
                  <w:tcW w:w="888" w:type="pct"/>
                  <w:tcBorders>
                    <w:right w:val="single" w:color="auto" w:sz="4" w:space="0"/>
                  </w:tcBorders>
                  <w:noWrap w:val="0"/>
                  <w:vAlign w:val="center"/>
                </w:tcPr>
                <w:p w14:paraId="3AF037C6">
                  <w:pPr>
                    <w:widowControl/>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SS</w:t>
                  </w:r>
                </w:p>
              </w:tc>
              <w:tc>
                <w:tcPr>
                  <w:tcW w:w="1885" w:type="pct"/>
                  <w:gridSpan w:val="2"/>
                  <w:vMerge w:val="continue"/>
                  <w:tcBorders>
                    <w:left w:val="single" w:color="auto" w:sz="4" w:space="0"/>
                  </w:tcBorders>
                  <w:noWrap w:val="0"/>
                  <w:vAlign w:val="center"/>
                </w:tcPr>
                <w:p w14:paraId="4DDD92EA">
                  <w:pPr>
                    <w:jc w:val="center"/>
                    <w:rPr>
                      <w:color w:val="000000" w:themeColor="text1"/>
                      <w:szCs w:val="21"/>
                      <w14:textFill>
                        <w14:solidFill>
                          <w14:schemeClr w14:val="tx1"/>
                        </w14:solidFill>
                      </w14:textFill>
                    </w:rPr>
                  </w:pPr>
                </w:p>
              </w:tc>
            </w:tr>
            <w:tr w14:paraId="1113F81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70" w:type="pct"/>
                  <w:vMerge w:val="restart"/>
                  <w:noWrap w:val="0"/>
                  <w:vAlign w:val="center"/>
                </w:tcPr>
                <w:p w14:paraId="31F23728">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噪声</w:t>
                  </w:r>
                </w:p>
              </w:tc>
              <w:tc>
                <w:tcPr>
                  <w:tcW w:w="803" w:type="pct"/>
                  <w:noWrap w:val="0"/>
                  <w:vAlign w:val="center"/>
                </w:tcPr>
                <w:p w14:paraId="39DCDAB7">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机械噪声</w:t>
                  </w:r>
                </w:p>
              </w:tc>
              <w:tc>
                <w:tcPr>
                  <w:tcW w:w="1052" w:type="pct"/>
                  <w:noWrap w:val="0"/>
                  <w:vAlign w:val="center"/>
                </w:tcPr>
                <w:p w14:paraId="2D88F5B4">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施工机械、敲打</w:t>
                  </w:r>
                </w:p>
              </w:tc>
              <w:tc>
                <w:tcPr>
                  <w:tcW w:w="888" w:type="pct"/>
                  <w:tcBorders>
                    <w:right w:val="single" w:color="auto" w:sz="4" w:space="0"/>
                  </w:tcBorders>
                  <w:noWrap w:val="0"/>
                  <w:vAlign w:val="center"/>
                </w:tcPr>
                <w:p w14:paraId="18B766F3">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噪声</w:t>
                  </w:r>
                </w:p>
              </w:tc>
              <w:tc>
                <w:tcPr>
                  <w:tcW w:w="1885" w:type="pct"/>
                  <w:gridSpan w:val="2"/>
                  <w:tcBorders>
                    <w:left w:val="single" w:color="auto" w:sz="4" w:space="0"/>
                  </w:tcBorders>
                  <w:noWrap w:val="0"/>
                  <w:vAlign w:val="center"/>
                </w:tcPr>
                <w:p w14:paraId="48D84B9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合理安排施工时间</w:t>
                  </w:r>
                </w:p>
              </w:tc>
            </w:tr>
            <w:tr w14:paraId="476AB92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70" w:type="pct"/>
                  <w:vMerge w:val="continue"/>
                  <w:tcBorders>
                    <w:bottom w:val="single" w:color="auto" w:sz="4" w:space="0"/>
                  </w:tcBorders>
                  <w:noWrap w:val="0"/>
                  <w:vAlign w:val="center"/>
                </w:tcPr>
                <w:p w14:paraId="1CB375F5">
                  <w:pPr>
                    <w:jc w:val="center"/>
                    <w:rPr>
                      <w:color w:val="000000" w:themeColor="text1"/>
                      <w:szCs w:val="21"/>
                      <w14:textFill>
                        <w14:solidFill>
                          <w14:schemeClr w14:val="tx1"/>
                        </w14:solidFill>
                      </w14:textFill>
                    </w:rPr>
                  </w:pPr>
                </w:p>
              </w:tc>
              <w:tc>
                <w:tcPr>
                  <w:tcW w:w="803" w:type="pct"/>
                  <w:noWrap w:val="0"/>
                  <w:vAlign w:val="center"/>
                </w:tcPr>
                <w:p w14:paraId="2816A73A">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交通噪声</w:t>
                  </w:r>
                </w:p>
              </w:tc>
              <w:tc>
                <w:tcPr>
                  <w:tcW w:w="1052" w:type="pct"/>
                  <w:noWrap w:val="0"/>
                  <w:vAlign w:val="center"/>
                </w:tcPr>
                <w:p w14:paraId="5FDBF85B">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运输车辆</w:t>
                  </w:r>
                </w:p>
              </w:tc>
              <w:tc>
                <w:tcPr>
                  <w:tcW w:w="888" w:type="pct"/>
                  <w:tcBorders>
                    <w:right w:val="single" w:color="auto" w:sz="4" w:space="0"/>
                  </w:tcBorders>
                  <w:noWrap w:val="0"/>
                  <w:vAlign w:val="center"/>
                </w:tcPr>
                <w:p w14:paraId="084FE8F5">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噪声</w:t>
                  </w:r>
                </w:p>
              </w:tc>
              <w:tc>
                <w:tcPr>
                  <w:tcW w:w="1885" w:type="pct"/>
                  <w:gridSpan w:val="2"/>
                  <w:tcBorders>
                    <w:left w:val="single" w:color="auto" w:sz="4" w:space="0"/>
                  </w:tcBorders>
                  <w:noWrap w:val="0"/>
                  <w:vAlign w:val="center"/>
                </w:tcPr>
                <w:p w14:paraId="309A0ED1">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减速禁鸣</w:t>
                  </w:r>
                </w:p>
              </w:tc>
            </w:tr>
            <w:tr w14:paraId="087FD7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70" w:type="pct"/>
                  <w:vMerge w:val="restart"/>
                  <w:tcBorders>
                    <w:top w:val="single" w:color="auto" w:sz="4" w:space="0"/>
                  </w:tcBorders>
                  <w:noWrap w:val="0"/>
                  <w:vAlign w:val="center"/>
                </w:tcPr>
                <w:p w14:paraId="16CDB6D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固废</w:t>
                  </w:r>
                </w:p>
              </w:tc>
              <w:tc>
                <w:tcPr>
                  <w:tcW w:w="803" w:type="pct"/>
                  <w:noWrap w:val="0"/>
                  <w:vAlign w:val="center"/>
                </w:tcPr>
                <w:p w14:paraId="47F8191B">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建筑垃圾</w:t>
                  </w:r>
                </w:p>
              </w:tc>
              <w:tc>
                <w:tcPr>
                  <w:tcW w:w="1052" w:type="pct"/>
                  <w:noWrap w:val="0"/>
                  <w:vAlign w:val="center"/>
                </w:tcPr>
                <w:p w14:paraId="499104E7">
                  <w:pPr>
                    <w:jc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老窑修葺、新窑建设</w:t>
                  </w:r>
                  <w:r>
                    <w:rPr>
                      <w:rFonts w:hint="eastAsia"/>
                      <w:color w:val="000000" w:themeColor="text1"/>
                      <w:szCs w:val="21"/>
                      <w14:textFill>
                        <w14:solidFill>
                          <w14:schemeClr w14:val="tx1"/>
                        </w14:solidFill>
                      </w14:textFill>
                    </w:rPr>
                    <w:t>施工过程</w:t>
                  </w:r>
                </w:p>
              </w:tc>
              <w:tc>
                <w:tcPr>
                  <w:tcW w:w="888" w:type="pct"/>
                  <w:tcBorders>
                    <w:right w:val="single" w:color="auto" w:sz="4" w:space="0"/>
                  </w:tcBorders>
                  <w:noWrap w:val="0"/>
                  <w:vAlign w:val="center"/>
                </w:tcPr>
                <w:p w14:paraId="29676060">
                  <w:pPr>
                    <w:jc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废砖块</w:t>
                  </w:r>
                  <w:r>
                    <w:rPr>
                      <w:rFonts w:hint="eastAsia"/>
                      <w:color w:val="000000" w:themeColor="text1"/>
                      <w:szCs w:val="21"/>
                      <w14:textFill>
                        <w14:solidFill>
                          <w14:schemeClr w14:val="tx1"/>
                        </w14:solidFill>
                      </w14:textFill>
                    </w:rPr>
                    <w:t>等</w:t>
                  </w:r>
                </w:p>
              </w:tc>
              <w:tc>
                <w:tcPr>
                  <w:tcW w:w="1885" w:type="pct"/>
                  <w:gridSpan w:val="2"/>
                  <w:vMerge w:val="restart"/>
                  <w:tcBorders>
                    <w:left w:val="single" w:color="auto" w:sz="4" w:space="0"/>
                  </w:tcBorders>
                  <w:noWrap w:val="0"/>
                  <w:vAlign w:val="center"/>
                </w:tcPr>
                <w:p w14:paraId="5DA27476">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可利用的收集外售、不可利用的由环卫部门清运</w:t>
                  </w:r>
                </w:p>
              </w:tc>
            </w:tr>
            <w:tr w14:paraId="397CD4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70" w:type="pct"/>
                  <w:vMerge w:val="continue"/>
                  <w:noWrap w:val="0"/>
                  <w:vAlign w:val="center"/>
                </w:tcPr>
                <w:p w14:paraId="7D72AEDA">
                  <w:pPr>
                    <w:jc w:val="center"/>
                    <w:rPr>
                      <w:color w:val="000000" w:themeColor="text1"/>
                      <w:szCs w:val="21"/>
                      <w14:textFill>
                        <w14:solidFill>
                          <w14:schemeClr w14:val="tx1"/>
                        </w14:solidFill>
                      </w14:textFill>
                    </w:rPr>
                  </w:pPr>
                </w:p>
              </w:tc>
              <w:tc>
                <w:tcPr>
                  <w:tcW w:w="803" w:type="pct"/>
                  <w:noWrap w:val="0"/>
                  <w:vAlign w:val="center"/>
                </w:tcPr>
                <w:p w14:paraId="66AD88D8">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生活垃圾</w:t>
                  </w:r>
                </w:p>
              </w:tc>
              <w:tc>
                <w:tcPr>
                  <w:tcW w:w="1052" w:type="pct"/>
                  <w:noWrap w:val="0"/>
                  <w:vAlign w:val="center"/>
                </w:tcPr>
                <w:p w14:paraId="026A0790">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施工人员</w:t>
                  </w:r>
                </w:p>
              </w:tc>
              <w:tc>
                <w:tcPr>
                  <w:tcW w:w="888" w:type="pct"/>
                  <w:tcBorders>
                    <w:right w:val="single" w:color="auto" w:sz="4" w:space="0"/>
                  </w:tcBorders>
                  <w:noWrap w:val="0"/>
                  <w:vAlign w:val="center"/>
                </w:tcPr>
                <w:p w14:paraId="15714B90">
                  <w:pPr>
                    <w:jc w:val="center"/>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包装袋、废弃矿泉水瓶等</w:t>
                  </w:r>
                </w:p>
              </w:tc>
              <w:tc>
                <w:tcPr>
                  <w:tcW w:w="1885" w:type="pct"/>
                  <w:gridSpan w:val="2"/>
                  <w:vMerge w:val="continue"/>
                  <w:tcBorders>
                    <w:left w:val="single" w:color="auto" w:sz="4" w:space="0"/>
                  </w:tcBorders>
                  <w:noWrap w:val="0"/>
                  <w:vAlign w:val="center"/>
                </w:tcPr>
                <w:p w14:paraId="0883328D">
                  <w:pPr>
                    <w:jc w:val="center"/>
                    <w:rPr>
                      <w:color w:val="000000" w:themeColor="text1"/>
                      <w:szCs w:val="21"/>
                      <w14:textFill>
                        <w14:solidFill>
                          <w14:schemeClr w14:val="tx1"/>
                        </w14:solidFill>
                      </w14:textFill>
                    </w:rPr>
                  </w:pPr>
                </w:p>
              </w:tc>
            </w:tr>
          </w:tbl>
          <w:p w14:paraId="5EBB74BE">
            <w:pPr>
              <w:keepNext w:val="0"/>
              <w:keepLines w:val="0"/>
              <w:pageBreakBefore w:val="0"/>
              <w:widowControl w:val="0"/>
              <w:numPr>
                <w:ilvl w:val="0"/>
                <w:numId w:val="0"/>
              </w:numPr>
              <w:kinsoku/>
              <w:overflowPunct/>
              <w:topLinePunct w:val="0"/>
              <w:bidi w:val="0"/>
              <w:spacing w:beforeAutospacing="0" w:line="360" w:lineRule="auto"/>
              <w:ind w:leftChars="200"/>
              <w:jc w:val="both"/>
              <w:outlineLvl w:val="9"/>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2、运营期生产工艺及产污节点</w:t>
            </w:r>
          </w:p>
          <w:p w14:paraId="72EDB8F2">
            <w:pPr>
              <w:keepNext w:val="0"/>
              <w:keepLines w:val="0"/>
              <w:pageBreakBefore w:val="0"/>
              <w:widowControl w:val="0"/>
              <w:numPr>
                <w:ilvl w:val="0"/>
                <w:numId w:val="0"/>
              </w:numPr>
              <w:kinsoku/>
              <w:overflowPunct/>
              <w:topLinePunct w:val="0"/>
              <w:bidi w:val="0"/>
              <w:spacing w:beforeAutospacing="0" w:line="360" w:lineRule="auto"/>
              <w:ind w:leftChars="200"/>
              <w:jc w:val="both"/>
              <w:outlineLvl w:val="9"/>
              <w:rPr>
                <w:rFonts w:hint="eastAsia"/>
                <w:color w:val="000000" w:themeColor="text1"/>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（1）工艺流程简述</w:t>
            </w:r>
          </w:p>
          <w:p w14:paraId="64BB7BE5">
            <w:pPr>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ind w:leftChars="0" w:right="0" w:rightChars="0" w:firstLine="480" w:firstLineChars="200"/>
              <w:jc w:val="both"/>
              <w:textAlignment w:val="auto"/>
              <w:outlineLvl w:val="9"/>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项目运营期工艺流程及产污节点如下所示：</w:t>
            </w:r>
          </w:p>
          <w:p w14:paraId="5AB13EBE">
            <w:pPr>
              <w:pStyle w:val="6"/>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pPr>
          </w:p>
          <w:p w14:paraId="5ECD01EA">
            <w:pP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pPr>
          </w:p>
          <w:p w14:paraId="024B0455">
            <w:pPr>
              <w:pStyle w:val="6"/>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pPr>
          </w:p>
          <w:p w14:paraId="2A177B4F">
            <w:pP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pPr>
          </w:p>
          <w:p w14:paraId="4A880681">
            <w:pPr>
              <w:pStyle w:val="6"/>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pPr>
          </w:p>
          <w:p w14:paraId="45053D47">
            <w:pP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pPr>
          </w:p>
          <w:p w14:paraId="0AAC2B49">
            <w:pPr>
              <w:pStyle w:val="6"/>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pPr>
          </w:p>
          <w:p w14:paraId="6FBF1D26">
            <w:pP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pPr>
          </w:p>
          <w:p w14:paraId="213C92D2">
            <w:pPr>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ind w:leftChars="0" w:right="0" w:rightChars="0" w:firstLine="0" w:firstLineChars="0"/>
              <w:jc w:val="center"/>
              <w:textAlignment w:val="auto"/>
              <w:outlineLvl w:val="9"/>
              <w:rPr>
                <w:rFonts w:hint="eastAsia" w:ascii="Times New Roman" w:hAnsi="Times New Roman" w:eastAsia="宋体" w:cs="宋体"/>
                <w:b/>
                <w:bCs/>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b/>
                <w:bCs/>
                <w:color w:val="000000" w:themeColor="text1"/>
                <w:spacing w:val="0"/>
                <w:kern w:val="0"/>
                <w:sz w:val="24"/>
                <w:szCs w:val="24"/>
                <w:lang w:val="en-US" w:eastAsia="zh-CN"/>
                <w14:textFill>
                  <w14:solidFill>
                    <w14:schemeClr w14:val="tx1"/>
                  </w14:solidFill>
                </w14:textFill>
              </w:rPr>
              <w:object>
                <v:shape id="_x0000_i1030" o:spt="75" type="#_x0000_t75" style="height:427.6pt;width:426.15pt;" o:ole="t" filled="f" o:preferrelative="t" stroked="f" coordsize="21600,21600">
                  <v:path/>
                  <v:fill on="f" focussize="0,0"/>
                  <v:stroke on="f"/>
                  <v:imagedata r:id="rId23" o:title=""/>
                  <o:lock v:ext="edit" aspectratio="f"/>
                  <w10:wrap type="none"/>
                  <w10:anchorlock/>
                </v:shape>
                <o:OLEObject Type="Embed" ProgID="Visio.Drawing.15" ShapeID="_x0000_i1030" DrawAspect="Content" ObjectID="_1468075730" r:id="rId22">
                  <o:LockedField>false</o:LockedField>
                </o:OLEObject>
              </w:object>
            </w:r>
          </w:p>
          <w:p w14:paraId="1DE8BE1E">
            <w:pPr>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ind w:leftChars="0" w:right="0" w:rightChars="0" w:firstLine="0" w:firstLineChars="0"/>
              <w:jc w:val="center"/>
              <w:textAlignment w:val="auto"/>
              <w:outlineLvl w:val="9"/>
              <w:rPr>
                <w:rFonts w:hint="default" w:ascii="Times New Roman" w:hAnsi="Times New Roman" w:eastAsia="宋体" w:cs="宋体"/>
                <w:b/>
                <w:bCs/>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b/>
                <w:bCs/>
                <w:color w:val="000000" w:themeColor="text1"/>
                <w:spacing w:val="0"/>
                <w:kern w:val="0"/>
                <w:sz w:val="24"/>
                <w:szCs w:val="24"/>
                <w:lang w:val="en-US" w:eastAsia="zh-CN"/>
                <w14:textFill>
                  <w14:solidFill>
                    <w14:schemeClr w14:val="tx1"/>
                  </w14:solidFill>
                </w14:textFill>
              </w:rPr>
              <w:t>图2-4  项目运营期工艺流程及产污节点图</w:t>
            </w:r>
          </w:p>
          <w:p w14:paraId="5E2503FA">
            <w:pPr>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ind w:leftChars="0" w:right="0" w:rightChars="0" w:firstLine="480" w:firstLineChars="200"/>
              <w:jc w:val="both"/>
              <w:textAlignment w:val="auto"/>
              <w:outlineLvl w:val="9"/>
              <w:rPr>
                <w:rFonts w:hint="default"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①原料筛分、破碎、粉磨：将粘土投入筛分机进行筛选，筛上物进入破碎机进行破碎，使其直径满足粉磨机研磨处理要求，筛下物直接进入粉磨机中进行研磨处理，使其变成粉料。原料预处理工段产污主要为加工粉尘和设备噪声。产生的加工粉尘通过在破碎机、筛分机处设置集气罩收集，粉磨废气通过管道收集后并入1套脉冲</w:t>
            </w:r>
            <w:r>
              <w:rPr>
                <w:rFonts w:hint="eastAsia" w:cs="宋体"/>
                <w:color w:val="000000" w:themeColor="text1"/>
                <w:spacing w:val="0"/>
                <w:kern w:val="0"/>
                <w:sz w:val="24"/>
                <w:szCs w:val="24"/>
                <w:lang w:val="en-US" w:eastAsia="zh-CN"/>
                <w14:textFill>
                  <w14:solidFill>
                    <w14:schemeClr w14:val="tx1"/>
                  </w14:solidFill>
                </w14:textFill>
              </w:rPr>
              <w:t>袋式</w:t>
            </w: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除尘器处理后通过1根15m高的排气筒（DA00</w:t>
            </w:r>
            <w:r>
              <w:rPr>
                <w:rFonts w:hint="eastAsia" w:cs="宋体"/>
                <w:color w:val="000000" w:themeColor="text1"/>
                <w:spacing w:val="0"/>
                <w:kern w:val="0"/>
                <w:sz w:val="24"/>
                <w:szCs w:val="24"/>
                <w:lang w:val="en-US" w:eastAsia="zh-CN"/>
                <w14:textFill>
                  <w14:solidFill>
                    <w14:schemeClr w14:val="tx1"/>
                  </w14:solidFill>
                </w14:textFill>
              </w:rPr>
              <w:t>2</w:t>
            </w: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）排放。</w:t>
            </w:r>
          </w:p>
          <w:p w14:paraId="1AA3F9AB">
            <w:pPr>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ind w:leftChars="0" w:right="0" w:rightChars="0" w:firstLine="480" w:firstLineChars="200"/>
              <w:jc w:val="both"/>
              <w:textAlignment w:val="auto"/>
              <w:outlineLvl w:val="9"/>
              <w:rPr>
                <w:rFonts w:hint="default"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②搅拌：粉磨好的原料进入搅拌机，搅拌机落料点设置水管，物料下落的同时加入水进行搅拌，搅拌后的物料含水量为50%，此工序湿式搅拌，无废气产生。产生的污染物主要为设备噪声。</w:t>
            </w:r>
          </w:p>
          <w:p w14:paraId="75DA6294">
            <w:pPr>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ind w:leftChars="0" w:right="0" w:rightChars="0" w:firstLine="480" w:firstLineChars="200"/>
              <w:jc w:val="both"/>
              <w:textAlignment w:val="auto"/>
              <w:outlineLvl w:val="9"/>
              <w:rPr>
                <w:rFonts w:hint="default"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③挤出：拌和好的物料通过皮带输送机送至真空挤出机，由真空挤出机挤压出坯，产生的污染物主要为设备噪声。</w:t>
            </w:r>
          </w:p>
          <w:p w14:paraId="2AFCB09C">
            <w:pPr>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ind w:leftChars="0" w:right="0" w:rightChars="0" w:firstLine="480" w:firstLineChars="200"/>
              <w:jc w:val="both"/>
              <w:textAlignment w:val="auto"/>
              <w:outlineLvl w:val="9"/>
              <w:rPr>
                <w:rFonts w:hint="default"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④切坯：挤出的瓦坯由切条机、切坯机切割成坯，产生的污染物主要为设备噪声</w:t>
            </w:r>
          </w:p>
          <w:p w14:paraId="1115A540">
            <w:pPr>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ind w:leftChars="0" w:right="0" w:rightChars="0" w:firstLine="480" w:firstLineChars="200"/>
              <w:jc w:val="both"/>
              <w:textAlignment w:val="auto"/>
              <w:outlineLvl w:val="9"/>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⑤成型：常规款式的青瓦依托模具采用机械成型，异型的青瓦依托模具由人工</w:t>
            </w:r>
            <w:r>
              <w:rPr>
                <w:rFonts w:hint="eastAsia" w:cs="宋体"/>
                <w:color w:val="000000" w:themeColor="text1"/>
                <w:spacing w:val="0"/>
                <w:kern w:val="0"/>
                <w:sz w:val="24"/>
                <w:szCs w:val="24"/>
                <w:lang w:val="en-US" w:eastAsia="zh-CN"/>
                <w14:textFill>
                  <w14:solidFill>
                    <w14:schemeClr w14:val="tx1"/>
                  </w14:solidFill>
                </w14:textFill>
              </w:rPr>
              <w:t>塑形</w:t>
            </w: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，产生的污染物主要为设备噪声及边角料，边角料返回破碎后作原料使用。</w:t>
            </w:r>
          </w:p>
          <w:p w14:paraId="1F71EC62">
            <w:pPr>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ind w:leftChars="0" w:right="0" w:rightChars="0" w:firstLine="480" w:firstLineChars="200"/>
              <w:jc w:val="both"/>
              <w:textAlignment w:val="auto"/>
              <w:outlineLvl w:val="9"/>
              <w:rPr>
                <w:rFonts w:hint="default"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⑥自然晾晒陈化：制作完成的瓦坯堆放至陈化区自然风干，风干时间为7-8d。</w:t>
            </w:r>
          </w:p>
          <w:p w14:paraId="3C908315">
            <w:pPr>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ind w:leftChars="0" w:right="0" w:rightChars="0" w:firstLine="480" w:firstLineChars="200"/>
              <w:jc w:val="both"/>
              <w:textAlignment w:val="auto"/>
              <w:outlineLvl w:val="9"/>
              <w:rPr>
                <w:rFonts w:hint="default"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⑦烧制：项目使用的烧结窑为仿古窑，采用的隧道窑的燃烧原理，即通过三个温度带完成烧制过程，不同于隧道窑的是项目仿古窑没有窑车，没有助燃风回流通道，窑体内部结构为中空的，由人工搬卸物料，由人工控制生物质颗粒的投加量进而控制每个烧结段的温度。</w:t>
            </w:r>
          </w:p>
          <w:p w14:paraId="58E4CCFF">
            <w:pPr>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ind w:leftChars="0" w:right="0" w:rightChars="0" w:firstLine="480" w:firstLineChars="200"/>
              <w:jc w:val="both"/>
              <w:textAlignment w:val="auto"/>
              <w:outlineLvl w:val="9"/>
              <w:rPr>
                <w:rFonts w:hint="default"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风干后的瓦坯由人工整齐码在仿古窑进行烧结，烧制过程中由人工控制生物质的投入量和温度的控制，烧制分为三个阶段：预热阶段、高温阶段、冷却阶段，预热阶段最高温度为120℃，高温段最高温度达980℃，冷却段温度由高温段温度慢慢冷却至室温，整个烧制时间为30d。烧制过程产生的废气通过烟气收集管道收集后经1套“高温脉冲</w:t>
            </w:r>
            <w:r>
              <w:rPr>
                <w:rFonts w:hint="eastAsia" w:cs="宋体"/>
                <w:color w:val="000000" w:themeColor="text1"/>
                <w:spacing w:val="0"/>
                <w:kern w:val="0"/>
                <w:sz w:val="24"/>
                <w:szCs w:val="24"/>
                <w:lang w:val="en-US" w:eastAsia="zh-CN"/>
                <w14:textFill>
                  <w14:solidFill>
                    <w14:schemeClr w14:val="tx1"/>
                  </w14:solidFill>
                </w14:textFill>
              </w:rPr>
              <w:t>袋式</w:t>
            </w: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除尘器+脱硫塔”处理后由1根15m高的排气筒（DA00</w:t>
            </w:r>
            <w:r>
              <w:rPr>
                <w:rFonts w:hint="eastAsia" w:cs="宋体"/>
                <w:color w:val="000000" w:themeColor="text1"/>
                <w:spacing w:val="0"/>
                <w:kern w:val="0"/>
                <w:sz w:val="24"/>
                <w:szCs w:val="24"/>
                <w:lang w:val="en-US" w:eastAsia="zh-CN"/>
                <w14:textFill>
                  <w14:solidFill>
                    <w14:schemeClr w14:val="tx1"/>
                  </w14:solidFill>
                </w14:textFill>
              </w:rPr>
              <w:t>1</w:t>
            </w: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）排放。</w:t>
            </w:r>
          </w:p>
          <w:p w14:paraId="08533EFB">
            <w:pPr>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ind w:leftChars="0" w:right="0" w:rightChars="0" w:firstLine="480" w:firstLineChars="200"/>
              <w:jc w:val="both"/>
              <w:textAlignment w:val="auto"/>
              <w:outlineLvl w:val="9"/>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⑧降温冷却：降温冷却是通过窑顶设置的水管由人工控制水量，缓慢放水在窑顶形成一层水幕，从而使窑内降温，整个过程由人工控制水量，以确保产品的色泽、质地等，降温时间约为7d，降温冷却期间烧结窑处于停火状态。</w:t>
            </w:r>
          </w:p>
          <w:p w14:paraId="50A585E2">
            <w:pPr>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ind w:leftChars="0" w:right="0" w:rightChars="0" w:firstLine="480" w:firstLineChars="200"/>
              <w:jc w:val="both"/>
              <w:textAlignment w:val="auto"/>
              <w:outlineLvl w:val="9"/>
              <w:rPr>
                <w:rFonts w:hint="default" w:ascii="Times New Roman" w:hAnsi="Times New Roman" w:eastAsia="宋体" w:cs="宋体"/>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⑨出窑：烧制完成的青瓦，由人工对成品进行简单的质检，主要检查仿古青瓦的颜色、形状、质地等，质检合格后堆存于成品区待售，不合格的返回破碎后做原料使用。</w:t>
            </w:r>
          </w:p>
          <w:p w14:paraId="5F4CE3A0">
            <w:pPr>
              <w:keepNext w:val="0"/>
              <w:keepLines w:val="0"/>
              <w:pageBreakBefore w:val="0"/>
              <w:widowControl w:val="0"/>
              <w:numPr>
                <w:ilvl w:val="0"/>
                <w:numId w:val="0"/>
              </w:numPr>
              <w:kinsoku/>
              <w:overflowPunct/>
              <w:topLinePunct w:val="0"/>
              <w:bidi w:val="0"/>
              <w:spacing w:beforeAutospacing="0" w:line="360" w:lineRule="auto"/>
              <w:ind w:leftChars="200"/>
              <w:jc w:val="both"/>
              <w:outlineLvl w:val="9"/>
              <w:rPr>
                <w:rFonts w:hint="eastAsia"/>
                <w:color w:val="000000" w:themeColor="text1"/>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（2）产排污节点</w:t>
            </w:r>
          </w:p>
          <w:p w14:paraId="715F70B0">
            <w:pPr>
              <w:pStyle w:val="53"/>
              <w:keepNext w:val="0"/>
              <w:keepLines w:val="0"/>
              <w:pageBreakBefore w:val="0"/>
              <w:kinsoku/>
              <w:overflowPunct/>
              <w:topLinePunct w:val="0"/>
              <w:bidi w:val="0"/>
              <w:spacing w:before="36" w:line="336" w:lineRule="auto"/>
              <w:ind w:left="0" w:leftChars="0" w:right="96" w:firstLine="480" w:firstLineChars="200"/>
              <w:jc w:val="left"/>
              <w:outlineLvl w:val="9"/>
              <w:rPr>
                <w:rFonts w:hint="eastAsia" w:ascii="宋体" w:hAnsi="宋体" w:eastAsia="宋体" w:cs="宋体"/>
                <w:color w:val="000000" w:themeColor="text1"/>
                <w:sz w:val="24"/>
                <w:szCs w:val="24"/>
                <w:lang w:eastAsia="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根据本项目的工艺流程分析，本项目</w:t>
            </w:r>
            <w:r>
              <w:rPr>
                <w:rFonts w:hint="eastAsia" w:ascii="宋体" w:hAnsi="宋体" w:eastAsia="宋体" w:cs="宋体"/>
                <w:color w:val="000000" w:themeColor="text1"/>
                <w:sz w:val="24"/>
                <w:szCs w:val="24"/>
                <w:lang w:val="en-US" w:eastAsia="zh-CN"/>
                <w14:textFill>
                  <w14:solidFill>
                    <w14:schemeClr w14:val="tx1"/>
                  </w14:solidFill>
                </w14:textFill>
              </w:rPr>
              <w:t>改扩建完成</w:t>
            </w:r>
            <w:r>
              <w:rPr>
                <w:rFonts w:ascii="宋体" w:hAnsi="宋体" w:eastAsia="宋体" w:cs="宋体"/>
                <w:color w:val="000000" w:themeColor="text1"/>
                <w:sz w:val="24"/>
                <w:szCs w:val="24"/>
                <w14:textFill>
                  <w14:solidFill>
                    <w14:schemeClr w14:val="tx1"/>
                  </w14:solidFill>
                </w14:textFill>
              </w:rPr>
              <w:t>后，生产过程中的产污环节及各环节产生的污染物见下表</w:t>
            </w:r>
            <w:r>
              <w:rPr>
                <w:rFonts w:hint="eastAsia" w:ascii="宋体" w:hAnsi="宋体" w:eastAsia="宋体" w:cs="宋体"/>
                <w:color w:val="000000" w:themeColor="text1"/>
                <w:sz w:val="24"/>
                <w:szCs w:val="24"/>
                <w:lang w:eastAsia="zh-CN"/>
                <w14:textFill>
                  <w14:solidFill>
                    <w14:schemeClr w14:val="tx1"/>
                  </w14:solidFill>
                </w14:textFill>
              </w:rPr>
              <w:t>。</w:t>
            </w:r>
          </w:p>
          <w:p w14:paraId="6BF75442">
            <w:pPr>
              <w:keepNext w:val="0"/>
              <w:keepLines w:val="0"/>
              <w:pageBreakBefore w:val="0"/>
              <w:widowControl w:val="0"/>
              <w:numPr>
                <w:ilvl w:val="0"/>
                <w:numId w:val="0"/>
              </w:numPr>
              <w:kinsoku/>
              <w:wordWrap/>
              <w:overflowPunct/>
              <w:topLinePunct w:val="0"/>
              <w:autoSpaceDE/>
              <w:autoSpaceDN/>
              <w:bidi w:val="0"/>
              <w:adjustRightInd/>
              <w:snapToGrid/>
              <w:spacing w:beforeAutospacing="0" w:line="276" w:lineRule="auto"/>
              <w:ind w:leftChars="0"/>
              <w:jc w:val="center"/>
              <w:textAlignment w:val="auto"/>
              <w:outlineLvl w:val="9"/>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表</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 xml:space="preserve">2-16   </w:t>
            </w:r>
            <w:r>
              <w:rPr>
                <w:rFonts w:hint="default" w:ascii="Times New Roman" w:hAnsi="Times New Roman" w:eastAsia="宋体" w:cs="Times New Roman"/>
                <w:b/>
                <w:bCs/>
                <w:color w:val="000000" w:themeColor="text1"/>
                <w:sz w:val="24"/>
                <w:szCs w:val="24"/>
                <w14:textFill>
                  <w14:solidFill>
                    <w14:schemeClr w14:val="tx1"/>
                  </w14:solidFill>
                </w14:textFill>
              </w:rPr>
              <w:t>主要污染物产生情况表</w:t>
            </w:r>
          </w:p>
          <w:tbl>
            <w:tblPr>
              <w:tblStyle w:val="28"/>
              <w:tblW w:w="49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480"/>
              <w:gridCol w:w="113"/>
              <w:gridCol w:w="1012"/>
              <w:gridCol w:w="1294"/>
              <w:gridCol w:w="1643"/>
              <w:gridCol w:w="1364"/>
              <w:gridCol w:w="1754"/>
            </w:tblGrid>
            <w:tr w14:paraId="0BC74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39" w:type="pct"/>
                  <w:gridSpan w:val="4"/>
                  <w:noWrap w:val="0"/>
                  <w:vAlign w:val="center"/>
                </w:tcPr>
                <w:p w14:paraId="30752DF0">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污染源类别</w:t>
                  </w:r>
                </w:p>
              </w:tc>
              <w:tc>
                <w:tcPr>
                  <w:tcW w:w="760" w:type="pct"/>
                  <w:noWrap w:val="0"/>
                  <w:vAlign w:val="center"/>
                </w:tcPr>
                <w:p w14:paraId="396868F8">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产污工段</w:t>
                  </w:r>
                </w:p>
              </w:tc>
              <w:tc>
                <w:tcPr>
                  <w:tcW w:w="966" w:type="pct"/>
                  <w:noWrap w:val="0"/>
                  <w:vAlign w:val="center"/>
                </w:tcPr>
                <w:p w14:paraId="05F04CAF">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主要污染物</w:t>
                  </w:r>
                </w:p>
              </w:tc>
              <w:tc>
                <w:tcPr>
                  <w:tcW w:w="1833" w:type="pct"/>
                  <w:gridSpan w:val="2"/>
                  <w:noWrap w:val="0"/>
                  <w:vAlign w:val="center"/>
                </w:tcPr>
                <w:p w14:paraId="398AD062">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治理措施</w:t>
                  </w:r>
                </w:p>
              </w:tc>
            </w:tr>
            <w:tr w14:paraId="07314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496" w:type="pct"/>
                  <w:vMerge w:val="restart"/>
                  <w:noWrap w:val="0"/>
                  <w:vAlign w:val="center"/>
                </w:tcPr>
                <w:p w14:paraId="16BD7961">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废气</w:t>
                  </w:r>
                </w:p>
              </w:tc>
              <w:tc>
                <w:tcPr>
                  <w:tcW w:w="282" w:type="pct"/>
                  <w:vMerge w:val="restart"/>
                  <w:noWrap w:val="0"/>
                  <w:vAlign w:val="center"/>
                </w:tcPr>
                <w:p w14:paraId="3999127F">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G1</w:t>
                  </w:r>
                </w:p>
              </w:tc>
              <w:tc>
                <w:tcPr>
                  <w:tcW w:w="661" w:type="pct"/>
                  <w:gridSpan w:val="2"/>
                  <w:noWrap w:val="0"/>
                  <w:vAlign w:val="center"/>
                </w:tcPr>
                <w:p w14:paraId="63183763">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破碎废气</w:t>
                  </w:r>
                </w:p>
              </w:tc>
              <w:tc>
                <w:tcPr>
                  <w:tcW w:w="760" w:type="pct"/>
                  <w:noWrap w:val="0"/>
                  <w:vAlign w:val="center"/>
                </w:tcPr>
                <w:p w14:paraId="54AB588E">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破碎</w:t>
                  </w:r>
                </w:p>
              </w:tc>
              <w:tc>
                <w:tcPr>
                  <w:tcW w:w="966" w:type="pct"/>
                  <w:vMerge w:val="restart"/>
                  <w:noWrap w:val="0"/>
                  <w:vAlign w:val="center"/>
                </w:tcPr>
                <w:p w14:paraId="12FF1B3B">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颗粒物</w:t>
                  </w:r>
                </w:p>
              </w:tc>
              <w:tc>
                <w:tcPr>
                  <w:tcW w:w="801" w:type="pct"/>
                  <w:noWrap w:val="0"/>
                  <w:vAlign w:val="center"/>
                </w:tcPr>
                <w:p w14:paraId="6331CA3F">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集气罩收集</w:t>
                  </w:r>
                </w:p>
              </w:tc>
              <w:tc>
                <w:tcPr>
                  <w:tcW w:w="1031" w:type="pct"/>
                  <w:vMerge w:val="restart"/>
                  <w:noWrap w:val="0"/>
                  <w:vAlign w:val="center"/>
                </w:tcPr>
                <w:p w14:paraId="6F38812F">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1套脉冲</w:t>
                  </w:r>
                  <w:r>
                    <w:rPr>
                      <w:rFonts w:hint="eastAsia" w:cs="Times New Roman"/>
                      <w:color w:val="000000" w:themeColor="text1"/>
                      <w:sz w:val="21"/>
                      <w:szCs w:val="21"/>
                      <w:lang w:val="en-US" w:eastAsia="zh-CN"/>
                      <w14:textFill>
                        <w14:solidFill>
                          <w14:schemeClr w14:val="tx1"/>
                        </w14:solidFill>
                      </w14:textFill>
                    </w:rPr>
                    <w:t>袋式</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除尘器+1根15m高的排气筒（DA00</w:t>
                  </w:r>
                  <w:r>
                    <w:rPr>
                      <w:rFonts w:hint="eastAsia" w:cs="Times New Roman"/>
                      <w:color w:val="000000" w:themeColor="text1"/>
                      <w:sz w:val="21"/>
                      <w:szCs w:val="21"/>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）排放</w:t>
                  </w:r>
                </w:p>
              </w:tc>
            </w:tr>
            <w:tr w14:paraId="1EEA0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496" w:type="pct"/>
                  <w:vMerge w:val="continue"/>
                  <w:noWrap w:val="0"/>
                  <w:vAlign w:val="center"/>
                </w:tcPr>
                <w:p w14:paraId="07E4A3AA">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82" w:type="pct"/>
                  <w:vMerge w:val="continue"/>
                  <w:noWrap w:val="0"/>
                  <w:vAlign w:val="center"/>
                </w:tcPr>
                <w:p w14:paraId="63CB270D">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661" w:type="pct"/>
                  <w:gridSpan w:val="2"/>
                  <w:noWrap w:val="0"/>
                  <w:vAlign w:val="center"/>
                </w:tcPr>
                <w:p w14:paraId="609C4BCC">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筛分废气</w:t>
                  </w:r>
                </w:p>
              </w:tc>
              <w:tc>
                <w:tcPr>
                  <w:tcW w:w="760" w:type="pct"/>
                  <w:noWrap w:val="0"/>
                  <w:vAlign w:val="center"/>
                </w:tcPr>
                <w:p w14:paraId="081BB799">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筛分</w:t>
                  </w:r>
                </w:p>
              </w:tc>
              <w:tc>
                <w:tcPr>
                  <w:tcW w:w="966" w:type="pct"/>
                  <w:vMerge w:val="continue"/>
                  <w:noWrap w:val="0"/>
                  <w:vAlign w:val="center"/>
                </w:tcPr>
                <w:p w14:paraId="53D73991">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801" w:type="pct"/>
                  <w:noWrap w:val="0"/>
                  <w:vAlign w:val="center"/>
                </w:tcPr>
                <w:p w14:paraId="1F1EAE83">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集气罩收集</w:t>
                  </w:r>
                </w:p>
              </w:tc>
              <w:tc>
                <w:tcPr>
                  <w:tcW w:w="1031" w:type="pct"/>
                  <w:vMerge w:val="continue"/>
                  <w:noWrap w:val="0"/>
                  <w:vAlign w:val="center"/>
                </w:tcPr>
                <w:p w14:paraId="33599D7D">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14:paraId="2845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496" w:type="pct"/>
                  <w:vMerge w:val="continue"/>
                  <w:noWrap w:val="0"/>
                  <w:vAlign w:val="center"/>
                </w:tcPr>
                <w:p w14:paraId="0407207D">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82" w:type="pct"/>
                  <w:vMerge w:val="continue"/>
                  <w:noWrap w:val="0"/>
                  <w:vAlign w:val="center"/>
                </w:tcPr>
                <w:p w14:paraId="234660A0">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661" w:type="pct"/>
                  <w:gridSpan w:val="2"/>
                  <w:noWrap w:val="0"/>
                  <w:vAlign w:val="center"/>
                </w:tcPr>
                <w:p w14:paraId="0F668016">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粉磨废气</w:t>
                  </w:r>
                </w:p>
              </w:tc>
              <w:tc>
                <w:tcPr>
                  <w:tcW w:w="760" w:type="pct"/>
                  <w:noWrap w:val="0"/>
                  <w:vAlign w:val="center"/>
                </w:tcPr>
                <w:p w14:paraId="0FA1B1F0">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粉磨</w:t>
                  </w:r>
                </w:p>
              </w:tc>
              <w:tc>
                <w:tcPr>
                  <w:tcW w:w="966" w:type="pct"/>
                  <w:vMerge w:val="continue"/>
                  <w:noWrap w:val="0"/>
                  <w:vAlign w:val="center"/>
                </w:tcPr>
                <w:p w14:paraId="2581330D">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801" w:type="pct"/>
                  <w:noWrap w:val="0"/>
                  <w:vAlign w:val="center"/>
                </w:tcPr>
                <w:p w14:paraId="4A1E3771">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管道收集</w:t>
                  </w:r>
                </w:p>
              </w:tc>
              <w:tc>
                <w:tcPr>
                  <w:tcW w:w="1031" w:type="pct"/>
                  <w:vMerge w:val="continue"/>
                  <w:noWrap w:val="0"/>
                  <w:vAlign w:val="center"/>
                </w:tcPr>
                <w:p w14:paraId="4BE85ABC">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14:paraId="3D8A5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496" w:type="pct"/>
                  <w:vMerge w:val="continue"/>
                  <w:noWrap w:val="0"/>
                  <w:vAlign w:val="center"/>
                </w:tcPr>
                <w:p w14:paraId="7C7C2A91">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943" w:type="pct"/>
                  <w:gridSpan w:val="3"/>
                  <w:noWrap w:val="0"/>
                  <w:vAlign w:val="center"/>
                </w:tcPr>
                <w:p w14:paraId="2E616911">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G2：炉窑废气</w:t>
                  </w:r>
                </w:p>
              </w:tc>
              <w:tc>
                <w:tcPr>
                  <w:tcW w:w="760" w:type="pct"/>
                  <w:noWrap w:val="0"/>
                  <w:vAlign w:val="center"/>
                </w:tcPr>
                <w:p w14:paraId="0FFFC63A">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窑烧成</w:t>
                  </w:r>
                </w:p>
              </w:tc>
              <w:tc>
                <w:tcPr>
                  <w:tcW w:w="966" w:type="pct"/>
                  <w:noWrap w:val="0"/>
                  <w:vAlign w:val="center"/>
                </w:tcPr>
                <w:p w14:paraId="22A31730">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颗粒物、二氧化硫、氮氧化物、氟化物</w:t>
                  </w:r>
                </w:p>
              </w:tc>
              <w:tc>
                <w:tcPr>
                  <w:tcW w:w="801" w:type="pct"/>
                  <w:noWrap w:val="0"/>
                  <w:vAlign w:val="center"/>
                </w:tcPr>
                <w:p w14:paraId="25A95AA3">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管道收集</w:t>
                  </w:r>
                </w:p>
              </w:tc>
              <w:tc>
                <w:tcPr>
                  <w:tcW w:w="1031" w:type="pct"/>
                  <w:noWrap w:val="0"/>
                  <w:vAlign w:val="center"/>
                </w:tcPr>
                <w:p w14:paraId="74154A57">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经1套“高温脉冲</w:t>
                  </w:r>
                  <w:r>
                    <w:rPr>
                      <w:rFonts w:hint="eastAsia" w:cs="Times New Roman"/>
                      <w:color w:val="000000" w:themeColor="text1"/>
                      <w:sz w:val="21"/>
                      <w:szCs w:val="21"/>
                      <w:lang w:val="en-US" w:eastAsia="zh-CN"/>
                      <w14:textFill>
                        <w14:solidFill>
                          <w14:schemeClr w14:val="tx1"/>
                        </w14:solidFill>
                      </w14:textFill>
                    </w:rPr>
                    <w:t>袋式</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除尘器+脱硫塔”处理后由1根15m高的排气筒（DA00</w:t>
                  </w: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排放</w:t>
                  </w:r>
                </w:p>
              </w:tc>
            </w:tr>
            <w:tr w14:paraId="4F7F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496" w:type="pct"/>
                  <w:noWrap w:val="0"/>
                  <w:vAlign w:val="center"/>
                </w:tcPr>
                <w:p w14:paraId="68C36D4A">
                  <w:pPr>
                    <w:bidi w:val="0"/>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废水</w:t>
                  </w:r>
                </w:p>
              </w:tc>
              <w:tc>
                <w:tcPr>
                  <w:tcW w:w="943" w:type="pct"/>
                  <w:gridSpan w:val="3"/>
                  <w:noWrap w:val="0"/>
                  <w:vAlign w:val="center"/>
                </w:tcPr>
                <w:p w14:paraId="0C78CDC9">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W1：脱硫塔废水</w:t>
                  </w:r>
                </w:p>
              </w:tc>
              <w:tc>
                <w:tcPr>
                  <w:tcW w:w="760" w:type="pct"/>
                  <w:noWrap w:val="0"/>
                  <w:vAlign w:val="center"/>
                </w:tcPr>
                <w:p w14:paraId="57167861">
                  <w:pPr>
                    <w:bidi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烟气处理</w:t>
                  </w:r>
                </w:p>
              </w:tc>
              <w:tc>
                <w:tcPr>
                  <w:tcW w:w="966" w:type="pct"/>
                  <w:noWrap w:val="0"/>
                  <w:vAlign w:val="center"/>
                </w:tcPr>
                <w:p w14:paraId="74C54FE5">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pH、SS、COD、盐类</w:t>
                  </w:r>
                </w:p>
              </w:tc>
              <w:tc>
                <w:tcPr>
                  <w:tcW w:w="1833" w:type="pct"/>
                  <w:gridSpan w:val="2"/>
                  <w:noWrap w:val="0"/>
                  <w:vAlign w:val="center"/>
                </w:tcPr>
                <w:p w14:paraId="140EE73C">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设置循环沉淀池经中和絮凝沉淀处理后全部回用于搅拌用水，不外排。</w:t>
                  </w:r>
                </w:p>
              </w:tc>
            </w:tr>
            <w:tr w14:paraId="4A4E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39" w:type="pct"/>
                  <w:gridSpan w:val="4"/>
                  <w:noWrap w:val="0"/>
                  <w:vAlign w:val="center"/>
                </w:tcPr>
                <w:p w14:paraId="57AB3439">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N1-N</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11</w:t>
                  </w:r>
                  <w:r>
                    <w:rPr>
                      <w:rFonts w:hint="default" w:ascii="Times New Roman" w:hAnsi="Times New Roman" w:eastAsia="宋体" w:cs="Times New Roman"/>
                      <w:color w:val="000000" w:themeColor="text1"/>
                      <w:sz w:val="21"/>
                      <w:szCs w:val="21"/>
                      <w14:textFill>
                        <w14:solidFill>
                          <w14:schemeClr w14:val="tx1"/>
                        </w14:solidFill>
                      </w14:textFill>
                    </w:rPr>
                    <w:t>：设备噪声</w:t>
                  </w:r>
                </w:p>
              </w:tc>
              <w:tc>
                <w:tcPr>
                  <w:tcW w:w="760" w:type="pct"/>
                  <w:noWrap w:val="0"/>
                  <w:vAlign w:val="center"/>
                </w:tcPr>
                <w:p w14:paraId="7EDB109B">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设备运行</w:t>
                  </w:r>
                </w:p>
              </w:tc>
              <w:tc>
                <w:tcPr>
                  <w:tcW w:w="966" w:type="pct"/>
                  <w:noWrap w:val="0"/>
                  <w:vAlign w:val="center"/>
                </w:tcPr>
                <w:p w14:paraId="564BA5FC">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噪声</w:t>
                  </w:r>
                </w:p>
              </w:tc>
              <w:tc>
                <w:tcPr>
                  <w:tcW w:w="1833" w:type="pct"/>
                  <w:gridSpan w:val="2"/>
                  <w:noWrap w:val="0"/>
                  <w:vAlign w:val="center"/>
                </w:tcPr>
                <w:p w14:paraId="6D506265">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基础</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减振</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、厂房隔声</w:t>
                  </w:r>
                </w:p>
              </w:tc>
            </w:tr>
            <w:tr w14:paraId="2EA9C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96" w:type="pct"/>
                  <w:vMerge w:val="restart"/>
                  <w:noWrap w:val="0"/>
                  <w:vAlign w:val="center"/>
                </w:tcPr>
                <w:p w14:paraId="2C12A62B">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固体废物</w:t>
                  </w:r>
                </w:p>
              </w:tc>
              <w:tc>
                <w:tcPr>
                  <w:tcW w:w="943" w:type="pct"/>
                  <w:gridSpan w:val="3"/>
                  <w:noWrap w:val="0"/>
                  <w:vAlign w:val="center"/>
                </w:tcPr>
                <w:p w14:paraId="3449ABBA">
                  <w:pPr>
                    <w:bidi w:val="0"/>
                    <w:jc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S1：</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边角料</w:t>
                  </w:r>
                </w:p>
              </w:tc>
              <w:tc>
                <w:tcPr>
                  <w:tcW w:w="760" w:type="pct"/>
                  <w:noWrap w:val="0"/>
                  <w:vAlign w:val="center"/>
                </w:tcPr>
                <w:p w14:paraId="48E03E36">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机械成型、人工塑形</w:t>
                  </w:r>
                </w:p>
              </w:tc>
              <w:tc>
                <w:tcPr>
                  <w:tcW w:w="966" w:type="pct"/>
                  <w:noWrap w:val="0"/>
                  <w:vAlign w:val="center"/>
                </w:tcPr>
                <w:p w14:paraId="7C5E561E">
                  <w:pPr>
                    <w:bidi w:val="0"/>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1833" w:type="pct"/>
                  <w:gridSpan w:val="2"/>
                  <w:noWrap w:val="0"/>
                  <w:vAlign w:val="center"/>
                </w:tcPr>
                <w:p w14:paraId="1D97EBAA">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返回破碎后</w:t>
                  </w:r>
                  <w:r>
                    <w:rPr>
                      <w:rFonts w:hint="eastAsia" w:cs="Times New Roman"/>
                      <w:color w:val="000000" w:themeColor="text1"/>
                      <w:sz w:val="21"/>
                      <w:szCs w:val="21"/>
                      <w:lang w:val="en-US" w:eastAsia="zh-CN"/>
                      <w14:textFill>
                        <w14:solidFill>
                          <w14:schemeClr w14:val="tx1"/>
                        </w14:solidFill>
                      </w14:textFill>
                    </w:rPr>
                    <w:t>做</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原料使用</w:t>
                  </w:r>
                </w:p>
              </w:tc>
            </w:tr>
            <w:tr w14:paraId="3D4C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496" w:type="pct"/>
                  <w:vMerge w:val="continue"/>
                  <w:noWrap w:val="0"/>
                  <w:vAlign w:val="center"/>
                </w:tcPr>
                <w:p w14:paraId="00A2C1AA">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943" w:type="pct"/>
                  <w:gridSpan w:val="3"/>
                  <w:noWrap w:val="0"/>
                  <w:vAlign w:val="center"/>
                </w:tcPr>
                <w:p w14:paraId="63EC9B99">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S2</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炉渣</w:t>
                  </w:r>
                </w:p>
              </w:tc>
              <w:tc>
                <w:tcPr>
                  <w:tcW w:w="760" w:type="pct"/>
                  <w:noWrap w:val="0"/>
                  <w:vAlign w:val="center"/>
                </w:tcPr>
                <w:p w14:paraId="4DD8F8F7">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炉窑</w:t>
                  </w:r>
                </w:p>
              </w:tc>
              <w:tc>
                <w:tcPr>
                  <w:tcW w:w="966" w:type="pct"/>
                  <w:noWrap w:val="0"/>
                  <w:vAlign w:val="center"/>
                </w:tcPr>
                <w:p w14:paraId="69CC08E0">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1833" w:type="pct"/>
                  <w:gridSpan w:val="2"/>
                  <w:noWrap w:val="0"/>
                  <w:vAlign w:val="center"/>
                </w:tcPr>
                <w:p w14:paraId="4A47D13A">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加入搅拌机</w:t>
                  </w:r>
                  <w:r>
                    <w:rPr>
                      <w:rFonts w:hint="eastAsia" w:cs="Times New Roman"/>
                      <w:color w:val="000000" w:themeColor="text1"/>
                      <w:sz w:val="21"/>
                      <w:szCs w:val="21"/>
                      <w:lang w:val="en-US" w:eastAsia="zh-CN"/>
                      <w14:textFill>
                        <w14:solidFill>
                          <w14:schemeClr w14:val="tx1"/>
                        </w14:solidFill>
                      </w14:textFill>
                    </w:rPr>
                    <w:t>做</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原料使用</w:t>
                  </w:r>
                </w:p>
              </w:tc>
            </w:tr>
            <w:tr w14:paraId="1669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496" w:type="pct"/>
                  <w:vMerge w:val="continue"/>
                  <w:noWrap w:val="0"/>
                  <w:vAlign w:val="center"/>
                </w:tcPr>
                <w:p w14:paraId="66196008">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943" w:type="pct"/>
                  <w:gridSpan w:val="3"/>
                  <w:noWrap w:val="0"/>
                  <w:vAlign w:val="center"/>
                </w:tcPr>
                <w:p w14:paraId="14DBB06E">
                  <w:pPr>
                    <w:bidi w:val="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S</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不合格产品</w:t>
                  </w:r>
                </w:p>
              </w:tc>
              <w:tc>
                <w:tcPr>
                  <w:tcW w:w="760" w:type="pct"/>
                  <w:noWrap w:val="0"/>
                  <w:vAlign w:val="center"/>
                </w:tcPr>
                <w:p w14:paraId="7311D410">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出窑</w:t>
                  </w:r>
                </w:p>
              </w:tc>
              <w:tc>
                <w:tcPr>
                  <w:tcW w:w="966" w:type="pct"/>
                  <w:noWrap w:val="0"/>
                  <w:vAlign w:val="center"/>
                </w:tcPr>
                <w:p w14:paraId="0CE95017">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1833" w:type="pct"/>
                  <w:gridSpan w:val="2"/>
                  <w:noWrap w:val="0"/>
                  <w:vAlign w:val="center"/>
                </w:tcPr>
                <w:p w14:paraId="6A336179">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返回破碎后做原料使用</w:t>
                  </w:r>
                </w:p>
              </w:tc>
            </w:tr>
            <w:tr w14:paraId="2F90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496" w:type="pct"/>
                  <w:vMerge w:val="continue"/>
                  <w:noWrap w:val="0"/>
                  <w:vAlign w:val="center"/>
                </w:tcPr>
                <w:p w14:paraId="7570B8EF">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348" w:type="pct"/>
                  <w:gridSpan w:val="2"/>
                  <w:vMerge w:val="restart"/>
                  <w:noWrap w:val="0"/>
                  <w:vAlign w:val="center"/>
                </w:tcPr>
                <w:p w14:paraId="46418F83">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S</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w:t>
                  </w:r>
                </w:p>
              </w:tc>
              <w:tc>
                <w:tcPr>
                  <w:tcW w:w="595" w:type="pct"/>
                  <w:noWrap w:val="0"/>
                  <w:vAlign w:val="center"/>
                </w:tcPr>
                <w:p w14:paraId="585F7E28">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收尘灰</w:t>
                  </w:r>
                </w:p>
              </w:tc>
              <w:tc>
                <w:tcPr>
                  <w:tcW w:w="760" w:type="pct"/>
                  <w:vMerge w:val="restart"/>
                  <w:noWrap w:val="0"/>
                  <w:vAlign w:val="center"/>
                </w:tcPr>
                <w:p w14:paraId="24BCFA7B">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脉冲</w:t>
                  </w:r>
                  <w:r>
                    <w:rPr>
                      <w:rFonts w:hint="eastAsia" w:cs="Times New Roman"/>
                      <w:color w:val="000000" w:themeColor="text1"/>
                      <w:sz w:val="21"/>
                      <w:szCs w:val="21"/>
                      <w:lang w:val="en-US" w:eastAsia="zh-CN"/>
                      <w14:textFill>
                        <w14:solidFill>
                          <w14:schemeClr w14:val="tx1"/>
                        </w14:solidFill>
                      </w14:textFill>
                    </w:rPr>
                    <w:t>袋式</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除尘器</w:t>
                  </w:r>
                </w:p>
              </w:tc>
              <w:tc>
                <w:tcPr>
                  <w:tcW w:w="966" w:type="pct"/>
                  <w:noWrap w:val="0"/>
                  <w:vAlign w:val="center"/>
                </w:tcPr>
                <w:p w14:paraId="1CC09A9D">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1833" w:type="pct"/>
                  <w:gridSpan w:val="2"/>
                  <w:noWrap w:val="0"/>
                  <w:vAlign w:val="center"/>
                </w:tcPr>
                <w:p w14:paraId="06ACCBD4">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加入搅拌机</w:t>
                  </w:r>
                  <w:r>
                    <w:rPr>
                      <w:rFonts w:hint="eastAsia" w:cs="Times New Roman"/>
                      <w:color w:val="000000" w:themeColor="text1"/>
                      <w:sz w:val="21"/>
                      <w:szCs w:val="21"/>
                      <w:lang w:val="en-US" w:eastAsia="zh-CN"/>
                      <w14:textFill>
                        <w14:solidFill>
                          <w14:schemeClr w14:val="tx1"/>
                        </w14:solidFill>
                      </w14:textFill>
                    </w:rPr>
                    <w:t>做</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原料使用</w:t>
                  </w:r>
                </w:p>
              </w:tc>
            </w:tr>
            <w:tr w14:paraId="2BE93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496" w:type="pct"/>
                  <w:vMerge w:val="continue"/>
                  <w:noWrap w:val="0"/>
                  <w:vAlign w:val="center"/>
                </w:tcPr>
                <w:p w14:paraId="304AEA0F">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348" w:type="pct"/>
                  <w:gridSpan w:val="2"/>
                  <w:vMerge w:val="continue"/>
                  <w:noWrap w:val="0"/>
                  <w:vAlign w:val="center"/>
                </w:tcPr>
                <w:p w14:paraId="236B4831">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595" w:type="pct"/>
                  <w:noWrap w:val="0"/>
                  <w:vAlign w:val="center"/>
                </w:tcPr>
                <w:p w14:paraId="070C2853">
                  <w:pPr>
                    <w:bidi w:val="0"/>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废布袋</w:t>
                  </w:r>
                </w:p>
              </w:tc>
              <w:tc>
                <w:tcPr>
                  <w:tcW w:w="760" w:type="pct"/>
                  <w:vMerge w:val="continue"/>
                  <w:noWrap w:val="0"/>
                  <w:vAlign w:val="center"/>
                </w:tcPr>
                <w:p w14:paraId="7B37BC22">
                  <w:pPr>
                    <w:bidi w:val="0"/>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p>
              </w:tc>
              <w:tc>
                <w:tcPr>
                  <w:tcW w:w="966" w:type="pct"/>
                  <w:noWrap w:val="0"/>
                  <w:vAlign w:val="center"/>
                </w:tcPr>
                <w:p w14:paraId="30FB6611">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1833" w:type="pct"/>
                  <w:gridSpan w:val="2"/>
                  <w:noWrap w:val="0"/>
                  <w:vAlign w:val="center"/>
                </w:tcPr>
                <w:p w14:paraId="1E1574E6">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由设备厂家更换回收处理</w:t>
                  </w:r>
                </w:p>
              </w:tc>
            </w:tr>
            <w:tr w14:paraId="70999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496" w:type="pct"/>
                  <w:vMerge w:val="continue"/>
                  <w:noWrap w:val="0"/>
                  <w:vAlign w:val="center"/>
                </w:tcPr>
                <w:p w14:paraId="42E0F09A">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943" w:type="pct"/>
                  <w:gridSpan w:val="3"/>
                  <w:noWrap w:val="0"/>
                  <w:vAlign w:val="center"/>
                </w:tcPr>
                <w:p w14:paraId="525D34D5">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S</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脱硫石膏</w:t>
                  </w:r>
                </w:p>
              </w:tc>
              <w:tc>
                <w:tcPr>
                  <w:tcW w:w="760" w:type="pct"/>
                  <w:noWrap w:val="0"/>
                  <w:vAlign w:val="center"/>
                </w:tcPr>
                <w:p w14:paraId="2C8BCF79">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脱硫</w:t>
                  </w:r>
                </w:p>
              </w:tc>
              <w:tc>
                <w:tcPr>
                  <w:tcW w:w="966" w:type="pct"/>
                  <w:noWrap w:val="0"/>
                  <w:vAlign w:val="center"/>
                </w:tcPr>
                <w:p w14:paraId="03A109B0">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olor w:val="000000" w:themeColor="text1"/>
                      <w:szCs w:val="21"/>
                      <w14:textFill>
                        <w14:solidFill>
                          <w14:schemeClr w14:val="tx1"/>
                        </w14:solidFill>
                      </w14:textFill>
                    </w:rPr>
                    <w:t>硫酸钙、碳酸钙</w:t>
                  </w:r>
                </w:p>
              </w:tc>
              <w:tc>
                <w:tcPr>
                  <w:tcW w:w="1833" w:type="pct"/>
                  <w:gridSpan w:val="2"/>
                  <w:noWrap w:val="0"/>
                  <w:vAlign w:val="center"/>
                </w:tcPr>
                <w:p w14:paraId="4EFE041F">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加入搅拌机做原料使用</w:t>
                  </w:r>
                </w:p>
              </w:tc>
            </w:tr>
          </w:tbl>
          <w:p w14:paraId="48BEC696">
            <w:pPr>
              <w:keepNext w:val="0"/>
              <w:keepLines w:val="0"/>
              <w:pageBreakBefore w:val="0"/>
              <w:widowControl w:val="0"/>
              <w:numPr>
                <w:ilvl w:val="0"/>
                <w:numId w:val="0"/>
              </w:numPr>
              <w:kinsoku/>
              <w:wordWrap/>
              <w:overflowPunct/>
              <w:topLinePunct w:val="0"/>
              <w:autoSpaceDE/>
              <w:autoSpaceDN/>
              <w:bidi w:val="0"/>
              <w:adjustRightInd/>
              <w:snapToGrid/>
              <w:spacing w:beforeAutospacing="0" w:line="276" w:lineRule="auto"/>
              <w:ind w:leftChars="0"/>
              <w:jc w:val="center"/>
              <w:textAlignment w:val="auto"/>
              <w:outlineLvl w:val="9"/>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p>
          <w:p w14:paraId="4042BBCC">
            <w:pPr>
              <w:pStyle w:val="6"/>
              <w:rPr>
                <w:rFonts w:hint="default"/>
                <w:color w:val="000000" w:themeColor="text1"/>
                <w:lang w:val="en-US" w:eastAsia="zh-CN"/>
                <w14:textFill>
                  <w14:solidFill>
                    <w14:schemeClr w14:val="tx1"/>
                  </w14:solidFill>
                </w14:textFill>
              </w:rPr>
            </w:pPr>
          </w:p>
          <w:p w14:paraId="0E552184">
            <w:pPr>
              <w:keepNext w:val="0"/>
              <w:keepLines w:val="0"/>
              <w:pageBreakBefore w:val="0"/>
              <w:kinsoku/>
              <w:overflowPunct/>
              <w:topLinePunct w:val="0"/>
              <w:bidi w:val="0"/>
              <w:adjustRightInd w:val="0"/>
              <w:snapToGrid w:val="0"/>
              <w:outlineLvl w:val="9"/>
              <w:rPr>
                <w:rFonts w:ascii="宋体" w:hAnsi="宋体"/>
                <w:bCs/>
                <w:color w:val="000000" w:themeColor="text1"/>
                <w:szCs w:val="21"/>
                <w14:textFill>
                  <w14:solidFill>
                    <w14:schemeClr w14:val="tx1"/>
                  </w14:solidFill>
                </w14:textFill>
              </w:rPr>
            </w:pPr>
          </w:p>
        </w:tc>
      </w:tr>
      <w:tr w14:paraId="5BDB8D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492" w:type="dxa"/>
            <w:noWrap w:val="0"/>
            <w:vAlign w:val="center"/>
          </w:tcPr>
          <w:p w14:paraId="5489296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eastAsia="宋体"/>
                <w:color w:val="000000" w:themeColor="text1"/>
                <w:lang w:val="en-US" w:eastAsia="zh-CN"/>
                <w14:textFill>
                  <w14:solidFill>
                    <w14:schemeClr w14:val="tx1"/>
                  </w14:solidFill>
                </w14:textFill>
              </w:rPr>
            </w:pPr>
            <w:r>
              <w:rPr>
                <w:rFonts w:hint="eastAsia" w:cs="宋体"/>
                <w:b w:val="0"/>
                <w:bCs/>
                <w:color w:val="000000" w:themeColor="text1"/>
                <w:kern w:val="2"/>
                <w:sz w:val="24"/>
                <w:szCs w:val="24"/>
                <w14:textFill>
                  <w14:solidFill>
                    <w14:schemeClr w14:val="tx1"/>
                  </w14:solidFill>
                </w14:textFill>
              </w:rPr>
              <w:t>与项目有关的原有环境污染问题</w:t>
            </w:r>
          </w:p>
        </w:tc>
        <w:tc>
          <w:tcPr>
            <w:tcW w:w="8749" w:type="dxa"/>
            <w:noWrap w:val="0"/>
            <w:vAlign w:val="top"/>
          </w:tcPr>
          <w:p w14:paraId="56ED5E7D">
            <w:pPr>
              <w:adjustRightInd w:val="0"/>
              <w:snapToGrid w:val="0"/>
              <w:spacing w:line="360" w:lineRule="auto"/>
              <w:rPr>
                <w:b/>
                <w:color w:val="000000" w:themeColor="text1"/>
                <w:sz w:val="24"/>
                <w14:textFill>
                  <w14:solidFill>
                    <w14:schemeClr w14:val="tx1"/>
                  </w14:solidFill>
                </w14:textFill>
              </w:rPr>
            </w:pPr>
            <w:r>
              <w:rPr>
                <w:rFonts w:hint="eastAsia"/>
                <w:b/>
                <w:color w:val="000000" w:themeColor="text1"/>
                <w:sz w:val="24"/>
                <w:lang w:val="en-US" w:eastAsia="zh-CN"/>
                <w14:textFill>
                  <w14:solidFill>
                    <w14:schemeClr w14:val="tx1"/>
                  </w14:solidFill>
                </w14:textFill>
              </w:rPr>
              <w:t>三、</w:t>
            </w:r>
            <w:r>
              <w:rPr>
                <w:rFonts w:hint="eastAsia"/>
                <w:b/>
                <w:color w:val="000000" w:themeColor="text1"/>
                <w:sz w:val="24"/>
                <w14:textFill>
                  <w14:solidFill>
                    <w14:schemeClr w14:val="tx1"/>
                  </w14:solidFill>
                </w14:textFill>
              </w:rPr>
              <w:t>现有工程概况</w:t>
            </w:r>
          </w:p>
          <w:p w14:paraId="740155BC">
            <w:pPr>
              <w:adjustRightInd w:val="0"/>
              <w:snapToGrid w:val="0"/>
              <w:spacing w:line="360" w:lineRule="auto"/>
              <w:ind w:firstLine="482" w:firstLineChars="200"/>
              <w:rPr>
                <w:bCs/>
                <w:color w:val="000000" w:themeColor="text1"/>
                <w:sz w:val="24"/>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1、</w:t>
            </w:r>
            <w:r>
              <w:rPr>
                <w:rFonts w:hint="eastAsia"/>
                <w:b/>
                <w:bCs w:val="0"/>
                <w:color w:val="000000" w:themeColor="text1"/>
                <w:sz w:val="24"/>
                <w14:textFill>
                  <w14:solidFill>
                    <w14:schemeClr w14:val="tx1"/>
                  </w14:solidFill>
                </w14:textFill>
              </w:rPr>
              <w:t>现有工程概况</w:t>
            </w:r>
          </w:p>
          <w:p w14:paraId="54D22582">
            <w:pPr>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建设地点：</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罗平县慧联青瓦厂</w:t>
            </w:r>
          </w:p>
          <w:p w14:paraId="5AFFBD40">
            <w:pPr>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占地面积：</w:t>
            </w:r>
            <w:r>
              <w:rPr>
                <w:rFonts w:hint="eastAsia"/>
                <w:bCs/>
                <w:color w:val="000000" w:themeColor="text1"/>
                <w:sz w:val="24"/>
                <w:lang w:val="en-US" w:eastAsia="zh-CN"/>
                <w14:textFill>
                  <w14:solidFill>
                    <w14:schemeClr w14:val="tx1"/>
                  </w14:solidFill>
                </w14:textFill>
              </w:rPr>
              <w:t>38000</w:t>
            </w:r>
            <w:r>
              <w:rPr>
                <w:rFonts w:hint="eastAsia"/>
                <w:bCs/>
                <w:color w:val="000000" w:themeColor="text1"/>
                <w:sz w:val="24"/>
                <w14:textFill>
                  <w14:solidFill>
                    <w14:schemeClr w14:val="tx1"/>
                  </w14:solidFill>
                </w14:textFill>
              </w:rPr>
              <w:t>m</w:t>
            </w:r>
            <w:r>
              <w:rPr>
                <w:rFonts w:hint="eastAsia"/>
                <w:bCs/>
                <w:color w:val="000000" w:themeColor="text1"/>
                <w:sz w:val="24"/>
                <w:vertAlign w:val="superscript"/>
                <w14:textFill>
                  <w14:solidFill>
                    <w14:schemeClr w14:val="tx1"/>
                  </w14:solidFill>
                </w14:textFill>
              </w:rPr>
              <w:t>2</w:t>
            </w:r>
          </w:p>
          <w:p w14:paraId="07E2EF16">
            <w:pPr>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生产规模：</w:t>
            </w:r>
            <w:r>
              <w:rPr>
                <w:rFonts w:hint="eastAsia"/>
                <w:color w:val="000000" w:themeColor="text1"/>
                <w:sz w:val="24"/>
                <w:lang w:val="en-US" w:eastAsia="zh-CN"/>
                <w14:textFill>
                  <w14:solidFill>
                    <w14:schemeClr w14:val="tx1"/>
                  </w14:solidFill>
                </w14:textFill>
              </w:rPr>
              <w:t>年产1000万匹青瓦</w:t>
            </w:r>
          </w:p>
          <w:p w14:paraId="3C90A0CC">
            <w:pPr>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工程建设内容：</w:t>
            </w:r>
            <w:r>
              <w:rPr>
                <w:rFonts w:hint="eastAsia"/>
                <w:bCs/>
                <w:color w:val="000000" w:themeColor="text1"/>
                <w:sz w:val="24"/>
                <w:lang w:val="en-US" w:eastAsia="zh-CN"/>
                <w14:textFill>
                  <w14:solidFill>
                    <w14:schemeClr w14:val="tx1"/>
                  </w14:solidFill>
                </w14:textFill>
              </w:rPr>
              <w:t>烧制车间（建有5座圆窑）、原料贮存库、制瓦车间、瓦坯晾晒陈化区、成品堆存区及生活办公区</w:t>
            </w:r>
            <w:r>
              <w:rPr>
                <w:rFonts w:hint="eastAsia"/>
                <w:color w:val="000000" w:themeColor="text1"/>
                <w:sz w:val="24"/>
                <w14:textFill>
                  <w14:solidFill>
                    <w14:schemeClr w14:val="tx1"/>
                  </w14:solidFill>
                </w14:textFill>
              </w:rPr>
              <w:t>，详见</w:t>
            </w:r>
            <w:r>
              <w:rPr>
                <w:rFonts w:hint="eastAsia"/>
                <w:color w:val="000000" w:themeColor="text1"/>
                <w:sz w:val="24"/>
                <w:lang w:val="en-US" w:eastAsia="zh-CN"/>
                <w14:textFill>
                  <w14:solidFill>
                    <w14:schemeClr w14:val="tx1"/>
                  </w14:solidFill>
                </w14:textFill>
              </w:rPr>
              <w:t>下表</w:t>
            </w:r>
            <w:r>
              <w:rPr>
                <w:rFonts w:hint="eastAsia"/>
                <w:color w:val="000000" w:themeColor="text1"/>
                <w:sz w:val="24"/>
                <w14:textFill>
                  <w14:solidFill>
                    <w14:schemeClr w14:val="tx1"/>
                  </w14:solidFill>
                </w14:textFill>
              </w:rPr>
              <w:t>。</w:t>
            </w:r>
          </w:p>
          <w:p w14:paraId="3922D229">
            <w:pPr>
              <w:keepNext w:val="0"/>
              <w:keepLines w:val="0"/>
              <w:pageBreakBefore w:val="0"/>
              <w:widowControl w:val="0"/>
              <w:kinsoku/>
              <w:wordWrap/>
              <w:overflowPunct/>
              <w:topLinePunct w:val="0"/>
              <w:autoSpaceDE/>
              <w:autoSpaceDN/>
              <w:bidi w:val="0"/>
              <w:adjustRightInd w:val="0"/>
              <w:snapToGrid w:val="0"/>
              <w:spacing w:line="276" w:lineRule="auto"/>
              <w:ind w:firstLine="0"/>
              <w:jc w:val="center"/>
              <w:textAlignment w:val="auto"/>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表2-</w:t>
            </w:r>
            <w:r>
              <w:rPr>
                <w:rFonts w:hint="eastAsia"/>
                <w:b/>
                <w:color w:val="000000" w:themeColor="text1"/>
                <w:sz w:val="24"/>
                <w:szCs w:val="24"/>
                <w:lang w:val="en-US" w:eastAsia="zh-CN"/>
                <w14:textFill>
                  <w14:solidFill>
                    <w14:schemeClr w14:val="tx1"/>
                  </w14:solidFill>
                </w14:textFill>
              </w:rPr>
              <w:t>17</w:t>
            </w:r>
            <w:r>
              <w:rPr>
                <w:rFonts w:hint="eastAsia"/>
                <w:b/>
                <w:color w:val="000000" w:themeColor="text1"/>
                <w:sz w:val="24"/>
                <w:szCs w:val="24"/>
                <w14:textFill>
                  <w14:solidFill>
                    <w14:schemeClr w14:val="tx1"/>
                  </w14:solidFill>
                </w14:textFill>
              </w:rPr>
              <w:t xml:space="preserve">  现有工程建设内容一览表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660"/>
              <w:gridCol w:w="1549"/>
              <w:gridCol w:w="5672"/>
            </w:tblGrid>
            <w:tr w14:paraId="2534A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376" w:type="pct"/>
                  <w:noWrap w:val="0"/>
                  <w:vAlign w:val="center"/>
                </w:tcPr>
                <w:p w14:paraId="10EFCFB6">
                  <w:pPr>
                    <w:jc w:val="center"/>
                    <w:rPr>
                      <w:rFonts w:eastAsia="宋体"/>
                      <w:snapToGrid w:val="0"/>
                      <w:color w:val="000000" w:themeColor="text1"/>
                      <w:kern w:val="0"/>
                      <w:szCs w:val="21"/>
                      <w14:textFill>
                        <w14:solidFill>
                          <w14:schemeClr w14:val="tx1"/>
                        </w14:solidFill>
                      </w14:textFill>
                    </w:rPr>
                  </w:pPr>
                  <w:r>
                    <w:rPr>
                      <w:rFonts w:eastAsia="宋体"/>
                      <w:snapToGrid w:val="0"/>
                      <w:color w:val="000000" w:themeColor="text1"/>
                      <w:kern w:val="0"/>
                      <w:szCs w:val="21"/>
                      <w14:textFill>
                        <w14:solidFill>
                          <w14:schemeClr w14:val="tx1"/>
                        </w14:solidFill>
                      </w14:textFill>
                    </w:rPr>
                    <w:t>分类</w:t>
                  </w:r>
                </w:p>
              </w:tc>
              <w:tc>
                <w:tcPr>
                  <w:tcW w:w="1295" w:type="pct"/>
                  <w:gridSpan w:val="2"/>
                  <w:noWrap w:val="0"/>
                  <w:vAlign w:val="center"/>
                </w:tcPr>
                <w:p w14:paraId="603B9663">
                  <w:pPr>
                    <w:jc w:val="center"/>
                    <w:rPr>
                      <w:rFonts w:eastAsia="宋体"/>
                      <w:snapToGrid w:val="0"/>
                      <w:color w:val="000000" w:themeColor="text1"/>
                      <w:kern w:val="0"/>
                      <w:szCs w:val="21"/>
                      <w14:textFill>
                        <w14:solidFill>
                          <w14:schemeClr w14:val="tx1"/>
                        </w14:solidFill>
                      </w14:textFill>
                    </w:rPr>
                  </w:pPr>
                  <w:r>
                    <w:rPr>
                      <w:rFonts w:eastAsia="宋体"/>
                      <w:snapToGrid w:val="0"/>
                      <w:color w:val="000000" w:themeColor="text1"/>
                      <w:kern w:val="0"/>
                      <w:szCs w:val="21"/>
                      <w14:textFill>
                        <w14:solidFill>
                          <w14:schemeClr w14:val="tx1"/>
                        </w14:solidFill>
                      </w14:textFill>
                    </w:rPr>
                    <w:t>项目</w:t>
                  </w:r>
                </w:p>
              </w:tc>
              <w:tc>
                <w:tcPr>
                  <w:tcW w:w="3327" w:type="pct"/>
                  <w:noWrap w:val="0"/>
                  <w:vAlign w:val="center"/>
                </w:tcPr>
                <w:p w14:paraId="000E933F">
                  <w:pPr>
                    <w:jc w:val="center"/>
                    <w:rPr>
                      <w:rFonts w:eastAsia="宋体"/>
                      <w:snapToGrid w:val="0"/>
                      <w:color w:val="000000" w:themeColor="text1"/>
                      <w:kern w:val="0"/>
                      <w:szCs w:val="21"/>
                      <w14:textFill>
                        <w14:solidFill>
                          <w14:schemeClr w14:val="tx1"/>
                        </w14:solidFill>
                      </w14:textFill>
                    </w:rPr>
                  </w:pPr>
                  <w:r>
                    <w:rPr>
                      <w:rFonts w:eastAsia="宋体"/>
                      <w:snapToGrid w:val="0"/>
                      <w:color w:val="000000" w:themeColor="text1"/>
                      <w:kern w:val="0"/>
                      <w:szCs w:val="21"/>
                      <w14:textFill>
                        <w14:solidFill>
                          <w14:schemeClr w14:val="tx1"/>
                        </w14:solidFill>
                      </w14:textFill>
                    </w:rPr>
                    <w:t>建设内容</w:t>
                  </w:r>
                </w:p>
              </w:tc>
            </w:tr>
            <w:tr w14:paraId="3F26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blHeader/>
                <w:jc w:val="center"/>
              </w:trPr>
              <w:tc>
                <w:tcPr>
                  <w:tcW w:w="376" w:type="pct"/>
                  <w:vMerge w:val="restart"/>
                  <w:noWrap w:val="0"/>
                  <w:vAlign w:val="center"/>
                </w:tcPr>
                <w:p w14:paraId="5ECF0FCB">
                  <w:pPr>
                    <w:jc w:val="center"/>
                    <w:rPr>
                      <w:rFonts w:eastAsia="宋体"/>
                      <w:snapToGrid w:val="0"/>
                      <w:color w:val="000000" w:themeColor="text1"/>
                      <w:kern w:val="0"/>
                      <w:szCs w:val="21"/>
                      <w14:textFill>
                        <w14:solidFill>
                          <w14:schemeClr w14:val="tx1"/>
                        </w14:solidFill>
                      </w14:textFill>
                    </w:rPr>
                  </w:pPr>
                  <w:r>
                    <w:rPr>
                      <w:rFonts w:eastAsia="宋体"/>
                      <w:snapToGrid w:val="0"/>
                      <w:color w:val="000000" w:themeColor="text1"/>
                      <w:kern w:val="0"/>
                      <w:szCs w:val="21"/>
                      <w14:textFill>
                        <w14:solidFill>
                          <w14:schemeClr w14:val="tx1"/>
                        </w14:solidFill>
                      </w14:textFill>
                    </w:rPr>
                    <w:t>主体工程</w:t>
                  </w:r>
                </w:p>
              </w:tc>
              <w:tc>
                <w:tcPr>
                  <w:tcW w:w="1295" w:type="pct"/>
                  <w:gridSpan w:val="2"/>
                  <w:vMerge w:val="restart"/>
                  <w:noWrap w:val="0"/>
                  <w:vAlign w:val="center"/>
                </w:tcPr>
                <w:p w14:paraId="0EC48E42">
                  <w:pPr>
                    <w:widowControl/>
                    <w:jc w:val="center"/>
                    <w:textAlignment w:val="center"/>
                    <w:rPr>
                      <w:rFonts w:hint="default" w:eastAsia="宋体"/>
                      <w:color w:val="000000" w:themeColor="text1"/>
                      <w:szCs w:val="21"/>
                      <w:lang w:val="en-US" w:eastAsia="zh-CN"/>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烧制车间</w:t>
                  </w:r>
                </w:p>
              </w:tc>
              <w:tc>
                <w:tcPr>
                  <w:tcW w:w="3327" w:type="pct"/>
                  <w:noWrap w:val="0"/>
                  <w:vAlign w:val="center"/>
                </w:tcPr>
                <w:p w14:paraId="3DB60653">
                  <w:pPr>
                    <w:rPr>
                      <w:rFonts w:eastAsia="宋体"/>
                      <w:color w:val="000000" w:themeColor="text1"/>
                      <w:szCs w:val="21"/>
                      <w14:textFill>
                        <w14:solidFill>
                          <w14:schemeClr w14:val="tx1"/>
                        </w14:solidFill>
                      </w14:textFill>
                    </w:rPr>
                  </w:pPr>
                  <w:r>
                    <w:rPr>
                      <w:rFonts w:hint="eastAsia" w:eastAsia="宋体"/>
                      <w:color w:val="000000" w:themeColor="text1"/>
                      <w:kern w:val="0"/>
                      <w:szCs w:val="21"/>
                      <w:lang w:val="en-US" w:eastAsia="zh-CN"/>
                      <w14:textFill>
                        <w14:solidFill>
                          <w14:schemeClr w14:val="tx1"/>
                        </w14:solidFill>
                      </w14:textFill>
                    </w:rPr>
                    <w:t>位于南侧，占地面积约2216m</w:t>
                  </w:r>
                  <w:r>
                    <w:rPr>
                      <w:rFonts w:hint="eastAsia" w:eastAsia="宋体"/>
                      <w:color w:val="000000" w:themeColor="text1"/>
                      <w:kern w:val="0"/>
                      <w:szCs w:val="21"/>
                      <w:vertAlign w:val="superscript"/>
                      <w:lang w:val="en-US" w:eastAsia="zh-CN"/>
                      <w14:textFill>
                        <w14:solidFill>
                          <w14:schemeClr w14:val="tx1"/>
                        </w14:solidFill>
                      </w14:textFill>
                    </w:rPr>
                    <w:t>2</w:t>
                  </w:r>
                  <w:r>
                    <w:rPr>
                      <w:rFonts w:hint="eastAsia" w:eastAsia="宋体"/>
                      <w:color w:val="000000" w:themeColor="text1"/>
                      <w:kern w:val="0"/>
                      <w:szCs w:val="21"/>
                      <w:vertAlign w:val="baseline"/>
                      <w:lang w:val="en-US" w:eastAsia="zh-CN"/>
                      <w14:textFill>
                        <w14:solidFill>
                          <w14:schemeClr w14:val="tx1"/>
                        </w14:solidFill>
                      </w14:textFill>
                    </w:rPr>
                    <w:t>，建有5座圆窑，设置有彩钢瓦顶棚。具体如下所示：</w:t>
                  </w:r>
                </w:p>
              </w:tc>
            </w:tr>
            <w:tr w14:paraId="0B4F8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blHeader/>
                <w:jc w:val="center"/>
              </w:trPr>
              <w:tc>
                <w:tcPr>
                  <w:tcW w:w="376" w:type="pct"/>
                  <w:vMerge w:val="continue"/>
                  <w:noWrap w:val="0"/>
                  <w:vAlign w:val="center"/>
                </w:tcPr>
                <w:p w14:paraId="72C6865F">
                  <w:pPr>
                    <w:widowControl/>
                    <w:textAlignment w:val="center"/>
                    <w:rPr>
                      <w:color w:val="000000" w:themeColor="text1"/>
                      <w14:textFill>
                        <w14:solidFill>
                          <w14:schemeClr w14:val="tx1"/>
                        </w14:solidFill>
                      </w14:textFill>
                    </w:rPr>
                  </w:pPr>
                </w:p>
              </w:tc>
              <w:tc>
                <w:tcPr>
                  <w:tcW w:w="1295" w:type="pct"/>
                  <w:gridSpan w:val="2"/>
                  <w:vMerge w:val="continue"/>
                  <w:noWrap w:val="0"/>
                  <w:vAlign w:val="center"/>
                </w:tcPr>
                <w:p w14:paraId="04F1D6CE">
                  <w:pPr>
                    <w:widowControl/>
                    <w:textAlignment w:val="center"/>
                    <w:rPr>
                      <w:color w:val="000000" w:themeColor="text1"/>
                      <w14:textFill>
                        <w14:solidFill>
                          <w14:schemeClr w14:val="tx1"/>
                        </w14:solidFill>
                      </w14:textFill>
                    </w:rPr>
                  </w:pPr>
                </w:p>
              </w:tc>
              <w:tc>
                <w:tcPr>
                  <w:tcW w:w="3327" w:type="pct"/>
                  <w:noWrap w:val="0"/>
                  <w:vAlign w:val="center"/>
                </w:tcPr>
                <w:p w14:paraId="6D83C940">
                  <w:pPr>
                    <w:jc w:val="left"/>
                    <w:rPr>
                      <w:color w:val="000000" w:themeColor="text1"/>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1#、2#圆窑：位于烧制车间西南面，为2门仿圆窑，内径6m，高10m，砖混结构。</w:t>
                  </w:r>
                </w:p>
              </w:tc>
            </w:tr>
            <w:tr w14:paraId="3C36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blHeader/>
                <w:jc w:val="center"/>
              </w:trPr>
              <w:tc>
                <w:tcPr>
                  <w:tcW w:w="376" w:type="pct"/>
                  <w:vMerge w:val="continue"/>
                  <w:noWrap w:val="0"/>
                  <w:vAlign w:val="center"/>
                </w:tcPr>
                <w:p w14:paraId="7BA151A8">
                  <w:pPr>
                    <w:widowControl/>
                    <w:textAlignment w:val="center"/>
                    <w:rPr>
                      <w:rFonts w:eastAsia="宋体"/>
                      <w:color w:val="000000" w:themeColor="text1"/>
                      <w:kern w:val="0"/>
                      <w:szCs w:val="21"/>
                      <w14:textFill>
                        <w14:solidFill>
                          <w14:schemeClr w14:val="tx1"/>
                        </w14:solidFill>
                      </w14:textFill>
                    </w:rPr>
                  </w:pPr>
                </w:p>
              </w:tc>
              <w:tc>
                <w:tcPr>
                  <w:tcW w:w="1295" w:type="pct"/>
                  <w:gridSpan w:val="2"/>
                  <w:vMerge w:val="continue"/>
                  <w:noWrap w:val="0"/>
                  <w:vAlign w:val="center"/>
                </w:tcPr>
                <w:p w14:paraId="1C6506C1">
                  <w:pPr>
                    <w:widowControl/>
                    <w:textAlignment w:val="center"/>
                    <w:rPr>
                      <w:rFonts w:eastAsia="宋体"/>
                      <w:color w:val="000000" w:themeColor="text1"/>
                      <w:kern w:val="0"/>
                      <w:szCs w:val="21"/>
                      <w14:textFill>
                        <w14:solidFill>
                          <w14:schemeClr w14:val="tx1"/>
                        </w14:solidFill>
                      </w14:textFill>
                    </w:rPr>
                  </w:pPr>
                </w:p>
              </w:tc>
              <w:tc>
                <w:tcPr>
                  <w:tcW w:w="3327" w:type="pct"/>
                  <w:noWrap w:val="0"/>
                  <w:vAlign w:val="center"/>
                </w:tcPr>
                <w:p w14:paraId="1EE8BC84">
                  <w:pPr>
                    <w:jc w:val="left"/>
                    <w:rPr>
                      <w:color w:val="000000" w:themeColor="text1"/>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3#、4#、5#仿古窑：位于烧制车间东南面，为6门圆窑，内径6m，高10m，砖混结构。</w:t>
                  </w:r>
                </w:p>
              </w:tc>
            </w:tr>
            <w:tr w14:paraId="3CFBA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376" w:type="pct"/>
                  <w:vMerge w:val="continue"/>
                  <w:noWrap w:val="0"/>
                  <w:vAlign w:val="center"/>
                </w:tcPr>
                <w:p w14:paraId="69871DA8">
                  <w:pPr>
                    <w:jc w:val="center"/>
                    <w:rPr>
                      <w:rFonts w:eastAsia="宋体"/>
                      <w:snapToGrid w:val="0"/>
                      <w:color w:val="000000" w:themeColor="text1"/>
                      <w:kern w:val="0"/>
                      <w:szCs w:val="21"/>
                      <w14:textFill>
                        <w14:solidFill>
                          <w14:schemeClr w14:val="tx1"/>
                        </w14:solidFill>
                      </w14:textFill>
                    </w:rPr>
                  </w:pPr>
                </w:p>
              </w:tc>
              <w:tc>
                <w:tcPr>
                  <w:tcW w:w="1295" w:type="pct"/>
                  <w:gridSpan w:val="2"/>
                  <w:noWrap w:val="0"/>
                  <w:vAlign w:val="center"/>
                </w:tcPr>
                <w:p w14:paraId="5F3C39CD">
                  <w:pPr>
                    <w:widowControl/>
                    <w:jc w:val="center"/>
                    <w:rPr>
                      <w:rFonts w:eastAsia="宋体"/>
                      <w:color w:val="000000" w:themeColor="text1"/>
                      <w:szCs w:val="21"/>
                      <w14:textFill>
                        <w14:solidFill>
                          <w14:schemeClr w14:val="tx1"/>
                        </w14:solidFill>
                      </w14:textFill>
                    </w:rPr>
                  </w:pPr>
                  <w:r>
                    <w:rPr>
                      <w:rFonts w:hint="eastAsia" w:eastAsia="宋体"/>
                      <w:color w:val="000000" w:themeColor="text1"/>
                      <w:kern w:val="0"/>
                      <w:szCs w:val="21"/>
                      <w:lang w:val="en-US" w:eastAsia="zh-CN"/>
                      <w14:textFill>
                        <w14:solidFill>
                          <w14:schemeClr w14:val="tx1"/>
                        </w14:solidFill>
                      </w14:textFill>
                    </w:rPr>
                    <w:t>制瓦车间</w:t>
                  </w:r>
                </w:p>
              </w:tc>
              <w:tc>
                <w:tcPr>
                  <w:tcW w:w="3327" w:type="pct"/>
                  <w:noWrap w:val="0"/>
                  <w:vAlign w:val="center"/>
                </w:tcPr>
                <w:p w14:paraId="15680716">
                  <w:pPr>
                    <w:widowControl/>
                    <w:rPr>
                      <w:rFonts w:eastAsia="宋体"/>
                      <w:color w:val="000000" w:themeColor="text1"/>
                      <w:kern w:val="0"/>
                      <w:szCs w:val="21"/>
                      <w14:textFill>
                        <w14:solidFill>
                          <w14:schemeClr w14:val="tx1"/>
                        </w14:solidFill>
                      </w14:textFill>
                    </w:rPr>
                  </w:pPr>
                  <w:r>
                    <w:rPr>
                      <w:rFonts w:hint="eastAsia" w:eastAsia="宋体"/>
                      <w:color w:val="000000" w:themeColor="text1"/>
                      <w:kern w:val="0"/>
                      <w:szCs w:val="21"/>
                      <w14:textFill>
                        <w14:solidFill>
                          <w14:schemeClr w14:val="tx1"/>
                        </w14:solidFill>
                      </w14:textFill>
                    </w:rPr>
                    <w:t>1座，</w:t>
                  </w:r>
                  <w:r>
                    <w:rPr>
                      <w:rFonts w:eastAsia="宋体"/>
                      <w:color w:val="000000" w:themeColor="text1"/>
                      <w:kern w:val="0"/>
                      <w:szCs w:val="21"/>
                      <w14:textFill>
                        <w14:solidFill>
                          <w14:schemeClr w14:val="tx1"/>
                        </w14:solidFill>
                      </w14:textFill>
                    </w:rPr>
                    <w:t>位于</w:t>
                  </w:r>
                  <w:r>
                    <w:rPr>
                      <w:rFonts w:hint="eastAsia" w:eastAsia="宋体"/>
                      <w:color w:val="000000" w:themeColor="text1"/>
                      <w:kern w:val="0"/>
                      <w:szCs w:val="21"/>
                      <w:lang w:val="en-US" w:eastAsia="zh-CN"/>
                      <w14:textFill>
                        <w14:solidFill>
                          <w14:schemeClr w14:val="tx1"/>
                        </w14:solidFill>
                      </w14:textFill>
                    </w:rPr>
                    <w:t>烧制车间东北面</w:t>
                  </w:r>
                  <w:r>
                    <w:rPr>
                      <w:rFonts w:eastAsia="宋体"/>
                      <w:color w:val="000000" w:themeColor="text1"/>
                      <w:kern w:val="0"/>
                      <w:szCs w:val="21"/>
                      <w14:textFill>
                        <w14:solidFill>
                          <w14:schemeClr w14:val="tx1"/>
                        </w14:solidFill>
                      </w14:textFill>
                    </w:rPr>
                    <w:t>，紧邻</w:t>
                  </w:r>
                  <w:r>
                    <w:rPr>
                      <w:rFonts w:hint="eastAsia" w:eastAsia="宋体"/>
                      <w:color w:val="000000" w:themeColor="text1"/>
                      <w:kern w:val="0"/>
                      <w:szCs w:val="21"/>
                      <w:lang w:val="en-US" w:eastAsia="zh-CN"/>
                      <w14:textFill>
                        <w14:solidFill>
                          <w14:schemeClr w14:val="tx1"/>
                        </w14:solidFill>
                      </w14:textFill>
                    </w:rPr>
                    <w:t>原料贮存库</w:t>
                  </w:r>
                  <w:r>
                    <w:rPr>
                      <w:rFonts w:eastAsia="宋体"/>
                      <w:color w:val="000000" w:themeColor="text1"/>
                      <w:kern w:val="0"/>
                      <w:szCs w:val="21"/>
                      <w14:textFill>
                        <w14:solidFill>
                          <w14:schemeClr w14:val="tx1"/>
                        </w14:solidFill>
                      </w14:textFill>
                    </w:rPr>
                    <w:t>，</w:t>
                  </w:r>
                  <w:r>
                    <w:rPr>
                      <w:rFonts w:hint="eastAsia" w:eastAsia="宋体"/>
                      <w:color w:val="000000" w:themeColor="text1"/>
                      <w:szCs w:val="21"/>
                      <w14:textFill>
                        <w14:solidFill>
                          <w14:schemeClr w14:val="tx1"/>
                        </w14:solidFill>
                      </w14:textFill>
                    </w:rPr>
                    <w:t>设</w:t>
                  </w:r>
                  <w:r>
                    <w:rPr>
                      <w:rFonts w:eastAsia="宋体"/>
                      <w:color w:val="000000" w:themeColor="text1"/>
                      <w:kern w:val="0"/>
                      <w:szCs w:val="21"/>
                      <w14:textFill>
                        <w14:solidFill>
                          <w14:schemeClr w14:val="tx1"/>
                        </w14:solidFill>
                      </w14:textFill>
                    </w:rPr>
                    <w:t>三面围挡</w:t>
                  </w:r>
                  <w:r>
                    <w:rPr>
                      <w:rFonts w:hint="eastAsia" w:eastAsia="宋体"/>
                      <w:color w:val="000000" w:themeColor="text1"/>
                      <w:kern w:val="0"/>
                      <w:szCs w:val="21"/>
                      <w14:textFill>
                        <w14:solidFill>
                          <w14:schemeClr w14:val="tx1"/>
                        </w14:solidFill>
                      </w14:textFill>
                    </w:rPr>
                    <w:t>+</w:t>
                  </w:r>
                  <w:r>
                    <w:rPr>
                      <w:rFonts w:eastAsia="宋体"/>
                      <w:color w:val="000000" w:themeColor="text1"/>
                      <w:kern w:val="0"/>
                      <w:szCs w:val="21"/>
                      <w14:textFill>
                        <w14:solidFill>
                          <w14:schemeClr w14:val="tx1"/>
                        </w14:solidFill>
                      </w14:textFill>
                    </w:rPr>
                    <w:t>彩钢瓦顶棚，占地面积</w:t>
                  </w:r>
                  <w:r>
                    <w:rPr>
                      <w:rFonts w:hint="eastAsia" w:eastAsia="宋体"/>
                      <w:color w:val="000000" w:themeColor="text1"/>
                      <w:kern w:val="0"/>
                      <w:szCs w:val="21"/>
                      <w:lang w:val="en-US" w:eastAsia="zh-CN"/>
                      <w14:textFill>
                        <w14:solidFill>
                          <w14:schemeClr w14:val="tx1"/>
                        </w14:solidFill>
                      </w14:textFill>
                    </w:rPr>
                    <w:t>1250</w:t>
                  </w:r>
                  <w:r>
                    <w:rPr>
                      <w:rFonts w:eastAsia="宋体"/>
                      <w:color w:val="000000" w:themeColor="text1"/>
                      <w:kern w:val="0"/>
                      <w:szCs w:val="21"/>
                      <w14:textFill>
                        <w14:solidFill>
                          <w14:schemeClr w14:val="tx1"/>
                        </w14:solidFill>
                      </w14:textFill>
                    </w:rPr>
                    <w:t>m</w:t>
                  </w:r>
                  <w:r>
                    <w:rPr>
                      <w:rFonts w:eastAsia="宋体"/>
                      <w:color w:val="000000" w:themeColor="text1"/>
                      <w:kern w:val="0"/>
                      <w:szCs w:val="21"/>
                      <w:vertAlign w:val="superscript"/>
                      <w14:textFill>
                        <w14:solidFill>
                          <w14:schemeClr w14:val="tx1"/>
                        </w14:solidFill>
                      </w14:textFill>
                    </w:rPr>
                    <w:t>2</w:t>
                  </w:r>
                  <w:r>
                    <w:rPr>
                      <w:rFonts w:eastAsia="宋体"/>
                      <w:color w:val="000000" w:themeColor="text1"/>
                      <w:kern w:val="0"/>
                      <w:szCs w:val="21"/>
                      <w14:textFill>
                        <w14:solidFill>
                          <w14:schemeClr w14:val="tx1"/>
                        </w14:solidFill>
                      </w14:textFill>
                    </w:rPr>
                    <w:t>，地面已硬化，</w:t>
                  </w:r>
                  <w:r>
                    <w:rPr>
                      <w:rFonts w:hint="eastAsia" w:eastAsia="宋体"/>
                      <w:color w:val="000000" w:themeColor="text1"/>
                      <w:kern w:val="0"/>
                      <w:szCs w:val="21"/>
                      <w:lang w:val="en-US" w:eastAsia="zh-CN"/>
                      <w14:textFill>
                        <w14:solidFill>
                          <w14:schemeClr w14:val="tx1"/>
                        </w14:solidFill>
                      </w14:textFill>
                    </w:rPr>
                    <w:t>现有真空瓦机2台、切条机2台、切坯机2台、皮带输送机3台</w:t>
                  </w:r>
                  <w:r>
                    <w:rPr>
                      <w:rFonts w:eastAsia="宋体"/>
                      <w:color w:val="000000" w:themeColor="text1"/>
                      <w:kern w:val="0"/>
                      <w:szCs w:val="21"/>
                      <w14:textFill>
                        <w14:solidFill>
                          <w14:schemeClr w14:val="tx1"/>
                        </w14:solidFill>
                      </w14:textFill>
                    </w:rPr>
                    <w:t>。</w:t>
                  </w:r>
                </w:p>
              </w:tc>
            </w:tr>
            <w:tr w14:paraId="1FE5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376" w:type="pct"/>
                  <w:vMerge w:val="continue"/>
                  <w:noWrap w:val="0"/>
                  <w:vAlign w:val="center"/>
                </w:tcPr>
                <w:p w14:paraId="3C3D32CA">
                  <w:pPr>
                    <w:jc w:val="center"/>
                    <w:rPr>
                      <w:rFonts w:eastAsia="宋体"/>
                      <w:snapToGrid w:val="0"/>
                      <w:color w:val="000000" w:themeColor="text1"/>
                      <w:kern w:val="0"/>
                      <w:szCs w:val="21"/>
                      <w14:textFill>
                        <w14:solidFill>
                          <w14:schemeClr w14:val="tx1"/>
                        </w14:solidFill>
                      </w14:textFill>
                    </w:rPr>
                  </w:pPr>
                </w:p>
              </w:tc>
              <w:tc>
                <w:tcPr>
                  <w:tcW w:w="1295" w:type="pct"/>
                  <w:gridSpan w:val="2"/>
                  <w:noWrap w:val="0"/>
                  <w:vAlign w:val="center"/>
                </w:tcPr>
                <w:p w14:paraId="2D07CC67">
                  <w:pPr>
                    <w:widowControl/>
                    <w:jc w:val="center"/>
                    <w:rPr>
                      <w:rFonts w:eastAsia="宋体"/>
                      <w:color w:val="000000" w:themeColor="text1"/>
                      <w:szCs w:val="21"/>
                      <w14:textFill>
                        <w14:solidFill>
                          <w14:schemeClr w14:val="tx1"/>
                        </w14:solidFill>
                      </w14:textFill>
                    </w:rPr>
                  </w:pPr>
                  <w:r>
                    <w:rPr>
                      <w:rFonts w:hint="eastAsia" w:eastAsia="宋体"/>
                      <w:color w:val="000000" w:themeColor="text1"/>
                      <w:kern w:val="0"/>
                      <w:szCs w:val="21"/>
                      <w:lang w:val="en-US" w:eastAsia="zh-CN"/>
                      <w14:textFill>
                        <w14:solidFill>
                          <w14:schemeClr w14:val="tx1"/>
                        </w14:solidFill>
                      </w14:textFill>
                    </w:rPr>
                    <w:t>瓦坯晾晒陈化区</w:t>
                  </w:r>
                </w:p>
              </w:tc>
              <w:tc>
                <w:tcPr>
                  <w:tcW w:w="3327" w:type="pct"/>
                  <w:noWrap w:val="0"/>
                  <w:vAlign w:val="center"/>
                </w:tcPr>
                <w:p w14:paraId="290E36FA">
                  <w:pPr>
                    <w:widowControl/>
                    <w:rPr>
                      <w:rFonts w:eastAsia="宋体"/>
                      <w:color w:val="000000" w:themeColor="text1"/>
                      <w:kern w:val="0"/>
                      <w:szCs w:val="21"/>
                      <w14:textFill>
                        <w14:solidFill>
                          <w14:schemeClr w14:val="tx1"/>
                        </w14:solidFill>
                      </w14:textFill>
                    </w:rPr>
                  </w:pPr>
                  <w:r>
                    <w:rPr>
                      <w:rFonts w:hint="eastAsia" w:eastAsia="宋体"/>
                      <w:color w:val="000000" w:themeColor="text1"/>
                      <w:kern w:val="0"/>
                      <w:szCs w:val="21"/>
                      <w:lang w:val="en-US" w:eastAsia="zh-CN"/>
                      <w14:textFill>
                        <w14:solidFill>
                          <w14:schemeClr w14:val="tx1"/>
                        </w14:solidFill>
                      </w14:textFill>
                    </w:rPr>
                    <w:t>2座，1#紧邻制瓦车间北侧，占地面积约为470m</w:t>
                  </w:r>
                  <w:r>
                    <w:rPr>
                      <w:rFonts w:hint="eastAsia" w:eastAsia="宋体"/>
                      <w:color w:val="000000" w:themeColor="text1"/>
                      <w:kern w:val="0"/>
                      <w:szCs w:val="21"/>
                      <w:vertAlign w:val="superscript"/>
                      <w:lang w:val="en-US" w:eastAsia="zh-CN"/>
                      <w14:textFill>
                        <w14:solidFill>
                          <w14:schemeClr w14:val="tx1"/>
                        </w14:solidFill>
                      </w14:textFill>
                    </w:rPr>
                    <w:t>2</w:t>
                  </w:r>
                  <w:r>
                    <w:rPr>
                      <w:rFonts w:hint="eastAsia" w:eastAsia="宋体"/>
                      <w:color w:val="000000" w:themeColor="text1"/>
                      <w:kern w:val="0"/>
                      <w:szCs w:val="21"/>
                      <w:vertAlign w:val="baseline"/>
                      <w:lang w:val="en-US" w:eastAsia="zh-CN"/>
                      <w14:textFill>
                        <w14:solidFill>
                          <w14:schemeClr w14:val="tx1"/>
                        </w14:solidFill>
                      </w14:textFill>
                    </w:rPr>
                    <w:t>，</w:t>
                  </w:r>
                  <w:r>
                    <w:rPr>
                      <w:rFonts w:hint="eastAsia" w:eastAsia="宋体"/>
                      <w:color w:val="000000" w:themeColor="text1"/>
                      <w:szCs w:val="21"/>
                      <w14:textFill>
                        <w14:solidFill>
                          <w14:schemeClr w14:val="tx1"/>
                        </w14:solidFill>
                      </w14:textFill>
                    </w:rPr>
                    <w:t>设</w:t>
                  </w:r>
                  <w:r>
                    <w:rPr>
                      <w:rFonts w:eastAsia="宋体"/>
                      <w:color w:val="000000" w:themeColor="text1"/>
                      <w:kern w:val="0"/>
                      <w:szCs w:val="21"/>
                      <w14:textFill>
                        <w14:solidFill>
                          <w14:schemeClr w14:val="tx1"/>
                        </w14:solidFill>
                      </w14:textFill>
                    </w:rPr>
                    <w:t>三面围挡</w:t>
                  </w:r>
                  <w:r>
                    <w:rPr>
                      <w:rFonts w:hint="eastAsia" w:eastAsia="宋体"/>
                      <w:color w:val="000000" w:themeColor="text1"/>
                      <w:kern w:val="0"/>
                      <w:szCs w:val="21"/>
                      <w14:textFill>
                        <w14:solidFill>
                          <w14:schemeClr w14:val="tx1"/>
                        </w14:solidFill>
                      </w14:textFill>
                    </w:rPr>
                    <w:t>+</w:t>
                  </w:r>
                  <w:r>
                    <w:rPr>
                      <w:rFonts w:hint="eastAsia" w:eastAsia="宋体"/>
                      <w:color w:val="000000" w:themeColor="text1"/>
                      <w:kern w:val="0"/>
                      <w:szCs w:val="21"/>
                      <w:lang w:val="en-US" w:eastAsia="zh-CN"/>
                      <w14:textFill>
                        <w14:solidFill>
                          <w14:schemeClr w14:val="tx1"/>
                        </w14:solidFill>
                      </w14:textFill>
                    </w:rPr>
                    <w:t>石棉瓦</w:t>
                  </w:r>
                  <w:r>
                    <w:rPr>
                      <w:rFonts w:eastAsia="宋体"/>
                      <w:color w:val="000000" w:themeColor="text1"/>
                      <w:kern w:val="0"/>
                      <w:szCs w:val="21"/>
                      <w14:textFill>
                        <w14:solidFill>
                          <w14:schemeClr w14:val="tx1"/>
                        </w14:solidFill>
                      </w14:textFill>
                    </w:rPr>
                    <w:t>顶棚</w:t>
                  </w:r>
                  <w:r>
                    <w:rPr>
                      <w:rFonts w:hint="eastAsia" w:eastAsia="宋体"/>
                      <w:color w:val="000000" w:themeColor="text1"/>
                      <w:kern w:val="0"/>
                      <w:szCs w:val="21"/>
                      <w:lang w:eastAsia="zh-CN"/>
                      <w14:textFill>
                        <w14:solidFill>
                          <w14:schemeClr w14:val="tx1"/>
                        </w14:solidFill>
                      </w14:textFill>
                    </w:rPr>
                    <w:t>。</w:t>
                  </w:r>
                  <w:r>
                    <w:rPr>
                      <w:rFonts w:hint="eastAsia" w:eastAsia="宋体"/>
                      <w:color w:val="000000" w:themeColor="text1"/>
                      <w:kern w:val="0"/>
                      <w:szCs w:val="21"/>
                      <w:lang w:val="en-US" w:eastAsia="zh-CN"/>
                      <w14:textFill>
                        <w14:solidFill>
                          <w14:schemeClr w14:val="tx1"/>
                        </w14:solidFill>
                      </w14:textFill>
                    </w:rPr>
                    <w:t>2#位于项目区西南面，占地面积为2400m</w:t>
                  </w:r>
                  <w:r>
                    <w:rPr>
                      <w:rFonts w:hint="eastAsia" w:eastAsia="宋体"/>
                      <w:color w:val="000000" w:themeColor="text1"/>
                      <w:kern w:val="0"/>
                      <w:szCs w:val="21"/>
                      <w:vertAlign w:val="superscript"/>
                      <w:lang w:val="en-US" w:eastAsia="zh-CN"/>
                      <w14:textFill>
                        <w14:solidFill>
                          <w14:schemeClr w14:val="tx1"/>
                        </w14:solidFill>
                      </w14:textFill>
                    </w:rPr>
                    <w:t>2</w:t>
                  </w:r>
                  <w:r>
                    <w:rPr>
                      <w:rFonts w:hint="eastAsia" w:eastAsia="宋体"/>
                      <w:color w:val="000000" w:themeColor="text1"/>
                      <w:kern w:val="0"/>
                      <w:szCs w:val="21"/>
                      <w:vertAlign w:val="baseline"/>
                      <w:lang w:val="en-US" w:eastAsia="zh-CN"/>
                      <w14:textFill>
                        <w14:solidFill>
                          <w14:schemeClr w14:val="tx1"/>
                        </w14:solidFill>
                      </w14:textFill>
                    </w:rPr>
                    <w:t>，建设7个遮阳网大棚（有大棚薄膜覆盖）</w:t>
                  </w:r>
                  <w:r>
                    <w:rPr>
                      <w:rFonts w:hint="eastAsia" w:eastAsia="宋体"/>
                      <w:color w:val="000000" w:themeColor="text1"/>
                      <w:kern w:val="0"/>
                      <w:szCs w:val="21"/>
                      <w:highlight w:val="none"/>
                      <w:vertAlign w:val="baseline"/>
                      <w:lang w:val="en-US" w:eastAsia="zh-CN"/>
                      <w14:textFill>
                        <w14:solidFill>
                          <w14:schemeClr w14:val="tx1"/>
                        </w14:solidFill>
                      </w14:textFill>
                    </w:rPr>
                    <w:t>，总贮存能力为300万片青瓦。</w:t>
                  </w:r>
                </w:p>
              </w:tc>
            </w:tr>
            <w:tr w14:paraId="3D73D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376" w:type="pct"/>
                  <w:vMerge w:val="restart"/>
                  <w:noWrap w:val="0"/>
                  <w:vAlign w:val="center"/>
                </w:tcPr>
                <w:p w14:paraId="2DE5E415">
                  <w:pPr>
                    <w:jc w:val="center"/>
                    <w:rPr>
                      <w:rFonts w:eastAsia="宋体"/>
                      <w:snapToGrid w:val="0"/>
                      <w:color w:val="000000" w:themeColor="text1"/>
                      <w:kern w:val="0"/>
                      <w:szCs w:val="21"/>
                      <w14:textFill>
                        <w14:solidFill>
                          <w14:schemeClr w14:val="tx1"/>
                        </w14:solidFill>
                      </w14:textFill>
                    </w:rPr>
                  </w:pPr>
                  <w:r>
                    <w:rPr>
                      <w:rFonts w:hint="eastAsia" w:eastAsia="宋体"/>
                      <w:snapToGrid w:val="0"/>
                      <w:color w:val="000000" w:themeColor="text1"/>
                      <w:kern w:val="0"/>
                      <w:szCs w:val="21"/>
                      <w14:textFill>
                        <w14:solidFill>
                          <w14:schemeClr w14:val="tx1"/>
                        </w14:solidFill>
                      </w14:textFill>
                    </w:rPr>
                    <w:t>储运工程</w:t>
                  </w:r>
                </w:p>
              </w:tc>
              <w:tc>
                <w:tcPr>
                  <w:tcW w:w="1295" w:type="pct"/>
                  <w:gridSpan w:val="2"/>
                  <w:noWrap w:val="0"/>
                  <w:vAlign w:val="center"/>
                </w:tcPr>
                <w:p w14:paraId="3224091E">
                  <w:pPr>
                    <w:widowControl/>
                    <w:jc w:val="center"/>
                    <w:rPr>
                      <w:rFonts w:eastAsia="宋体"/>
                      <w:color w:val="000000" w:themeColor="text1"/>
                      <w:kern w:val="0"/>
                      <w:szCs w:val="21"/>
                      <w14:textFill>
                        <w14:solidFill>
                          <w14:schemeClr w14:val="tx1"/>
                        </w14:solidFill>
                      </w14:textFill>
                    </w:rPr>
                  </w:pPr>
                  <w:r>
                    <w:rPr>
                      <w:rFonts w:hint="eastAsia" w:eastAsia="宋体"/>
                      <w:color w:val="000000" w:themeColor="text1"/>
                      <w:kern w:val="0"/>
                      <w:szCs w:val="21"/>
                      <w:lang w:val="en-US" w:eastAsia="zh-CN"/>
                      <w14:textFill>
                        <w14:solidFill>
                          <w14:schemeClr w14:val="tx1"/>
                        </w14:solidFill>
                      </w14:textFill>
                    </w:rPr>
                    <w:t>原料贮存库</w:t>
                  </w:r>
                </w:p>
              </w:tc>
              <w:tc>
                <w:tcPr>
                  <w:tcW w:w="3327" w:type="pct"/>
                  <w:noWrap w:val="0"/>
                  <w:vAlign w:val="center"/>
                </w:tcPr>
                <w:p w14:paraId="095434A4">
                  <w:pPr>
                    <w:widowControl/>
                    <w:jc w:val="left"/>
                    <w:rPr>
                      <w:rFonts w:eastAsia="宋体"/>
                      <w:color w:val="000000" w:themeColor="text1"/>
                      <w:kern w:val="0"/>
                      <w:szCs w:val="21"/>
                      <w14:textFill>
                        <w14:solidFill>
                          <w14:schemeClr w14:val="tx1"/>
                        </w14:solidFill>
                      </w14:textFill>
                    </w:rPr>
                  </w:pPr>
                  <w:r>
                    <w:rPr>
                      <w:rFonts w:hint="eastAsia" w:eastAsia="宋体"/>
                      <w:color w:val="000000" w:themeColor="text1"/>
                      <w:kern w:val="0"/>
                      <w:szCs w:val="21"/>
                      <w:lang w:val="en-US" w:eastAsia="zh-CN"/>
                      <w14:textFill>
                        <w14:solidFill>
                          <w14:schemeClr w14:val="tx1"/>
                        </w14:solidFill>
                      </w14:textFill>
                    </w:rPr>
                    <w:t>1座，位于项目区东侧，占地面积为1200m</w:t>
                  </w:r>
                  <w:r>
                    <w:rPr>
                      <w:rFonts w:hint="eastAsia" w:eastAsia="宋体"/>
                      <w:color w:val="000000" w:themeColor="text1"/>
                      <w:kern w:val="0"/>
                      <w:szCs w:val="21"/>
                      <w:vertAlign w:val="superscript"/>
                      <w:lang w:val="en-US" w:eastAsia="zh-CN"/>
                      <w14:textFill>
                        <w14:solidFill>
                          <w14:schemeClr w14:val="tx1"/>
                        </w14:solidFill>
                      </w14:textFill>
                    </w:rPr>
                    <w:t>2</w:t>
                  </w:r>
                  <w:r>
                    <w:rPr>
                      <w:rFonts w:hint="eastAsia" w:eastAsia="宋体"/>
                      <w:color w:val="000000" w:themeColor="text1"/>
                      <w:kern w:val="0"/>
                      <w:szCs w:val="21"/>
                      <w:vertAlign w:val="baseline"/>
                      <w:lang w:val="en-US" w:eastAsia="zh-CN"/>
                      <w14:textFill>
                        <w14:solidFill>
                          <w14:schemeClr w14:val="tx1"/>
                        </w14:solidFill>
                      </w14:textFill>
                    </w:rPr>
                    <w:t>，顶棚设置有喷雾降尘设施，用于原料堆放。现有</w:t>
                  </w:r>
                  <w:r>
                    <w:rPr>
                      <w:rFonts w:hint="eastAsia" w:eastAsia="宋体"/>
                      <w:color w:val="000000" w:themeColor="text1"/>
                      <w:kern w:val="0"/>
                      <w:szCs w:val="21"/>
                      <w:lang w:val="en-US" w:eastAsia="zh-CN"/>
                      <w14:textFill>
                        <w14:solidFill>
                          <w14:schemeClr w14:val="tx1"/>
                        </w14:solidFill>
                      </w14:textFill>
                    </w:rPr>
                    <w:t>筛分机1台、磨粉机1台，配套设置有1台袋式收尘设施。贮存能力为2400m</w:t>
                  </w:r>
                  <w:r>
                    <w:rPr>
                      <w:rFonts w:hint="eastAsia" w:eastAsia="宋体"/>
                      <w:color w:val="000000" w:themeColor="text1"/>
                      <w:kern w:val="0"/>
                      <w:szCs w:val="21"/>
                      <w:vertAlign w:val="superscript"/>
                      <w:lang w:val="en-US" w:eastAsia="zh-CN"/>
                      <w14:textFill>
                        <w14:solidFill>
                          <w14:schemeClr w14:val="tx1"/>
                        </w14:solidFill>
                      </w14:textFill>
                    </w:rPr>
                    <w:t>3</w:t>
                  </w:r>
                  <w:r>
                    <w:rPr>
                      <w:rFonts w:hint="eastAsia" w:eastAsia="宋体"/>
                      <w:color w:val="000000" w:themeColor="text1"/>
                      <w:kern w:val="0"/>
                      <w:szCs w:val="21"/>
                      <w:vertAlign w:val="baseline"/>
                      <w:lang w:val="en-US" w:eastAsia="zh-CN"/>
                      <w14:textFill>
                        <w14:solidFill>
                          <w14:schemeClr w14:val="tx1"/>
                        </w14:solidFill>
                      </w14:textFill>
                    </w:rPr>
                    <w:t>。</w:t>
                  </w:r>
                </w:p>
              </w:tc>
            </w:tr>
            <w:tr w14:paraId="3263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376" w:type="pct"/>
                  <w:vMerge w:val="continue"/>
                  <w:noWrap w:val="0"/>
                  <w:vAlign w:val="center"/>
                </w:tcPr>
                <w:p w14:paraId="10FE6B43">
                  <w:pPr>
                    <w:jc w:val="center"/>
                    <w:rPr>
                      <w:rFonts w:eastAsia="宋体"/>
                      <w:snapToGrid w:val="0"/>
                      <w:color w:val="000000" w:themeColor="text1"/>
                      <w:kern w:val="0"/>
                      <w:szCs w:val="21"/>
                      <w14:textFill>
                        <w14:solidFill>
                          <w14:schemeClr w14:val="tx1"/>
                        </w14:solidFill>
                      </w14:textFill>
                    </w:rPr>
                  </w:pPr>
                </w:p>
              </w:tc>
              <w:tc>
                <w:tcPr>
                  <w:tcW w:w="1295" w:type="pct"/>
                  <w:gridSpan w:val="2"/>
                  <w:noWrap w:val="0"/>
                  <w:vAlign w:val="center"/>
                </w:tcPr>
                <w:p w14:paraId="6C746809">
                  <w:pPr>
                    <w:widowControl/>
                    <w:jc w:val="center"/>
                    <w:rPr>
                      <w:rFonts w:eastAsia="宋体"/>
                      <w:color w:val="000000" w:themeColor="text1"/>
                      <w:kern w:val="0"/>
                      <w:szCs w:val="21"/>
                      <w14:textFill>
                        <w14:solidFill>
                          <w14:schemeClr w14:val="tx1"/>
                        </w14:solidFill>
                      </w14:textFill>
                    </w:rPr>
                  </w:pPr>
                  <w:r>
                    <w:rPr>
                      <w:rFonts w:hint="eastAsia" w:eastAsia="宋体"/>
                      <w:color w:val="000000" w:themeColor="text1"/>
                      <w:kern w:val="0"/>
                      <w:szCs w:val="21"/>
                      <w:lang w:val="en-US" w:eastAsia="zh-CN"/>
                      <w14:textFill>
                        <w14:solidFill>
                          <w14:schemeClr w14:val="tx1"/>
                        </w14:solidFill>
                      </w14:textFill>
                    </w:rPr>
                    <w:t>成品堆存区</w:t>
                  </w:r>
                </w:p>
              </w:tc>
              <w:tc>
                <w:tcPr>
                  <w:tcW w:w="3327" w:type="pct"/>
                  <w:noWrap w:val="0"/>
                  <w:vAlign w:val="center"/>
                </w:tcPr>
                <w:p w14:paraId="6C73632A">
                  <w:pPr>
                    <w:widowControl/>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露天堆场</w:t>
                  </w:r>
                  <w:r>
                    <w:rPr>
                      <w:rFonts w:hint="eastAsia" w:eastAsia="宋体"/>
                      <w:color w:val="000000" w:themeColor="text1"/>
                      <w:kern w:val="0"/>
                      <w:szCs w:val="21"/>
                      <w14:textFill>
                        <w14:solidFill>
                          <w14:schemeClr w14:val="tx1"/>
                        </w14:solidFill>
                      </w14:textFill>
                    </w:rPr>
                    <w:t>，</w:t>
                  </w:r>
                  <w:r>
                    <w:rPr>
                      <w:rFonts w:hint="eastAsia" w:eastAsia="宋体"/>
                      <w:color w:val="000000" w:themeColor="text1"/>
                      <w:kern w:val="0"/>
                      <w:szCs w:val="21"/>
                      <w:lang w:val="en-US" w:eastAsia="zh-CN"/>
                      <w14:textFill>
                        <w14:solidFill>
                          <w14:schemeClr w14:val="tx1"/>
                        </w14:solidFill>
                      </w14:textFill>
                    </w:rPr>
                    <w:t>位于厂区北侧，占地面积为4500</w:t>
                  </w:r>
                  <w:r>
                    <w:rPr>
                      <w:rFonts w:hint="eastAsia" w:eastAsia="宋体"/>
                      <w:color w:val="000000" w:themeColor="text1"/>
                      <w:kern w:val="0"/>
                      <w:szCs w:val="21"/>
                      <w14:textFill>
                        <w14:solidFill>
                          <w14:schemeClr w14:val="tx1"/>
                        </w14:solidFill>
                      </w14:textFill>
                    </w:rPr>
                    <w:t>m</w:t>
                  </w:r>
                  <w:r>
                    <w:rPr>
                      <w:rFonts w:hint="eastAsia" w:eastAsia="宋体"/>
                      <w:color w:val="000000" w:themeColor="text1"/>
                      <w:kern w:val="0"/>
                      <w:szCs w:val="21"/>
                      <w:vertAlign w:val="superscript"/>
                      <w14:textFill>
                        <w14:solidFill>
                          <w14:schemeClr w14:val="tx1"/>
                        </w14:solidFill>
                      </w14:textFill>
                    </w:rPr>
                    <w:t>2</w:t>
                  </w:r>
                  <w:r>
                    <w:rPr>
                      <w:rFonts w:hint="eastAsia" w:eastAsia="宋体"/>
                      <w:color w:val="000000" w:themeColor="text1"/>
                      <w:kern w:val="0"/>
                      <w:szCs w:val="21"/>
                      <w14:textFill>
                        <w14:solidFill>
                          <w14:schemeClr w14:val="tx1"/>
                        </w14:solidFill>
                      </w14:textFill>
                    </w:rPr>
                    <w:t>，用于</w:t>
                  </w:r>
                  <w:r>
                    <w:rPr>
                      <w:rFonts w:hint="eastAsia" w:eastAsia="宋体"/>
                      <w:color w:val="000000" w:themeColor="text1"/>
                      <w:kern w:val="0"/>
                      <w:szCs w:val="21"/>
                      <w:lang w:val="en-US" w:eastAsia="zh-CN"/>
                      <w14:textFill>
                        <w14:solidFill>
                          <w14:schemeClr w14:val="tx1"/>
                        </w14:solidFill>
                      </w14:textFill>
                    </w:rPr>
                    <w:t>堆存成品青瓦，贮存能力为500万片青瓦。</w:t>
                  </w:r>
                </w:p>
              </w:tc>
            </w:tr>
            <w:tr w14:paraId="4633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376" w:type="pct"/>
                  <w:noWrap w:val="0"/>
                  <w:vAlign w:val="center"/>
                </w:tcPr>
                <w:p w14:paraId="3DFF2731">
                  <w:pPr>
                    <w:jc w:val="center"/>
                    <w:rPr>
                      <w:rFonts w:eastAsia="宋体"/>
                      <w:snapToGrid w:val="0"/>
                      <w:color w:val="000000" w:themeColor="text1"/>
                      <w:kern w:val="0"/>
                      <w:szCs w:val="21"/>
                      <w14:textFill>
                        <w14:solidFill>
                          <w14:schemeClr w14:val="tx1"/>
                        </w14:solidFill>
                      </w14:textFill>
                    </w:rPr>
                  </w:pPr>
                  <w:r>
                    <w:rPr>
                      <w:rFonts w:eastAsia="宋体"/>
                      <w:snapToGrid w:val="0"/>
                      <w:color w:val="000000" w:themeColor="text1"/>
                      <w:kern w:val="0"/>
                      <w:szCs w:val="21"/>
                      <w14:textFill>
                        <w14:solidFill>
                          <w14:schemeClr w14:val="tx1"/>
                        </w14:solidFill>
                      </w14:textFill>
                    </w:rPr>
                    <w:t>辅助工程</w:t>
                  </w:r>
                </w:p>
              </w:tc>
              <w:tc>
                <w:tcPr>
                  <w:tcW w:w="1295" w:type="pct"/>
                  <w:gridSpan w:val="2"/>
                  <w:noWrap w:val="0"/>
                  <w:vAlign w:val="center"/>
                </w:tcPr>
                <w:p w14:paraId="27D09C59">
                  <w:pPr>
                    <w:jc w:val="center"/>
                    <w:rPr>
                      <w:rFonts w:eastAsia="宋体"/>
                      <w:snapToGrid w:val="0"/>
                      <w:color w:val="000000" w:themeColor="text1"/>
                      <w:kern w:val="0"/>
                      <w:szCs w:val="21"/>
                      <w14:textFill>
                        <w14:solidFill>
                          <w14:schemeClr w14:val="tx1"/>
                        </w14:solidFill>
                      </w14:textFill>
                    </w:rPr>
                  </w:pPr>
                  <w:r>
                    <w:rPr>
                      <w:rFonts w:hint="eastAsia" w:eastAsia="宋体"/>
                      <w:snapToGrid w:val="0"/>
                      <w:color w:val="000000" w:themeColor="text1"/>
                      <w:kern w:val="0"/>
                      <w:szCs w:val="21"/>
                      <w:lang w:val="en-US" w:eastAsia="zh-CN"/>
                      <w14:textFill>
                        <w14:solidFill>
                          <w14:schemeClr w14:val="tx1"/>
                        </w14:solidFill>
                      </w14:textFill>
                    </w:rPr>
                    <w:t>生活办公区</w:t>
                  </w:r>
                </w:p>
              </w:tc>
              <w:tc>
                <w:tcPr>
                  <w:tcW w:w="3327" w:type="pct"/>
                  <w:noWrap w:val="0"/>
                  <w:vAlign w:val="center"/>
                </w:tcPr>
                <w:p w14:paraId="08C7BF66">
                  <w:pPr>
                    <w:widowControl/>
                    <w:jc w:val="left"/>
                    <w:rPr>
                      <w:rFonts w:eastAsia="宋体"/>
                      <w:snapToGrid w:val="0"/>
                      <w:color w:val="000000" w:themeColor="text1"/>
                      <w:kern w:val="0"/>
                      <w:szCs w:val="21"/>
                      <w14:textFill>
                        <w14:solidFill>
                          <w14:schemeClr w14:val="tx1"/>
                        </w14:solidFill>
                      </w14:textFill>
                    </w:rPr>
                  </w:pPr>
                  <w:r>
                    <w:rPr>
                      <w:rFonts w:hint="eastAsia" w:eastAsia="宋体"/>
                      <w:color w:val="000000" w:themeColor="text1"/>
                      <w:szCs w:val="21"/>
                      <w:lang w:val="en-US" w:eastAsia="zh-CN"/>
                      <w14:textFill>
                        <w14:solidFill>
                          <w14:schemeClr w14:val="tx1"/>
                        </w14:solidFill>
                      </w14:textFill>
                    </w:rPr>
                    <w:t>位于生产区南侧，总占地面积为960m</w:t>
                  </w:r>
                  <w:r>
                    <w:rPr>
                      <w:rFonts w:hint="eastAsia" w:eastAsia="宋体"/>
                      <w:color w:val="000000" w:themeColor="text1"/>
                      <w:szCs w:val="21"/>
                      <w:vertAlign w:val="superscript"/>
                      <w:lang w:val="en-US" w:eastAsia="zh-CN"/>
                      <w14:textFill>
                        <w14:solidFill>
                          <w14:schemeClr w14:val="tx1"/>
                        </w14:solidFill>
                      </w14:textFill>
                    </w:rPr>
                    <w:t>2</w:t>
                  </w:r>
                  <w:r>
                    <w:rPr>
                      <w:rFonts w:hint="eastAsia" w:eastAsia="宋体"/>
                      <w:color w:val="000000" w:themeColor="text1"/>
                      <w:szCs w:val="21"/>
                      <w:vertAlign w:val="baseline"/>
                      <w:lang w:val="en-US" w:eastAsia="zh-CN"/>
                      <w14:textFill>
                        <w14:solidFill>
                          <w14:schemeClr w14:val="tx1"/>
                        </w14:solidFill>
                      </w14:textFill>
                    </w:rPr>
                    <w:t>，2层建筑</w:t>
                  </w:r>
                  <w:r>
                    <w:rPr>
                      <w:rFonts w:hint="eastAsia" w:eastAsia="宋体"/>
                      <w:color w:val="000000" w:themeColor="text1"/>
                      <w:szCs w:val="21"/>
                      <w14:textFill>
                        <w14:solidFill>
                          <w14:schemeClr w14:val="tx1"/>
                        </w14:solidFill>
                      </w14:textFill>
                    </w:rPr>
                    <w:t>。</w:t>
                  </w:r>
                </w:p>
              </w:tc>
            </w:tr>
            <w:tr w14:paraId="527F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376" w:type="pct"/>
                  <w:vMerge w:val="restart"/>
                  <w:noWrap w:val="0"/>
                  <w:vAlign w:val="center"/>
                </w:tcPr>
                <w:p w14:paraId="6DA90A41">
                  <w:pPr>
                    <w:jc w:val="center"/>
                    <w:rPr>
                      <w:rFonts w:eastAsia="宋体"/>
                      <w:snapToGrid w:val="0"/>
                      <w:color w:val="000000" w:themeColor="text1"/>
                      <w:kern w:val="0"/>
                      <w:szCs w:val="21"/>
                      <w14:textFill>
                        <w14:solidFill>
                          <w14:schemeClr w14:val="tx1"/>
                        </w14:solidFill>
                      </w14:textFill>
                    </w:rPr>
                  </w:pPr>
                  <w:r>
                    <w:rPr>
                      <w:rFonts w:eastAsia="宋体"/>
                      <w:snapToGrid w:val="0"/>
                      <w:color w:val="000000" w:themeColor="text1"/>
                      <w:kern w:val="0"/>
                      <w:szCs w:val="21"/>
                      <w14:textFill>
                        <w14:solidFill>
                          <w14:schemeClr w14:val="tx1"/>
                        </w14:solidFill>
                      </w14:textFill>
                    </w:rPr>
                    <w:t>公用工程</w:t>
                  </w:r>
                </w:p>
              </w:tc>
              <w:tc>
                <w:tcPr>
                  <w:tcW w:w="1295" w:type="pct"/>
                  <w:gridSpan w:val="2"/>
                  <w:noWrap w:val="0"/>
                  <w:vAlign w:val="center"/>
                </w:tcPr>
                <w:p w14:paraId="7BDD0B44">
                  <w:pPr>
                    <w:bidi w:val="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供电</w:t>
                  </w:r>
                </w:p>
              </w:tc>
              <w:tc>
                <w:tcPr>
                  <w:tcW w:w="3327" w:type="pct"/>
                  <w:noWrap w:val="0"/>
                  <w:vAlign w:val="center"/>
                </w:tcPr>
                <w:p w14:paraId="6715B0A9">
                  <w:pPr>
                    <w:bidi w:val="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由阿岗镇市政供电线路供给</w:t>
                  </w:r>
                </w:p>
              </w:tc>
            </w:tr>
            <w:tr w14:paraId="24C3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376" w:type="pct"/>
                  <w:vMerge w:val="continue"/>
                  <w:noWrap w:val="0"/>
                  <w:vAlign w:val="center"/>
                </w:tcPr>
                <w:p w14:paraId="069D98C5">
                  <w:pPr>
                    <w:jc w:val="center"/>
                    <w:rPr>
                      <w:rFonts w:eastAsia="宋体"/>
                      <w:snapToGrid w:val="0"/>
                      <w:color w:val="000000" w:themeColor="text1"/>
                      <w:kern w:val="0"/>
                      <w:szCs w:val="21"/>
                      <w14:textFill>
                        <w14:solidFill>
                          <w14:schemeClr w14:val="tx1"/>
                        </w14:solidFill>
                      </w14:textFill>
                    </w:rPr>
                  </w:pPr>
                </w:p>
              </w:tc>
              <w:tc>
                <w:tcPr>
                  <w:tcW w:w="1295" w:type="pct"/>
                  <w:gridSpan w:val="2"/>
                  <w:noWrap w:val="0"/>
                  <w:vAlign w:val="center"/>
                </w:tcPr>
                <w:p w14:paraId="71523F18">
                  <w:pPr>
                    <w:bidi w:val="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供水</w:t>
                  </w:r>
                </w:p>
              </w:tc>
              <w:tc>
                <w:tcPr>
                  <w:tcW w:w="3327" w:type="pct"/>
                  <w:noWrap w:val="0"/>
                  <w:vAlign w:val="center"/>
                </w:tcPr>
                <w:p w14:paraId="3A339CC9">
                  <w:pPr>
                    <w:bidi w:val="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由阿岗镇市政供水管网供给</w:t>
                  </w:r>
                </w:p>
              </w:tc>
            </w:tr>
            <w:tr w14:paraId="24178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376" w:type="pct"/>
                  <w:vMerge w:val="continue"/>
                  <w:noWrap w:val="0"/>
                  <w:vAlign w:val="center"/>
                </w:tcPr>
                <w:p w14:paraId="0D718032">
                  <w:pPr>
                    <w:jc w:val="center"/>
                    <w:rPr>
                      <w:rFonts w:eastAsia="宋体"/>
                      <w:snapToGrid w:val="0"/>
                      <w:color w:val="000000" w:themeColor="text1"/>
                      <w:kern w:val="0"/>
                      <w:szCs w:val="21"/>
                      <w14:textFill>
                        <w14:solidFill>
                          <w14:schemeClr w14:val="tx1"/>
                        </w14:solidFill>
                      </w14:textFill>
                    </w:rPr>
                  </w:pPr>
                </w:p>
              </w:tc>
              <w:tc>
                <w:tcPr>
                  <w:tcW w:w="1295" w:type="pct"/>
                  <w:gridSpan w:val="2"/>
                  <w:noWrap w:val="0"/>
                  <w:vAlign w:val="center"/>
                </w:tcPr>
                <w:p w14:paraId="0D103068">
                  <w:pPr>
                    <w:bidi w:val="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排水</w:t>
                  </w:r>
                </w:p>
              </w:tc>
              <w:tc>
                <w:tcPr>
                  <w:tcW w:w="3327" w:type="pct"/>
                  <w:noWrap w:val="0"/>
                  <w:vAlign w:val="center"/>
                </w:tcPr>
                <w:p w14:paraId="13161B54">
                  <w:pPr>
                    <w:bidi w:val="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现有项目建设有雨污分流排水系统，初期雨水设置有1个容积为20m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lang w:val="en-US" w:eastAsia="zh-CN"/>
                      <w14:textFill>
                        <w14:solidFill>
                          <w14:schemeClr w14:val="tx1"/>
                        </w14:solidFill>
                      </w14:textFill>
                    </w:rPr>
                    <w:t>的初期雨水收集池收集沉淀后回用于厂区洒水降尘，项目无生产废水</w:t>
                  </w:r>
                  <w:r>
                    <w:rPr>
                      <w:rFonts w:hint="eastAsia" w:ascii="Times New Roman" w:hAnsi="Times New Roman" w:eastAsia="宋体" w:cs="Times New Roman"/>
                      <w:color w:val="000000" w:themeColor="text1"/>
                      <w:lang w:val="en-US" w:eastAsia="zh-CN"/>
                      <w14:textFill>
                        <w14:solidFill>
                          <w14:schemeClr w14:val="tx1"/>
                        </w14:solidFill>
                      </w14:textFill>
                    </w:rPr>
                    <w:t>外排</w:t>
                  </w:r>
                  <w:r>
                    <w:rPr>
                      <w:rFonts w:hint="default" w:ascii="Times New Roman" w:hAnsi="Times New Roman" w:eastAsia="宋体" w:cs="Times New Roman"/>
                      <w:color w:val="000000" w:themeColor="text1"/>
                      <w:lang w:val="en-US" w:eastAsia="zh-CN"/>
                      <w14:textFill>
                        <w14:solidFill>
                          <w14:schemeClr w14:val="tx1"/>
                        </w14:solidFill>
                      </w14:textFill>
                    </w:rPr>
                    <w:t>，生活区生活污水设置1个容积为10m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lang w:val="en-US" w:eastAsia="zh-CN"/>
                      <w14:textFill>
                        <w14:solidFill>
                          <w14:schemeClr w14:val="tx1"/>
                        </w14:solidFill>
                      </w14:textFill>
                    </w:rPr>
                    <w:t>的化粪池处理后定期清掏用作农肥。</w:t>
                  </w:r>
                </w:p>
              </w:tc>
            </w:tr>
            <w:tr w14:paraId="4EC0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376" w:type="pct"/>
                  <w:vMerge w:val="restart"/>
                  <w:noWrap w:val="0"/>
                  <w:vAlign w:val="center"/>
                </w:tcPr>
                <w:p w14:paraId="570AF106">
                  <w:pPr>
                    <w:jc w:val="center"/>
                    <w:rPr>
                      <w:rFonts w:eastAsia="宋体"/>
                      <w:snapToGrid w:val="0"/>
                      <w:color w:val="000000" w:themeColor="text1"/>
                      <w:kern w:val="0"/>
                      <w:szCs w:val="21"/>
                      <w14:textFill>
                        <w14:solidFill>
                          <w14:schemeClr w14:val="tx1"/>
                        </w14:solidFill>
                      </w14:textFill>
                    </w:rPr>
                  </w:pPr>
                  <w:r>
                    <w:rPr>
                      <w:rFonts w:eastAsia="宋体"/>
                      <w:snapToGrid w:val="0"/>
                      <w:color w:val="000000" w:themeColor="text1"/>
                      <w:kern w:val="0"/>
                      <w:szCs w:val="21"/>
                      <w14:textFill>
                        <w14:solidFill>
                          <w14:schemeClr w14:val="tx1"/>
                        </w14:solidFill>
                      </w14:textFill>
                    </w:rPr>
                    <w:t>环保工程</w:t>
                  </w:r>
                </w:p>
              </w:tc>
              <w:tc>
                <w:tcPr>
                  <w:tcW w:w="387" w:type="pct"/>
                  <w:vMerge w:val="restart"/>
                  <w:noWrap w:val="0"/>
                  <w:vAlign w:val="center"/>
                </w:tcPr>
                <w:p w14:paraId="4DB5E5CD">
                  <w:pPr>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废气</w:t>
                  </w:r>
                </w:p>
              </w:tc>
              <w:tc>
                <w:tcPr>
                  <w:tcW w:w="908" w:type="pct"/>
                  <w:noWrap w:val="0"/>
                  <w:vAlign w:val="center"/>
                </w:tcPr>
                <w:p w14:paraId="20F62B0D">
                  <w:pPr>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堆场粉尘</w:t>
                  </w:r>
                </w:p>
              </w:tc>
              <w:tc>
                <w:tcPr>
                  <w:tcW w:w="3327" w:type="pct"/>
                  <w:noWrap w:val="0"/>
                  <w:vAlign w:val="center"/>
                </w:tcPr>
                <w:p w14:paraId="7F1BCAA9">
                  <w:pPr>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原料贮存库库顶设置有1套喷雾除尘装置。</w:t>
                  </w:r>
                </w:p>
              </w:tc>
            </w:tr>
            <w:tr w14:paraId="46936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376" w:type="pct"/>
                  <w:vMerge w:val="continue"/>
                  <w:noWrap w:val="0"/>
                  <w:vAlign w:val="center"/>
                </w:tcPr>
                <w:p w14:paraId="60194096">
                  <w:pPr>
                    <w:jc w:val="center"/>
                    <w:rPr>
                      <w:rFonts w:eastAsia="宋体"/>
                      <w:snapToGrid w:val="0"/>
                      <w:color w:val="000000" w:themeColor="text1"/>
                      <w:kern w:val="0"/>
                      <w:szCs w:val="21"/>
                      <w14:textFill>
                        <w14:solidFill>
                          <w14:schemeClr w14:val="tx1"/>
                        </w14:solidFill>
                      </w14:textFill>
                    </w:rPr>
                  </w:pPr>
                </w:p>
              </w:tc>
              <w:tc>
                <w:tcPr>
                  <w:tcW w:w="387" w:type="pct"/>
                  <w:vMerge w:val="continue"/>
                  <w:noWrap w:val="0"/>
                  <w:vAlign w:val="center"/>
                </w:tcPr>
                <w:p w14:paraId="6A6E7B8B">
                  <w:pPr>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p>
              </w:tc>
              <w:tc>
                <w:tcPr>
                  <w:tcW w:w="908" w:type="pct"/>
                  <w:noWrap w:val="0"/>
                  <w:vAlign w:val="center"/>
                </w:tcPr>
                <w:p w14:paraId="009FFF75">
                  <w:pPr>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筛分、粉磨废气</w:t>
                  </w:r>
                </w:p>
              </w:tc>
              <w:tc>
                <w:tcPr>
                  <w:tcW w:w="3327" w:type="pct"/>
                  <w:noWrap w:val="0"/>
                  <w:vAlign w:val="center"/>
                </w:tcPr>
                <w:p w14:paraId="4E822DE2">
                  <w:pPr>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筛分机设置集气罩收集，粉磨废气通过管道收集后</w:t>
                  </w:r>
                  <w:r>
                    <w:rPr>
                      <w:rFonts w:hint="eastAsia" w:ascii="Times New Roman" w:hAnsi="Times New Roman" w:eastAsia="宋体" w:cs="Times New Roman"/>
                      <w:color w:val="000000" w:themeColor="text1"/>
                      <w:lang w:val="en-US" w:eastAsia="zh-CN"/>
                      <w14:textFill>
                        <w14:solidFill>
                          <w14:schemeClr w14:val="tx1"/>
                        </w14:solidFill>
                      </w14:textFill>
                    </w:rPr>
                    <w:t>，统一</w:t>
                  </w:r>
                  <w:r>
                    <w:rPr>
                      <w:rFonts w:hint="default" w:ascii="Times New Roman" w:hAnsi="Times New Roman" w:eastAsia="宋体" w:cs="Times New Roman"/>
                      <w:color w:val="000000" w:themeColor="text1"/>
                      <w:lang w:val="en-US" w:eastAsia="zh-CN"/>
                      <w14:textFill>
                        <w14:solidFill>
                          <w14:schemeClr w14:val="tx1"/>
                        </w14:solidFill>
                      </w14:textFill>
                    </w:rPr>
                    <w:t>进入1套袋式收尘器处理后无组织排放。</w:t>
                  </w:r>
                </w:p>
              </w:tc>
            </w:tr>
            <w:tr w14:paraId="0AA0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376" w:type="pct"/>
                  <w:vMerge w:val="continue"/>
                  <w:noWrap w:val="0"/>
                  <w:vAlign w:val="center"/>
                </w:tcPr>
                <w:p w14:paraId="28A4275B">
                  <w:pPr>
                    <w:jc w:val="center"/>
                    <w:rPr>
                      <w:rFonts w:eastAsia="宋体"/>
                      <w:snapToGrid w:val="0"/>
                      <w:color w:val="000000" w:themeColor="text1"/>
                      <w:kern w:val="0"/>
                      <w:szCs w:val="21"/>
                      <w14:textFill>
                        <w14:solidFill>
                          <w14:schemeClr w14:val="tx1"/>
                        </w14:solidFill>
                      </w14:textFill>
                    </w:rPr>
                  </w:pPr>
                </w:p>
              </w:tc>
              <w:tc>
                <w:tcPr>
                  <w:tcW w:w="387" w:type="pct"/>
                  <w:vMerge w:val="continue"/>
                  <w:noWrap w:val="0"/>
                  <w:vAlign w:val="center"/>
                </w:tcPr>
                <w:p w14:paraId="75DCFF0B">
                  <w:pPr>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p>
              </w:tc>
              <w:tc>
                <w:tcPr>
                  <w:tcW w:w="908" w:type="pct"/>
                  <w:noWrap w:val="0"/>
                  <w:vAlign w:val="center"/>
                </w:tcPr>
                <w:p w14:paraId="28C373B0">
                  <w:pPr>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炉窑烟气</w:t>
                  </w:r>
                </w:p>
              </w:tc>
              <w:tc>
                <w:tcPr>
                  <w:tcW w:w="3327" w:type="pct"/>
                  <w:noWrap w:val="0"/>
                  <w:vAlign w:val="center"/>
                </w:tcPr>
                <w:p w14:paraId="77D4EC9E">
                  <w:pPr>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由DN800</w:t>
                  </w:r>
                  <w:r>
                    <w:rPr>
                      <w:rFonts w:hint="default" w:ascii="Times New Roman" w:hAnsi="Times New Roman" w:eastAsia="宋体" w:cs="Times New Roman"/>
                      <w:color w:val="000000" w:themeColor="text1"/>
                      <w:lang w:val="en-US" w:eastAsia="zh-CN"/>
                      <w14:textFill>
                        <w14:solidFill>
                          <w14:schemeClr w14:val="tx1"/>
                        </w14:solidFill>
                      </w14:textFill>
                    </w:rPr>
                    <w:t>管道收集后经1套脱硫塔（</w:t>
                  </w:r>
                  <w:r>
                    <w:rPr>
                      <w:rFonts w:hint="eastAsia" w:cs="Times New Roman"/>
                      <w:color w:val="000000" w:themeColor="text1"/>
                      <w:lang w:val="en-US" w:eastAsia="zh-CN"/>
                      <w14:textFill>
                        <w14:solidFill>
                          <w14:schemeClr w14:val="tx1"/>
                        </w14:solidFill>
                      </w14:textFill>
                    </w:rPr>
                    <w:t>钠碱法</w:t>
                  </w:r>
                  <w:r>
                    <w:rPr>
                      <w:rFonts w:hint="default" w:ascii="Times New Roman" w:hAnsi="Times New Roman" w:eastAsia="宋体" w:cs="Times New Roman"/>
                      <w:color w:val="000000" w:themeColor="text1"/>
                      <w:lang w:val="en-US" w:eastAsia="zh-CN"/>
                      <w14:textFill>
                        <w14:solidFill>
                          <w14:schemeClr w14:val="tx1"/>
                        </w14:solidFill>
                      </w14:textFill>
                    </w:rPr>
                    <w:t>）处理后由1根15m高的排气筒排放。</w:t>
                  </w:r>
                </w:p>
              </w:tc>
            </w:tr>
            <w:tr w14:paraId="6815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376" w:type="pct"/>
                  <w:vMerge w:val="continue"/>
                  <w:noWrap w:val="0"/>
                  <w:vAlign w:val="center"/>
                </w:tcPr>
                <w:p w14:paraId="077C5B7B">
                  <w:pPr>
                    <w:jc w:val="center"/>
                    <w:rPr>
                      <w:rFonts w:eastAsia="宋体"/>
                      <w:snapToGrid w:val="0"/>
                      <w:color w:val="000000" w:themeColor="text1"/>
                      <w:kern w:val="0"/>
                      <w:szCs w:val="21"/>
                      <w14:textFill>
                        <w14:solidFill>
                          <w14:schemeClr w14:val="tx1"/>
                        </w14:solidFill>
                      </w14:textFill>
                    </w:rPr>
                  </w:pPr>
                </w:p>
              </w:tc>
              <w:tc>
                <w:tcPr>
                  <w:tcW w:w="387" w:type="pct"/>
                  <w:vMerge w:val="restart"/>
                  <w:noWrap w:val="0"/>
                  <w:vAlign w:val="center"/>
                </w:tcPr>
                <w:p w14:paraId="2F80C03F">
                  <w:pPr>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废水</w:t>
                  </w:r>
                </w:p>
              </w:tc>
              <w:tc>
                <w:tcPr>
                  <w:tcW w:w="908" w:type="pct"/>
                  <w:noWrap w:val="0"/>
                  <w:vAlign w:val="center"/>
                </w:tcPr>
                <w:p w14:paraId="39BDCB9E">
                  <w:pPr>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生活污水</w:t>
                  </w:r>
                </w:p>
              </w:tc>
              <w:tc>
                <w:tcPr>
                  <w:tcW w:w="3327" w:type="pct"/>
                  <w:noWrap w:val="0"/>
                  <w:vAlign w:val="center"/>
                </w:tcPr>
                <w:p w14:paraId="36F3280B">
                  <w:pPr>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设置1</w:t>
                  </w:r>
                  <w:r>
                    <w:rPr>
                      <w:rFonts w:hint="eastAsia" w:ascii="Times New Roman" w:hAnsi="Times New Roman" w:eastAsia="宋体" w:cs="Times New Roman"/>
                      <w:color w:val="000000" w:themeColor="text1"/>
                      <w:lang w:val="en-US" w:eastAsia="zh-CN"/>
                      <w14:textFill>
                        <w14:solidFill>
                          <w14:schemeClr w14:val="tx1"/>
                        </w14:solidFill>
                      </w14:textFill>
                    </w:rPr>
                    <w:t>个</w:t>
                  </w:r>
                  <w:r>
                    <w:rPr>
                      <w:rFonts w:hint="default" w:ascii="Times New Roman" w:hAnsi="Times New Roman" w:eastAsia="宋体" w:cs="Times New Roman"/>
                      <w:color w:val="000000" w:themeColor="text1"/>
                      <w:lang w:val="en-US" w:eastAsia="zh-CN"/>
                      <w14:textFill>
                        <w14:solidFill>
                          <w14:schemeClr w14:val="tx1"/>
                        </w14:solidFill>
                      </w14:textFill>
                    </w:rPr>
                    <w:t>容积为10m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lang w:val="en-US" w:eastAsia="zh-CN"/>
                      <w14:textFill>
                        <w14:solidFill>
                          <w14:schemeClr w14:val="tx1"/>
                        </w14:solidFill>
                      </w14:textFill>
                    </w:rPr>
                    <w:t>的化粪池处理后定期清掏用作农肥。</w:t>
                  </w:r>
                </w:p>
              </w:tc>
            </w:tr>
            <w:tr w14:paraId="5A28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376" w:type="pct"/>
                  <w:vMerge w:val="continue"/>
                  <w:noWrap w:val="0"/>
                  <w:vAlign w:val="center"/>
                </w:tcPr>
                <w:p w14:paraId="540D66CF">
                  <w:pPr>
                    <w:jc w:val="center"/>
                    <w:rPr>
                      <w:rFonts w:eastAsia="宋体"/>
                      <w:snapToGrid w:val="0"/>
                      <w:color w:val="000000" w:themeColor="text1"/>
                      <w:kern w:val="0"/>
                      <w:szCs w:val="21"/>
                      <w14:textFill>
                        <w14:solidFill>
                          <w14:schemeClr w14:val="tx1"/>
                        </w14:solidFill>
                      </w14:textFill>
                    </w:rPr>
                  </w:pPr>
                </w:p>
              </w:tc>
              <w:tc>
                <w:tcPr>
                  <w:tcW w:w="387" w:type="pct"/>
                  <w:vMerge w:val="continue"/>
                  <w:noWrap w:val="0"/>
                  <w:vAlign w:val="center"/>
                </w:tcPr>
                <w:p w14:paraId="21D3B1C1">
                  <w:pPr>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p>
              </w:tc>
              <w:tc>
                <w:tcPr>
                  <w:tcW w:w="908" w:type="pct"/>
                  <w:noWrap w:val="0"/>
                  <w:vAlign w:val="center"/>
                </w:tcPr>
                <w:p w14:paraId="0330AFF0">
                  <w:pPr>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脱硫塔废水</w:t>
                  </w:r>
                </w:p>
              </w:tc>
              <w:tc>
                <w:tcPr>
                  <w:tcW w:w="3327" w:type="pct"/>
                  <w:noWrap w:val="0"/>
                  <w:vAlign w:val="center"/>
                </w:tcPr>
                <w:p w14:paraId="270D676F">
                  <w:pPr>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设置1个容积为80m</w:t>
                  </w:r>
                  <w:r>
                    <w:rPr>
                      <w:rFonts w:hint="eastAsia" w:cs="Times New Roman"/>
                      <w:color w:val="000000" w:themeColor="text1"/>
                      <w:vertAlign w:val="superscript"/>
                      <w:lang w:val="en-US" w:eastAsia="zh-CN"/>
                      <w14:textFill>
                        <w14:solidFill>
                          <w14:schemeClr w14:val="tx1"/>
                        </w14:solidFill>
                      </w14:textFill>
                    </w:rPr>
                    <w:t>3</w:t>
                  </w:r>
                  <w:r>
                    <w:rPr>
                      <w:rFonts w:hint="eastAsia" w:cs="Times New Roman"/>
                      <w:color w:val="000000" w:themeColor="text1"/>
                      <w:vertAlign w:val="baseline"/>
                      <w:lang w:val="en-US" w:eastAsia="zh-CN"/>
                      <w14:textFill>
                        <w14:solidFill>
                          <w14:schemeClr w14:val="tx1"/>
                        </w14:solidFill>
                      </w14:textFill>
                    </w:rPr>
                    <w:t>的循环沉淀池</w:t>
                  </w:r>
                  <w:r>
                    <w:rPr>
                      <w:rFonts w:hint="eastAsia" w:cs="Times New Roman"/>
                      <w:color w:val="000000" w:themeColor="text1"/>
                      <w:lang w:val="en-US" w:eastAsia="zh-CN"/>
                      <w14:textFill>
                        <w14:solidFill>
                          <w14:schemeClr w14:val="tx1"/>
                        </w14:solidFill>
                      </w14:textFill>
                    </w:rPr>
                    <w:t>，产生的脱硫废水经沉淀后全部回用于搅拌用水，不外排。</w:t>
                  </w:r>
                </w:p>
              </w:tc>
            </w:tr>
            <w:tr w14:paraId="2A98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376" w:type="pct"/>
                  <w:vMerge w:val="continue"/>
                  <w:noWrap w:val="0"/>
                  <w:vAlign w:val="center"/>
                </w:tcPr>
                <w:p w14:paraId="714C238E">
                  <w:pPr>
                    <w:jc w:val="center"/>
                    <w:rPr>
                      <w:rFonts w:eastAsia="宋体"/>
                      <w:snapToGrid w:val="0"/>
                      <w:color w:val="000000" w:themeColor="text1"/>
                      <w:kern w:val="0"/>
                      <w:szCs w:val="21"/>
                      <w14:textFill>
                        <w14:solidFill>
                          <w14:schemeClr w14:val="tx1"/>
                        </w14:solidFill>
                      </w14:textFill>
                    </w:rPr>
                  </w:pPr>
                </w:p>
              </w:tc>
              <w:tc>
                <w:tcPr>
                  <w:tcW w:w="387" w:type="pct"/>
                  <w:vMerge w:val="continue"/>
                  <w:noWrap w:val="0"/>
                  <w:vAlign w:val="center"/>
                </w:tcPr>
                <w:p w14:paraId="526FF30C">
                  <w:pPr>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p>
              </w:tc>
              <w:tc>
                <w:tcPr>
                  <w:tcW w:w="908" w:type="pct"/>
                  <w:noWrap w:val="0"/>
                  <w:vAlign w:val="center"/>
                </w:tcPr>
                <w:p w14:paraId="088300C0">
                  <w:pPr>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初期雨水收集池</w:t>
                  </w:r>
                </w:p>
              </w:tc>
              <w:tc>
                <w:tcPr>
                  <w:tcW w:w="3327" w:type="pct"/>
                  <w:noWrap w:val="0"/>
                  <w:vAlign w:val="center"/>
                </w:tcPr>
                <w:p w14:paraId="6A65FA36">
                  <w:pPr>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设置有1</w:t>
                  </w:r>
                  <w:r>
                    <w:rPr>
                      <w:rFonts w:hint="eastAsia" w:ascii="Times New Roman" w:hAnsi="Times New Roman" w:eastAsia="宋体" w:cs="Times New Roman"/>
                      <w:color w:val="000000" w:themeColor="text1"/>
                      <w:lang w:val="en-US" w:eastAsia="zh-CN"/>
                      <w14:textFill>
                        <w14:solidFill>
                          <w14:schemeClr w14:val="tx1"/>
                        </w14:solidFill>
                      </w14:textFill>
                    </w:rPr>
                    <w:t>个</w:t>
                  </w:r>
                  <w:r>
                    <w:rPr>
                      <w:rFonts w:hint="default" w:ascii="Times New Roman" w:hAnsi="Times New Roman" w:eastAsia="宋体" w:cs="Times New Roman"/>
                      <w:color w:val="000000" w:themeColor="text1"/>
                      <w:lang w:val="en-US" w:eastAsia="zh-CN"/>
                      <w14:textFill>
                        <w14:solidFill>
                          <w14:schemeClr w14:val="tx1"/>
                        </w14:solidFill>
                      </w14:textFill>
                    </w:rPr>
                    <w:t>容积为20m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lang w:val="en-US" w:eastAsia="zh-CN"/>
                      <w14:textFill>
                        <w14:solidFill>
                          <w14:schemeClr w14:val="tx1"/>
                        </w14:solidFill>
                      </w14:textFill>
                    </w:rPr>
                    <w:t>的初期雨水收集池收集沉淀后回用于厂区洒水降尘</w:t>
                  </w:r>
                  <w:r>
                    <w:rPr>
                      <w:rFonts w:hint="eastAsia" w:ascii="Times New Roman" w:hAnsi="Times New Roman" w:eastAsia="宋体" w:cs="Times New Roman"/>
                      <w:color w:val="000000" w:themeColor="text1"/>
                      <w:lang w:val="en-US" w:eastAsia="zh-CN"/>
                      <w14:textFill>
                        <w14:solidFill>
                          <w14:schemeClr w14:val="tx1"/>
                        </w14:solidFill>
                      </w14:textFill>
                    </w:rPr>
                    <w:t>。</w:t>
                  </w:r>
                </w:p>
              </w:tc>
            </w:tr>
            <w:tr w14:paraId="27AC7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376" w:type="pct"/>
                  <w:vMerge w:val="continue"/>
                  <w:noWrap w:val="0"/>
                  <w:vAlign w:val="center"/>
                </w:tcPr>
                <w:p w14:paraId="6572BCE3">
                  <w:pPr>
                    <w:jc w:val="center"/>
                    <w:rPr>
                      <w:rFonts w:eastAsia="宋体"/>
                      <w:snapToGrid w:val="0"/>
                      <w:color w:val="000000" w:themeColor="text1"/>
                      <w:kern w:val="0"/>
                      <w:szCs w:val="21"/>
                      <w14:textFill>
                        <w14:solidFill>
                          <w14:schemeClr w14:val="tx1"/>
                        </w14:solidFill>
                      </w14:textFill>
                    </w:rPr>
                  </w:pPr>
                </w:p>
              </w:tc>
              <w:tc>
                <w:tcPr>
                  <w:tcW w:w="387" w:type="pct"/>
                  <w:noWrap w:val="0"/>
                  <w:vAlign w:val="center"/>
                </w:tcPr>
                <w:p w14:paraId="5451A203">
                  <w:pPr>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噪声</w:t>
                  </w:r>
                </w:p>
              </w:tc>
              <w:tc>
                <w:tcPr>
                  <w:tcW w:w="908" w:type="pct"/>
                  <w:noWrap w:val="0"/>
                  <w:vAlign w:val="center"/>
                </w:tcPr>
                <w:p w14:paraId="19A18BB2">
                  <w:pPr>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设备噪声</w:t>
                  </w:r>
                </w:p>
              </w:tc>
              <w:tc>
                <w:tcPr>
                  <w:tcW w:w="3327" w:type="pct"/>
                  <w:noWrap w:val="0"/>
                  <w:vAlign w:val="center"/>
                </w:tcPr>
                <w:p w14:paraId="32F09894">
                  <w:pPr>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基础减振、厂房隔声</w:t>
                  </w:r>
                </w:p>
              </w:tc>
            </w:tr>
            <w:tr w14:paraId="1E17A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blHeader/>
                <w:jc w:val="center"/>
              </w:trPr>
              <w:tc>
                <w:tcPr>
                  <w:tcW w:w="376" w:type="pct"/>
                  <w:vMerge w:val="continue"/>
                  <w:noWrap w:val="0"/>
                  <w:vAlign w:val="center"/>
                </w:tcPr>
                <w:p w14:paraId="099121D9">
                  <w:pPr>
                    <w:jc w:val="center"/>
                    <w:rPr>
                      <w:rFonts w:eastAsia="宋体"/>
                      <w:snapToGrid w:val="0"/>
                      <w:color w:val="000000" w:themeColor="text1"/>
                      <w:kern w:val="0"/>
                      <w:szCs w:val="21"/>
                      <w14:textFill>
                        <w14:solidFill>
                          <w14:schemeClr w14:val="tx1"/>
                        </w14:solidFill>
                      </w14:textFill>
                    </w:rPr>
                  </w:pPr>
                </w:p>
              </w:tc>
              <w:tc>
                <w:tcPr>
                  <w:tcW w:w="387" w:type="pct"/>
                  <w:vMerge w:val="restart"/>
                  <w:noWrap w:val="0"/>
                  <w:vAlign w:val="center"/>
                </w:tcPr>
                <w:p w14:paraId="1CCC6BE0">
                  <w:pPr>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一般固废</w:t>
                  </w:r>
                </w:p>
              </w:tc>
              <w:tc>
                <w:tcPr>
                  <w:tcW w:w="908" w:type="pct"/>
                  <w:noWrap w:val="0"/>
                  <w:vAlign w:val="center"/>
                </w:tcPr>
                <w:p w14:paraId="6613F8F3">
                  <w:pPr>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不合格产品、边角料、收尘灰、炉渣</w:t>
                  </w:r>
                </w:p>
              </w:tc>
              <w:tc>
                <w:tcPr>
                  <w:tcW w:w="3327" w:type="pct"/>
                  <w:noWrap w:val="0"/>
                  <w:vAlign w:val="center"/>
                </w:tcPr>
                <w:p w14:paraId="254E327B">
                  <w:pPr>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作为原料回用于生产</w:t>
                  </w:r>
                </w:p>
              </w:tc>
            </w:tr>
            <w:tr w14:paraId="23C5D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blHeader/>
                <w:jc w:val="center"/>
              </w:trPr>
              <w:tc>
                <w:tcPr>
                  <w:tcW w:w="376" w:type="pct"/>
                  <w:vMerge w:val="continue"/>
                  <w:noWrap w:val="0"/>
                  <w:vAlign w:val="center"/>
                </w:tcPr>
                <w:p w14:paraId="04E76A85">
                  <w:pPr>
                    <w:bidi w:val="0"/>
                    <w:rPr>
                      <w:color w:val="000000" w:themeColor="text1"/>
                      <w14:textFill>
                        <w14:solidFill>
                          <w14:schemeClr w14:val="tx1"/>
                        </w14:solidFill>
                      </w14:textFill>
                    </w:rPr>
                  </w:pPr>
                </w:p>
              </w:tc>
              <w:tc>
                <w:tcPr>
                  <w:tcW w:w="387" w:type="pct"/>
                  <w:vMerge w:val="continue"/>
                  <w:noWrap w:val="0"/>
                  <w:vAlign w:val="center"/>
                </w:tcPr>
                <w:p w14:paraId="7A921E4B">
                  <w:pPr>
                    <w:bidi w:val="0"/>
                    <w:rPr>
                      <w:color w:val="000000" w:themeColor="text1"/>
                      <w14:textFill>
                        <w14:solidFill>
                          <w14:schemeClr w14:val="tx1"/>
                        </w14:solidFill>
                      </w14:textFill>
                    </w:rPr>
                  </w:pPr>
                </w:p>
              </w:tc>
              <w:tc>
                <w:tcPr>
                  <w:tcW w:w="908" w:type="pct"/>
                  <w:noWrap w:val="0"/>
                  <w:vAlign w:val="center"/>
                </w:tcPr>
                <w:p w14:paraId="3887726B">
                  <w:pPr>
                    <w:bidi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脱硫沉渣</w:t>
                  </w:r>
                </w:p>
              </w:tc>
              <w:tc>
                <w:tcPr>
                  <w:tcW w:w="3327" w:type="pct"/>
                  <w:noWrap w:val="0"/>
                  <w:vAlign w:val="center"/>
                </w:tcPr>
                <w:p w14:paraId="5B1DA100">
                  <w:pPr>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作为原料回用于生产</w:t>
                  </w:r>
                </w:p>
              </w:tc>
            </w:tr>
            <w:tr w14:paraId="0734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376" w:type="pct"/>
                  <w:vMerge w:val="continue"/>
                  <w:noWrap w:val="0"/>
                  <w:vAlign w:val="center"/>
                </w:tcPr>
                <w:p w14:paraId="12F60A7D">
                  <w:pPr>
                    <w:jc w:val="center"/>
                    <w:rPr>
                      <w:rFonts w:eastAsia="宋体"/>
                      <w:snapToGrid w:val="0"/>
                      <w:color w:val="000000" w:themeColor="text1"/>
                      <w:kern w:val="0"/>
                      <w:szCs w:val="21"/>
                      <w14:textFill>
                        <w14:solidFill>
                          <w14:schemeClr w14:val="tx1"/>
                        </w14:solidFill>
                      </w14:textFill>
                    </w:rPr>
                  </w:pPr>
                </w:p>
              </w:tc>
              <w:tc>
                <w:tcPr>
                  <w:tcW w:w="387" w:type="pct"/>
                  <w:vMerge w:val="continue"/>
                  <w:noWrap w:val="0"/>
                  <w:vAlign w:val="center"/>
                </w:tcPr>
                <w:p w14:paraId="79CF6F25">
                  <w:pPr>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p>
              </w:tc>
              <w:tc>
                <w:tcPr>
                  <w:tcW w:w="908" w:type="pct"/>
                  <w:noWrap w:val="0"/>
                  <w:vAlign w:val="center"/>
                </w:tcPr>
                <w:p w14:paraId="178F478A">
                  <w:pPr>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生活垃圾</w:t>
                  </w:r>
                </w:p>
              </w:tc>
              <w:tc>
                <w:tcPr>
                  <w:tcW w:w="3327" w:type="pct"/>
                  <w:noWrap w:val="0"/>
                  <w:vAlign w:val="center"/>
                </w:tcPr>
                <w:p w14:paraId="7AD3604D">
                  <w:pPr>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设置有1个生活垃圾箱收集，委托环卫部门定期清运。</w:t>
                  </w:r>
                </w:p>
              </w:tc>
            </w:tr>
            <w:tr w14:paraId="4B76A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376" w:type="pct"/>
                  <w:vMerge w:val="continue"/>
                  <w:noWrap w:val="0"/>
                  <w:vAlign w:val="center"/>
                </w:tcPr>
                <w:p w14:paraId="0136E45F">
                  <w:pPr>
                    <w:jc w:val="center"/>
                    <w:rPr>
                      <w:rFonts w:eastAsia="宋体"/>
                      <w:snapToGrid w:val="0"/>
                      <w:color w:val="000000" w:themeColor="text1"/>
                      <w:kern w:val="0"/>
                      <w:szCs w:val="21"/>
                      <w14:textFill>
                        <w14:solidFill>
                          <w14:schemeClr w14:val="tx1"/>
                        </w14:solidFill>
                      </w14:textFill>
                    </w:rPr>
                  </w:pPr>
                </w:p>
              </w:tc>
              <w:tc>
                <w:tcPr>
                  <w:tcW w:w="387" w:type="pct"/>
                  <w:noWrap w:val="0"/>
                  <w:vAlign w:val="center"/>
                </w:tcPr>
                <w:p w14:paraId="0617A2F4">
                  <w:pPr>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危险固废</w:t>
                  </w:r>
                </w:p>
              </w:tc>
              <w:tc>
                <w:tcPr>
                  <w:tcW w:w="908" w:type="pct"/>
                  <w:noWrap w:val="0"/>
                  <w:vAlign w:val="center"/>
                </w:tcPr>
                <w:p w14:paraId="21A15315">
                  <w:pPr>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废机油、废润滑油</w:t>
                  </w:r>
                </w:p>
              </w:tc>
              <w:tc>
                <w:tcPr>
                  <w:tcW w:w="3327" w:type="pct"/>
                  <w:noWrap w:val="0"/>
                  <w:vAlign w:val="center"/>
                </w:tcPr>
                <w:p w14:paraId="5A2F374C">
                  <w:pPr>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由维修人员更换后直接带走，不在项目区贮存。</w:t>
                  </w:r>
                </w:p>
              </w:tc>
            </w:tr>
          </w:tbl>
          <w:p w14:paraId="36B854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燃料变化情况：</w:t>
            </w:r>
          </w:p>
          <w:p w14:paraId="6B88A230">
            <w:pPr>
              <w:keepNext w:val="0"/>
              <w:keepLines w:val="0"/>
              <w:pageBreakBefore w:val="0"/>
              <w:widowControl w:val="0"/>
              <w:kinsoku/>
              <w:wordWrap/>
              <w:overflowPunct/>
              <w:topLinePunct w:val="0"/>
              <w:autoSpaceDE/>
              <w:autoSpaceDN/>
              <w:bidi w:val="0"/>
              <w:adjustRightInd w:val="0"/>
              <w:snapToGrid w:val="0"/>
              <w:spacing w:line="276" w:lineRule="auto"/>
              <w:ind w:firstLine="0" w:firstLineChars="0"/>
              <w:jc w:val="center"/>
              <w:textAlignment w:val="auto"/>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b/>
                <w:color w:val="000000" w:themeColor="text1"/>
                <w:sz w:val="24"/>
                <w:szCs w:val="24"/>
                <w14:textFill>
                  <w14:solidFill>
                    <w14:schemeClr w14:val="tx1"/>
                  </w14:solidFill>
                </w14:textFill>
              </w:rPr>
              <w:t>表2-</w:t>
            </w:r>
            <w:r>
              <w:rPr>
                <w:rFonts w:hint="eastAsia"/>
                <w:b/>
                <w:color w:val="000000" w:themeColor="text1"/>
                <w:sz w:val="24"/>
                <w:szCs w:val="24"/>
                <w:lang w:val="en-US" w:eastAsia="zh-CN"/>
                <w14:textFill>
                  <w14:solidFill>
                    <w14:schemeClr w14:val="tx1"/>
                  </w14:solidFill>
                </w14:textFill>
              </w:rPr>
              <w:t>18</w:t>
            </w:r>
            <w:r>
              <w:rPr>
                <w:rFonts w:hint="eastAsia"/>
                <w:b/>
                <w:color w:val="000000" w:themeColor="text1"/>
                <w:sz w:val="24"/>
                <w:szCs w:val="24"/>
                <w14:textFill>
                  <w14:solidFill>
                    <w14:schemeClr w14:val="tx1"/>
                  </w14:solidFill>
                </w14:textFill>
              </w:rPr>
              <w:t xml:space="preserve">  </w:t>
            </w:r>
            <w:r>
              <w:rPr>
                <w:rFonts w:hint="eastAsia"/>
                <w:b/>
                <w:color w:val="000000" w:themeColor="text1"/>
                <w:sz w:val="24"/>
                <w:szCs w:val="24"/>
                <w:lang w:val="en-US" w:eastAsia="zh-CN"/>
                <w14:textFill>
                  <w14:solidFill>
                    <w14:schemeClr w14:val="tx1"/>
                  </w14:solidFill>
                </w14:textFill>
              </w:rPr>
              <w:t>现有项目燃料变化情况</w:t>
            </w:r>
          </w:p>
          <w:tbl>
            <w:tblPr>
              <w:tblStyle w:val="29"/>
              <w:tblW w:w="85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2"/>
              <w:gridCol w:w="1919"/>
              <w:gridCol w:w="2191"/>
              <w:gridCol w:w="2191"/>
            </w:tblGrid>
            <w:tr w14:paraId="49C3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1" w:type="dxa"/>
                  <w:gridSpan w:val="2"/>
                  <w:vMerge w:val="restart"/>
                  <w:noWrap w:val="0"/>
                  <w:vAlign w:val="center"/>
                </w:tcPr>
                <w:p w14:paraId="125D68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t>时间</w:t>
                  </w:r>
                </w:p>
              </w:tc>
              <w:tc>
                <w:tcPr>
                  <w:tcW w:w="4382" w:type="dxa"/>
                  <w:gridSpan w:val="2"/>
                  <w:noWrap w:val="0"/>
                  <w:vAlign w:val="center"/>
                </w:tcPr>
                <w:p w14:paraId="506A27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t>燃料</w:t>
                  </w:r>
                </w:p>
              </w:tc>
            </w:tr>
            <w:tr w14:paraId="343A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1" w:type="dxa"/>
                  <w:gridSpan w:val="2"/>
                  <w:vMerge w:val="continue"/>
                  <w:noWrap w:val="0"/>
                  <w:vAlign w:val="center"/>
                </w:tcPr>
                <w:p w14:paraId="342ABF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p>
              </w:tc>
              <w:tc>
                <w:tcPr>
                  <w:tcW w:w="2191" w:type="dxa"/>
                  <w:noWrap w:val="0"/>
                  <w:vAlign w:val="center"/>
                </w:tcPr>
                <w:p w14:paraId="276A73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t>燃料</w:t>
                  </w:r>
                </w:p>
              </w:tc>
              <w:tc>
                <w:tcPr>
                  <w:tcW w:w="2191" w:type="dxa"/>
                  <w:noWrap w:val="0"/>
                  <w:vAlign w:val="center"/>
                </w:tcPr>
                <w:p w14:paraId="3AD1D3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t>用量（t/a）</w:t>
                  </w:r>
                </w:p>
              </w:tc>
            </w:tr>
            <w:tr w14:paraId="3411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noWrap w:val="0"/>
                  <w:vAlign w:val="center"/>
                </w:tcPr>
                <w:p w14:paraId="08CA58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t>2018年10月25日</w:t>
                  </w:r>
                </w:p>
              </w:tc>
              <w:tc>
                <w:tcPr>
                  <w:tcW w:w="1919" w:type="dxa"/>
                  <w:noWrap w:val="0"/>
                  <w:vAlign w:val="center"/>
                </w:tcPr>
                <w:p w14:paraId="1FEDA3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t>原环评批复</w:t>
                  </w:r>
                </w:p>
              </w:tc>
              <w:tc>
                <w:tcPr>
                  <w:tcW w:w="2191" w:type="dxa"/>
                  <w:noWrap w:val="0"/>
                  <w:vAlign w:val="center"/>
                </w:tcPr>
                <w:p w14:paraId="7E83BA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t>煤</w:t>
                  </w:r>
                </w:p>
              </w:tc>
              <w:tc>
                <w:tcPr>
                  <w:tcW w:w="2191" w:type="dxa"/>
                  <w:noWrap w:val="0"/>
                  <w:vAlign w:val="center"/>
                </w:tcPr>
                <w:p w14:paraId="271274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t>6028</w:t>
                  </w:r>
                </w:p>
              </w:tc>
            </w:tr>
            <w:tr w14:paraId="6E0B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noWrap w:val="0"/>
                  <w:vAlign w:val="center"/>
                </w:tcPr>
                <w:p w14:paraId="07D98D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t>2022年8月23日</w:t>
                  </w:r>
                </w:p>
              </w:tc>
              <w:tc>
                <w:tcPr>
                  <w:tcW w:w="1919" w:type="dxa"/>
                  <w:noWrap w:val="0"/>
                  <w:vAlign w:val="center"/>
                </w:tcPr>
                <w:p w14:paraId="55C2BA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t>原项目验收</w:t>
                  </w:r>
                </w:p>
              </w:tc>
              <w:tc>
                <w:tcPr>
                  <w:tcW w:w="2191" w:type="dxa"/>
                  <w:noWrap w:val="0"/>
                  <w:vAlign w:val="center"/>
                </w:tcPr>
                <w:p w14:paraId="391AFC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t>煤</w:t>
                  </w:r>
                </w:p>
              </w:tc>
              <w:tc>
                <w:tcPr>
                  <w:tcW w:w="2191" w:type="dxa"/>
                  <w:noWrap w:val="0"/>
                  <w:vAlign w:val="center"/>
                </w:tcPr>
                <w:p w14:paraId="4EE4A3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t>2500</w:t>
                  </w:r>
                </w:p>
              </w:tc>
            </w:tr>
            <w:tr w14:paraId="6DF0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2" w:type="dxa"/>
                  <w:noWrap w:val="0"/>
                  <w:vAlign w:val="center"/>
                </w:tcPr>
                <w:p w14:paraId="2A6DF9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t>2023年11月27日</w:t>
                  </w:r>
                </w:p>
              </w:tc>
              <w:tc>
                <w:tcPr>
                  <w:tcW w:w="1919" w:type="dxa"/>
                  <w:noWrap w:val="0"/>
                  <w:vAlign w:val="center"/>
                </w:tcPr>
                <w:p w14:paraId="1CA8CB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t>排污许可变更</w:t>
                  </w:r>
                </w:p>
              </w:tc>
              <w:tc>
                <w:tcPr>
                  <w:tcW w:w="2191" w:type="dxa"/>
                  <w:noWrap w:val="0"/>
                  <w:vAlign w:val="center"/>
                </w:tcPr>
                <w:p w14:paraId="38307D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t>生物质</w:t>
                  </w:r>
                </w:p>
              </w:tc>
              <w:tc>
                <w:tcPr>
                  <w:tcW w:w="2191" w:type="dxa"/>
                  <w:noWrap w:val="0"/>
                  <w:vAlign w:val="center"/>
                </w:tcPr>
                <w:p w14:paraId="129FBB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vertAlign w:val="baseline"/>
                      <w:lang w:val="en-US" w:eastAsia="zh-CN"/>
                      <w14:textFill>
                        <w14:solidFill>
                          <w14:schemeClr w14:val="tx1"/>
                        </w14:solidFill>
                      </w14:textFill>
                    </w:rPr>
                    <w:t>2500</w:t>
                  </w:r>
                </w:p>
              </w:tc>
            </w:tr>
          </w:tbl>
          <w:p w14:paraId="7BD38B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b/>
                <w:color w:val="000000" w:themeColor="text1"/>
                <w:sz w:val="24"/>
                <w:szCs w:val="24"/>
                <w14:textFill>
                  <w14:solidFill>
                    <w14:schemeClr w14:val="tx1"/>
                  </w14:solidFill>
                </w14:textFill>
              </w:rPr>
              <w:t>现有工程履行的环评及竣工验收情况</w:t>
            </w:r>
          </w:p>
          <w:p w14:paraId="758222D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000000" w:themeColor="text1"/>
                <w:sz w:val="24"/>
                <w:szCs w:val="24"/>
                <w14:textFill>
                  <w14:solidFill>
                    <w14:schemeClr w14:val="tx1"/>
                  </w14:solidFill>
                </w14:textFill>
              </w:rPr>
            </w:pPr>
            <w:r>
              <w:rPr>
                <w:rFonts w:hint="default" w:ascii="Times New Roman" w:hAnsi="Times New Roman" w:eastAsia="宋体" w:cs="Times New Roman"/>
                <w:bCs/>
                <w:color w:val="000000" w:themeColor="text1"/>
                <w:sz w:val="24"/>
                <w:szCs w:val="24"/>
                <w14:textFill>
                  <w14:solidFill>
                    <w14:schemeClr w14:val="tx1"/>
                  </w14:solidFill>
                </w14:textFill>
              </w:rPr>
              <w:t>2018年7月8日委托临沧尚德环境技术有限公司编制完成《罗平县阿岗镇岗德云龙砖瓦厂年产3000万块砖1000万匹瓦改建项目环境影响报告表》（报批稿）。并于2018年10月25日取得《罗平县环境保护局关于罗平县阿岗镇岗德云龙砖瓦厂年产3000万块砖1000万匹瓦技改项目环境影响报告表的批复》（罗环审〔2018〕24号）。</w:t>
            </w:r>
          </w:p>
          <w:p w14:paraId="479311C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000000" w:themeColor="text1"/>
                <w:sz w:val="24"/>
                <w:szCs w:val="24"/>
                <w14:textFill>
                  <w14:solidFill>
                    <w14:schemeClr w14:val="tx1"/>
                  </w14:solidFill>
                </w14:textFill>
              </w:rPr>
            </w:pPr>
            <w:r>
              <w:rPr>
                <w:rFonts w:hint="eastAsia"/>
                <w:color w:val="000000" w:themeColor="text1"/>
                <w:sz w:val="24"/>
                <w:lang w:val="en-US" w:eastAsia="zh-CN"/>
                <w14:textFill>
                  <w14:solidFill>
                    <w14:schemeClr w14:val="tx1"/>
                  </w14:solidFill>
                </w14:textFill>
              </w:rPr>
              <w:t>2022年8月23日委托绿晟环保科技有限公司编制完成《罗平县慧联青瓦厂年产1000万匹瓦技改项目竣工环境保护验收监测报告表》，并通过自主验收。</w:t>
            </w:r>
          </w:p>
          <w:p w14:paraId="2A1E7A53">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b/>
                <w:color w:val="000000" w:themeColor="text1"/>
                <w:sz w:val="24"/>
                <w14:textFill>
                  <w14:solidFill>
                    <w14:schemeClr w14:val="tx1"/>
                  </w14:solidFill>
                </w14:textFill>
              </w:rPr>
            </w:pPr>
            <w:r>
              <w:rPr>
                <w:rFonts w:hint="eastAsia"/>
                <w:b/>
                <w:color w:val="000000" w:themeColor="text1"/>
                <w:sz w:val="24"/>
                <w:lang w:val="en-US" w:eastAsia="zh-CN"/>
                <w14:textFill>
                  <w14:solidFill>
                    <w14:schemeClr w14:val="tx1"/>
                  </w14:solidFill>
                </w14:textFill>
              </w:rPr>
              <w:t>3、</w:t>
            </w:r>
            <w:r>
              <w:rPr>
                <w:b/>
                <w:color w:val="000000" w:themeColor="text1"/>
                <w:sz w:val="24"/>
                <w14:textFill>
                  <w14:solidFill>
                    <w14:schemeClr w14:val="tx1"/>
                  </w14:solidFill>
                </w14:textFill>
              </w:rPr>
              <w:t>排污许可手续办理情况</w:t>
            </w:r>
          </w:p>
          <w:p w14:paraId="62A474B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bCs/>
                <w:color w:val="000000" w:themeColor="text1"/>
                <w:sz w:val="24"/>
                <w:lang w:val="en-US"/>
                <w14:textFill>
                  <w14:solidFill>
                    <w14:schemeClr w14:val="tx1"/>
                  </w14:solidFill>
                </w14:textFill>
              </w:rPr>
            </w:pPr>
            <w:r>
              <w:rPr>
                <w:rFonts w:hint="eastAsia"/>
                <w:bCs/>
                <w:color w:val="000000" w:themeColor="text1"/>
                <w:sz w:val="24"/>
                <w14:textFill>
                  <w14:solidFill>
                    <w14:schemeClr w14:val="tx1"/>
                  </w14:solidFill>
                </w14:textFill>
              </w:rPr>
              <w:t>罗平县慧联青瓦厂于</w:t>
            </w:r>
            <w:r>
              <w:rPr>
                <w:rFonts w:hint="eastAsia"/>
                <w:color w:val="000000" w:themeColor="text1"/>
                <w:sz w:val="24"/>
                <w:lang w:val="en-US" w:eastAsia="zh-CN"/>
                <w14:textFill>
                  <w14:solidFill>
                    <w14:schemeClr w14:val="tx1"/>
                  </w14:solidFill>
                </w14:textFill>
              </w:rPr>
              <w:t>2021年9月22日首次申请排污许可证，2023年11月27日重新申请并取得曲靖市生态环境局下发的《排污许可证》（证书编号：92530324MA6L9GF64K001V），排污许可证未许可污染物排放量。</w:t>
            </w:r>
          </w:p>
          <w:p w14:paraId="66BBA4DA">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4、项目排污许可证执行情况</w:t>
            </w:r>
          </w:p>
          <w:p w14:paraId="037B41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现有项目排污许可证为简化管理，</w:t>
            </w:r>
            <w:r>
              <w:rPr>
                <w:rFonts w:hint="eastAsia" w:cs="Times New Roman"/>
                <w:b w:val="0"/>
                <w:bCs w:val="0"/>
                <w:color w:val="000000" w:themeColor="text1"/>
                <w:sz w:val="24"/>
                <w:szCs w:val="24"/>
                <w:highlight w:val="none"/>
                <w:lang w:val="en-US" w:eastAsia="zh-CN"/>
                <w14:textFill>
                  <w14:solidFill>
                    <w14:schemeClr w14:val="tx1"/>
                  </w14:solidFill>
                </w14:textFill>
              </w:rPr>
              <w:t>企业</w:t>
            </w:r>
            <w:r>
              <w:rPr>
                <w:rFonts w:hint="default" w:ascii="Times New Roman" w:hAnsi="Times New Roman" w:eastAsia="宋体" w:cs="Times New Roman"/>
                <w:color w:val="000000" w:themeColor="text1"/>
                <w:sz w:val="24"/>
                <w:szCs w:val="24"/>
                <w:highlight w:val="none"/>
                <w14:textFill>
                  <w14:solidFill>
                    <w14:schemeClr w14:val="tx1"/>
                  </w14:solidFill>
                </w14:textFill>
              </w:rPr>
              <w:t>按相关规定填报排污许可季度和年度执行报告</w:t>
            </w:r>
            <w:r>
              <w:rPr>
                <w:rFonts w:hint="eastAsia"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通过全国排污许可证管理信息平台查看情况，项目排污许可执行情况如下所示：</w:t>
            </w:r>
          </w:p>
          <w:p w14:paraId="5B4F117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（1）自行监测执行情况</w:t>
            </w:r>
          </w:p>
          <w:p w14:paraId="1AEB3382">
            <w:pPr>
              <w:keepNext w:val="0"/>
              <w:keepLines w:val="0"/>
              <w:pageBreakBefore w:val="0"/>
              <w:widowControl w:val="0"/>
              <w:kinsoku/>
              <w:wordWrap/>
              <w:overflowPunct/>
              <w:topLinePunct w:val="0"/>
              <w:autoSpaceDE/>
              <w:autoSpaceDN/>
              <w:bidi w:val="0"/>
              <w:adjustRightInd/>
              <w:snapToGrid/>
              <w:spacing w:line="276" w:lineRule="auto"/>
              <w:ind w:firstLine="0" w:firstLineChars="0"/>
              <w:jc w:val="center"/>
              <w:textAlignment w:val="auto"/>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表2-1</w:t>
            </w:r>
            <w:r>
              <w:rPr>
                <w:rFonts w:hint="eastAsia" w:cs="Times New Roman"/>
                <w:b/>
                <w:bCs/>
                <w:color w:val="000000" w:themeColor="text1"/>
                <w:sz w:val="24"/>
                <w:szCs w:val="24"/>
                <w:lang w:val="en-US" w:eastAsia="zh-CN"/>
                <w14:textFill>
                  <w14:solidFill>
                    <w14:schemeClr w14:val="tx1"/>
                  </w14:solidFill>
                </w14:textFill>
              </w:rPr>
              <w:t>9</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 xml:space="preserve">  自行监测执行情况</w:t>
            </w:r>
          </w:p>
          <w:tbl>
            <w:tblPr>
              <w:tblStyle w:val="28"/>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162"/>
              <w:gridCol w:w="1148"/>
              <w:gridCol w:w="1569"/>
              <w:gridCol w:w="1009"/>
              <w:gridCol w:w="1257"/>
              <w:gridCol w:w="1638"/>
            </w:tblGrid>
            <w:tr w14:paraId="3A8E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5898" w:type="dxa"/>
                  <w:gridSpan w:val="6"/>
                  <w:noWrap w:val="0"/>
                  <w:vAlign w:val="center"/>
                </w:tcPr>
                <w:p w14:paraId="2E94AAE6">
                  <w:pPr>
                    <w:shd w:val="clear" w:color="auto" w:fill="auto"/>
                    <w:snapToGrid w:val="0"/>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排污许可情况</w:t>
                  </w:r>
                </w:p>
              </w:tc>
              <w:tc>
                <w:tcPr>
                  <w:tcW w:w="1406" w:type="dxa"/>
                  <w:vMerge w:val="restart"/>
                  <w:noWrap w:val="0"/>
                  <w:vAlign w:val="center"/>
                </w:tcPr>
                <w:p w14:paraId="3981AEC3">
                  <w:pPr>
                    <w:shd w:val="clear" w:color="auto" w:fill="auto"/>
                    <w:snapToGrid w:val="0"/>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执行情况</w:t>
                  </w:r>
                </w:p>
              </w:tc>
            </w:tr>
            <w:tr w14:paraId="12EE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619" w:type="dxa"/>
                  <w:noWrap w:val="0"/>
                  <w:vAlign w:val="center"/>
                </w:tcPr>
                <w:p w14:paraId="5D6E469F">
                  <w:pPr>
                    <w:shd w:val="clear" w:color="auto" w:fill="auto"/>
                    <w:snapToGrid w:val="0"/>
                    <w:jc w:val="cente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监测类别</w:t>
                  </w:r>
                </w:p>
              </w:tc>
              <w:tc>
                <w:tcPr>
                  <w:tcW w:w="998" w:type="dxa"/>
                  <w:noWrap w:val="0"/>
                  <w:vAlign w:val="center"/>
                </w:tcPr>
                <w:p w14:paraId="72F151C1">
                  <w:pPr>
                    <w:shd w:val="clear" w:color="auto" w:fill="auto"/>
                    <w:snapToGrid w:val="0"/>
                    <w:jc w:val="cente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排放口编号</w:t>
                  </w:r>
                </w:p>
              </w:tc>
              <w:tc>
                <w:tcPr>
                  <w:tcW w:w="986" w:type="dxa"/>
                  <w:noWrap w:val="0"/>
                  <w:vAlign w:val="center"/>
                </w:tcPr>
                <w:p w14:paraId="523EC5D1">
                  <w:pPr>
                    <w:shd w:val="clear" w:color="auto" w:fill="auto"/>
                    <w:snapToGrid w:val="0"/>
                    <w:jc w:val="cente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排放口名称</w:t>
                  </w:r>
                </w:p>
              </w:tc>
              <w:tc>
                <w:tcPr>
                  <w:tcW w:w="1348" w:type="dxa"/>
                  <w:noWrap w:val="0"/>
                  <w:vAlign w:val="center"/>
                </w:tcPr>
                <w:p w14:paraId="4B1B0C95">
                  <w:pPr>
                    <w:shd w:val="clear" w:color="auto" w:fill="auto"/>
                    <w:snapToGrid w:val="0"/>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污染物</w:t>
                  </w:r>
                </w:p>
              </w:tc>
              <w:tc>
                <w:tcPr>
                  <w:tcW w:w="867" w:type="dxa"/>
                  <w:noWrap w:val="0"/>
                  <w:vAlign w:val="center"/>
                </w:tcPr>
                <w:p w14:paraId="77E42941">
                  <w:pPr>
                    <w:shd w:val="clear" w:color="auto" w:fill="auto"/>
                    <w:snapToGrid w:val="0"/>
                    <w:jc w:val="center"/>
                    <w:rPr>
                      <w:rFonts w:hint="default" w:ascii="Times New Roman" w:hAnsi="Times New Roman" w:eastAsia="宋体" w:cs="Times New Roman"/>
                      <w:b/>
                      <w:bCs/>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bidi="ar-SA"/>
                      <w14:textFill>
                        <w14:solidFill>
                          <w14:schemeClr w14:val="tx1"/>
                        </w14:solidFill>
                      </w14:textFill>
                    </w:rPr>
                    <w:t>监测设备</w:t>
                  </w:r>
                </w:p>
              </w:tc>
              <w:tc>
                <w:tcPr>
                  <w:tcW w:w="1080" w:type="dxa"/>
                  <w:noWrap w:val="0"/>
                  <w:vAlign w:val="center"/>
                </w:tcPr>
                <w:p w14:paraId="4671E8AA">
                  <w:pPr>
                    <w:shd w:val="clear" w:color="auto" w:fill="auto"/>
                    <w:snapToGrid w:val="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手工</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监测频次</w:t>
                  </w:r>
                </w:p>
              </w:tc>
              <w:tc>
                <w:tcPr>
                  <w:tcW w:w="1406" w:type="dxa"/>
                  <w:vMerge w:val="continue"/>
                  <w:noWrap w:val="0"/>
                  <w:vAlign w:val="center"/>
                </w:tcPr>
                <w:p w14:paraId="13620036">
                  <w:pPr>
                    <w:shd w:val="clear" w:color="auto" w:fill="auto"/>
                    <w:snapToGrid w:val="0"/>
                    <w:jc w:val="cente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p>
              </w:tc>
            </w:tr>
            <w:tr w14:paraId="7DA15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19" w:type="dxa"/>
                  <w:vMerge w:val="restart"/>
                  <w:noWrap w:val="0"/>
                  <w:vAlign w:val="center"/>
                </w:tcPr>
                <w:p w14:paraId="41A04E4B">
                  <w:pPr>
                    <w:shd w:val="clear" w:color="auto" w:fill="auto"/>
                    <w:snapToGrid w:val="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废气</w:t>
                  </w:r>
                </w:p>
              </w:tc>
              <w:tc>
                <w:tcPr>
                  <w:tcW w:w="998" w:type="dxa"/>
                  <w:noWrap w:val="0"/>
                  <w:vAlign w:val="center"/>
                </w:tcPr>
                <w:p w14:paraId="74B83D9C">
                  <w:pPr>
                    <w:shd w:val="clear" w:color="auto" w:fill="auto"/>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DA001</w:t>
                  </w:r>
                </w:p>
              </w:tc>
              <w:tc>
                <w:tcPr>
                  <w:tcW w:w="986" w:type="dxa"/>
                  <w:noWrap w:val="0"/>
                  <w:vAlign w:val="center"/>
                </w:tcPr>
                <w:p w14:paraId="41B29006">
                  <w:pPr>
                    <w:shd w:val="clear" w:color="auto" w:fill="auto"/>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圆窑废气排放口</w:t>
                  </w:r>
                </w:p>
              </w:tc>
              <w:tc>
                <w:tcPr>
                  <w:tcW w:w="1348" w:type="dxa"/>
                  <w:noWrap w:val="0"/>
                  <w:vAlign w:val="center"/>
                </w:tcPr>
                <w:p w14:paraId="737D0945">
                  <w:pPr>
                    <w:shd w:val="clear" w:color="auto" w:fill="auto"/>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颗粒物、二氧化硫、氮氧化物、氟化物</w:t>
                  </w:r>
                </w:p>
              </w:tc>
              <w:tc>
                <w:tcPr>
                  <w:tcW w:w="867" w:type="dxa"/>
                  <w:noWrap w:val="0"/>
                  <w:vAlign w:val="center"/>
                </w:tcPr>
                <w:p w14:paraId="48B99470">
                  <w:pPr>
                    <w:shd w:val="clear" w:color="auto" w:fill="auto"/>
                    <w:snapToGrid w:val="0"/>
                    <w:jc w:val="center"/>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t>手工</w:t>
                  </w:r>
                </w:p>
              </w:tc>
              <w:tc>
                <w:tcPr>
                  <w:tcW w:w="1080" w:type="dxa"/>
                  <w:noWrap w:val="0"/>
                  <w:vAlign w:val="center"/>
                </w:tcPr>
                <w:p w14:paraId="633D461E">
                  <w:pPr>
                    <w:shd w:val="clear" w:color="auto" w:fill="auto"/>
                    <w:snapToGrid w:val="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1次/</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半年</w:t>
                  </w:r>
                </w:p>
              </w:tc>
              <w:tc>
                <w:tcPr>
                  <w:tcW w:w="1406" w:type="dxa"/>
                  <w:noWrap w:val="0"/>
                  <w:vAlign w:val="center"/>
                </w:tcPr>
                <w:p w14:paraId="1C486FB7">
                  <w:pPr>
                    <w:shd w:val="clear" w:color="auto" w:fill="auto"/>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2023年第四季度，2024年第二、四季度</w:t>
                  </w:r>
                  <w:r>
                    <w:rPr>
                      <w:rFonts w:hint="eastAsia" w:cs="Times New Roman"/>
                      <w:color w:val="000000" w:themeColor="text1"/>
                      <w:sz w:val="21"/>
                      <w:szCs w:val="21"/>
                      <w:highlight w:val="none"/>
                      <w:lang w:val="en-US" w:eastAsia="zh-CN"/>
                      <w14:textFill>
                        <w14:solidFill>
                          <w14:schemeClr w14:val="tx1"/>
                        </w14:solidFill>
                      </w14:textFill>
                    </w:rPr>
                    <w:t>，2025年第二季度</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进行监测</w:t>
                  </w:r>
                </w:p>
              </w:tc>
            </w:tr>
            <w:tr w14:paraId="366D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19" w:type="dxa"/>
                  <w:vMerge w:val="continue"/>
                  <w:noWrap w:val="0"/>
                  <w:vAlign w:val="center"/>
                </w:tcPr>
                <w:p w14:paraId="5B7340F1">
                  <w:pPr>
                    <w:shd w:val="clear" w:color="auto" w:fill="auto"/>
                    <w:snapToGrid w:val="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p>
              </w:tc>
              <w:tc>
                <w:tcPr>
                  <w:tcW w:w="1984" w:type="dxa"/>
                  <w:gridSpan w:val="2"/>
                  <w:noWrap w:val="0"/>
                  <w:vAlign w:val="center"/>
                </w:tcPr>
                <w:p w14:paraId="102261B5">
                  <w:pPr>
                    <w:shd w:val="clear" w:color="auto" w:fill="auto"/>
                    <w:snapToGrid w:val="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厂界</w:t>
                  </w:r>
                </w:p>
              </w:tc>
              <w:tc>
                <w:tcPr>
                  <w:tcW w:w="1348" w:type="dxa"/>
                  <w:noWrap w:val="0"/>
                  <w:vAlign w:val="center"/>
                </w:tcPr>
                <w:p w14:paraId="5C578D58">
                  <w:pPr>
                    <w:shd w:val="clear" w:color="auto" w:fill="auto"/>
                    <w:snapToGrid w:val="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颗粒物、二氧化硫、氟化物</w:t>
                  </w:r>
                </w:p>
              </w:tc>
              <w:tc>
                <w:tcPr>
                  <w:tcW w:w="867" w:type="dxa"/>
                  <w:noWrap w:val="0"/>
                  <w:vAlign w:val="center"/>
                </w:tcPr>
                <w:p w14:paraId="6D6E17EE">
                  <w:pPr>
                    <w:shd w:val="clear" w:color="auto" w:fill="auto"/>
                    <w:snapToGrid w:val="0"/>
                    <w:jc w:val="center"/>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t>手工</w:t>
                  </w:r>
                </w:p>
              </w:tc>
              <w:tc>
                <w:tcPr>
                  <w:tcW w:w="1080" w:type="dxa"/>
                  <w:noWrap w:val="0"/>
                  <w:vAlign w:val="center"/>
                </w:tcPr>
                <w:p w14:paraId="56D851AF">
                  <w:pPr>
                    <w:shd w:val="clear" w:color="auto" w:fill="auto"/>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1次/</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年</w:t>
                  </w:r>
                </w:p>
              </w:tc>
              <w:tc>
                <w:tcPr>
                  <w:tcW w:w="1406" w:type="dxa"/>
                  <w:noWrap w:val="0"/>
                  <w:vAlign w:val="center"/>
                </w:tcPr>
                <w:p w14:paraId="30BEB691">
                  <w:pPr>
                    <w:shd w:val="clear" w:color="auto" w:fill="auto"/>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2023</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第三季度、2024年第二季度</w:t>
                  </w:r>
                  <w:r>
                    <w:rPr>
                      <w:rFonts w:hint="eastAsia" w:cs="Times New Roman"/>
                      <w:color w:val="000000" w:themeColor="text1"/>
                      <w:sz w:val="21"/>
                      <w:szCs w:val="21"/>
                      <w:highlight w:val="none"/>
                      <w:lang w:val="en-US" w:eastAsia="zh-CN"/>
                      <w14:textFill>
                        <w14:solidFill>
                          <w14:schemeClr w14:val="tx1"/>
                        </w14:solidFill>
                      </w14:textFill>
                    </w:rPr>
                    <w:t>，2025年第二季度</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进行了监测</w:t>
                  </w:r>
                </w:p>
              </w:tc>
            </w:tr>
            <w:tr w14:paraId="4FF9A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619" w:type="dxa"/>
                  <w:noWrap w:val="0"/>
                  <w:vAlign w:val="center"/>
                </w:tcPr>
                <w:p w14:paraId="0A17051A">
                  <w:pPr>
                    <w:shd w:val="clear" w:color="auto" w:fill="auto"/>
                    <w:snapToGrid w:val="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废水</w:t>
                  </w:r>
                </w:p>
              </w:tc>
              <w:tc>
                <w:tcPr>
                  <w:tcW w:w="998" w:type="dxa"/>
                  <w:noWrap w:val="0"/>
                  <w:vAlign w:val="center"/>
                </w:tcPr>
                <w:p w14:paraId="77AB8A52">
                  <w:pPr>
                    <w:shd w:val="clear" w:color="auto" w:fill="auto"/>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DW001</w:t>
                  </w:r>
                </w:p>
              </w:tc>
              <w:tc>
                <w:tcPr>
                  <w:tcW w:w="986" w:type="dxa"/>
                  <w:noWrap w:val="0"/>
                  <w:vAlign w:val="center"/>
                </w:tcPr>
                <w:p w14:paraId="5D658AD2">
                  <w:pPr>
                    <w:shd w:val="clear" w:color="auto" w:fill="auto"/>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雨水排口</w:t>
                  </w:r>
                </w:p>
              </w:tc>
              <w:tc>
                <w:tcPr>
                  <w:tcW w:w="1348" w:type="dxa"/>
                  <w:noWrap w:val="0"/>
                  <w:vAlign w:val="center"/>
                </w:tcPr>
                <w:p w14:paraId="70141049">
                  <w:pPr>
                    <w:shd w:val="clear" w:color="auto" w:fill="auto"/>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化学需氧量</w:t>
                  </w:r>
                </w:p>
              </w:tc>
              <w:tc>
                <w:tcPr>
                  <w:tcW w:w="867" w:type="dxa"/>
                  <w:noWrap w:val="0"/>
                  <w:vAlign w:val="center"/>
                </w:tcPr>
                <w:p w14:paraId="401B3893">
                  <w:pPr>
                    <w:shd w:val="clear" w:color="auto" w:fill="auto"/>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手工</w:t>
                  </w:r>
                </w:p>
              </w:tc>
              <w:tc>
                <w:tcPr>
                  <w:tcW w:w="1080" w:type="dxa"/>
                  <w:noWrap w:val="0"/>
                  <w:vAlign w:val="center"/>
                </w:tcPr>
                <w:p w14:paraId="5738FED7">
                  <w:pPr>
                    <w:shd w:val="clear" w:color="auto" w:fill="auto"/>
                    <w:snapToGrid w:val="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排放口有流动水排放时开展监测，排放期间按日监测</w:t>
                  </w:r>
                </w:p>
              </w:tc>
              <w:tc>
                <w:tcPr>
                  <w:tcW w:w="1406" w:type="dxa"/>
                  <w:noWrap w:val="0"/>
                  <w:vAlign w:val="center"/>
                </w:tcPr>
                <w:p w14:paraId="29F1F036">
                  <w:pPr>
                    <w:shd w:val="clear" w:color="auto" w:fill="auto"/>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2024年第四季度进行了监测</w:t>
                  </w:r>
                </w:p>
              </w:tc>
            </w:tr>
            <w:tr w14:paraId="65BB2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619" w:type="dxa"/>
                  <w:noWrap w:val="0"/>
                  <w:vAlign w:val="center"/>
                </w:tcPr>
                <w:p w14:paraId="33B43771">
                  <w:pPr>
                    <w:shd w:val="clear" w:color="auto" w:fill="auto"/>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噪声</w:t>
                  </w:r>
                </w:p>
              </w:tc>
              <w:tc>
                <w:tcPr>
                  <w:tcW w:w="1984" w:type="dxa"/>
                  <w:gridSpan w:val="2"/>
                  <w:noWrap w:val="0"/>
                  <w:vAlign w:val="center"/>
                </w:tcPr>
                <w:p w14:paraId="6AC895C4">
                  <w:pPr>
                    <w:shd w:val="clear" w:color="auto" w:fill="auto"/>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厂界</w:t>
                  </w:r>
                </w:p>
              </w:tc>
              <w:tc>
                <w:tcPr>
                  <w:tcW w:w="1348" w:type="dxa"/>
                  <w:noWrap w:val="0"/>
                  <w:vAlign w:val="center"/>
                </w:tcPr>
                <w:p w14:paraId="45781C0A">
                  <w:pPr>
                    <w:shd w:val="clear" w:color="auto" w:fill="auto"/>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昼间夜间等效连续A声级</w:t>
                  </w:r>
                </w:p>
              </w:tc>
              <w:tc>
                <w:tcPr>
                  <w:tcW w:w="867" w:type="dxa"/>
                  <w:noWrap w:val="0"/>
                  <w:vAlign w:val="center"/>
                </w:tcPr>
                <w:p w14:paraId="7AF437CD">
                  <w:pPr>
                    <w:shd w:val="clear" w:color="auto" w:fill="auto"/>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手工</w:t>
                  </w:r>
                </w:p>
              </w:tc>
              <w:tc>
                <w:tcPr>
                  <w:tcW w:w="1080" w:type="dxa"/>
                  <w:noWrap w:val="0"/>
                  <w:vAlign w:val="center"/>
                </w:tcPr>
                <w:p w14:paraId="42A40028">
                  <w:pPr>
                    <w:shd w:val="clear" w:color="auto" w:fill="auto"/>
                    <w:snapToGrid w:val="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每季度至少开展一次监测</w:t>
                  </w:r>
                </w:p>
              </w:tc>
              <w:tc>
                <w:tcPr>
                  <w:tcW w:w="1406" w:type="dxa"/>
                  <w:noWrap w:val="0"/>
                  <w:vAlign w:val="center"/>
                </w:tcPr>
                <w:p w14:paraId="21DE9BB5">
                  <w:pPr>
                    <w:shd w:val="clear" w:color="auto" w:fill="auto"/>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2023年第四季度，2024年</w:t>
                  </w:r>
                  <w:r>
                    <w:rPr>
                      <w:rFonts w:hint="eastAsia" w:cs="Times New Roman"/>
                      <w:color w:val="000000" w:themeColor="text1"/>
                      <w:sz w:val="21"/>
                      <w:szCs w:val="21"/>
                      <w:highlight w:val="none"/>
                      <w:lang w:val="en-US" w:eastAsia="zh-CN"/>
                      <w14:textFill>
                        <w14:solidFill>
                          <w14:schemeClr w14:val="tx1"/>
                        </w14:solidFill>
                      </w14:textFill>
                    </w:rPr>
                    <w:t>第一、</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第二、四季度</w:t>
                  </w:r>
                  <w:r>
                    <w:rPr>
                      <w:rFonts w:hint="eastAsia" w:cs="Times New Roman"/>
                      <w:color w:val="000000" w:themeColor="text1"/>
                      <w:sz w:val="21"/>
                      <w:szCs w:val="21"/>
                      <w:highlight w:val="none"/>
                      <w:lang w:val="en-US" w:eastAsia="zh-CN"/>
                      <w14:textFill>
                        <w14:solidFill>
                          <w14:schemeClr w14:val="tx1"/>
                        </w14:solidFill>
                      </w14:textFill>
                    </w:rPr>
                    <w:t>，2025年第二季度</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进行了监测</w:t>
                  </w:r>
                </w:p>
              </w:tc>
            </w:tr>
          </w:tbl>
          <w:p w14:paraId="24EBE1A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（2）报表执行情况</w:t>
            </w:r>
          </w:p>
          <w:p w14:paraId="4B547F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企业完成了自2023年1月至2025年12月的月报、季报、年报填报工作。</w:t>
            </w:r>
          </w:p>
          <w:p w14:paraId="42E7699C">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bCs/>
                <w:color w:val="000000" w:themeColor="text1"/>
                <w:sz w:val="24"/>
                <w:szCs w:val="24"/>
                <w14:textFill>
                  <w14:solidFill>
                    <w14:schemeClr w14:val="tx1"/>
                  </w14:solidFill>
                </w14:textFill>
              </w:rPr>
              <w:t>与项目有关的原有污染物实际排放及治理情况</w:t>
            </w:r>
          </w:p>
          <w:p w14:paraId="693FEBF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查阅原有项目排污许可执行报告及自行监测资料，本次环评仅采用2023—2025年企业自行监测数据，作为原有项目污染物达标分析依据。该项目自2023年起将燃料更换为生物质颗粒后，受市场环境影响，企业处于间断生产状态，监测数据不稳定。综合上述情况，本次现有项目污染物排放量采用系数法核算。</w:t>
            </w:r>
          </w:p>
          <w:p w14:paraId="45E64474">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b/>
                <w:bCs/>
                <w:color w:val="000000" w:themeColor="text1"/>
                <w:sz w:val="24"/>
                <w:szCs w:val="24"/>
                <w14:textFill>
                  <w14:solidFill>
                    <w14:schemeClr w14:val="tx1"/>
                  </w14:solidFill>
                </w14:textFill>
              </w:rPr>
              <w:t>废气</w:t>
            </w:r>
          </w:p>
          <w:p w14:paraId="2D198A2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14:textFill>
                  <w14:solidFill>
                    <w14:schemeClr w14:val="tx1"/>
                  </w14:solidFill>
                </w14:textFill>
              </w:rPr>
              <w:t>（1）无组织粉尘</w:t>
            </w:r>
          </w:p>
          <w:p w14:paraId="35043E8F">
            <w:pPr>
              <w:pStyle w:val="82"/>
              <w:adjustRightInd w:val="0"/>
              <w:snapToGrid w:val="0"/>
              <w:ind w:firstLine="480" w:firstLineChars="200"/>
              <w:outlineLvl w:val="2"/>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①</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原料贮存库扬尘</w:t>
            </w:r>
          </w:p>
          <w:p w14:paraId="060EEDCA">
            <w:pPr>
              <w:pStyle w:val="82"/>
              <w:adjustRightInd w:val="0"/>
              <w:snapToGrid w:val="0"/>
              <w:ind w:firstLine="480" w:firstLineChars="200"/>
              <w:outlineLvl w:val="2"/>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项目原料贮存库堆存扬尘包括装卸扬尘和风蚀扬尘，颗粒物产生量采用《排放源统计调查产排污核算方法和系数手册》中固体物料堆存颗粒物产排污核算系数手册进行核算，计算公式如下：</w:t>
            </w:r>
          </w:p>
          <w:p w14:paraId="2CD2D55E">
            <w:pPr>
              <w:pStyle w:val="82"/>
              <w:adjustRightInd w:val="0"/>
              <w:snapToGrid w:val="0"/>
              <w:ind w:firstLine="480" w:firstLineChars="200"/>
              <w:outlineLvl w:val="2"/>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颗粒物产生量核算公式：</w:t>
            </w:r>
          </w:p>
          <w:p w14:paraId="30FAE42A">
            <w:pPr>
              <w:pStyle w:val="82"/>
              <w:adjustRightInd w:val="0"/>
              <w:snapToGrid w:val="0"/>
              <w:ind w:firstLine="480" w:firstLineChars="200"/>
              <w:outlineLvl w:val="2"/>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m:oMathPara>
              <m:oMath>
                <m:r>
                  <m:rPr/>
                  <w:rPr>
                    <w:rFonts w:hint="default" w:ascii="Cambria Math" w:hAnsi="Cambria Math" w:eastAsia="宋体" w:cs="Times New Roman"/>
                    <w:color w:val="000000" w:themeColor="text1"/>
                    <w:kern w:val="2"/>
                    <w:sz w:val="24"/>
                    <w:szCs w:val="24"/>
                    <w:highlight w:val="none"/>
                    <w:lang w:val="en-US" w:eastAsia="zh-CN" w:bidi="ar-SA"/>
                    <w14:textFill>
                      <w14:solidFill>
                        <w14:schemeClr w14:val="tx1"/>
                      </w14:solidFill>
                    </w14:textFill>
                  </w:rPr>
                  <m:t>P=Z</m:t>
                </m:r>
                <m:sSub>
                  <m:sSubPr>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sSubPr>
                  <m:e>
                    <m:r>
                      <m:rPr/>
                      <w:rPr>
                        <w:rFonts w:hint="default" w:ascii="Cambria Math" w:hAnsi="Cambria Math" w:eastAsia="宋体" w:cs="Times New Roman"/>
                        <w:color w:val="000000" w:themeColor="text1"/>
                        <w:kern w:val="2"/>
                        <w:sz w:val="24"/>
                        <w:szCs w:val="24"/>
                        <w:highlight w:val="none"/>
                        <w:lang w:val="en-US" w:eastAsia="zh-CN" w:bidi="ar-SA"/>
                        <w14:textFill>
                          <w14:solidFill>
                            <w14:schemeClr w14:val="tx1"/>
                          </w14:solidFill>
                        </w14:textFill>
                      </w:rPr>
                      <m:t>C</m:t>
                    </m:r>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e>
                  <m:sub>
                    <m:r>
                      <m:rPr/>
                      <w:rPr>
                        <w:rFonts w:hint="default" w:ascii="Cambria Math" w:hAnsi="Cambria Math" w:eastAsia="宋体" w:cs="Times New Roman"/>
                        <w:color w:val="000000" w:themeColor="text1"/>
                        <w:kern w:val="2"/>
                        <w:sz w:val="24"/>
                        <w:szCs w:val="24"/>
                        <w:highlight w:val="none"/>
                        <w:lang w:val="en-US" w:eastAsia="zh-CN" w:bidi="ar-SA"/>
                        <w14:textFill>
                          <w14:solidFill>
                            <w14:schemeClr w14:val="tx1"/>
                          </w14:solidFill>
                        </w14:textFill>
                      </w:rPr>
                      <m:t>y</m:t>
                    </m:r>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sub>
                </m:sSub>
                <m:r>
                  <m:rPr/>
                  <w:rPr>
                    <w:rFonts w:hint="default" w:ascii="Cambria Math" w:hAnsi="Cambria Math" w:eastAsia="宋体" w:cs="Times New Roman"/>
                    <w:color w:val="000000" w:themeColor="text1"/>
                    <w:kern w:val="2"/>
                    <w:sz w:val="24"/>
                    <w:szCs w:val="24"/>
                    <w:highlight w:val="none"/>
                    <w:lang w:val="en-US" w:eastAsia="zh-CN" w:bidi="ar-SA"/>
                    <w14:textFill>
                      <w14:solidFill>
                        <w14:schemeClr w14:val="tx1"/>
                      </w14:solidFill>
                    </w14:textFill>
                  </w:rPr>
                  <m:t>+F</m:t>
                </m:r>
                <m:sSub>
                  <m:sSubPr>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sSubPr>
                  <m:e>
                    <m:r>
                      <m:rPr/>
                      <w:rPr>
                        <w:rFonts w:hint="default" w:ascii="Cambria Math" w:hAnsi="Cambria Math" w:eastAsia="宋体" w:cs="Times New Roman"/>
                        <w:color w:val="000000" w:themeColor="text1"/>
                        <w:kern w:val="2"/>
                        <w:sz w:val="24"/>
                        <w:szCs w:val="24"/>
                        <w:highlight w:val="none"/>
                        <w:lang w:val="en-US" w:eastAsia="zh-CN" w:bidi="ar-SA"/>
                        <w14:textFill>
                          <w14:solidFill>
                            <w14:schemeClr w14:val="tx1"/>
                          </w14:solidFill>
                        </w14:textFill>
                      </w:rPr>
                      <m:t>C</m:t>
                    </m:r>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e>
                  <m:sub>
                    <m:r>
                      <m:rPr/>
                      <w:rPr>
                        <w:rFonts w:hint="default" w:ascii="Cambria Math" w:hAnsi="Cambria Math" w:eastAsia="宋体" w:cs="Times New Roman"/>
                        <w:color w:val="000000" w:themeColor="text1"/>
                        <w:kern w:val="2"/>
                        <w:sz w:val="24"/>
                        <w:szCs w:val="24"/>
                        <w:highlight w:val="none"/>
                        <w:lang w:val="en-US" w:eastAsia="zh-CN" w:bidi="ar-SA"/>
                        <w14:textFill>
                          <w14:solidFill>
                            <w14:schemeClr w14:val="tx1"/>
                          </w14:solidFill>
                        </w14:textFill>
                      </w:rPr>
                      <m:t>y</m:t>
                    </m:r>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sub>
                </m:sSub>
                <m:r>
                  <m:rPr/>
                  <w:rPr>
                    <w:rFonts w:hint="default" w:ascii="Cambria Math" w:hAnsi="Cambria Math" w:eastAsia="宋体" w:cs="Times New Roman"/>
                    <w:color w:val="000000" w:themeColor="text1"/>
                    <w:kern w:val="2"/>
                    <w:sz w:val="24"/>
                    <w:szCs w:val="24"/>
                    <w:highlight w:val="none"/>
                    <w:lang w:val="en-US" w:eastAsia="zh-CN" w:bidi="ar-SA"/>
                    <w14:textFill>
                      <w14:solidFill>
                        <w14:schemeClr w14:val="tx1"/>
                      </w14:solidFill>
                    </w14:textFill>
                  </w:rPr>
                  <m:t>=</m:t>
                </m:r>
                <m:d>
                  <m:dPr>
                    <m:begChr m:val="{"/>
                    <m:endChr m:val="}"/>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dPr>
                  <m:e>
                    <m:sSub>
                      <m:sSubPr>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sSubPr>
                      <m:e>
                        <m:r>
                          <m:rPr/>
                          <w:rPr>
                            <w:rFonts w:hint="default" w:ascii="Cambria Math" w:hAnsi="Cambria Math" w:eastAsia="宋体" w:cs="Times New Roman"/>
                            <w:color w:val="000000" w:themeColor="text1"/>
                            <w:kern w:val="2"/>
                            <w:sz w:val="24"/>
                            <w:szCs w:val="24"/>
                            <w:highlight w:val="none"/>
                            <w:lang w:val="en-US" w:eastAsia="zh-CN" w:bidi="ar-SA"/>
                            <w14:textFill>
                              <w14:solidFill>
                                <w14:schemeClr w14:val="tx1"/>
                              </w14:solidFill>
                            </w14:textFill>
                          </w:rPr>
                          <m:t>N</m:t>
                        </m:r>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e>
                      <m:sub>
                        <m:r>
                          <m:rPr/>
                          <w:rPr>
                            <w:rFonts w:hint="default" w:ascii="Cambria Math" w:hAnsi="Cambria Math" w:eastAsia="宋体" w:cs="Times New Roman"/>
                            <w:color w:val="000000" w:themeColor="text1"/>
                            <w:kern w:val="2"/>
                            <w:sz w:val="24"/>
                            <w:szCs w:val="24"/>
                            <w:highlight w:val="none"/>
                            <w:lang w:val="en-US" w:eastAsia="zh-CN" w:bidi="ar-SA"/>
                            <w14:textFill>
                              <w14:solidFill>
                                <w14:schemeClr w14:val="tx1"/>
                              </w14:solidFill>
                            </w14:textFill>
                          </w:rPr>
                          <m:t>c</m:t>
                        </m:r>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sub>
                    </m:sSub>
                    <m:r>
                      <m:rPr/>
                      <w:rPr>
                        <w:rFonts w:ascii="Cambria Math" w:hAnsi="Cambria Math" w:cs="Times New Roman"/>
                        <w:color w:val="000000" w:themeColor="text1"/>
                        <w:kern w:val="2"/>
                        <w:sz w:val="24"/>
                        <w:szCs w:val="24"/>
                        <w:highlight w:val="none"/>
                        <w:lang w:val="en-US" w:bidi="ar-SA"/>
                        <w14:textFill>
                          <w14:solidFill>
                            <w14:schemeClr w14:val="tx1"/>
                          </w14:solidFill>
                        </w14:textFill>
                      </w:rPr>
                      <m:t>×</m:t>
                    </m:r>
                    <m:r>
                      <m:rPr/>
                      <w:rPr>
                        <w:rFonts w:hint="default" w:ascii="Cambria Math" w:hAnsi="Cambria Math" w:cs="Times New Roman"/>
                        <w:color w:val="000000" w:themeColor="text1"/>
                        <w:kern w:val="2"/>
                        <w:sz w:val="24"/>
                        <w:szCs w:val="24"/>
                        <w:highlight w:val="none"/>
                        <w:lang w:val="en-US" w:eastAsia="zh-CN" w:bidi="ar-SA"/>
                        <w14:textFill>
                          <w14:solidFill>
                            <w14:schemeClr w14:val="tx1"/>
                          </w14:solidFill>
                        </w14:textFill>
                      </w:rPr>
                      <m:t>D</m:t>
                    </m:r>
                    <m:r>
                      <m:rPr/>
                      <w:rPr>
                        <w:rFonts w:ascii="Cambria Math" w:hAnsi="Cambria Math" w:cs="Times New Roman"/>
                        <w:color w:val="000000" w:themeColor="text1"/>
                        <w:kern w:val="2"/>
                        <w:sz w:val="24"/>
                        <w:szCs w:val="24"/>
                        <w:highlight w:val="none"/>
                        <w:lang w:val="en-US" w:bidi="ar-SA"/>
                        <w14:textFill>
                          <w14:solidFill>
                            <w14:schemeClr w14:val="tx1"/>
                          </w14:solidFill>
                        </w14:textFill>
                      </w:rPr>
                      <m:t>×</m:t>
                    </m:r>
                    <m:d>
                      <m:dPr>
                        <m:ctrlPr>
                          <w:rPr>
                            <w:rFonts w:ascii="Cambria Math" w:hAnsi="Cambria Math" w:cs="Times New Roman"/>
                            <w:i/>
                            <w:color w:val="000000" w:themeColor="text1"/>
                            <w:kern w:val="2"/>
                            <w:sz w:val="24"/>
                            <w:szCs w:val="24"/>
                            <w:highlight w:val="none"/>
                            <w:lang w:val="en-US" w:bidi="ar-SA"/>
                            <w14:textFill>
                              <w14:solidFill>
                                <w14:schemeClr w14:val="tx1"/>
                              </w14:solidFill>
                            </w14:textFill>
                          </w:rPr>
                        </m:ctrlPr>
                      </m:dPr>
                      <m:e>
                        <m:r>
                          <m:rPr/>
                          <w:rPr>
                            <w:rFonts w:hint="default" w:ascii="Cambria Math" w:hAnsi="Cambria Math" w:cs="Times New Roman"/>
                            <w:color w:val="000000" w:themeColor="text1"/>
                            <w:kern w:val="2"/>
                            <w:sz w:val="24"/>
                            <w:szCs w:val="24"/>
                            <w:highlight w:val="none"/>
                            <w:lang w:val="en-US" w:eastAsia="zh-CN" w:bidi="ar-SA"/>
                            <w14:textFill>
                              <w14:solidFill>
                                <w14:schemeClr w14:val="tx1"/>
                              </w14:solidFill>
                            </w14:textFill>
                          </w:rPr>
                          <m:t>a</m:t>
                        </m:r>
                        <m:r>
                          <m:rPr/>
                          <w:rPr>
                            <w:rFonts w:ascii="Cambria Math" w:hAnsi="Cambria Math" w:cs="Times New Roman"/>
                            <w:color w:val="000000" w:themeColor="text1"/>
                            <w:kern w:val="2"/>
                            <w:sz w:val="24"/>
                            <w:szCs w:val="24"/>
                            <w:highlight w:val="none"/>
                            <w:lang w:val="en-US" w:bidi="ar-SA"/>
                            <w14:textFill>
                              <w14:solidFill>
                                <w14:schemeClr w14:val="tx1"/>
                              </w14:solidFill>
                            </w14:textFill>
                          </w:rPr>
                          <m:t>∕</m:t>
                        </m:r>
                        <m:r>
                          <m:rPr/>
                          <w:rPr>
                            <w:rFonts w:hint="default" w:ascii="Cambria Math" w:hAnsi="Cambria Math" w:cs="Times New Roman"/>
                            <w:color w:val="000000" w:themeColor="text1"/>
                            <w:kern w:val="2"/>
                            <w:sz w:val="24"/>
                            <w:szCs w:val="24"/>
                            <w:highlight w:val="none"/>
                            <w:lang w:val="en-US" w:eastAsia="zh-CN" w:bidi="ar-SA"/>
                            <w14:textFill>
                              <w14:solidFill>
                                <w14:schemeClr w14:val="tx1"/>
                              </w14:solidFill>
                            </w14:textFill>
                          </w:rPr>
                          <m:t>b</m:t>
                        </m:r>
                        <m:ctrlPr>
                          <w:rPr>
                            <w:rFonts w:ascii="Cambria Math" w:hAnsi="Cambria Math" w:cs="Times New Roman"/>
                            <w:i/>
                            <w:color w:val="000000" w:themeColor="text1"/>
                            <w:kern w:val="2"/>
                            <w:sz w:val="24"/>
                            <w:szCs w:val="24"/>
                            <w:highlight w:val="none"/>
                            <w:lang w:val="en-US" w:bidi="ar-SA"/>
                            <w14:textFill>
                              <w14:solidFill>
                                <w14:schemeClr w14:val="tx1"/>
                              </w14:solidFill>
                            </w14:textFill>
                          </w:rPr>
                        </m:ctrlPr>
                      </m:e>
                    </m:d>
                    <m:r>
                      <m:rPr/>
                      <w:rPr>
                        <w:rFonts w:ascii="Cambria Math" w:hAnsi="Cambria Math" w:cs="Times New Roman"/>
                        <w:color w:val="000000" w:themeColor="text1"/>
                        <w:kern w:val="2"/>
                        <w:sz w:val="24"/>
                        <w:szCs w:val="24"/>
                        <w:highlight w:val="none"/>
                        <w:lang w:val="en-US" w:bidi="ar-SA"/>
                        <w14:textFill>
                          <w14:solidFill>
                            <w14:schemeClr w14:val="tx1"/>
                          </w14:solidFill>
                        </w14:textFill>
                      </w:rPr>
                      <m:t>+</m:t>
                    </m:r>
                    <m:r>
                      <m:rPr/>
                      <w:rPr>
                        <w:rFonts w:hint="default" w:ascii="Cambria Math" w:hAnsi="Cambria Math" w:cs="Times New Roman"/>
                        <w:color w:val="000000" w:themeColor="text1"/>
                        <w:kern w:val="2"/>
                        <w:sz w:val="24"/>
                        <w:szCs w:val="24"/>
                        <w:highlight w:val="none"/>
                        <w:lang w:val="en-US" w:eastAsia="zh-CN" w:bidi="ar-SA"/>
                        <w14:textFill>
                          <w14:solidFill>
                            <w14:schemeClr w14:val="tx1"/>
                          </w14:solidFill>
                        </w14:textFill>
                      </w:rPr>
                      <m:t>2</m:t>
                    </m:r>
                    <m:r>
                      <m:rPr/>
                      <w:rPr>
                        <w:rFonts w:ascii="Cambria Math" w:hAnsi="Cambria Math" w:cs="Times New Roman"/>
                        <w:color w:val="000000" w:themeColor="text1"/>
                        <w:kern w:val="2"/>
                        <w:sz w:val="24"/>
                        <w:szCs w:val="24"/>
                        <w:highlight w:val="none"/>
                        <w:lang w:val="en-US" w:bidi="ar-SA"/>
                        <w14:textFill>
                          <w14:solidFill>
                            <w14:schemeClr w14:val="tx1"/>
                          </w14:solidFill>
                        </w14:textFill>
                      </w:rPr>
                      <m:t>×</m:t>
                    </m:r>
                    <m:sSub>
                      <m:sSubPr>
                        <m:ctrlPr>
                          <w:rPr>
                            <w:rFonts w:ascii="Cambria Math" w:hAnsi="Cambria Math" w:cs="Times New Roman"/>
                            <w:i/>
                            <w:color w:val="000000" w:themeColor="text1"/>
                            <w:kern w:val="2"/>
                            <w:sz w:val="24"/>
                            <w:szCs w:val="24"/>
                            <w:highlight w:val="none"/>
                            <w:lang w:val="en-US" w:bidi="ar-SA"/>
                            <w14:textFill>
                              <w14:solidFill>
                                <w14:schemeClr w14:val="tx1"/>
                              </w14:solidFill>
                            </w14:textFill>
                          </w:rPr>
                        </m:ctrlPr>
                      </m:sSubPr>
                      <m:e>
                        <m:r>
                          <m:rPr/>
                          <w:rPr>
                            <w:rFonts w:hint="default" w:ascii="Cambria Math" w:hAnsi="Cambria Math" w:cs="Times New Roman"/>
                            <w:color w:val="000000" w:themeColor="text1"/>
                            <w:kern w:val="2"/>
                            <w:sz w:val="24"/>
                            <w:szCs w:val="24"/>
                            <w:highlight w:val="none"/>
                            <w:lang w:val="en-US" w:eastAsia="zh-CN" w:bidi="ar-SA"/>
                            <w14:textFill>
                              <w14:solidFill>
                                <w14:schemeClr w14:val="tx1"/>
                              </w14:solidFill>
                            </w14:textFill>
                          </w:rPr>
                          <m:t>E</m:t>
                        </m:r>
                        <m:ctrlPr>
                          <w:rPr>
                            <w:rFonts w:ascii="Cambria Math" w:hAnsi="Cambria Math" w:cs="Times New Roman"/>
                            <w:i/>
                            <w:color w:val="000000" w:themeColor="text1"/>
                            <w:kern w:val="2"/>
                            <w:sz w:val="24"/>
                            <w:szCs w:val="24"/>
                            <w:highlight w:val="none"/>
                            <w:lang w:val="en-US" w:bidi="ar-SA"/>
                            <w14:textFill>
                              <w14:solidFill>
                                <w14:schemeClr w14:val="tx1"/>
                              </w14:solidFill>
                            </w14:textFill>
                          </w:rPr>
                        </m:ctrlPr>
                      </m:e>
                      <m:sub>
                        <m:r>
                          <m:rPr/>
                          <w:rPr>
                            <w:rFonts w:hint="default" w:ascii="Cambria Math" w:hAnsi="Cambria Math" w:cs="Times New Roman"/>
                            <w:color w:val="000000" w:themeColor="text1"/>
                            <w:kern w:val="2"/>
                            <w:sz w:val="24"/>
                            <w:szCs w:val="24"/>
                            <w:highlight w:val="none"/>
                            <w:lang w:val="en-US" w:eastAsia="zh-CN" w:bidi="ar-SA"/>
                            <w14:textFill>
                              <w14:solidFill>
                                <w14:schemeClr w14:val="tx1"/>
                              </w14:solidFill>
                            </w14:textFill>
                          </w:rPr>
                          <m:t>f</m:t>
                        </m:r>
                        <m:ctrlPr>
                          <w:rPr>
                            <w:rFonts w:ascii="Cambria Math" w:hAnsi="Cambria Math" w:cs="Times New Roman"/>
                            <w:i/>
                            <w:color w:val="000000" w:themeColor="text1"/>
                            <w:kern w:val="2"/>
                            <w:sz w:val="24"/>
                            <w:szCs w:val="24"/>
                            <w:highlight w:val="none"/>
                            <w:lang w:val="en-US" w:bidi="ar-SA"/>
                            <w14:textFill>
                              <w14:solidFill>
                                <w14:schemeClr w14:val="tx1"/>
                              </w14:solidFill>
                            </w14:textFill>
                          </w:rPr>
                        </m:ctrlPr>
                      </m:sub>
                    </m:sSub>
                    <m:r>
                      <m:rPr/>
                      <w:rPr>
                        <w:rFonts w:ascii="Cambria Math" w:hAnsi="Cambria Math" w:cs="Times New Roman"/>
                        <w:color w:val="000000" w:themeColor="text1"/>
                        <w:kern w:val="2"/>
                        <w:sz w:val="24"/>
                        <w:szCs w:val="24"/>
                        <w:highlight w:val="none"/>
                        <w:lang w:val="en-US" w:bidi="ar-SA"/>
                        <w14:textFill>
                          <w14:solidFill>
                            <w14:schemeClr w14:val="tx1"/>
                          </w14:solidFill>
                        </w14:textFill>
                      </w:rPr>
                      <m:t>×</m:t>
                    </m:r>
                    <m:r>
                      <m:rPr/>
                      <w:rPr>
                        <w:rFonts w:hint="default" w:ascii="Cambria Math" w:hAnsi="Cambria Math" w:cs="Times New Roman"/>
                        <w:color w:val="000000" w:themeColor="text1"/>
                        <w:kern w:val="2"/>
                        <w:sz w:val="24"/>
                        <w:szCs w:val="24"/>
                        <w:highlight w:val="none"/>
                        <w:lang w:val="en-US" w:eastAsia="zh-CN" w:bidi="ar-SA"/>
                        <w14:textFill>
                          <w14:solidFill>
                            <w14:schemeClr w14:val="tx1"/>
                          </w14:solidFill>
                        </w14:textFill>
                      </w:rPr>
                      <m:t>S</m:t>
                    </m:r>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e>
                </m:d>
                <m:r>
                  <m:rPr/>
                  <w:rPr>
                    <w:rFonts w:hint="default" w:ascii="Cambria Math" w:hAnsi="Cambria Math" w:eastAsia="宋体" w:cs="Cambria Math"/>
                    <w:color w:val="000000" w:themeColor="text1"/>
                    <w:kern w:val="2"/>
                    <w:sz w:val="24"/>
                    <w:szCs w:val="24"/>
                    <w:highlight w:val="none"/>
                    <w:lang w:val="en-US" w:eastAsia="zh-CN" w:bidi="ar-SA"/>
                    <w14:textFill>
                      <w14:solidFill>
                        <w14:schemeClr w14:val="tx1"/>
                      </w14:solidFill>
                    </w14:textFill>
                  </w:rPr>
                  <m:t>×</m:t>
                </m:r>
                <m:sSup>
                  <m:sSupPr>
                    <m:ctrlPr>
                      <w:rPr>
                        <w:rFonts w:hint="default" w:ascii="Cambria Math" w:hAnsi="Cambria Math" w:eastAsia="宋体" w:cs="Cambria Math"/>
                        <w:i/>
                        <w:color w:val="000000" w:themeColor="text1"/>
                        <w:kern w:val="2"/>
                        <w:sz w:val="24"/>
                        <w:szCs w:val="24"/>
                        <w:highlight w:val="none"/>
                        <w:lang w:val="en-US" w:eastAsia="zh-CN" w:bidi="ar-SA"/>
                        <w14:textFill>
                          <w14:solidFill>
                            <w14:schemeClr w14:val="tx1"/>
                          </w14:solidFill>
                        </w14:textFill>
                      </w:rPr>
                    </m:ctrlPr>
                  </m:sSupPr>
                  <m:e>
                    <m:r>
                      <m:rPr/>
                      <w:rPr>
                        <w:rFonts w:hint="default" w:ascii="Cambria Math" w:hAnsi="Cambria Math" w:eastAsia="宋体" w:cs="Cambria Math"/>
                        <w:color w:val="000000" w:themeColor="text1"/>
                        <w:kern w:val="2"/>
                        <w:sz w:val="24"/>
                        <w:szCs w:val="24"/>
                        <w:highlight w:val="none"/>
                        <w:lang w:val="en-US" w:eastAsia="zh-CN" w:bidi="ar-SA"/>
                        <w14:textFill>
                          <w14:solidFill>
                            <w14:schemeClr w14:val="tx1"/>
                          </w14:solidFill>
                        </w14:textFill>
                      </w:rPr>
                      <m:t>10</m:t>
                    </m:r>
                    <m:ctrlPr>
                      <w:rPr>
                        <w:rFonts w:hint="default" w:ascii="Cambria Math" w:hAnsi="Cambria Math" w:eastAsia="宋体" w:cs="Cambria Math"/>
                        <w:i/>
                        <w:color w:val="000000" w:themeColor="text1"/>
                        <w:kern w:val="2"/>
                        <w:sz w:val="24"/>
                        <w:szCs w:val="24"/>
                        <w:highlight w:val="none"/>
                        <w:lang w:val="en-US" w:eastAsia="zh-CN" w:bidi="ar-SA"/>
                        <w14:textFill>
                          <w14:solidFill>
                            <w14:schemeClr w14:val="tx1"/>
                          </w14:solidFill>
                        </w14:textFill>
                      </w:rPr>
                    </m:ctrlPr>
                  </m:e>
                  <m:sup>
                    <m:r>
                      <m:rPr/>
                      <w:rPr>
                        <w:rFonts w:hint="default" w:ascii="Cambria Math" w:hAnsi="Cambria Math" w:eastAsia="宋体" w:cs="Cambria Math"/>
                        <w:color w:val="000000" w:themeColor="text1"/>
                        <w:kern w:val="2"/>
                        <w:sz w:val="24"/>
                        <w:szCs w:val="24"/>
                        <w:highlight w:val="none"/>
                        <w:lang w:val="en-US" w:eastAsia="zh-CN" w:bidi="ar-SA"/>
                        <w14:textFill>
                          <w14:solidFill>
                            <w14:schemeClr w14:val="tx1"/>
                          </w14:solidFill>
                        </w14:textFill>
                      </w:rPr>
                      <m:t>−3</m:t>
                    </m:r>
                    <m:ctrlPr>
                      <w:rPr>
                        <w:rFonts w:hint="default" w:ascii="Cambria Math" w:hAnsi="Cambria Math" w:eastAsia="宋体" w:cs="Cambria Math"/>
                        <w:i/>
                        <w:color w:val="000000" w:themeColor="text1"/>
                        <w:kern w:val="2"/>
                        <w:sz w:val="24"/>
                        <w:szCs w:val="24"/>
                        <w:highlight w:val="none"/>
                        <w:lang w:val="en-US" w:eastAsia="zh-CN" w:bidi="ar-SA"/>
                        <w14:textFill>
                          <w14:solidFill>
                            <w14:schemeClr w14:val="tx1"/>
                          </w14:solidFill>
                        </w14:textFill>
                      </w:rPr>
                    </m:ctrlPr>
                  </m:sup>
                </m:sSup>
              </m:oMath>
            </m:oMathPara>
          </w:p>
          <w:p w14:paraId="1941B270">
            <w:pPr>
              <w:pStyle w:val="82"/>
              <w:adjustRightInd w:val="0"/>
              <w:snapToGrid w:val="0"/>
              <w:ind w:firstLine="480" w:firstLineChars="200"/>
              <w:outlineLvl w:val="2"/>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式中：P指颗粒物产生量（单位：吨）；</w:t>
            </w:r>
          </w:p>
          <w:p w14:paraId="3AB2848C">
            <w:pPr>
              <w:pStyle w:val="82"/>
              <w:keepNext w:val="0"/>
              <w:keepLines w:val="0"/>
              <w:pageBreakBefore w:val="0"/>
              <w:widowControl w:val="0"/>
              <w:kinsoku/>
              <w:wordWrap/>
              <w:overflowPunct/>
              <w:topLinePunct w:val="0"/>
              <w:autoSpaceDE/>
              <w:autoSpaceDN/>
              <w:bidi w:val="0"/>
              <w:adjustRightInd w:val="0"/>
              <w:snapToGrid w:val="0"/>
              <w:ind w:firstLine="1200" w:firstLineChars="500"/>
              <w:textAlignment w:val="auto"/>
              <w:outlineLvl w:val="2"/>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ZC</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y</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指装卸扬尘产生量（单位：吨）；</w:t>
            </w:r>
          </w:p>
          <w:p w14:paraId="1645E983">
            <w:pPr>
              <w:pStyle w:val="82"/>
              <w:keepNext w:val="0"/>
              <w:keepLines w:val="0"/>
              <w:pageBreakBefore w:val="0"/>
              <w:widowControl w:val="0"/>
              <w:kinsoku/>
              <w:wordWrap/>
              <w:overflowPunct/>
              <w:topLinePunct w:val="0"/>
              <w:autoSpaceDE/>
              <w:autoSpaceDN/>
              <w:bidi w:val="0"/>
              <w:adjustRightInd w:val="0"/>
              <w:snapToGrid w:val="0"/>
              <w:ind w:firstLine="1200" w:firstLineChars="500"/>
              <w:textAlignment w:val="auto"/>
              <w:outlineLvl w:val="2"/>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FC</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y</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指风蚀扬尘产生量（单位：吨）；</w:t>
            </w:r>
          </w:p>
          <w:p w14:paraId="203492EA">
            <w:pPr>
              <w:pStyle w:val="82"/>
              <w:keepNext w:val="0"/>
              <w:keepLines w:val="0"/>
              <w:pageBreakBefore w:val="0"/>
              <w:widowControl w:val="0"/>
              <w:kinsoku/>
              <w:wordWrap/>
              <w:overflowPunct/>
              <w:topLinePunct w:val="0"/>
              <w:autoSpaceDE/>
              <w:autoSpaceDN/>
              <w:bidi w:val="0"/>
              <w:adjustRightInd w:val="0"/>
              <w:snapToGrid w:val="0"/>
              <w:ind w:firstLine="1200" w:firstLineChars="500"/>
              <w:textAlignment w:val="auto"/>
              <w:outlineLvl w:val="2"/>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N</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c</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指年物料运载车次（单位：车）；</w:t>
            </w:r>
          </w:p>
          <w:p w14:paraId="5AC5EF1D">
            <w:pPr>
              <w:pStyle w:val="82"/>
              <w:keepNext w:val="0"/>
              <w:keepLines w:val="0"/>
              <w:pageBreakBefore w:val="0"/>
              <w:widowControl w:val="0"/>
              <w:kinsoku/>
              <w:wordWrap/>
              <w:overflowPunct/>
              <w:topLinePunct w:val="0"/>
              <w:autoSpaceDE/>
              <w:autoSpaceDN/>
              <w:bidi w:val="0"/>
              <w:adjustRightInd w:val="0"/>
              <w:snapToGrid w:val="0"/>
              <w:ind w:firstLine="1200" w:firstLineChars="500"/>
              <w:textAlignment w:val="auto"/>
              <w:outlineLvl w:val="2"/>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D指单车平均运载量（单位：吨/年）；</w:t>
            </w:r>
          </w:p>
          <w:p w14:paraId="25AD16D4">
            <w:pPr>
              <w:pStyle w:val="82"/>
              <w:keepNext w:val="0"/>
              <w:keepLines w:val="0"/>
              <w:pageBreakBefore w:val="0"/>
              <w:widowControl w:val="0"/>
              <w:kinsoku/>
              <w:wordWrap/>
              <w:overflowPunct/>
              <w:topLinePunct w:val="0"/>
              <w:autoSpaceDE/>
              <w:autoSpaceDN/>
              <w:bidi w:val="0"/>
              <w:adjustRightInd w:val="0"/>
              <w:snapToGrid w:val="0"/>
              <w:ind w:firstLine="1200" w:firstLineChars="500"/>
              <w:textAlignment w:val="auto"/>
              <w:outlineLvl w:val="2"/>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（a/b）指装卸扬尘概化系数（单位：千克/吨），a指各省风速概化系数，b指物料含水率概化系数；</w:t>
            </w:r>
          </w:p>
          <w:p w14:paraId="7C696736">
            <w:pPr>
              <w:pStyle w:val="82"/>
              <w:keepNext w:val="0"/>
              <w:keepLines w:val="0"/>
              <w:pageBreakBefore w:val="0"/>
              <w:widowControl w:val="0"/>
              <w:kinsoku/>
              <w:wordWrap/>
              <w:overflowPunct/>
              <w:topLinePunct w:val="0"/>
              <w:autoSpaceDE/>
              <w:autoSpaceDN/>
              <w:bidi w:val="0"/>
              <w:adjustRightInd w:val="0"/>
              <w:snapToGrid w:val="0"/>
              <w:ind w:firstLine="1200" w:firstLineChars="500"/>
              <w:textAlignment w:val="auto"/>
              <w:outlineLvl w:val="2"/>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E</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f</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指堆场风蚀扬尘概化系数（单位：千克/平方米）；</w:t>
            </w:r>
          </w:p>
          <w:p w14:paraId="41BC9C1B">
            <w:pPr>
              <w:pStyle w:val="82"/>
              <w:keepNext w:val="0"/>
              <w:keepLines w:val="0"/>
              <w:pageBreakBefore w:val="0"/>
              <w:widowControl w:val="0"/>
              <w:kinsoku/>
              <w:wordWrap/>
              <w:overflowPunct/>
              <w:topLinePunct w:val="0"/>
              <w:autoSpaceDE/>
              <w:autoSpaceDN/>
              <w:bidi w:val="0"/>
              <w:adjustRightInd w:val="0"/>
              <w:snapToGrid w:val="0"/>
              <w:ind w:firstLine="1200" w:firstLineChars="500"/>
              <w:textAlignment w:val="auto"/>
              <w:outlineLvl w:val="2"/>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S指堆场占地面积（单位：平方米）。</w:t>
            </w:r>
          </w:p>
          <w:p w14:paraId="4D458868">
            <w:pPr>
              <w:bidi w:val="0"/>
              <w:jc w:val="center"/>
              <w:rPr>
                <w:rFonts w:hint="eastAsia"/>
                <w:b/>
                <w:bCs/>
                <w:color w:val="000000" w:themeColor="text1"/>
                <w:sz w:val="24"/>
                <w:szCs w:val="24"/>
                <w:lang w:val="en-US" w:eastAsia="zh-CN"/>
                <w14:textFill>
                  <w14:solidFill>
                    <w14:schemeClr w14:val="tx1"/>
                  </w14:solidFill>
                </w14:textFill>
              </w:rPr>
            </w:pPr>
          </w:p>
          <w:p w14:paraId="2A034811">
            <w:pPr>
              <w:bidi w:val="0"/>
              <w:jc w:val="center"/>
              <w:rPr>
                <w:rFonts w:hint="default"/>
                <w:b/>
                <w:bCs/>
                <w:color w:val="000000" w:themeColor="text1"/>
                <w:sz w:val="24"/>
                <w:szCs w:val="24"/>
                <w:vertAlign w:val="baseline"/>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表2-20  参数取值及计算结果</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239"/>
              <w:gridCol w:w="1239"/>
              <w:gridCol w:w="1181"/>
              <w:gridCol w:w="1297"/>
              <w:gridCol w:w="1005"/>
              <w:gridCol w:w="1474"/>
            </w:tblGrid>
            <w:tr w14:paraId="6F8CE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Align w:val="center"/>
                </w:tcPr>
                <w:p w14:paraId="00E63501">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N</w:t>
                  </w:r>
                  <w:r>
                    <w:rPr>
                      <w:rFonts w:hint="eastAsia" w:ascii="Times New Roman" w:hAnsi="Times New Roman" w:eastAsia="宋体" w:cs="Times New Roman"/>
                      <w:b w:val="0"/>
                      <w:bCs w:val="0"/>
                      <w:color w:val="000000" w:themeColor="text1"/>
                      <w:sz w:val="21"/>
                      <w:szCs w:val="21"/>
                      <w:highlight w:val="none"/>
                      <w:vertAlign w:val="subscript"/>
                      <w:lang w:val="en-US" w:eastAsia="zh-CN"/>
                      <w14:textFill>
                        <w14:solidFill>
                          <w14:schemeClr w14:val="tx1"/>
                        </w14:solidFill>
                      </w14:textFill>
                    </w:rPr>
                    <w:t>c</w:t>
                  </w:r>
                </w:p>
              </w:tc>
              <w:tc>
                <w:tcPr>
                  <w:tcW w:w="1239" w:type="dxa"/>
                  <w:vAlign w:val="center"/>
                </w:tcPr>
                <w:p w14:paraId="6D9EE4DA">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D</w:t>
                  </w:r>
                </w:p>
              </w:tc>
              <w:tc>
                <w:tcPr>
                  <w:tcW w:w="1239" w:type="dxa"/>
                  <w:vAlign w:val="center"/>
                </w:tcPr>
                <w:p w14:paraId="69216D51">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p>
              </w:tc>
              <w:tc>
                <w:tcPr>
                  <w:tcW w:w="1181" w:type="dxa"/>
                  <w:vAlign w:val="center"/>
                </w:tcPr>
                <w:p w14:paraId="57D4535F">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b</w:t>
                  </w:r>
                </w:p>
              </w:tc>
              <w:tc>
                <w:tcPr>
                  <w:tcW w:w="1297" w:type="dxa"/>
                  <w:vAlign w:val="center"/>
                </w:tcPr>
                <w:p w14:paraId="202CE2E5">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E</w:t>
                  </w:r>
                  <w:r>
                    <w:rPr>
                      <w:rFonts w:hint="eastAsia" w:ascii="Times New Roman" w:hAnsi="Times New Roman" w:eastAsia="宋体" w:cs="Times New Roman"/>
                      <w:b w:val="0"/>
                      <w:bCs w:val="0"/>
                      <w:color w:val="000000" w:themeColor="text1"/>
                      <w:sz w:val="21"/>
                      <w:szCs w:val="21"/>
                      <w:highlight w:val="none"/>
                      <w:vertAlign w:val="subscript"/>
                      <w:lang w:val="en-US" w:eastAsia="zh-CN"/>
                      <w14:textFill>
                        <w14:solidFill>
                          <w14:schemeClr w14:val="tx1"/>
                        </w14:solidFill>
                      </w14:textFill>
                    </w:rPr>
                    <w:t>f</w:t>
                  </w:r>
                </w:p>
              </w:tc>
              <w:tc>
                <w:tcPr>
                  <w:tcW w:w="1005" w:type="dxa"/>
                  <w:vAlign w:val="center"/>
                </w:tcPr>
                <w:p w14:paraId="7C1CFAE4">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S</w:t>
                  </w:r>
                </w:p>
              </w:tc>
              <w:tc>
                <w:tcPr>
                  <w:tcW w:w="1474" w:type="dxa"/>
                  <w:vAlign w:val="center"/>
                </w:tcPr>
                <w:p w14:paraId="2EE7FA5C">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计算结果（P）</w:t>
                  </w:r>
                </w:p>
              </w:tc>
            </w:tr>
            <w:tr w14:paraId="58B0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Align w:val="center"/>
                </w:tcPr>
                <w:p w14:paraId="0EA03037">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1672</w:t>
                  </w:r>
                </w:p>
              </w:tc>
              <w:tc>
                <w:tcPr>
                  <w:tcW w:w="1239" w:type="dxa"/>
                  <w:vAlign w:val="center"/>
                </w:tcPr>
                <w:p w14:paraId="54856206">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20</w:t>
                  </w:r>
                </w:p>
              </w:tc>
              <w:tc>
                <w:tcPr>
                  <w:tcW w:w="1239" w:type="dxa"/>
                  <w:vAlign w:val="center"/>
                </w:tcPr>
                <w:p w14:paraId="4869AF04">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0.0009</w:t>
                  </w:r>
                </w:p>
              </w:tc>
              <w:tc>
                <w:tcPr>
                  <w:tcW w:w="1181" w:type="dxa"/>
                  <w:vAlign w:val="center"/>
                </w:tcPr>
                <w:p w14:paraId="10433EC3">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0.0017</w:t>
                  </w:r>
                </w:p>
              </w:tc>
              <w:tc>
                <w:tcPr>
                  <w:tcW w:w="1297" w:type="dxa"/>
                  <w:vAlign w:val="center"/>
                </w:tcPr>
                <w:p w14:paraId="6DD21180">
                  <w:pPr>
                    <w:bidi w:val="0"/>
                    <w:jc w:val="center"/>
                    <w:rPr>
                      <w:rFonts w:hint="default"/>
                      <w:b w:val="0"/>
                      <w:bCs w:val="0"/>
                      <w:color w:val="000000" w:themeColor="text1"/>
                      <w:sz w:val="21"/>
                      <w:szCs w:val="21"/>
                      <w:vertAlign w:val="superscript"/>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3.6062</w:t>
                  </w:r>
                </w:p>
              </w:tc>
              <w:tc>
                <w:tcPr>
                  <w:tcW w:w="1005" w:type="dxa"/>
                  <w:vAlign w:val="center"/>
                </w:tcPr>
                <w:p w14:paraId="1C00A494">
                  <w:pPr>
                    <w:bidi w:val="0"/>
                    <w:jc w:val="center"/>
                    <w:rPr>
                      <w:rFonts w:hint="default"/>
                      <w:b w:val="0"/>
                      <w:bCs w:val="0"/>
                      <w:color w:val="000000" w:themeColor="text1"/>
                      <w:sz w:val="21"/>
                      <w:szCs w:val="21"/>
                      <w:vertAlign w:val="superscript"/>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1200</w:t>
                  </w:r>
                </w:p>
              </w:tc>
              <w:tc>
                <w:tcPr>
                  <w:tcW w:w="1474" w:type="dxa"/>
                  <w:vAlign w:val="center"/>
                </w:tcPr>
                <w:p w14:paraId="7CF82AEC">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26.36</w:t>
                  </w:r>
                </w:p>
              </w:tc>
            </w:tr>
          </w:tbl>
          <w:p w14:paraId="5EE8269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b w:val="0"/>
                <w:bCs w:val="0"/>
                <w:color w:val="000000" w:themeColor="text1"/>
                <w:sz w:val="24"/>
                <w:szCs w:val="24"/>
                <w:lang w:val="en-US" w:eastAsia="zh-CN"/>
                <w14:textFill>
                  <w14:solidFill>
                    <w14:schemeClr w14:val="tx1"/>
                  </w14:solidFill>
                </w14:textFill>
              </w:rPr>
            </w:pPr>
            <w:r>
              <w:rPr>
                <w:rFonts w:hint="eastAsia"/>
                <w:b w:val="0"/>
                <w:bCs w:val="0"/>
                <w:color w:val="000000" w:themeColor="text1"/>
                <w:sz w:val="24"/>
                <w:szCs w:val="24"/>
                <w:lang w:val="en-US" w:eastAsia="zh-CN"/>
                <w14:textFill>
                  <w14:solidFill>
                    <w14:schemeClr w14:val="tx1"/>
                  </w14:solidFill>
                </w14:textFill>
              </w:rPr>
              <w:t>颗粒物排放量核算公式：</w:t>
            </w:r>
          </w:p>
          <w:p w14:paraId="7C2F14EA">
            <w:pPr>
              <w:pStyle w:val="82"/>
              <w:adjustRightInd w:val="0"/>
              <w:snapToGrid w:val="0"/>
              <w:ind w:firstLine="480" w:firstLineChars="200"/>
              <w:jc w:val="center"/>
              <w:outlineLvl w:val="2"/>
              <w:rPr>
                <w:rFonts w:hint="default" w:hAnsi="Cambria Math" w:cs="Cambria Math"/>
                <w:bCs/>
                <w:i w:val="0"/>
                <w:color w:val="000000" w:themeColor="text1"/>
                <w:sz w:val="24"/>
                <w:szCs w:val="24"/>
                <w:highlight w:val="none"/>
                <w:vertAlign w:val="baseline"/>
                <w:lang w:val="en-US" w:eastAsia="zh-CN"/>
                <w14:textFill>
                  <w14:solidFill>
                    <w14:schemeClr w14:val="tx1"/>
                  </w14:solidFill>
                </w14:textFill>
              </w:rPr>
            </w:pPr>
            <m:oMathPara>
              <m:oMath>
                <m:sSub>
                  <m:sSubPr>
                    <m:ctrlPr>
                      <w:rPr>
                        <w:rFonts w:ascii="Cambria Math" w:hAnsi="Cambria Math" w:cs="Times New Roman"/>
                        <w:bCs/>
                        <w:i/>
                        <w:color w:val="000000" w:themeColor="text1"/>
                        <w:sz w:val="24"/>
                        <w:szCs w:val="24"/>
                        <w:highlight w:val="none"/>
                        <w:vertAlign w:val="baseline"/>
                        <w:lang w:val="en-US"/>
                        <w14:textFill>
                          <w14:solidFill>
                            <w14:schemeClr w14:val="tx1"/>
                          </w14:solidFill>
                        </w14:textFill>
                      </w:rPr>
                    </m:ctrlPr>
                  </m:sSubPr>
                  <m:e>
                    <m:r>
                      <m:rPr/>
                      <w:rPr>
                        <w:rFonts w:hint="default" w:ascii="Cambria Math" w:hAnsi="Cambria Math" w:cs="Times New Roman"/>
                        <w:color w:val="000000" w:themeColor="text1"/>
                        <w:sz w:val="24"/>
                        <w:szCs w:val="24"/>
                        <w:highlight w:val="none"/>
                        <w:vertAlign w:val="baseline"/>
                        <w:lang w:val="en-US" w:eastAsia="zh-CN"/>
                        <w14:textFill>
                          <w14:solidFill>
                            <w14:schemeClr w14:val="tx1"/>
                          </w14:solidFill>
                        </w14:textFill>
                      </w:rPr>
                      <m:t>U</m:t>
                    </m:r>
                    <m:ctrlPr>
                      <w:rPr>
                        <w:rFonts w:ascii="Cambria Math" w:hAnsi="Cambria Math" w:cs="Times New Roman"/>
                        <w:bCs/>
                        <w:i/>
                        <w:color w:val="000000" w:themeColor="text1"/>
                        <w:sz w:val="24"/>
                        <w:szCs w:val="24"/>
                        <w:highlight w:val="none"/>
                        <w:vertAlign w:val="baseline"/>
                        <w:lang w:val="en-US"/>
                        <w14:textFill>
                          <w14:solidFill>
                            <w14:schemeClr w14:val="tx1"/>
                          </w14:solidFill>
                        </w14:textFill>
                      </w:rPr>
                    </m:ctrlPr>
                  </m:e>
                  <m:sub>
                    <m:r>
                      <m:rPr/>
                      <w:rPr>
                        <w:rFonts w:hint="default" w:ascii="Cambria Math" w:hAnsi="Cambria Math" w:cs="Times New Roman"/>
                        <w:color w:val="000000" w:themeColor="text1"/>
                        <w:sz w:val="24"/>
                        <w:szCs w:val="24"/>
                        <w:highlight w:val="none"/>
                        <w:vertAlign w:val="baseline"/>
                        <w:lang w:val="en-US" w:eastAsia="zh-CN"/>
                        <w14:textFill>
                          <w14:solidFill>
                            <w14:schemeClr w14:val="tx1"/>
                          </w14:solidFill>
                        </w14:textFill>
                      </w:rPr>
                      <m:t>c</m:t>
                    </m:r>
                    <m:ctrlPr>
                      <w:rPr>
                        <w:rFonts w:ascii="Cambria Math" w:hAnsi="Cambria Math" w:cs="Times New Roman"/>
                        <w:bCs/>
                        <w:i/>
                        <w:color w:val="000000" w:themeColor="text1"/>
                        <w:sz w:val="24"/>
                        <w:szCs w:val="24"/>
                        <w:highlight w:val="none"/>
                        <w:vertAlign w:val="baseline"/>
                        <w:lang w:val="en-US"/>
                        <w14:textFill>
                          <w14:solidFill>
                            <w14:schemeClr w14:val="tx1"/>
                          </w14:solidFill>
                        </w14:textFill>
                      </w:rPr>
                    </m:ctrlPr>
                  </m:sub>
                </m:sSub>
                <m:r>
                  <m:rPr/>
                  <w:rPr>
                    <w:rFonts w:hint="default" w:ascii="Cambria Math" w:hAnsi="Cambria Math" w:cs="Cambria Math"/>
                    <w:color w:val="000000" w:themeColor="text1"/>
                    <w:sz w:val="24"/>
                    <w:szCs w:val="24"/>
                    <w:highlight w:val="none"/>
                    <w:vertAlign w:val="baseline"/>
                    <w:lang w:val="en-US"/>
                    <w14:textFill>
                      <w14:solidFill>
                        <w14:schemeClr w14:val="tx1"/>
                      </w14:solidFill>
                    </w14:textFill>
                  </w:rPr>
                  <m:t>=</m:t>
                </m:r>
                <m:r>
                  <m:rPr/>
                  <w:rPr>
                    <w:rFonts w:hint="default" w:ascii="Cambria Math" w:hAnsi="Cambria Math" w:cs="Times New Roman"/>
                    <w:color w:val="000000" w:themeColor="text1"/>
                    <w:sz w:val="24"/>
                    <w:szCs w:val="24"/>
                    <w:highlight w:val="none"/>
                    <w:vertAlign w:val="baseline"/>
                    <w:lang w:val="en-US" w:eastAsia="zh-CN"/>
                    <w14:textFill>
                      <w14:solidFill>
                        <w14:schemeClr w14:val="tx1"/>
                      </w14:solidFill>
                    </w14:textFill>
                  </w:rPr>
                  <m:t>P</m:t>
                </m:r>
                <m:r>
                  <m:rPr/>
                  <w:rPr>
                    <w:rFonts w:hint="default" w:ascii="Cambria Math" w:hAnsi="Cambria Math" w:cs="Cambria Math"/>
                    <w:color w:val="000000" w:themeColor="text1"/>
                    <w:sz w:val="24"/>
                    <w:szCs w:val="24"/>
                    <w:highlight w:val="none"/>
                    <w:vertAlign w:val="baseline"/>
                    <w:lang w:val="en-US" w:eastAsia="zh-CN"/>
                    <w14:textFill>
                      <w14:solidFill>
                        <w14:schemeClr w14:val="tx1"/>
                      </w14:solidFill>
                    </w14:textFill>
                  </w:rPr>
                  <m:t>×</m:t>
                </m:r>
                <m:d>
                  <m:dPr>
                    <m:ctrlPr>
                      <w:rPr>
                        <w:rFonts w:hint="default" w:ascii="Cambria Math" w:hAnsi="Cambria Math" w:cs="Cambria Math"/>
                        <w:bCs/>
                        <w:i/>
                        <w:color w:val="000000" w:themeColor="text1"/>
                        <w:sz w:val="24"/>
                        <w:szCs w:val="24"/>
                        <w:highlight w:val="none"/>
                        <w:vertAlign w:val="baseline"/>
                        <w:lang w:val="en-US" w:eastAsia="zh-CN"/>
                        <w14:textFill>
                          <w14:solidFill>
                            <w14:schemeClr w14:val="tx1"/>
                          </w14:solidFill>
                        </w14:textFill>
                      </w:rPr>
                    </m:ctrlPr>
                  </m:dPr>
                  <m:e>
                    <m:r>
                      <m:rPr/>
                      <w:rPr>
                        <w:rFonts w:hint="default" w:ascii="Cambria Math" w:hAnsi="Cambria Math" w:cs="Cambria Math"/>
                        <w:color w:val="000000" w:themeColor="text1"/>
                        <w:sz w:val="24"/>
                        <w:szCs w:val="24"/>
                        <w:highlight w:val="none"/>
                        <w:vertAlign w:val="baseline"/>
                        <w:lang w:val="en-US" w:eastAsia="zh-CN"/>
                        <w14:textFill>
                          <w14:solidFill>
                            <w14:schemeClr w14:val="tx1"/>
                          </w14:solidFill>
                        </w14:textFill>
                      </w:rPr>
                      <m:t>1</m:t>
                    </m:r>
                    <m:r>
                      <m:rPr/>
                      <w:rPr>
                        <w:rFonts w:ascii="Cambria Math" w:hAnsi="Cambria Math" w:cs="Cambria Math"/>
                        <w:color w:val="000000" w:themeColor="text1"/>
                        <w:sz w:val="24"/>
                        <w:szCs w:val="24"/>
                        <w:highlight w:val="none"/>
                        <w:vertAlign w:val="baseline"/>
                        <w:lang w:val="en-US"/>
                        <w14:textFill>
                          <w14:solidFill>
                            <w14:schemeClr w14:val="tx1"/>
                          </w14:solidFill>
                        </w14:textFill>
                      </w:rPr>
                      <m:t>−</m:t>
                    </m:r>
                    <m:sSub>
                      <m:sSubPr>
                        <m:ctrlPr>
                          <w:rPr>
                            <w:rFonts w:ascii="Cambria Math" w:hAnsi="Cambria Math" w:cs="Cambria Math"/>
                            <w:bCs/>
                            <w:i/>
                            <w:color w:val="000000" w:themeColor="text1"/>
                            <w:sz w:val="24"/>
                            <w:szCs w:val="24"/>
                            <w:highlight w:val="none"/>
                            <w:vertAlign w:val="baseline"/>
                            <w:lang w:val="en-US"/>
                            <w14:textFill>
                              <w14:solidFill>
                                <w14:schemeClr w14:val="tx1"/>
                              </w14:solidFill>
                            </w14:textFill>
                          </w:rPr>
                        </m:ctrlPr>
                      </m:sSubPr>
                      <m:e>
                        <m:r>
                          <m:rPr/>
                          <w:rPr>
                            <w:rFonts w:hint="default" w:ascii="Cambria Math" w:hAnsi="Cambria Math" w:cs="Cambria Math"/>
                            <w:color w:val="000000" w:themeColor="text1"/>
                            <w:sz w:val="24"/>
                            <w:szCs w:val="24"/>
                            <w:highlight w:val="none"/>
                            <w:vertAlign w:val="baseline"/>
                            <w:lang w:val="en-US" w:eastAsia="zh-CN"/>
                            <w14:textFill>
                              <w14:solidFill>
                                <w14:schemeClr w14:val="tx1"/>
                              </w14:solidFill>
                            </w14:textFill>
                          </w:rPr>
                          <m:t>C</m:t>
                        </m:r>
                        <m:ctrlPr>
                          <w:rPr>
                            <w:rFonts w:ascii="Cambria Math" w:hAnsi="Cambria Math" w:cs="Cambria Math"/>
                            <w:bCs/>
                            <w:i/>
                            <w:color w:val="000000" w:themeColor="text1"/>
                            <w:sz w:val="24"/>
                            <w:szCs w:val="24"/>
                            <w:highlight w:val="none"/>
                            <w:vertAlign w:val="baseline"/>
                            <w:lang w:val="en-US"/>
                            <w14:textFill>
                              <w14:solidFill>
                                <w14:schemeClr w14:val="tx1"/>
                              </w14:solidFill>
                            </w14:textFill>
                          </w:rPr>
                        </m:ctrlPr>
                      </m:e>
                      <m:sub>
                        <m:r>
                          <m:rPr/>
                          <w:rPr>
                            <w:rFonts w:hint="default" w:ascii="Cambria Math" w:hAnsi="Cambria Math" w:cs="Cambria Math"/>
                            <w:color w:val="000000" w:themeColor="text1"/>
                            <w:sz w:val="24"/>
                            <w:szCs w:val="24"/>
                            <w:highlight w:val="none"/>
                            <w:vertAlign w:val="baseline"/>
                            <w:lang w:val="en-US" w:eastAsia="zh-CN"/>
                            <w14:textFill>
                              <w14:solidFill>
                                <w14:schemeClr w14:val="tx1"/>
                              </w14:solidFill>
                            </w14:textFill>
                          </w:rPr>
                          <m:t>m</m:t>
                        </m:r>
                        <m:ctrlPr>
                          <w:rPr>
                            <w:rFonts w:ascii="Cambria Math" w:hAnsi="Cambria Math" w:cs="Cambria Math"/>
                            <w:bCs/>
                            <w:i/>
                            <w:color w:val="000000" w:themeColor="text1"/>
                            <w:sz w:val="24"/>
                            <w:szCs w:val="24"/>
                            <w:highlight w:val="none"/>
                            <w:vertAlign w:val="baseline"/>
                            <w:lang w:val="en-US"/>
                            <w14:textFill>
                              <w14:solidFill>
                                <w14:schemeClr w14:val="tx1"/>
                              </w14:solidFill>
                            </w14:textFill>
                          </w:rPr>
                        </m:ctrlPr>
                      </m:sub>
                    </m:sSub>
                    <m:ctrlPr>
                      <w:rPr>
                        <w:rFonts w:hint="default" w:ascii="Cambria Math" w:hAnsi="Cambria Math" w:cs="Cambria Math"/>
                        <w:bCs/>
                        <w:i/>
                        <w:color w:val="000000" w:themeColor="text1"/>
                        <w:sz w:val="24"/>
                        <w:szCs w:val="24"/>
                        <w:highlight w:val="none"/>
                        <w:vertAlign w:val="baseline"/>
                        <w:lang w:val="en-US" w:eastAsia="zh-CN"/>
                        <w14:textFill>
                          <w14:solidFill>
                            <w14:schemeClr w14:val="tx1"/>
                          </w14:solidFill>
                        </w14:textFill>
                      </w:rPr>
                    </m:ctrlPr>
                  </m:e>
                </m:d>
                <m:r>
                  <m:rPr/>
                  <w:rPr>
                    <w:rFonts w:hint="default" w:ascii="Cambria Math" w:hAnsi="Cambria Math" w:cs="Cambria Math"/>
                    <w:color w:val="000000" w:themeColor="text1"/>
                    <w:sz w:val="24"/>
                    <w:szCs w:val="24"/>
                    <w:highlight w:val="none"/>
                    <w:vertAlign w:val="baseline"/>
                    <w:lang w:val="en-US" w:eastAsia="zh-CN"/>
                    <w14:textFill>
                      <w14:solidFill>
                        <w14:schemeClr w14:val="tx1"/>
                      </w14:solidFill>
                    </w14:textFill>
                  </w:rPr>
                  <m:t>×</m:t>
                </m:r>
                <m:d>
                  <m:dPr>
                    <m:ctrlPr>
                      <w:rPr>
                        <w:rFonts w:hint="default" w:ascii="Cambria Math" w:hAnsi="Cambria Math" w:cs="Cambria Math"/>
                        <w:bCs/>
                        <w:i/>
                        <w:color w:val="000000" w:themeColor="text1"/>
                        <w:sz w:val="24"/>
                        <w:szCs w:val="24"/>
                        <w:highlight w:val="none"/>
                        <w:vertAlign w:val="baseline"/>
                        <w:lang w:val="en-US" w:eastAsia="zh-CN"/>
                        <w14:textFill>
                          <w14:solidFill>
                            <w14:schemeClr w14:val="tx1"/>
                          </w14:solidFill>
                        </w14:textFill>
                      </w:rPr>
                    </m:ctrlPr>
                  </m:dPr>
                  <m:e>
                    <m:r>
                      <m:rPr/>
                      <w:rPr>
                        <w:rFonts w:hint="default" w:ascii="Cambria Math" w:hAnsi="Cambria Math" w:cs="Cambria Math"/>
                        <w:color w:val="000000" w:themeColor="text1"/>
                        <w:sz w:val="24"/>
                        <w:szCs w:val="24"/>
                        <w:highlight w:val="none"/>
                        <w:vertAlign w:val="baseline"/>
                        <w:lang w:val="en-US" w:eastAsia="zh-CN"/>
                        <w14:textFill>
                          <w14:solidFill>
                            <w14:schemeClr w14:val="tx1"/>
                          </w14:solidFill>
                        </w14:textFill>
                      </w:rPr>
                      <m:t>1</m:t>
                    </m:r>
                    <m:r>
                      <m:rPr/>
                      <w:rPr>
                        <w:rFonts w:ascii="Cambria Math" w:hAnsi="Cambria Math" w:cs="Cambria Math"/>
                        <w:color w:val="000000" w:themeColor="text1"/>
                        <w:sz w:val="24"/>
                        <w:szCs w:val="24"/>
                        <w:highlight w:val="none"/>
                        <w:vertAlign w:val="baseline"/>
                        <w:lang w:val="en-US"/>
                        <w14:textFill>
                          <w14:solidFill>
                            <w14:schemeClr w14:val="tx1"/>
                          </w14:solidFill>
                        </w14:textFill>
                      </w:rPr>
                      <m:t>−</m:t>
                    </m:r>
                    <m:sSub>
                      <m:sSubPr>
                        <m:ctrlPr>
                          <w:rPr>
                            <w:rFonts w:ascii="Cambria Math" w:hAnsi="Cambria Math" w:cs="Cambria Math"/>
                            <w:bCs/>
                            <w:i/>
                            <w:color w:val="000000" w:themeColor="text1"/>
                            <w:sz w:val="24"/>
                            <w:szCs w:val="24"/>
                            <w:highlight w:val="none"/>
                            <w:vertAlign w:val="baseline"/>
                            <w:lang w:val="en-US"/>
                            <w14:textFill>
                              <w14:solidFill>
                                <w14:schemeClr w14:val="tx1"/>
                              </w14:solidFill>
                            </w14:textFill>
                          </w:rPr>
                        </m:ctrlPr>
                      </m:sSubPr>
                      <m:e>
                        <m:r>
                          <m:rPr/>
                          <w:rPr>
                            <w:rFonts w:hint="default" w:ascii="Cambria Math" w:hAnsi="Cambria Math" w:cs="Cambria Math"/>
                            <w:color w:val="000000" w:themeColor="text1"/>
                            <w:sz w:val="24"/>
                            <w:szCs w:val="24"/>
                            <w:highlight w:val="none"/>
                            <w:vertAlign w:val="baseline"/>
                            <w:lang w:val="en-US" w:eastAsia="zh-CN"/>
                            <w14:textFill>
                              <w14:solidFill>
                                <w14:schemeClr w14:val="tx1"/>
                              </w14:solidFill>
                            </w14:textFill>
                          </w:rPr>
                          <m:t>T</m:t>
                        </m:r>
                        <m:ctrlPr>
                          <w:rPr>
                            <w:rFonts w:ascii="Cambria Math" w:hAnsi="Cambria Math" w:cs="Cambria Math"/>
                            <w:bCs/>
                            <w:i/>
                            <w:color w:val="000000" w:themeColor="text1"/>
                            <w:sz w:val="24"/>
                            <w:szCs w:val="24"/>
                            <w:highlight w:val="none"/>
                            <w:vertAlign w:val="baseline"/>
                            <w:lang w:val="en-US"/>
                            <w14:textFill>
                              <w14:solidFill>
                                <w14:schemeClr w14:val="tx1"/>
                              </w14:solidFill>
                            </w14:textFill>
                          </w:rPr>
                        </m:ctrlPr>
                      </m:e>
                      <m:sub>
                        <m:r>
                          <m:rPr/>
                          <w:rPr>
                            <w:rFonts w:hint="default" w:ascii="Cambria Math" w:hAnsi="Cambria Math" w:cs="Cambria Math"/>
                            <w:color w:val="000000" w:themeColor="text1"/>
                            <w:sz w:val="24"/>
                            <w:szCs w:val="24"/>
                            <w:highlight w:val="none"/>
                            <w:vertAlign w:val="baseline"/>
                            <w:lang w:val="en-US" w:eastAsia="zh-CN"/>
                            <w14:textFill>
                              <w14:solidFill>
                                <w14:schemeClr w14:val="tx1"/>
                              </w14:solidFill>
                            </w14:textFill>
                          </w:rPr>
                          <m:t>m</m:t>
                        </m:r>
                        <m:ctrlPr>
                          <w:rPr>
                            <w:rFonts w:ascii="Cambria Math" w:hAnsi="Cambria Math" w:cs="Cambria Math"/>
                            <w:bCs/>
                            <w:i/>
                            <w:color w:val="000000" w:themeColor="text1"/>
                            <w:sz w:val="24"/>
                            <w:szCs w:val="24"/>
                            <w:highlight w:val="none"/>
                            <w:vertAlign w:val="baseline"/>
                            <w:lang w:val="en-US"/>
                            <w14:textFill>
                              <w14:solidFill>
                                <w14:schemeClr w14:val="tx1"/>
                              </w14:solidFill>
                            </w14:textFill>
                          </w:rPr>
                        </m:ctrlPr>
                      </m:sub>
                    </m:sSub>
                    <m:ctrlPr>
                      <w:rPr>
                        <w:rFonts w:hint="default" w:ascii="Cambria Math" w:hAnsi="Cambria Math" w:cs="Cambria Math"/>
                        <w:bCs/>
                        <w:i/>
                        <w:color w:val="000000" w:themeColor="text1"/>
                        <w:sz w:val="24"/>
                        <w:szCs w:val="24"/>
                        <w:highlight w:val="none"/>
                        <w:vertAlign w:val="baseline"/>
                        <w:lang w:val="en-US" w:eastAsia="zh-CN"/>
                        <w14:textFill>
                          <w14:solidFill>
                            <w14:schemeClr w14:val="tx1"/>
                          </w14:solidFill>
                        </w14:textFill>
                      </w:rPr>
                    </m:ctrlPr>
                  </m:e>
                </m:d>
              </m:oMath>
            </m:oMathPara>
          </w:p>
          <w:p w14:paraId="288143A8">
            <w:pPr>
              <w:pStyle w:val="82"/>
              <w:adjustRightInd w:val="0"/>
              <w:snapToGrid w:val="0"/>
              <w:ind w:firstLine="480" w:firstLineChars="200"/>
              <w:jc w:val="both"/>
              <w:outlineLvl w:val="2"/>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pP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式中：P指颗粒物产生量（单位：吨）；</w:t>
            </w:r>
          </w:p>
          <w:p w14:paraId="74544E31">
            <w:pPr>
              <w:pStyle w:val="82"/>
              <w:keepNext w:val="0"/>
              <w:keepLines w:val="0"/>
              <w:pageBreakBefore w:val="0"/>
              <w:widowControl w:val="0"/>
              <w:kinsoku/>
              <w:wordWrap/>
              <w:overflowPunct/>
              <w:topLinePunct w:val="0"/>
              <w:autoSpaceDE/>
              <w:autoSpaceDN/>
              <w:bidi w:val="0"/>
              <w:adjustRightInd w:val="0"/>
              <w:snapToGrid w:val="0"/>
              <w:ind w:firstLine="1200" w:firstLineChars="500"/>
              <w:jc w:val="both"/>
              <w:textAlignment w:val="auto"/>
              <w:outlineLvl w:val="9"/>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pP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U</w:t>
            </w:r>
            <w:r>
              <w:rPr>
                <w:rFonts w:hint="eastAsia" w:hAnsi="Cambria Math" w:cs="Cambria Math"/>
                <w:bCs/>
                <w:i w:val="0"/>
                <w:color w:val="000000" w:themeColor="text1"/>
                <w:sz w:val="24"/>
                <w:szCs w:val="24"/>
                <w:highlight w:val="none"/>
                <w:vertAlign w:val="subscript"/>
                <w:lang w:val="en-US" w:eastAsia="zh-CN"/>
                <w14:textFill>
                  <w14:solidFill>
                    <w14:schemeClr w14:val="tx1"/>
                  </w14:solidFill>
                </w14:textFill>
              </w:rPr>
              <w:t>C</w:t>
            </w: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指颗粒物排放量（单位：吨）；</w:t>
            </w:r>
          </w:p>
          <w:p w14:paraId="4E8FA977">
            <w:pPr>
              <w:pStyle w:val="82"/>
              <w:keepNext w:val="0"/>
              <w:keepLines w:val="0"/>
              <w:pageBreakBefore w:val="0"/>
              <w:widowControl w:val="0"/>
              <w:kinsoku/>
              <w:wordWrap/>
              <w:overflowPunct/>
              <w:topLinePunct w:val="0"/>
              <w:autoSpaceDE/>
              <w:autoSpaceDN/>
              <w:bidi w:val="0"/>
              <w:adjustRightInd w:val="0"/>
              <w:snapToGrid w:val="0"/>
              <w:ind w:firstLine="1200" w:firstLineChars="500"/>
              <w:jc w:val="both"/>
              <w:textAlignment w:val="auto"/>
              <w:outlineLvl w:val="9"/>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pP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C</w:t>
            </w:r>
            <w:r>
              <w:rPr>
                <w:rFonts w:hint="eastAsia" w:hAnsi="Cambria Math" w:cs="Cambria Math"/>
                <w:bCs/>
                <w:i w:val="0"/>
                <w:color w:val="000000" w:themeColor="text1"/>
                <w:sz w:val="24"/>
                <w:szCs w:val="24"/>
                <w:highlight w:val="none"/>
                <w:vertAlign w:val="subscript"/>
                <w:lang w:val="en-US" w:eastAsia="zh-CN"/>
                <w14:textFill>
                  <w14:solidFill>
                    <w14:schemeClr w14:val="tx1"/>
                  </w14:solidFill>
                </w14:textFill>
              </w:rPr>
              <w:t>m</w:t>
            </w: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指颗粒物控制措施控制效率（单位：%）；</w:t>
            </w:r>
          </w:p>
          <w:p w14:paraId="524E6330">
            <w:pPr>
              <w:pStyle w:val="82"/>
              <w:keepNext w:val="0"/>
              <w:keepLines w:val="0"/>
              <w:pageBreakBefore w:val="0"/>
              <w:widowControl w:val="0"/>
              <w:kinsoku/>
              <w:wordWrap/>
              <w:overflowPunct/>
              <w:topLinePunct w:val="0"/>
              <w:autoSpaceDE/>
              <w:autoSpaceDN/>
              <w:bidi w:val="0"/>
              <w:adjustRightInd w:val="0"/>
              <w:snapToGrid w:val="0"/>
              <w:ind w:firstLine="1200" w:firstLineChars="500"/>
              <w:jc w:val="both"/>
              <w:textAlignment w:val="auto"/>
              <w:outlineLvl w:val="9"/>
              <w:rPr>
                <w:rFonts w:hint="default" w:hAnsi="Cambria Math" w:cs="Cambria Math"/>
                <w:bCs/>
                <w:i w:val="0"/>
                <w:color w:val="000000" w:themeColor="text1"/>
                <w:sz w:val="24"/>
                <w:szCs w:val="24"/>
                <w:highlight w:val="none"/>
                <w:vertAlign w:val="baseline"/>
                <w:lang w:val="en-US" w:eastAsia="zh-CN"/>
                <w14:textFill>
                  <w14:solidFill>
                    <w14:schemeClr w14:val="tx1"/>
                  </w14:solidFill>
                </w14:textFill>
              </w:rPr>
            </w:pP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T</w:t>
            </w:r>
            <w:r>
              <w:rPr>
                <w:rFonts w:hint="eastAsia" w:hAnsi="Cambria Math" w:cs="Cambria Math"/>
                <w:bCs/>
                <w:i w:val="0"/>
                <w:color w:val="000000" w:themeColor="text1"/>
                <w:sz w:val="24"/>
                <w:szCs w:val="24"/>
                <w:highlight w:val="none"/>
                <w:vertAlign w:val="subscript"/>
                <w:lang w:val="en-US" w:eastAsia="zh-CN"/>
                <w14:textFill>
                  <w14:solidFill>
                    <w14:schemeClr w14:val="tx1"/>
                  </w14:solidFill>
                </w14:textFill>
              </w:rPr>
              <w:t>m</w:t>
            </w: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指堆场类型控制效率（单位：%）。</w:t>
            </w:r>
          </w:p>
          <w:p w14:paraId="623E6AAF">
            <w:pPr>
              <w:bidi w:val="0"/>
              <w:jc w:val="center"/>
              <w:rPr>
                <w:rFonts w:hint="default"/>
                <w:b/>
                <w:bCs/>
                <w:color w:val="000000" w:themeColor="text1"/>
                <w:sz w:val="24"/>
                <w:szCs w:val="24"/>
                <w:vertAlign w:val="baseline"/>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表2-21  参数取值及计算结果</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2168"/>
              <w:gridCol w:w="2168"/>
              <w:gridCol w:w="2170"/>
            </w:tblGrid>
            <w:tr w14:paraId="4027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Align w:val="center"/>
                </w:tcPr>
                <w:p w14:paraId="295A3C45">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P</w:t>
                  </w:r>
                </w:p>
              </w:tc>
              <w:tc>
                <w:tcPr>
                  <w:tcW w:w="1239" w:type="dxa"/>
                  <w:vAlign w:val="center"/>
                </w:tcPr>
                <w:p w14:paraId="7A0E77AF">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C</w:t>
                  </w:r>
                  <w:r>
                    <w:rPr>
                      <w:rFonts w:hint="eastAsia" w:hAnsi="Cambria Math" w:cs="Cambria Math"/>
                      <w:bCs/>
                      <w:i w:val="0"/>
                      <w:color w:val="000000" w:themeColor="text1"/>
                      <w:sz w:val="24"/>
                      <w:szCs w:val="24"/>
                      <w:highlight w:val="none"/>
                      <w:vertAlign w:val="subscript"/>
                      <w:lang w:val="en-US" w:eastAsia="zh-CN"/>
                      <w14:textFill>
                        <w14:solidFill>
                          <w14:schemeClr w14:val="tx1"/>
                        </w14:solidFill>
                      </w14:textFill>
                    </w:rPr>
                    <w:t>m</w:t>
                  </w:r>
                </w:p>
              </w:tc>
              <w:tc>
                <w:tcPr>
                  <w:tcW w:w="1239" w:type="dxa"/>
                  <w:vAlign w:val="center"/>
                </w:tcPr>
                <w:p w14:paraId="0C67709B">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T</w:t>
                  </w:r>
                  <w:r>
                    <w:rPr>
                      <w:rFonts w:hint="eastAsia" w:hAnsi="Cambria Math" w:cs="Cambria Math"/>
                      <w:bCs/>
                      <w:i w:val="0"/>
                      <w:color w:val="000000" w:themeColor="text1"/>
                      <w:sz w:val="24"/>
                      <w:szCs w:val="24"/>
                      <w:highlight w:val="none"/>
                      <w:vertAlign w:val="subscript"/>
                      <w:lang w:val="en-US" w:eastAsia="zh-CN"/>
                      <w14:textFill>
                        <w14:solidFill>
                          <w14:schemeClr w14:val="tx1"/>
                        </w14:solidFill>
                      </w14:textFill>
                    </w:rPr>
                    <w:t>m</w:t>
                  </w:r>
                </w:p>
              </w:tc>
              <w:tc>
                <w:tcPr>
                  <w:tcW w:w="1240" w:type="dxa"/>
                  <w:vAlign w:val="center"/>
                </w:tcPr>
                <w:p w14:paraId="49AAC926">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计算结果（</w:t>
                  </w: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U</w:t>
                  </w:r>
                  <w:r>
                    <w:rPr>
                      <w:rFonts w:hint="eastAsia" w:hAnsi="Cambria Math" w:cs="Cambria Math"/>
                      <w:bCs/>
                      <w:i w:val="0"/>
                      <w:color w:val="000000" w:themeColor="text1"/>
                      <w:sz w:val="24"/>
                      <w:szCs w:val="24"/>
                      <w:highlight w:val="none"/>
                      <w:vertAlign w:val="subscript"/>
                      <w:lang w:val="en-US" w:eastAsia="zh-CN"/>
                      <w14:textFill>
                        <w14:solidFill>
                          <w14:schemeClr w14:val="tx1"/>
                        </w14:solidFill>
                      </w14:textFill>
                    </w:rPr>
                    <w:t>C</w:t>
                  </w:r>
                  <w:r>
                    <w:rPr>
                      <w:rFonts w:hint="eastAsia"/>
                      <w:b w:val="0"/>
                      <w:bCs w:val="0"/>
                      <w:color w:val="000000" w:themeColor="text1"/>
                      <w:sz w:val="21"/>
                      <w:szCs w:val="21"/>
                      <w:vertAlign w:val="baseline"/>
                      <w:lang w:val="en-US" w:eastAsia="zh-CN"/>
                      <w14:textFill>
                        <w14:solidFill>
                          <w14:schemeClr w14:val="tx1"/>
                        </w14:solidFill>
                      </w14:textFill>
                    </w:rPr>
                    <w:t>）</w:t>
                  </w:r>
                </w:p>
              </w:tc>
            </w:tr>
            <w:tr w14:paraId="36A78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Align w:val="center"/>
                </w:tcPr>
                <w:p w14:paraId="3F8CAFAB">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26.36</w:t>
                  </w:r>
                </w:p>
              </w:tc>
              <w:tc>
                <w:tcPr>
                  <w:tcW w:w="1239" w:type="dxa"/>
                  <w:vAlign w:val="center"/>
                </w:tcPr>
                <w:p w14:paraId="68ED84F0">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74%（喷雾降尘）</w:t>
                  </w:r>
                </w:p>
              </w:tc>
              <w:tc>
                <w:tcPr>
                  <w:tcW w:w="1239" w:type="dxa"/>
                  <w:vAlign w:val="center"/>
                </w:tcPr>
                <w:p w14:paraId="4DF8BAF1">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60%（半敞开式）</w:t>
                  </w:r>
                </w:p>
              </w:tc>
              <w:tc>
                <w:tcPr>
                  <w:tcW w:w="1240" w:type="dxa"/>
                  <w:vAlign w:val="center"/>
                </w:tcPr>
                <w:p w14:paraId="5693640C">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2.74</w:t>
                  </w:r>
                </w:p>
              </w:tc>
            </w:tr>
          </w:tbl>
          <w:p w14:paraId="0ECBD1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根据上述计算可得，</w:t>
            </w:r>
            <w:r>
              <w:rPr>
                <w:rFonts w:hint="eastAsia" w:cs="Times New Roman"/>
                <w:color w:val="000000" w:themeColor="text1"/>
                <w:sz w:val="24"/>
                <w:szCs w:val="24"/>
                <w:lang w:val="en-US" w:eastAsia="zh-CN"/>
                <w14:textFill>
                  <w14:solidFill>
                    <w14:schemeClr w14:val="tx1"/>
                  </w14:solidFill>
                </w14:textFill>
              </w:rPr>
              <w:t>原有</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项目原料堆场扬尘产生量为</w:t>
            </w:r>
            <w:r>
              <w:rPr>
                <w:rFonts w:hint="eastAsia" w:cs="Times New Roman"/>
                <w:color w:val="000000" w:themeColor="text1"/>
                <w:sz w:val="24"/>
                <w:szCs w:val="24"/>
                <w:lang w:val="en-US" w:eastAsia="zh-CN"/>
                <w14:textFill>
                  <w14:solidFill>
                    <w14:schemeClr w14:val="tx1"/>
                  </w14:solidFill>
                </w14:textFill>
              </w:rPr>
              <w:t>26.36</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t/a，排放量为</w:t>
            </w:r>
            <w:r>
              <w:rPr>
                <w:rFonts w:hint="eastAsia" w:cs="Times New Roman"/>
                <w:color w:val="000000" w:themeColor="text1"/>
                <w:sz w:val="24"/>
                <w:szCs w:val="24"/>
                <w:lang w:val="en-US" w:eastAsia="zh-CN"/>
                <w14:textFill>
                  <w14:solidFill>
                    <w14:schemeClr w14:val="tx1"/>
                  </w14:solidFill>
                </w14:textFill>
              </w:rPr>
              <w:t>2.74</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t/a。</w:t>
            </w:r>
          </w:p>
          <w:p w14:paraId="30FB751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②</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筛分、粉磨</w:t>
            </w:r>
            <w:r>
              <w:rPr>
                <w:rFonts w:hint="default" w:ascii="Times New Roman" w:hAnsi="Times New Roman" w:eastAsia="宋体" w:cs="Times New Roman"/>
                <w:color w:val="000000" w:themeColor="text1"/>
                <w:sz w:val="24"/>
                <w:szCs w:val="24"/>
                <w14:textFill>
                  <w14:solidFill>
                    <w14:schemeClr w14:val="tx1"/>
                  </w14:solidFill>
                </w14:textFill>
              </w:rPr>
              <w:t>粉尘</w:t>
            </w:r>
          </w:p>
          <w:p w14:paraId="1BCFE6D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原料进行</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筛分、粉磨</w:t>
            </w:r>
            <w:r>
              <w:rPr>
                <w:rFonts w:hint="default" w:ascii="Times New Roman" w:hAnsi="Times New Roman" w:eastAsia="宋体" w:cs="Times New Roman"/>
                <w:color w:val="000000" w:themeColor="text1"/>
                <w:sz w:val="24"/>
                <w:szCs w:val="24"/>
                <w14:textFill>
                  <w14:solidFill>
                    <w14:schemeClr w14:val="tx1"/>
                  </w14:solidFill>
                </w14:textFill>
              </w:rPr>
              <w:t>的过程中会产生粉尘，</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本次核算参考</w:t>
            </w:r>
            <w:r>
              <w:rPr>
                <w:rFonts w:hint="eastAsia"/>
                <w:bCs/>
                <w:color w:val="000000" w:themeColor="text1"/>
                <w:sz w:val="24"/>
                <w:szCs w:val="24"/>
                <w14:textFill>
                  <w14:solidFill>
                    <w14:schemeClr w14:val="tx1"/>
                  </w14:solidFill>
                </w14:textFill>
              </w:rPr>
              <w:t>《排放源统计调查产排污核算方法和系数手册》</w:t>
            </w:r>
            <w:r>
              <w:rPr>
                <w:rFonts w:hint="eastAsia"/>
                <w:bCs/>
                <w:color w:val="000000" w:themeColor="text1"/>
                <w:sz w:val="24"/>
                <w:szCs w:val="24"/>
                <w:lang w:val="en-US" w:eastAsia="zh-CN"/>
                <w14:textFill>
                  <w14:solidFill>
                    <w14:schemeClr w14:val="tx1"/>
                  </w14:solidFill>
                </w14:textFill>
              </w:rPr>
              <w:t>3031粘土砖瓦及建筑砌块制造</w:t>
            </w:r>
            <w:r>
              <w:rPr>
                <w:rFonts w:hint="eastAsia"/>
                <w:bCs/>
                <w:color w:val="000000" w:themeColor="text1"/>
                <w:sz w:val="24"/>
                <w:szCs w:val="24"/>
                <w14:textFill>
                  <w14:solidFill>
                    <w14:schemeClr w14:val="tx1"/>
                  </w14:solidFill>
                </w14:textFill>
              </w:rPr>
              <w:t>系数表</w:t>
            </w:r>
            <w:r>
              <w:rPr>
                <w:rFonts w:hint="eastAsia"/>
                <w:bCs/>
                <w:color w:val="000000" w:themeColor="text1"/>
                <w:sz w:val="24"/>
                <w:szCs w:val="24"/>
                <w:lang w:val="en-US" w:eastAsia="zh-CN"/>
                <w14:textFill>
                  <w14:solidFill>
                    <w14:schemeClr w14:val="tx1"/>
                  </w14:solidFill>
                </w14:textFill>
              </w:rPr>
              <w:t>中破碎、筛分工艺颗粒物产排系数法核算，即颗粒物产污系数为1.23kg/万块标砖，根据《烧结普通砖》（GB/T5101-2017），标准砖公称尺寸为240×115×53mm，原有项目年产1000万片青瓦，折算为标砖约1272万块标砖，则原有项目筛分、粉磨粉尘产生量为1.56t/a，原有项目在筛分机上设置有收集罩，收集率按60%计算，粉磨粉尘通过管道收集，统一设置有1套袋式收尘器收集（收尘效率取60%），经收尘后无组织颗粒物排放量为0.87t/a。</w:t>
            </w:r>
          </w:p>
          <w:p w14:paraId="4DC06F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③运输扬尘</w:t>
            </w:r>
          </w:p>
          <w:p w14:paraId="78AF420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运输扬尘主要是车辆经过带起的粉尘，</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项目运输扬尘主要来自原料、成品运输产生的粉尘，</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运输线路上的起尘量按下式计算：</w:t>
            </w:r>
          </w:p>
          <w:p w14:paraId="05DEFF57">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pPr>
            <w:r>
              <w:rPr>
                <w:rFonts w:ascii="Times New Roman" w:hAnsi="Times New Roman"/>
                <w:color w:val="000000" w:themeColor="text1"/>
                <w:position w:val="-46"/>
                <w:sz w:val="24"/>
                <w:szCs w:val="24"/>
                <w14:textFill>
                  <w14:solidFill>
                    <w14:schemeClr w14:val="tx1"/>
                  </w14:solidFill>
                </w14:textFill>
              </w:rPr>
              <w:object>
                <v:shape id="_x0000_i1031" o:spt="75" type="#_x0000_t75" style="height:50.25pt;width:224.3pt;" o:ole="t" fillcolor="#6D6D6D" filled="f" o:preferrelative="t" stroked="f" coordsize="21600,21600">
                  <v:path/>
                  <v:fill on="f" focussize="0,0"/>
                  <v:stroke on="f" joinstyle="miter"/>
                  <v:imagedata r:id="rId25" o:title=""/>
                  <o:lock v:ext="edit" aspectratio="t"/>
                  <w10:wrap type="none"/>
                  <w10:anchorlock/>
                </v:shape>
                <o:OLEObject Type="Embed" ProgID="Equations" ShapeID="_x0000_i1031" DrawAspect="Content" ObjectID="_1468075731" r:id="rId24">
                  <o:LockedField>false</o:LockedField>
                </o:OLEObject>
              </w:object>
            </w:r>
          </w:p>
          <w:p w14:paraId="214D8973">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式中：QP——道路扬尘量（kg/km·辆）；</w:t>
            </w:r>
          </w:p>
          <w:p w14:paraId="1EF3552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 xml:space="preserve">      QP</w:t>
            </w:r>
            <w:r>
              <w:rPr>
                <w:rFonts w:hint="default" w:ascii="Times New Roman" w:hAnsi="Times New Roman" w:eastAsia="宋体" w:cs="Times New Roman"/>
                <w:b w:val="0"/>
                <w:bCs w:val="0"/>
                <w:color w:val="000000" w:themeColor="text1"/>
                <w:sz w:val="24"/>
                <w:szCs w:val="24"/>
                <w:vertAlign w:val="superscript"/>
                <w:lang w:eastAsia="zh-CN"/>
                <w14:textFill>
                  <w14:solidFill>
                    <w14:schemeClr w14:val="tx1"/>
                  </w14:solidFill>
                </w14:textFill>
              </w:rPr>
              <w:t>1</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——总扬尘量（kg/a）；</w:t>
            </w:r>
          </w:p>
          <w:p w14:paraId="4383C7BE">
            <w:pPr>
              <w:keepNext w:val="0"/>
              <w:keepLines w:val="0"/>
              <w:pageBreakBefore w:val="0"/>
              <w:widowControl/>
              <w:suppressLineNumbers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 xml:space="preserve">      V——车辆速度（km/h），</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本项目取20km/h</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w:t>
            </w:r>
          </w:p>
          <w:p w14:paraId="7864BF73">
            <w:pPr>
              <w:keepNext w:val="0"/>
              <w:keepLines w:val="0"/>
              <w:pageBreakBefore w:val="0"/>
              <w:widowControl/>
              <w:suppressLineNumbers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M——车辆载重（t/辆），</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本项目取20t/辆；</w:t>
            </w:r>
          </w:p>
          <w:p w14:paraId="26FCA667">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 xml:space="preserve"> P表示道路灰尘覆盖量，kg/m</w:t>
            </w:r>
            <w:r>
              <w:rPr>
                <w:rFonts w:hint="default" w:ascii="Times New Roman" w:hAnsi="Times New Roman" w:eastAsia="宋体" w:cs="Times New Roman"/>
                <w:b w:val="0"/>
                <w:bCs w:val="0"/>
                <w:color w:val="000000" w:themeColor="text1"/>
                <w:sz w:val="24"/>
                <w:szCs w:val="24"/>
                <w:vertAlign w:val="superscript"/>
                <w:lang w:eastAsia="zh-CN"/>
                <w14:textFill>
                  <w14:solidFill>
                    <w14:schemeClr w14:val="tx1"/>
                  </w14:solidFill>
                </w14:textFill>
              </w:rPr>
              <w:t>2</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，根据南开大学环境科学与工程学院陈小华、 薛永华等人的《中国城市道路扬尘污染研究》，于2003-2004年期间，测定了石家庄、 济南、青岛、邯郸等城市的铺装道路的积尘量在0.017</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0.091kg/m</w:t>
            </w:r>
            <w:r>
              <w:rPr>
                <w:rFonts w:hint="default" w:ascii="Times New Roman" w:hAnsi="Times New Roman" w:eastAsia="宋体" w:cs="Times New Roman"/>
                <w:b w:val="0"/>
                <w:bCs w:val="0"/>
                <w:color w:val="000000" w:themeColor="text1"/>
                <w:sz w:val="24"/>
                <w:szCs w:val="24"/>
                <w:vertAlign w:val="superscript"/>
                <w:lang w:eastAsia="zh-CN"/>
                <w14:textFill>
                  <w14:solidFill>
                    <w14:schemeClr w14:val="tx1"/>
                  </w14:solidFill>
                </w14:textFill>
              </w:rPr>
              <w:t>2</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，本项目按最大值考虑，取0.1kg/m</w:t>
            </w:r>
            <w:r>
              <w:rPr>
                <w:rFonts w:hint="default" w:ascii="Times New Roman" w:hAnsi="Times New Roman" w:eastAsia="宋体" w:cs="Times New Roman"/>
                <w:b w:val="0"/>
                <w:bCs w:val="0"/>
                <w:color w:val="000000" w:themeColor="text1"/>
                <w:sz w:val="24"/>
                <w:szCs w:val="24"/>
                <w:vertAlign w:val="superscript"/>
                <w:lang w:eastAsia="zh-CN"/>
                <w14:textFill>
                  <w14:solidFill>
                    <w14:schemeClr w14:val="tx1"/>
                  </w14:solidFill>
                </w14:textFill>
              </w:rPr>
              <w:t>2</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w:t>
            </w:r>
          </w:p>
          <w:p w14:paraId="7FA32926">
            <w:pPr>
              <w:keepNext w:val="0"/>
              <w:keepLines w:val="0"/>
              <w:pageBreakBefore w:val="0"/>
              <w:widowControl/>
              <w:suppressLineNumbers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 xml:space="preserve">    L——运输距离（km）</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本项目取0.0</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km</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w:t>
            </w:r>
          </w:p>
          <w:p w14:paraId="2FBCACE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Q——运输量（t/a）本项目取</w:t>
            </w:r>
            <w:r>
              <w:rPr>
                <w:rFonts w:hint="eastAsia" w:cs="Times New Roman"/>
                <w:b w:val="0"/>
                <w:bCs w:val="0"/>
                <w:color w:val="000000" w:themeColor="text1"/>
                <w:sz w:val="24"/>
                <w:szCs w:val="24"/>
                <w:highlight w:val="none"/>
                <w:lang w:val="en-US" w:eastAsia="zh-CN"/>
                <w14:textFill>
                  <w14:solidFill>
                    <w14:schemeClr w14:val="tx1"/>
                  </w14:solidFill>
                </w14:textFill>
              </w:rPr>
              <w:t>66880</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t/a。</w:t>
            </w:r>
          </w:p>
          <w:p w14:paraId="068E433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根据以上公式计算得出：运输起尘量Qp为</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0.369</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kg/km·辆，则本项目运输车辆产生的扬尘量为</w:t>
            </w:r>
            <w:r>
              <w:rPr>
                <w:rFonts w:hint="eastAsia" w:cs="Times New Roman"/>
                <w:b w:val="0"/>
                <w:bCs w:val="0"/>
                <w:color w:val="000000" w:themeColor="text1"/>
                <w:sz w:val="24"/>
                <w:szCs w:val="24"/>
                <w:highlight w:val="none"/>
                <w:lang w:val="en-US" w:eastAsia="zh-CN"/>
                <w14:textFill>
                  <w14:solidFill>
                    <w14:schemeClr w14:val="tx1"/>
                  </w14:solidFill>
                </w14:textFill>
              </w:rPr>
              <w:t>0.02</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t/a。</w:t>
            </w:r>
            <w:r>
              <w:rPr>
                <w:rFonts w:hint="default" w:ascii="Times New Roman" w:hAnsi="Times New Roman" w:cs="Times New Roman"/>
                <w:color w:val="000000" w:themeColor="text1"/>
                <w:spacing w:val="-2"/>
                <w:sz w:val="24"/>
                <w:szCs w:val="24"/>
                <w:highlight w:val="none"/>
                <w:lang w:val="en-US" w:eastAsia="zh-CN"/>
                <w14:textFill>
                  <w14:solidFill>
                    <w14:schemeClr w14:val="tx1"/>
                  </w14:solidFill>
                </w14:textFill>
              </w:rPr>
              <w:t>项目采取道路</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洒水降尘、运输车辆苫盖</w:t>
            </w:r>
            <w:r>
              <w:rPr>
                <w:rFonts w:hint="default" w:ascii="Times New Roman" w:hAnsi="Times New Roman" w:cs="Times New Roman"/>
                <w:color w:val="000000" w:themeColor="text1"/>
                <w:spacing w:val="-2"/>
                <w:sz w:val="24"/>
                <w:szCs w:val="24"/>
                <w:highlight w:val="none"/>
                <w:lang w:val="en-US" w:eastAsia="zh-CN"/>
                <w14:textFill>
                  <w14:solidFill>
                    <w14:schemeClr w14:val="tx1"/>
                  </w14:solidFill>
                </w14:textFill>
              </w:rPr>
              <w:t>等措施</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，粉尘可减少</w:t>
            </w:r>
            <w:r>
              <w:rPr>
                <w:rFonts w:hint="default" w:ascii="Times New Roman" w:hAnsi="Times New Roman" w:cs="Times New Roman"/>
                <w:color w:val="000000" w:themeColor="text1"/>
                <w:spacing w:val="-2"/>
                <w:sz w:val="24"/>
                <w:szCs w:val="24"/>
                <w:highlight w:val="none"/>
                <w:lang w:val="en-US" w:eastAsia="zh-CN"/>
                <w14:textFill>
                  <w14:solidFill>
                    <w14:schemeClr w14:val="tx1"/>
                  </w14:solidFill>
                </w14:textFill>
              </w:rPr>
              <w:t>约4</w:t>
            </w:r>
            <w:r>
              <w:rPr>
                <w:rFonts w:hint="default" w:ascii="Times New Roman" w:hAnsi="Times New Roman" w:eastAsia="Times New Roman" w:cs="Times New Roman"/>
                <w:color w:val="000000" w:themeColor="text1"/>
                <w:spacing w:val="-2"/>
                <w:sz w:val="24"/>
                <w:szCs w:val="24"/>
                <w:highlight w:val="none"/>
                <w14:textFill>
                  <w14:solidFill>
                    <w14:schemeClr w14:val="tx1"/>
                  </w14:solidFill>
                </w14:textFill>
              </w:rPr>
              <w:t>0%</w:t>
            </w:r>
            <w:r>
              <w:rPr>
                <w:rFonts w:hint="default" w:ascii="Times New Roman" w:hAnsi="Times New Roman" w:cs="Times New Roman"/>
                <w:color w:val="000000" w:themeColor="text1"/>
                <w:spacing w:val="-2"/>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pacing w:val="-2"/>
                <w:sz w:val="24"/>
                <w:szCs w:val="24"/>
                <w:highlight w:val="none"/>
                <w:lang w:val="en-US" w:eastAsia="zh-CN"/>
                <w14:textFill>
                  <w14:solidFill>
                    <w14:schemeClr w14:val="tx1"/>
                  </w14:solidFill>
                </w14:textFill>
              </w:rPr>
              <w:t>则运输扬尘排放量为</w:t>
            </w:r>
            <w:r>
              <w:rPr>
                <w:rFonts w:hint="eastAsia" w:cs="Times New Roman"/>
                <w:color w:val="000000" w:themeColor="text1"/>
                <w:spacing w:val="-2"/>
                <w:sz w:val="24"/>
                <w:szCs w:val="24"/>
                <w:highlight w:val="none"/>
                <w:lang w:val="en-US" w:eastAsia="zh-CN"/>
                <w14:textFill>
                  <w14:solidFill>
                    <w14:schemeClr w14:val="tx1"/>
                  </w14:solidFill>
                </w14:textFill>
              </w:rPr>
              <w:t>0.012</w:t>
            </w:r>
            <w:r>
              <w:rPr>
                <w:rFonts w:hint="default" w:ascii="Times New Roman" w:hAnsi="Times New Roman" w:eastAsia="Times New Roman" w:cs="Times New Roman"/>
                <w:color w:val="000000" w:themeColor="text1"/>
                <w:spacing w:val="-2"/>
                <w:sz w:val="24"/>
                <w:szCs w:val="24"/>
                <w:highlight w:val="none"/>
                <w14:textFill>
                  <w14:solidFill>
                    <w14:schemeClr w14:val="tx1"/>
                  </w14:solidFill>
                </w14:textFill>
              </w:rPr>
              <w:t>t/a</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w:t>
            </w:r>
          </w:p>
          <w:p w14:paraId="14B011B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本次环评收集了现有项目</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罗平县慧联青瓦厂2024年第二季度自行监测报告</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（报告编号：YNZKBG20240612005）中无组织排放</w:t>
            </w:r>
            <w:r>
              <w:rPr>
                <w:rFonts w:hint="default" w:ascii="Times New Roman" w:hAnsi="Times New Roman" w:eastAsia="宋体" w:cs="Times New Roman"/>
                <w:color w:val="000000" w:themeColor="text1"/>
                <w:sz w:val="24"/>
                <w:szCs w:val="24"/>
                <w14:textFill>
                  <w14:solidFill>
                    <w14:schemeClr w14:val="tx1"/>
                  </w14:solidFill>
                </w14:textFill>
              </w:rPr>
              <w:t>监测数据，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检测结果</w:t>
            </w:r>
            <w:r>
              <w:rPr>
                <w:rFonts w:hint="default" w:ascii="Times New Roman" w:hAnsi="Times New Roman" w:eastAsia="宋体" w:cs="Times New Roman"/>
                <w:color w:val="000000" w:themeColor="text1"/>
                <w:sz w:val="24"/>
                <w:szCs w:val="24"/>
                <w14:textFill>
                  <w14:solidFill>
                    <w14:schemeClr w14:val="tx1"/>
                  </w14:solidFill>
                </w14:textFill>
              </w:rPr>
              <w:t>如下：</w:t>
            </w:r>
          </w:p>
          <w:p w14:paraId="025E9B5D">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eastAsia="宋体" w:cs="Times New Roman"/>
                <w:b/>
                <w:bCs/>
                <w:color w:val="000000" w:themeColor="text1"/>
                <w:sz w:val="24"/>
                <w:szCs w:val="24"/>
                <w:vertAlign w:val="superscript"/>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表2-</w:t>
            </w:r>
            <w:r>
              <w:rPr>
                <w:rFonts w:hint="eastAsia" w:cs="Times New Roman"/>
                <w:b/>
                <w:bCs/>
                <w:color w:val="000000" w:themeColor="text1"/>
                <w:sz w:val="24"/>
                <w:szCs w:val="24"/>
                <w:lang w:val="en-US" w:eastAsia="zh-CN"/>
                <w14:textFill>
                  <w14:solidFill>
                    <w14:schemeClr w14:val="tx1"/>
                  </w14:solidFill>
                </w14:textFill>
              </w:rPr>
              <w:t>22</w:t>
            </w:r>
            <w:r>
              <w:rPr>
                <w:rFonts w:hint="default" w:ascii="Times New Roman" w:hAnsi="Times New Roman" w:eastAsia="宋体" w:cs="Times New Roman"/>
                <w:b/>
                <w:bCs/>
                <w:color w:val="000000" w:themeColor="text1"/>
                <w:sz w:val="24"/>
                <w:szCs w:val="24"/>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2024年自行监测报告无组织排放检测结果  单位：mg/m</w:t>
            </w:r>
            <w:r>
              <w:rPr>
                <w:rFonts w:hint="eastAsia" w:ascii="Times New Roman" w:hAnsi="Times New Roman" w:eastAsia="宋体" w:cs="Times New Roman"/>
                <w:b/>
                <w:bCs/>
                <w:color w:val="000000" w:themeColor="text1"/>
                <w:sz w:val="24"/>
                <w:szCs w:val="24"/>
                <w:vertAlign w:val="superscript"/>
                <w:lang w:val="en-US" w:eastAsia="zh-CN"/>
                <w14:textFill>
                  <w14:solidFill>
                    <w14:schemeClr w14:val="tx1"/>
                  </w14:solidFill>
                </w14:textFill>
              </w:rPr>
              <w:t>3</w:t>
            </w:r>
          </w:p>
          <w:tbl>
            <w:tblPr>
              <w:tblStyle w:val="29"/>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
              <w:gridCol w:w="851"/>
              <w:gridCol w:w="1069"/>
              <w:gridCol w:w="1309"/>
              <w:gridCol w:w="1614"/>
              <w:gridCol w:w="1070"/>
              <w:gridCol w:w="1069"/>
              <w:gridCol w:w="1088"/>
            </w:tblGrid>
            <w:tr w14:paraId="740E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5" w:type="dxa"/>
                  <w:gridSpan w:val="2"/>
                  <w:noWrap w:val="0"/>
                  <w:vAlign w:val="center"/>
                </w:tcPr>
                <w:p w14:paraId="23D3DC0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
                      <w:bCs w:val="0"/>
                      <w:color w:val="000000" w:themeColor="text1"/>
                      <w:sz w:val="21"/>
                      <w:szCs w:val="21"/>
                      <w:vertAlign w:val="baseline"/>
                      <w:lang w:val="en-US" w:eastAsia="zh-CN"/>
                      <w14:textFill>
                        <w14:solidFill>
                          <w14:schemeClr w14:val="tx1"/>
                        </w14:solidFill>
                      </w14:textFill>
                    </w:rPr>
                  </w:pPr>
                  <w:r>
                    <w:rPr>
                      <w:rFonts w:hint="eastAsia"/>
                      <w:b/>
                      <w:bCs w:val="0"/>
                      <w:color w:val="000000" w:themeColor="text1"/>
                      <w:sz w:val="21"/>
                      <w:szCs w:val="21"/>
                      <w:vertAlign w:val="baseline"/>
                      <w:lang w:val="en-US" w:eastAsia="zh-CN"/>
                      <w14:textFill>
                        <w14:solidFill>
                          <w14:schemeClr w14:val="tx1"/>
                        </w14:solidFill>
                      </w14:textFill>
                    </w:rPr>
                    <w:t>监测时间</w:t>
                  </w:r>
                </w:p>
              </w:tc>
              <w:tc>
                <w:tcPr>
                  <w:tcW w:w="1069" w:type="dxa"/>
                  <w:noWrap w:val="0"/>
                  <w:vAlign w:val="center"/>
                </w:tcPr>
                <w:p w14:paraId="3D3BC99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
                      <w:bCs w:val="0"/>
                      <w:color w:val="000000" w:themeColor="text1"/>
                      <w:sz w:val="21"/>
                      <w:szCs w:val="21"/>
                      <w:vertAlign w:val="baseline"/>
                      <w:lang w:val="en-US" w:eastAsia="zh-CN"/>
                      <w14:textFill>
                        <w14:solidFill>
                          <w14:schemeClr w14:val="tx1"/>
                        </w14:solidFill>
                      </w14:textFill>
                    </w:rPr>
                  </w:pPr>
                  <w:r>
                    <w:rPr>
                      <w:rFonts w:hint="eastAsia"/>
                      <w:b/>
                      <w:bCs w:val="0"/>
                      <w:color w:val="000000" w:themeColor="text1"/>
                      <w:sz w:val="21"/>
                      <w:szCs w:val="21"/>
                      <w:vertAlign w:val="baseline"/>
                      <w:lang w:val="en-US" w:eastAsia="zh-CN"/>
                      <w14:textFill>
                        <w14:solidFill>
                          <w14:schemeClr w14:val="tx1"/>
                        </w14:solidFill>
                      </w14:textFill>
                    </w:rPr>
                    <w:t>检测项目</w:t>
                  </w:r>
                </w:p>
              </w:tc>
              <w:tc>
                <w:tcPr>
                  <w:tcW w:w="1309" w:type="dxa"/>
                  <w:noWrap w:val="0"/>
                  <w:vAlign w:val="center"/>
                </w:tcPr>
                <w:p w14:paraId="42A11BB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
                      <w:bCs w:val="0"/>
                      <w:color w:val="000000" w:themeColor="text1"/>
                      <w:sz w:val="21"/>
                      <w:szCs w:val="21"/>
                      <w:vertAlign w:val="baseline"/>
                      <w:lang w:val="en-US" w:eastAsia="zh-CN"/>
                      <w14:textFill>
                        <w14:solidFill>
                          <w14:schemeClr w14:val="tx1"/>
                        </w14:solidFill>
                      </w14:textFill>
                    </w:rPr>
                  </w:pPr>
                  <w:r>
                    <w:rPr>
                      <w:rFonts w:hint="eastAsia"/>
                      <w:b/>
                      <w:bCs w:val="0"/>
                      <w:color w:val="000000" w:themeColor="text1"/>
                      <w:sz w:val="21"/>
                      <w:szCs w:val="21"/>
                      <w:vertAlign w:val="baseline"/>
                      <w:lang w:val="en-US" w:eastAsia="zh-CN"/>
                      <w14:textFill>
                        <w14:solidFill>
                          <w14:schemeClr w14:val="tx1"/>
                        </w14:solidFill>
                      </w14:textFill>
                    </w:rPr>
                    <w:t>检测点位</w:t>
                  </w:r>
                </w:p>
              </w:tc>
              <w:tc>
                <w:tcPr>
                  <w:tcW w:w="1614" w:type="dxa"/>
                  <w:noWrap w:val="0"/>
                  <w:vAlign w:val="center"/>
                </w:tcPr>
                <w:p w14:paraId="3BA399D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b/>
                      <w:bCs w:val="0"/>
                      <w:color w:val="000000" w:themeColor="text1"/>
                      <w:sz w:val="21"/>
                      <w:szCs w:val="21"/>
                      <w:vertAlign w:val="baseline"/>
                      <w:lang w:val="en-US" w:eastAsia="zh-CN"/>
                      <w14:textFill>
                        <w14:solidFill>
                          <w14:schemeClr w14:val="tx1"/>
                        </w14:solidFill>
                      </w14:textFill>
                    </w:rPr>
                  </w:pPr>
                  <w:r>
                    <w:rPr>
                      <w:rFonts w:hint="eastAsia"/>
                      <w:b/>
                      <w:bCs w:val="0"/>
                      <w:color w:val="000000" w:themeColor="text1"/>
                      <w:sz w:val="21"/>
                      <w:szCs w:val="21"/>
                      <w:vertAlign w:val="baseline"/>
                      <w:lang w:val="en-US" w:eastAsia="zh-CN"/>
                      <w14:textFill>
                        <w14:solidFill>
                          <w14:schemeClr w14:val="tx1"/>
                        </w14:solidFill>
                      </w14:textFill>
                    </w:rPr>
                    <w:t>采样时段</w:t>
                  </w:r>
                </w:p>
              </w:tc>
              <w:tc>
                <w:tcPr>
                  <w:tcW w:w="1070" w:type="dxa"/>
                  <w:noWrap w:val="0"/>
                  <w:vAlign w:val="center"/>
                </w:tcPr>
                <w:p w14:paraId="05E215A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
                      <w:bCs w:val="0"/>
                      <w:color w:val="000000" w:themeColor="text1"/>
                      <w:sz w:val="21"/>
                      <w:szCs w:val="21"/>
                      <w:vertAlign w:val="baseline"/>
                      <w:lang w:val="en-US" w:eastAsia="zh-CN"/>
                      <w14:textFill>
                        <w14:solidFill>
                          <w14:schemeClr w14:val="tx1"/>
                        </w14:solidFill>
                      </w14:textFill>
                    </w:rPr>
                  </w:pPr>
                  <w:r>
                    <w:rPr>
                      <w:rFonts w:hint="eastAsia"/>
                      <w:b/>
                      <w:bCs w:val="0"/>
                      <w:color w:val="000000" w:themeColor="text1"/>
                      <w:sz w:val="21"/>
                      <w:szCs w:val="21"/>
                      <w:vertAlign w:val="baseline"/>
                      <w:lang w:val="en-US" w:eastAsia="zh-CN"/>
                      <w14:textFill>
                        <w14:solidFill>
                          <w14:schemeClr w14:val="tx1"/>
                        </w14:solidFill>
                      </w14:textFill>
                    </w:rPr>
                    <w:t>检测结果</w:t>
                  </w:r>
                </w:p>
              </w:tc>
              <w:tc>
                <w:tcPr>
                  <w:tcW w:w="1069" w:type="dxa"/>
                  <w:noWrap w:val="0"/>
                  <w:vAlign w:val="center"/>
                </w:tcPr>
                <w:p w14:paraId="6FE4FCF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bCs w:val="0"/>
                      <w:color w:val="000000" w:themeColor="text1"/>
                      <w:sz w:val="21"/>
                      <w:szCs w:val="21"/>
                      <w:vertAlign w:val="baseline"/>
                      <w:lang w:val="en-US" w:eastAsia="zh-CN"/>
                      <w14:textFill>
                        <w14:solidFill>
                          <w14:schemeClr w14:val="tx1"/>
                        </w14:solidFill>
                      </w14:textFill>
                    </w:rPr>
                  </w:pPr>
                  <w:r>
                    <w:rPr>
                      <w:rFonts w:hint="eastAsia"/>
                      <w:b/>
                      <w:bCs w:val="0"/>
                      <w:color w:val="000000" w:themeColor="text1"/>
                      <w:sz w:val="21"/>
                      <w:szCs w:val="21"/>
                      <w:vertAlign w:val="baseline"/>
                      <w:lang w:val="en-US" w:eastAsia="zh-CN"/>
                      <w14:textFill>
                        <w14:solidFill>
                          <w14:schemeClr w14:val="tx1"/>
                        </w14:solidFill>
                      </w14:textFill>
                    </w:rPr>
                    <w:t>标准值</w:t>
                  </w:r>
                </w:p>
              </w:tc>
              <w:tc>
                <w:tcPr>
                  <w:tcW w:w="1088" w:type="dxa"/>
                  <w:noWrap w:val="0"/>
                  <w:vAlign w:val="center"/>
                </w:tcPr>
                <w:p w14:paraId="17AED9A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bCs w:val="0"/>
                      <w:color w:val="000000" w:themeColor="text1"/>
                      <w:sz w:val="21"/>
                      <w:szCs w:val="21"/>
                      <w:vertAlign w:val="baseline"/>
                      <w:lang w:val="en-US" w:eastAsia="zh-CN"/>
                      <w14:textFill>
                        <w14:solidFill>
                          <w14:schemeClr w14:val="tx1"/>
                        </w14:solidFill>
                      </w14:textFill>
                    </w:rPr>
                  </w:pPr>
                  <w:r>
                    <w:rPr>
                      <w:rFonts w:hint="eastAsia"/>
                      <w:b/>
                      <w:bCs w:val="0"/>
                      <w:color w:val="000000" w:themeColor="text1"/>
                      <w:sz w:val="21"/>
                      <w:szCs w:val="21"/>
                      <w:vertAlign w:val="baseline"/>
                      <w:lang w:val="en-US" w:eastAsia="zh-CN"/>
                      <w14:textFill>
                        <w14:solidFill>
                          <w14:schemeClr w14:val="tx1"/>
                        </w14:solidFill>
                      </w14:textFill>
                    </w:rPr>
                    <w:t>达标情况</w:t>
                  </w:r>
                </w:p>
              </w:tc>
            </w:tr>
            <w:tr w14:paraId="22DE0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restart"/>
                  <w:noWrap w:val="0"/>
                  <w:vAlign w:val="center"/>
                </w:tcPr>
                <w:p w14:paraId="087F9BA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2024年第二季度</w:t>
                  </w:r>
                </w:p>
              </w:tc>
              <w:tc>
                <w:tcPr>
                  <w:tcW w:w="851" w:type="dxa"/>
                  <w:vMerge w:val="restart"/>
                  <w:noWrap w:val="0"/>
                  <w:vAlign w:val="center"/>
                </w:tcPr>
                <w:p w14:paraId="02295D5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2024.06.07</w:t>
                  </w:r>
                </w:p>
              </w:tc>
              <w:tc>
                <w:tcPr>
                  <w:tcW w:w="1069" w:type="dxa"/>
                  <w:vMerge w:val="restart"/>
                  <w:noWrap w:val="0"/>
                  <w:vAlign w:val="center"/>
                </w:tcPr>
                <w:p w14:paraId="63623E7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颗粒物</w:t>
                  </w:r>
                </w:p>
              </w:tc>
              <w:tc>
                <w:tcPr>
                  <w:tcW w:w="1309" w:type="dxa"/>
                  <w:vMerge w:val="restart"/>
                  <w:noWrap w:val="0"/>
                  <w:vAlign w:val="center"/>
                </w:tcPr>
                <w:p w14:paraId="438AD9D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A2:厂界上风向</w:t>
                  </w:r>
                </w:p>
              </w:tc>
              <w:tc>
                <w:tcPr>
                  <w:tcW w:w="1614" w:type="dxa"/>
                  <w:noWrap w:val="0"/>
                  <w:vAlign w:val="center"/>
                </w:tcPr>
                <w:p w14:paraId="7C63994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10:20-11:20</w:t>
                  </w:r>
                </w:p>
              </w:tc>
              <w:tc>
                <w:tcPr>
                  <w:tcW w:w="1070" w:type="dxa"/>
                  <w:noWrap w:val="0"/>
                  <w:vAlign w:val="center"/>
                </w:tcPr>
                <w:p w14:paraId="53BC9A1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0.242</w:t>
                  </w:r>
                </w:p>
              </w:tc>
              <w:tc>
                <w:tcPr>
                  <w:tcW w:w="1069" w:type="dxa"/>
                  <w:vMerge w:val="restart"/>
                  <w:noWrap w:val="0"/>
                  <w:vAlign w:val="center"/>
                </w:tcPr>
                <w:p w14:paraId="736656D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1.0</w:t>
                  </w:r>
                </w:p>
              </w:tc>
              <w:tc>
                <w:tcPr>
                  <w:tcW w:w="1088" w:type="dxa"/>
                  <w:noWrap w:val="0"/>
                  <w:vAlign w:val="center"/>
                </w:tcPr>
                <w:p w14:paraId="7591612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43B38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34B83889">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4F865AEE">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19A7391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4F8CA70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0C7C832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12:20-13:20</w:t>
                  </w:r>
                </w:p>
              </w:tc>
              <w:tc>
                <w:tcPr>
                  <w:tcW w:w="1070" w:type="dxa"/>
                  <w:noWrap w:val="0"/>
                  <w:vAlign w:val="center"/>
                </w:tcPr>
                <w:p w14:paraId="64AEE82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0.282</w:t>
                  </w:r>
                </w:p>
              </w:tc>
              <w:tc>
                <w:tcPr>
                  <w:tcW w:w="1069" w:type="dxa"/>
                  <w:vMerge w:val="continue"/>
                  <w:noWrap w:val="0"/>
                  <w:vAlign w:val="center"/>
                </w:tcPr>
                <w:p w14:paraId="17CDB26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4AB2077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0035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1865860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536183B5">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5529E32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25A15A1D">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472D882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14:20-15:20</w:t>
                  </w:r>
                </w:p>
              </w:tc>
              <w:tc>
                <w:tcPr>
                  <w:tcW w:w="1070" w:type="dxa"/>
                  <w:noWrap w:val="0"/>
                  <w:vAlign w:val="center"/>
                </w:tcPr>
                <w:p w14:paraId="3E81CDA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0.355</w:t>
                  </w:r>
                </w:p>
              </w:tc>
              <w:tc>
                <w:tcPr>
                  <w:tcW w:w="1069" w:type="dxa"/>
                  <w:vMerge w:val="continue"/>
                  <w:noWrap w:val="0"/>
                  <w:vAlign w:val="center"/>
                </w:tcPr>
                <w:p w14:paraId="676D0D7E">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08B56B6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086C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654358B0">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679FD42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3E267465">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3F9B25D5">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1DE95A3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16:20-17:20</w:t>
                  </w:r>
                </w:p>
              </w:tc>
              <w:tc>
                <w:tcPr>
                  <w:tcW w:w="1070" w:type="dxa"/>
                  <w:noWrap w:val="0"/>
                  <w:vAlign w:val="center"/>
                </w:tcPr>
                <w:p w14:paraId="794EAC6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0.320</w:t>
                  </w:r>
                </w:p>
              </w:tc>
              <w:tc>
                <w:tcPr>
                  <w:tcW w:w="1069" w:type="dxa"/>
                  <w:vMerge w:val="continue"/>
                  <w:noWrap w:val="0"/>
                  <w:vAlign w:val="center"/>
                </w:tcPr>
                <w:p w14:paraId="5BFC2C2A">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69ADDD75">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71EA3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7AFD29AD">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1DA4CE5A">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3E0AFAA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restart"/>
                  <w:noWrap w:val="0"/>
                  <w:vAlign w:val="center"/>
                </w:tcPr>
                <w:p w14:paraId="421AC31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A3:厂界下风向1#</w:t>
                  </w:r>
                </w:p>
              </w:tc>
              <w:tc>
                <w:tcPr>
                  <w:tcW w:w="1614" w:type="dxa"/>
                  <w:noWrap w:val="0"/>
                  <w:vAlign w:val="center"/>
                </w:tcPr>
                <w:p w14:paraId="2DE91026">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10:20-11:20</w:t>
                  </w:r>
                </w:p>
              </w:tc>
              <w:tc>
                <w:tcPr>
                  <w:tcW w:w="1070" w:type="dxa"/>
                  <w:noWrap w:val="0"/>
                  <w:vAlign w:val="center"/>
                </w:tcPr>
                <w:p w14:paraId="6CEFAA1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0.418</w:t>
                  </w:r>
                </w:p>
              </w:tc>
              <w:tc>
                <w:tcPr>
                  <w:tcW w:w="1069" w:type="dxa"/>
                  <w:vMerge w:val="continue"/>
                  <w:noWrap w:val="0"/>
                  <w:vAlign w:val="center"/>
                </w:tcPr>
                <w:p w14:paraId="2A4D7E7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785DC21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28C2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32DCCBFF">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354B7654">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0728CBE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639F0EE0">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34A9000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12:20-13:20</w:t>
                  </w:r>
                </w:p>
              </w:tc>
              <w:tc>
                <w:tcPr>
                  <w:tcW w:w="1070" w:type="dxa"/>
                  <w:noWrap w:val="0"/>
                  <w:vAlign w:val="center"/>
                </w:tcPr>
                <w:p w14:paraId="0CD2318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0.473</w:t>
                  </w:r>
                </w:p>
              </w:tc>
              <w:tc>
                <w:tcPr>
                  <w:tcW w:w="1069" w:type="dxa"/>
                  <w:vMerge w:val="continue"/>
                  <w:noWrap w:val="0"/>
                  <w:vAlign w:val="center"/>
                </w:tcPr>
                <w:p w14:paraId="373AE6D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67789759">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2119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13C9D2D6">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3BED3E3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48B7778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0AC8AFF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1A56451D">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14:20-15:20</w:t>
                  </w:r>
                </w:p>
              </w:tc>
              <w:tc>
                <w:tcPr>
                  <w:tcW w:w="1070" w:type="dxa"/>
                  <w:noWrap w:val="0"/>
                  <w:vAlign w:val="center"/>
                </w:tcPr>
                <w:p w14:paraId="7DB4675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0.660</w:t>
                  </w:r>
                </w:p>
              </w:tc>
              <w:tc>
                <w:tcPr>
                  <w:tcW w:w="1069" w:type="dxa"/>
                  <w:vMerge w:val="continue"/>
                  <w:noWrap w:val="0"/>
                  <w:vAlign w:val="center"/>
                </w:tcPr>
                <w:p w14:paraId="0E2BB67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30D4076D">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195A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7BF6923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4E80CFDE">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6C7A2EC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5435701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7D577C79">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16:20-17:20</w:t>
                  </w:r>
                </w:p>
              </w:tc>
              <w:tc>
                <w:tcPr>
                  <w:tcW w:w="1070" w:type="dxa"/>
                  <w:noWrap w:val="0"/>
                  <w:vAlign w:val="center"/>
                </w:tcPr>
                <w:p w14:paraId="28B746D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0.557</w:t>
                  </w:r>
                </w:p>
              </w:tc>
              <w:tc>
                <w:tcPr>
                  <w:tcW w:w="1069" w:type="dxa"/>
                  <w:vMerge w:val="continue"/>
                  <w:noWrap w:val="0"/>
                  <w:vAlign w:val="center"/>
                </w:tcPr>
                <w:p w14:paraId="7F02F817">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618AE0E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181F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2F6CABD7">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6ABCAF7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12B38534">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restart"/>
                  <w:noWrap w:val="0"/>
                  <w:vAlign w:val="center"/>
                </w:tcPr>
                <w:p w14:paraId="081841C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A4：厂界下风向2#</w:t>
                  </w:r>
                </w:p>
              </w:tc>
              <w:tc>
                <w:tcPr>
                  <w:tcW w:w="1614" w:type="dxa"/>
                  <w:noWrap w:val="0"/>
                  <w:vAlign w:val="center"/>
                </w:tcPr>
                <w:p w14:paraId="745A5A1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10:20-11:20</w:t>
                  </w:r>
                </w:p>
              </w:tc>
              <w:tc>
                <w:tcPr>
                  <w:tcW w:w="1070" w:type="dxa"/>
                  <w:noWrap w:val="0"/>
                  <w:vAlign w:val="center"/>
                </w:tcPr>
                <w:p w14:paraId="3B171CF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0.495</w:t>
                  </w:r>
                </w:p>
              </w:tc>
              <w:tc>
                <w:tcPr>
                  <w:tcW w:w="1069" w:type="dxa"/>
                  <w:vMerge w:val="continue"/>
                  <w:noWrap w:val="0"/>
                  <w:vAlign w:val="center"/>
                </w:tcPr>
                <w:p w14:paraId="0AA4FED0">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7D085404">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43DA5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5DF46D7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335478F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3B74544D">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7AEA9A9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61A9FBE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12:20-13:20</w:t>
                  </w:r>
                </w:p>
              </w:tc>
              <w:tc>
                <w:tcPr>
                  <w:tcW w:w="1070" w:type="dxa"/>
                  <w:noWrap w:val="0"/>
                  <w:vAlign w:val="center"/>
                </w:tcPr>
                <w:p w14:paraId="04D6121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0.437</w:t>
                  </w:r>
                </w:p>
              </w:tc>
              <w:tc>
                <w:tcPr>
                  <w:tcW w:w="1069" w:type="dxa"/>
                  <w:vMerge w:val="continue"/>
                  <w:noWrap w:val="0"/>
                  <w:vAlign w:val="center"/>
                </w:tcPr>
                <w:p w14:paraId="0E7E7CFE">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408E2DD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3CC42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4680B827">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109B2A5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57BB412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0EFD282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13B6497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14:20-15:20</w:t>
                  </w:r>
                </w:p>
              </w:tc>
              <w:tc>
                <w:tcPr>
                  <w:tcW w:w="1070" w:type="dxa"/>
                  <w:noWrap w:val="0"/>
                  <w:vAlign w:val="center"/>
                </w:tcPr>
                <w:p w14:paraId="0A7A0DF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0.645</w:t>
                  </w:r>
                </w:p>
              </w:tc>
              <w:tc>
                <w:tcPr>
                  <w:tcW w:w="1069" w:type="dxa"/>
                  <w:vMerge w:val="continue"/>
                  <w:noWrap w:val="0"/>
                  <w:vAlign w:val="center"/>
                </w:tcPr>
                <w:p w14:paraId="27CE27E6">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48FFFE1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4E142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04AE2DF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0B47648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6880BDF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5048C90D">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1738106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16:20-17:20</w:t>
                  </w:r>
                </w:p>
              </w:tc>
              <w:tc>
                <w:tcPr>
                  <w:tcW w:w="1070" w:type="dxa"/>
                  <w:noWrap w:val="0"/>
                  <w:vAlign w:val="center"/>
                </w:tcPr>
                <w:p w14:paraId="05DACEC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0.504</w:t>
                  </w:r>
                </w:p>
              </w:tc>
              <w:tc>
                <w:tcPr>
                  <w:tcW w:w="1069" w:type="dxa"/>
                  <w:vMerge w:val="continue"/>
                  <w:noWrap w:val="0"/>
                  <w:vAlign w:val="center"/>
                </w:tcPr>
                <w:p w14:paraId="148C18E9">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7120223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3605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3EDAC35A">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45F08C8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6BF6AA8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restart"/>
                  <w:noWrap w:val="0"/>
                  <w:vAlign w:val="center"/>
                </w:tcPr>
                <w:p w14:paraId="4B9915F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A5：厂界下风向3#</w:t>
                  </w:r>
                </w:p>
              </w:tc>
              <w:tc>
                <w:tcPr>
                  <w:tcW w:w="1614" w:type="dxa"/>
                  <w:noWrap w:val="0"/>
                  <w:vAlign w:val="center"/>
                </w:tcPr>
                <w:p w14:paraId="2F2E1167">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10:20-11:20</w:t>
                  </w:r>
                </w:p>
              </w:tc>
              <w:tc>
                <w:tcPr>
                  <w:tcW w:w="1070" w:type="dxa"/>
                  <w:noWrap w:val="0"/>
                  <w:vAlign w:val="center"/>
                </w:tcPr>
                <w:p w14:paraId="2A6716B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0.448</w:t>
                  </w:r>
                </w:p>
              </w:tc>
              <w:tc>
                <w:tcPr>
                  <w:tcW w:w="1069" w:type="dxa"/>
                  <w:vMerge w:val="continue"/>
                  <w:noWrap w:val="0"/>
                  <w:vAlign w:val="center"/>
                </w:tcPr>
                <w:p w14:paraId="194BEC95">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4B385497">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2343C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7302DABA">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457084A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6BC383C5">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5A61974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4214897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12:20-13:20</w:t>
                  </w:r>
                </w:p>
              </w:tc>
              <w:tc>
                <w:tcPr>
                  <w:tcW w:w="1070" w:type="dxa"/>
                  <w:noWrap w:val="0"/>
                  <w:vAlign w:val="center"/>
                </w:tcPr>
                <w:p w14:paraId="1993543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0.508</w:t>
                  </w:r>
                </w:p>
              </w:tc>
              <w:tc>
                <w:tcPr>
                  <w:tcW w:w="1069" w:type="dxa"/>
                  <w:vMerge w:val="continue"/>
                  <w:noWrap w:val="0"/>
                  <w:vAlign w:val="center"/>
                </w:tcPr>
                <w:p w14:paraId="42D7C7C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28719EF5">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27BDE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03742BA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6BE3D9FE">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1138EF86">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4D59B0B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5B80CECF">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14:20-15:20</w:t>
                  </w:r>
                </w:p>
              </w:tc>
              <w:tc>
                <w:tcPr>
                  <w:tcW w:w="1070" w:type="dxa"/>
                  <w:noWrap w:val="0"/>
                  <w:vAlign w:val="center"/>
                </w:tcPr>
                <w:p w14:paraId="5CC03C5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0.688</w:t>
                  </w:r>
                </w:p>
              </w:tc>
              <w:tc>
                <w:tcPr>
                  <w:tcW w:w="1069" w:type="dxa"/>
                  <w:vMerge w:val="continue"/>
                  <w:noWrap w:val="0"/>
                  <w:vAlign w:val="center"/>
                </w:tcPr>
                <w:p w14:paraId="2B90556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6D49C16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27B9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20AE376D">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773DA575">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6B8D9EE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5D6C4AE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2243C35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16:20-17:20</w:t>
                  </w:r>
                </w:p>
              </w:tc>
              <w:tc>
                <w:tcPr>
                  <w:tcW w:w="1070" w:type="dxa"/>
                  <w:noWrap w:val="0"/>
                  <w:vAlign w:val="center"/>
                </w:tcPr>
                <w:p w14:paraId="0AF441D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0.545</w:t>
                  </w:r>
                </w:p>
              </w:tc>
              <w:tc>
                <w:tcPr>
                  <w:tcW w:w="1069" w:type="dxa"/>
                  <w:vMerge w:val="continue"/>
                  <w:noWrap w:val="0"/>
                  <w:vAlign w:val="center"/>
                </w:tcPr>
                <w:p w14:paraId="11BD07C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7194F376">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6B2D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1201092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3565682D">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restart"/>
                  <w:noWrap w:val="0"/>
                  <w:vAlign w:val="center"/>
                </w:tcPr>
                <w:p w14:paraId="70B4DD3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氟化物</w:t>
                  </w:r>
                </w:p>
              </w:tc>
              <w:tc>
                <w:tcPr>
                  <w:tcW w:w="1309" w:type="dxa"/>
                  <w:vMerge w:val="restart"/>
                  <w:noWrap w:val="0"/>
                  <w:vAlign w:val="center"/>
                </w:tcPr>
                <w:p w14:paraId="65D9E327">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A2:厂界上风向</w:t>
                  </w:r>
                </w:p>
              </w:tc>
              <w:tc>
                <w:tcPr>
                  <w:tcW w:w="1614" w:type="dxa"/>
                  <w:noWrap w:val="0"/>
                  <w:vAlign w:val="center"/>
                </w:tcPr>
                <w:p w14:paraId="633489C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10:20-11:20</w:t>
                  </w:r>
                </w:p>
              </w:tc>
              <w:tc>
                <w:tcPr>
                  <w:tcW w:w="1070" w:type="dxa"/>
                  <w:noWrap w:val="0"/>
                  <w:vAlign w:val="center"/>
                </w:tcPr>
                <w:p w14:paraId="720B77D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0.002</w:t>
                  </w:r>
                </w:p>
              </w:tc>
              <w:tc>
                <w:tcPr>
                  <w:tcW w:w="1069" w:type="dxa"/>
                  <w:vMerge w:val="restart"/>
                  <w:noWrap w:val="0"/>
                  <w:vAlign w:val="center"/>
                </w:tcPr>
                <w:p w14:paraId="28EFE07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0.02</w:t>
                  </w:r>
                </w:p>
              </w:tc>
              <w:tc>
                <w:tcPr>
                  <w:tcW w:w="1088" w:type="dxa"/>
                  <w:noWrap w:val="0"/>
                  <w:vAlign w:val="center"/>
                </w:tcPr>
                <w:p w14:paraId="0E72AD8E">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632C4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744C73F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0DFB897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37CD873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7AB054F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51AD521D">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12:20-13:20</w:t>
                  </w:r>
                </w:p>
              </w:tc>
              <w:tc>
                <w:tcPr>
                  <w:tcW w:w="1070" w:type="dxa"/>
                  <w:noWrap w:val="0"/>
                  <w:vAlign w:val="center"/>
                </w:tcPr>
                <w:p w14:paraId="56FF7F2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0.0018</w:t>
                  </w:r>
                </w:p>
              </w:tc>
              <w:tc>
                <w:tcPr>
                  <w:tcW w:w="1069" w:type="dxa"/>
                  <w:vMerge w:val="continue"/>
                  <w:noWrap w:val="0"/>
                  <w:vAlign w:val="center"/>
                </w:tcPr>
                <w:p w14:paraId="26582E75">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316E135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6916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5C064F2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088AE640">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3358B669">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21309ED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3629CAA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14:20-15:20</w:t>
                  </w:r>
                </w:p>
              </w:tc>
              <w:tc>
                <w:tcPr>
                  <w:tcW w:w="1070" w:type="dxa"/>
                  <w:noWrap w:val="0"/>
                  <w:vAlign w:val="center"/>
                </w:tcPr>
                <w:p w14:paraId="61C17E5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0.0022</w:t>
                  </w:r>
                </w:p>
              </w:tc>
              <w:tc>
                <w:tcPr>
                  <w:tcW w:w="1069" w:type="dxa"/>
                  <w:vMerge w:val="continue"/>
                  <w:noWrap w:val="0"/>
                  <w:vAlign w:val="center"/>
                </w:tcPr>
                <w:p w14:paraId="26019E3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5B7D04DF">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1936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0A0AB0F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2C799BE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6522910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4BF24C4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0DE88E9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16:20-17:20</w:t>
                  </w:r>
                </w:p>
              </w:tc>
              <w:tc>
                <w:tcPr>
                  <w:tcW w:w="1070" w:type="dxa"/>
                  <w:noWrap w:val="0"/>
                  <w:vAlign w:val="center"/>
                </w:tcPr>
                <w:p w14:paraId="19F0F5E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0.0021</w:t>
                  </w:r>
                </w:p>
              </w:tc>
              <w:tc>
                <w:tcPr>
                  <w:tcW w:w="1069" w:type="dxa"/>
                  <w:vMerge w:val="continue"/>
                  <w:noWrap w:val="0"/>
                  <w:vAlign w:val="center"/>
                </w:tcPr>
                <w:p w14:paraId="49A5690F">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5758D387">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12D1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7B203BD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1CAEEEE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0F49D709">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restart"/>
                  <w:noWrap w:val="0"/>
                  <w:vAlign w:val="center"/>
                </w:tcPr>
                <w:p w14:paraId="6853D87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A3:厂界下风向1#</w:t>
                  </w:r>
                </w:p>
              </w:tc>
              <w:tc>
                <w:tcPr>
                  <w:tcW w:w="1614" w:type="dxa"/>
                  <w:noWrap w:val="0"/>
                  <w:vAlign w:val="center"/>
                </w:tcPr>
                <w:p w14:paraId="48ED6355">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10:20-11:20</w:t>
                  </w:r>
                </w:p>
              </w:tc>
              <w:tc>
                <w:tcPr>
                  <w:tcW w:w="1070" w:type="dxa"/>
                  <w:noWrap w:val="0"/>
                  <w:vAlign w:val="center"/>
                </w:tcPr>
                <w:p w14:paraId="1547E2B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0.0023</w:t>
                  </w:r>
                </w:p>
              </w:tc>
              <w:tc>
                <w:tcPr>
                  <w:tcW w:w="1069" w:type="dxa"/>
                  <w:vMerge w:val="continue"/>
                  <w:noWrap w:val="0"/>
                  <w:vAlign w:val="center"/>
                </w:tcPr>
                <w:p w14:paraId="7788AE0F">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1BAFD6C0">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3FCFA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58AC8307">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3DE3650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785706D6">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3A69235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57F6421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12:20-13:20</w:t>
                  </w:r>
                </w:p>
              </w:tc>
              <w:tc>
                <w:tcPr>
                  <w:tcW w:w="1070" w:type="dxa"/>
                  <w:noWrap w:val="0"/>
                  <w:vAlign w:val="center"/>
                </w:tcPr>
                <w:p w14:paraId="479AC4F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0.0022</w:t>
                  </w:r>
                </w:p>
              </w:tc>
              <w:tc>
                <w:tcPr>
                  <w:tcW w:w="1069" w:type="dxa"/>
                  <w:vMerge w:val="continue"/>
                  <w:noWrap w:val="0"/>
                  <w:vAlign w:val="center"/>
                </w:tcPr>
                <w:p w14:paraId="0A65DA19">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7F86B18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56F8B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603BB0A7">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0CE95A7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3060E09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159E06D4">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02F55A96">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14:20-15:20</w:t>
                  </w:r>
                </w:p>
              </w:tc>
              <w:tc>
                <w:tcPr>
                  <w:tcW w:w="1070" w:type="dxa"/>
                  <w:noWrap w:val="0"/>
                  <w:vAlign w:val="center"/>
                </w:tcPr>
                <w:p w14:paraId="1100220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0.0020</w:t>
                  </w:r>
                </w:p>
              </w:tc>
              <w:tc>
                <w:tcPr>
                  <w:tcW w:w="1069" w:type="dxa"/>
                  <w:vMerge w:val="continue"/>
                  <w:noWrap w:val="0"/>
                  <w:vAlign w:val="center"/>
                </w:tcPr>
                <w:p w14:paraId="198502E4">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4AD12F99">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4CE3D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430D1CD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7CC83AAE">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093570EA">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60AA0A2A">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247B408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16:20-17:20</w:t>
                  </w:r>
                </w:p>
              </w:tc>
              <w:tc>
                <w:tcPr>
                  <w:tcW w:w="1070" w:type="dxa"/>
                  <w:noWrap w:val="0"/>
                  <w:vAlign w:val="center"/>
                </w:tcPr>
                <w:p w14:paraId="2EFBB83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0.0021</w:t>
                  </w:r>
                </w:p>
              </w:tc>
              <w:tc>
                <w:tcPr>
                  <w:tcW w:w="1069" w:type="dxa"/>
                  <w:vMerge w:val="continue"/>
                  <w:noWrap w:val="0"/>
                  <w:vAlign w:val="center"/>
                </w:tcPr>
                <w:p w14:paraId="2B05B1D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35F4A61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79B4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52EA93BE">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24754634">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6D04793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restart"/>
                  <w:noWrap w:val="0"/>
                  <w:vAlign w:val="center"/>
                </w:tcPr>
                <w:p w14:paraId="7A456AB6">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A4：厂界下风向2#</w:t>
                  </w:r>
                </w:p>
              </w:tc>
              <w:tc>
                <w:tcPr>
                  <w:tcW w:w="1614" w:type="dxa"/>
                  <w:noWrap w:val="0"/>
                  <w:vAlign w:val="center"/>
                </w:tcPr>
                <w:p w14:paraId="40787B5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10:20-11:20</w:t>
                  </w:r>
                </w:p>
              </w:tc>
              <w:tc>
                <w:tcPr>
                  <w:tcW w:w="1070" w:type="dxa"/>
                  <w:noWrap w:val="0"/>
                  <w:vAlign w:val="center"/>
                </w:tcPr>
                <w:p w14:paraId="79E1B36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0.0017</w:t>
                  </w:r>
                </w:p>
              </w:tc>
              <w:tc>
                <w:tcPr>
                  <w:tcW w:w="1069" w:type="dxa"/>
                  <w:vMerge w:val="continue"/>
                  <w:noWrap w:val="0"/>
                  <w:vAlign w:val="center"/>
                </w:tcPr>
                <w:p w14:paraId="1EEFB364">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3C0548E5">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2F63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3E3DF66D">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59F3B5B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10291B1F">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23BAD88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029AABED">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12:20-13:20</w:t>
                  </w:r>
                </w:p>
              </w:tc>
              <w:tc>
                <w:tcPr>
                  <w:tcW w:w="1070" w:type="dxa"/>
                  <w:noWrap w:val="0"/>
                  <w:vAlign w:val="center"/>
                </w:tcPr>
                <w:p w14:paraId="403938A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0.0018</w:t>
                  </w:r>
                </w:p>
              </w:tc>
              <w:tc>
                <w:tcPr>
                  <w:tcW w:w="1069" w:type="dxa"/>
                  <w:vMerge w:val="continue"/>
                  <w:noWrap w:val="0"/>
                  <w:vAlign w:val="center"/>
                </w:tcPr>
                <w:p w14:paraId="7AF3116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350E6A05">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15D50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1694D67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39EB917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2D4CD6D4">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1CDB003D">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07455BD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14:20-15:20</w:t>
                  </w:r>
                </w:p>
              </w:tc>
              <w:tc>
                <w:tcPr>
                  <w:tcW w:w="1070" w:type="dxa"/>
                  <w:noWrap w:val="0"/>
                  <w:vAlign w:val="center"/>
                </w:tcPr>
                <w:p w14:paraId="44C8A21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0.002</w:t>
                  </w:r>
                </w:p>
              </w:tc>
              <w:tc>
                <w:tcPr>
                  <w:tcW w:w="1069" w:type="dxa"/>
                  <w:vMerge w:val="continue"/>
                  <w:noWrap w:val="0"/>
                  <w:vAlign w:val="center"/>
                </w:tcPr>
                <w:p w14:paraId="70E1150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4D904E9D">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4B71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337E9B4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08ACA02A">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195D097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7182EF56">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7E82C4DE">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16:20-17:20</w:t>
                  </w:r>
                </w:p>
              </w:tc>
              <w:tc>
                <w:tcPr>
                  <w:tcW w:w="1070" w:type="dxa"/>
                  <w:noWrap w:val="0"/>
                  <w:vAlign w:val="center"/>
                </w:tcPr>
                <w:p w14:paraId="0D0464C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0.0022</w:t>
                  </w:r>
                </w:p>
              </w:tc>
              <w:tc>
                <w:tcPr>
                  <w:tcW w:w="1069" w:type="dxa"/>
                  <w:vMerge w:val="continue"/>
                  <w:noWrap w:val="0"/>
                  <w:vAlign w:val="center"/>
                </w:tcPr>
                <w:p w14:paraId="299E3B46">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14FDEB7A">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7B75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45059DAF">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0197D95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6CC3379D">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restart"/>
                  <w:noWrap w:val="0"/>
                  <w:vAlign w:val="center"/>
                </w:tcPr>
                <w:p w14:paraId="5B6C768E">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A5：厂界下风向3#</w:t>
                  </w:r>
                </w:p>
              </w:tc>
              <w:tc>
                <w:tcPr>
                  <w:tcW w:w="1614" w:type="dxa"/>
                  <w:noWrap w:val="0"/>
                  <w:vAlign w:val="center"/>
                </w:tcPr>
                <w:p w14:paraId="342369B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10:20-11:20</w:t>
                  </w:r>
                </w:p>
              </w:tc>
              <w:tc>
                <w:tcPr>
                  <w:tcW w:w="1070" w:type="dxa"/>
                  <w:noWrap w:val="0"/>
                  <w:vAlign w:val="center"/>
                </w:tcPr>
                <w:p w14:paraId="2D39013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0.0019</w:t>
                  </w:r>
                </w:p>
              </w:tc>
              <w:tc>
                <w:tcPr>
                  <w:tcW w:w="1069" w:type="dxa"/>
                  <w:vMerge w:val="continue"/>
                  <w:noWrap w:val="0"/>
                  <w:vAlign w:val="center"/>
                </w:tcPr>
                <w:p w14:paraId="136C9E37">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59A6C58F">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7D72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1F16D75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2F0B0D1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67E9977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55CF368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2F501CE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12:20-13:20</w:t>
                  </w:r>
                </w:p>
              </w:tc>
              <w:tc>
                <w:tcPr>
                  <w:tcW w:w="1070" w:type="dxa"/>
                  <w:noWrap w:val="0"/>
                  <w:vAlign w:val="center"/>
                </w:tcPr>
                <w:p w14:paraId="1B0C89C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0.0021</w:t>
                  </w:r>
                </w:p>
              </w:tc>
              <w:tc>
                <w:tcPr>
                  <w:tcW w:w="1069" w:type="dxa"/>
                  <w:vMerge w:val="continue"/>
                  <w:noWrap w:val="0"/>
                  <w:vAlign w:val="center"/>
                </w:tcPr>
                <w:p w14:paraId="73485A37">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6D9B5BD0">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609F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36E88766">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0E671F04">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5E51C52F">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5D67D7E4">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536BC320">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14:20-15:20</w:t>
                  </w:r>
                </w:p>
              </w:tc>
              <w:tc>
                <w:tcPr>
                  <w:tcW w:w="1070" w:type="dxa"/>
                  <w:noWrap w:val="0"/>
                  <w:vAlign w:val="center"/>
                </w:tcPr>
                <w:p w14:paraId="5FC5BCC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0.0020</w:t>
                  </w:r>
                </w:p>
              </w:tc>
              <w:tc>
                <w:tcPr>
                  <w:tcW w:w="1069" w:type="dxa"/>
                  <w:vMerge w:val="continue"/>
                  <w:noWrap w:val="0"/>
                  <w:vAlign w:val="center"/>
                </w:tcPr>
                <w:p w14:paraId="13872F2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0CDA285E">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0C2D9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6AA9532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4C46C67D">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316BD1BD">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24195FFA">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0AFDCA5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16:20-17:20</w:t>
                  </w:r>
                </w:p>
              </w:tc>
              <w:tc>
                <w:tcPr>
                  <w:tcW w:w="1070" w:type="dxa"/>
                  <w:noWrap w:val="0"/>
                  <w:vAlign w:val="center"/>
                </w:tcPr>
                <w:p w14:paraId="10DC392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0.0019</w:t>
                  </w:r>
                </w:p>
              </w:tc>
              <w:tc>
                <w:tcPr>
                  <w:tcW w:w="1069" w:type="dxa"/>
                  <w:vMerge w:val="continue"/>
                  <w:noWrap w:val="0"/>
                  <w:vAlign w:val="center"/>
                </w:tcPr>
                <w:p w14:paraId="031446F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655BFEC4">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36D68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17B58FC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6BE804A7">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restart"/>
                  <w:noWrap w:val="0"/>
                  <w:vAlign w:val="center"/>
                </w:tcPr>
                <w:p w14:paraId="2EEB073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二氧化硫</w:t>
                  </w:r>
                </w:p>
              </w:tc>
              <w:tc>
                <w:tcPr>
                  <w:tcW w:w="1309" w:type="dxa"/>
                  <w:vMerge w:val="restart"/>
                  <w:noWrap w:val="0"/>
                  <w:vAlign w:val="center"/>
                </w:tcPr>
                <w:p w14:paraId="48CAD0FA">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A2:厂界上风向</w:t>
                  </w:r>
                </w:p>
              </w:tc>
              <w:tc>
                <w:tcPr>
                  <w:tcW w:w="1614" w:type="dxa"/>
                  <w:noWrap w:val="0"/>
                  <w:vAlign w:val="center"/>
                </w:tcPr>
                <w:p w14:paraId="7DACB29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10:20-11:20</w:t>
                  </w:r>
                </w:p>
              </w:tc>
              <w:tc>
                <w:tcPr>
                  <w:tcW w:w="1070" w:type="dxa"/>
                  <w:noWrap w:val="0"/>
                  <w:vAlign w:val="center"/>
                </w:tcPr>
                <w:p w14:paraId="6E8008B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0.019</w:t>
                  </w:r>
                </w:p>
              </w:tc>
              <w:tc>
                <w:tcPr>
                  <w:tcW w:w="1069" w:type="dxa"/>
                  <w:vMerge w:val="restart"/>
                  <w:noWrap w:val="0"/>
                  <w:vAlign w:val="center"/>
                </w:tcPr>
                <w:p w14:paraId="04BA94D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0.5</w:t>
                  </w:r>
                </w:p>
              </w:tc>
              <w:tc>
                <w:tcPr>
                  <w:tcW w:w="1088" w:type="dxa"/>
                  <w:noWrap w:val="0"/>
                  <w:vAlign w:val="center"/>
                </w:tcPr>
                <w:p w14:paraId="4E51657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323AC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5A8C3A7D">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0584DA9E">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7B238DE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7783B44A">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43A2D3D7">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12:20-13:20</w:t>
                  </w:r>
                </w:p>
              </w:tc>
              <w:tc>
                <w:tcPr>
                  <w:tcW w:w="1070" w:type="dxa"/>
                  <w:noWrap w:val="0"/>
                  <w:vAlign w:val="center"/>
                </w:tcPr>
                <w:p w14:paraId="6A499EE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0.024</w:t>
                  </w:r>
                </w:p>
              </w:tc>
              <w:tc>
                <w:tcPr>
                  <w:tcW w:w="1069" w:type="dxa"/>
                  <w:vMerge w:val="continue"/>
                  <w:noWrap w:val="0"/>
                  <w:vAlign w:val="center"/>
                </w:tcPr>
                <w:p w14:paraId="301C640A">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0C382E5A">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62F1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3E853BE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71A2B8E9">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2201C5AF">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284410A5">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51AE3B47">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14:20-15:20</w:t>
                  </w:r>
                </w:p>
              </w:tc>
              <w:tc>
                <w:tcPr>
                  <w:tcW w:w="1070" w:type="dxa"/>
                  <w:noWrap w:val="0"/>
                  <w:vAlign w:val="center"/>
                </w:tcPr>
                <w:p w14:paraId="33F5C61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0.027</w:t>
                  </w:r>
                </w:p>
              </w:tc>
              <w:tc>
                <w:tcPr>
                  <w:tcW w:w="1069" w:type="dxa"/>
                  <w:vMerge w:val="continue"/>
                  <w:noWrap w:val="0"/>
                  <w:vAlign w:val="center"/>
                </w:tcPr>
                <w:p w14:paraId="448C66F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2996F08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6F39D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45D01D09">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5E64A1F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1D086E1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21510069">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561E170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16:20-17:20</w:t>
                  </w:r>
                </w:p>
              </w:tc>
              <w:tc>
                <w:tcPr>
                  <w:tcW w:w="1070" w:type="dxa"/>
                  <w:noWrap w:val="0"/>
                  <w:vAlign w:val="center"/>
                </w:tcPr>
                <w:p w14:paraId="32EDF08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0.021</w:t>
                  </w:r>
                </w:p>
              </w:tc>
              <w:tc>
                <w:tcPr>
                  <w:tcW w:w="1069" w:type="dxa"/>
                  <w:vMerge w:val="continue"/>
                  <w:noWrap w:val="0"/>
                  <w:vAlign w:val="center"/>
                </w:tcPr>
                <w:p w14:paraId="7A79792F">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7386A2E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64FA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0ADB9E37">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01569B4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0B2827BD">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restart"/>
                  <w:noWrap w:val="0"/>
                  <w:vAlign w:val="center"/>
                </w:tcPr>
                <w:p w14:paraId="4A14BEA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A3:厂界下风向1#</w:t>
                  </w:r>
                </w:p>
              </w:tc>
              <w:tc>
                <w:tcPr>
                  <w:tcW w:w="1614" w:type="dxa"/>
                  <w:noWrap w:val="0"/>
                  <w:vAlign w:val="center"/>
                </w:tcPr>
                <w:p w14:paraId="00FA7979">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10:20-11:20</w:t>
                  </w:r>
                </w:p>
              </w:tc>
              <w:tc>
                <w:tcPr>
                  <w:tcW w:w="1070" w:type="dxa"/>
                  <w:noWrap w:val="0"/>
                  <w:vAlign w:val="center"/>
                </w:tcPr>
                <w:p w14:paraId="696CF89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0.035</w:t>
                  </w:r>
                </w:p>
              </w:tc>
              <w:tc>
                <w:tcPr>
                  <w:tcW w:w="1069" w:type="dxa"/>
                  <w:vMerge w:val="continue"/>
                  <w:noWrap w:val="0"/>
                  <w:vAlign w:val="center"/>
                </w:tcPr>
                <w:p w14:paraId="28B37C9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7B68450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3CEF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14B539C7">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1AE1DEC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06A6F9EA">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4C669E8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4B98D4EE">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12:20-13:20</w:t>
                  </w:r>
                </w:p>
              </w:tc>
              <w:tc>
                <w:tcPr>
                  <w:tcW w:w="1070" w:type="dxa"/>
                  <w:noWrap w:val="0"/>
                  <w:vAlign w:val="center"/>
                </w:tcPr>
                <w:p w14:paraId="1659F19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0.041</w:t>
                  </w:r>
                </w:p>
              </w:tc>
              <w:tc>
                <w:tcPr>
                  <w:tcW w:w="1069" w:type="dxa"/>
                  <w:vMerge w:val="continue"/>
                  <w:noWrap w:val="0"/>
                  <w:vAlign w:val="center"/>
                </w:tcPr>
                <w:p w14:paraId="265B450F">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6EEABE59">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34C8F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61CEB1BF">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269F3E74">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1B71CC9F">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523AA7E4">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446B43D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14:20-15:20</w:t>
                  </w:r>
                </w:p>
              </w:tc>
              <w:tc>
                <w:tcPr>
                  <w:tcW w:w="1070" w:type="dxa"/>
                  <w:noWrap w:val="0"/>
                  <w:vAlign w:val="center"/>
                </w:tcPr>
                <w:p w14:paraId="0A8EB56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0.046</w:t>
                  </w:r>
                </w:p>
              </w:tc>
              <w:tc>
                <w:tcPr>
                  <w:tcW w:w="1069" w:type="dxa"/>
                  <w:vMerge w:val="continue"/>
                  <w:noWrap w:val="0"/>
                  <w:vAlign w:val="center"/>
                </w:tcPr>
                <w:p w14:paraId="4B34F93E">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6BBBC480">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7A712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6D4AD6E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0CBD166E">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7E67D636">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63FADFD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0090657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16:20-17:20</w:t>
                  </w:r>
                </w:p>
              </w:tc>
              <w:tc>
                <w:tcPr>
                  <w:tcW w:w="1070" w:type="dxa"/>
                  <w:noWrap w:val="0"/>
                  <w:vAlign w:val="center"/>
                </w:tcPr>
                <w:p w14:paraId="58896D7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0.038</w:t>
                  </w:r>
                </w:p>
              </w:tc>
              <w:tc>
                <w:tcPr>
                  <w:tcW w:w="1069" w:type="dxa"/>
                  <w:vMerge w:val="continue"/>
                  <w:noWrap w:val="0"/>
                  <w:vAlign w:val="center"/>
                </w:tcPr>
                <w:p w14:paraId="17CF4067">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6ADA4CE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5D025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3999DD67">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5B49F521">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5BCD688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restart"/>
                  <w:noWrap w:val="0"/>
                  <w:vAlign w:val="center"/>
                </w:tcPr>
                <w:p w14:paraId="5487A2B0">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A4：厂界下风向2#</w:t>
                  </w:r>
                </w:p>
              </w:tc>
              <w:tc>
                <w:tcPr>
                  <w:tcW w:w="1614" w:type="dxa"/>
                  <w:noWrap w:val="0"/>
                  <w:vAlign w:val="center"/>
                </w:tcPr>
                <w:p w14:paraId="39021BD0">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10:20-11:20</w:t>
                  </w:r>
                </w:p>
              </w:tc>
              <w:tc>
                <w:tcPr>
                  <w:tcW w:w="1070" w:type="dxa"/>
                  <w:noWrap w:val="0"/>
                  <w:vAlign w:val="center"/>
                </w:tcPr>
                <w:p w14:paraId="5C05A84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0.034</w:t>
                  </w:r>
                </w:p>
              </w:tc>
              <w:tc>
                <w:tcPr>
                  <w:tcW w:w="1069" w:type="dxa"/>
                  <w:vMerge w:val="continue"/>
                  <w:noWrap w:val="0"/>
                  <w:vAlign w:val="center"/>
                </w:tcPr>
                <w:p w14:paraId="6F674494">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4A898294">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0BAC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7214E21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387D630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0955F9C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7FB87C4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6498D10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12:20-13:20</w:t>
                  </w:r>
                </w:p>
              </w:tc>
              <w:tc>
                <w:tcPr>
                  <w:tcW w:w="1070" w:type="dxa"/>
                  <w:noWrap w:val="0"/>
                  <w:vAlign w:val="center"/>
                </w:tcPr>
                <w:p w14:paraId="728567C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0.049</w:t>
                  </w:r>
                </w:p>
              </w:tc>
              <w:tc>
                <w:tcPr>
                  <w:tcW w:w="1069" w:type="dxa"/>
                  <w:vMerge w:val="continue"/>
                  <w:noWrap w:val="0"/>
                  <w:vAlign w:val="center"/>
                </w:tcPr>
                <w:p w14:paraId="68718A6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731A890A">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2C74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73963156">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39A03C9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6C60E576">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69F0926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2509219E">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14:20-15:20</w:t>
                  </w:r>
                </w:p>
              </w:tc>
              <w:tc>
                <w:tcPr>
                  <w:tcW w:w="1070" w:type="dxa"/>
                  <w:noWrap w:val="0"/>
                  <w:vAlign w:val="center"/>
                </w:tcPr>
                <w:p w14:paraId="04286EB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0.044</w:t>
                  </w:r>
                </w:p>
              </w:tc>
              <w:tc>
                <w:tcPr>
                  <w:tcW w:w="1069" w:type="dxa"/>
                  <w:vMerge w:val="continue"/>
                  <w:noWrap w:val="0"/>
                  <w:vAlign w:val="center"/>
                </w:tcPr>
                <w:p w14:paraId="100AD51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717EDEAE">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01FA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6F56BFCD">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4D2AC27E">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711D64AA">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2C183765">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68055739">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16:20-17:20</w:t>
                  </w:r>
                </w:p>
              </w:tc>
              <w:tc>
                <w:tcPr>
                  <w:tcW w:w="1070" w:type="dxa"/>
                  <w:noWrap w:val="0"/>
                  <w:vAlign w:val="center"/>
                </w:tcPr>
                <w:p w14:paraId="3ED2845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0.037</w:t>
                  </w:r>
                </w:p>
              </w:tc>
              <w:tc>
                <w:tcPr>
                  <w:tcW w:w="1069" w:type="dxa"/>
                  <w:vMerge w:val="continue"/>
                  <w:noWrap w:val="0"/>
                  <w:vAlign w:val="center"/>
                </w:tcPr>
                <w:p w14:paraId="7DE3021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29F58EE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5163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22CDFBA9">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1F1531ED">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1F1B2C9D">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restart"/>
                  <w:noWrap w:val="0"/>
                  <w:vAlign w:val="center"/>
                </w:tcPr>
                <w:p w14:paraId="089F4CF9">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A5：厂界下风向3#</w:t>
                  </w:r>
                </w:p>
              </w:tc>
              <w:tc>
                <w:tcPr>
                  <w:tcW w:w="1614" w:type="dxa"/>
                  <w:noWrap w:val="0"/>
                  <w:vAlign w:val="center"/>
                </w:tcPr>
                <w:p w14:paraId="7B03C69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10:20-11:20</w:t>
                  </w:r>
                </w:p>
              </w:tc>
              <w:tc>
                <w:tcPr>
                  <w:tcW w:w="1070" w:type="dxa"/>
                  <w:noWrap w:val="0"/>
                  <w:vAlign w:val="center"/>
                </w:tcPr>
                <w:p w14:paraId="76A507C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0.038</w:t>
                  </w:r>
                </w:p>
              </w:tc>
              <w:tc>
                <w:tcPr>
                  <w:tcW w:w="1069" w:type="dxa"/>
                  <w:vMerge w:val="continue"/>
                  <w:noWrap w:val="0"/>
                  <w:vAlign w:val="center"/>
                </w:tcPr>
                <w:p w14:paraId="04047E9F">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1596D59A">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263F7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602C24AA">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36A5BC0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3462D6A6">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56060E27">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5BE8897F">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12:20-13:20</w:t>
                  </w:r>
                </w:p>
              </w:tc>
              <w:tc>
                <w:tcPr>
                  <w:tcW w:w="1070" w:type="dxa"/>
                  <w:noWrap w:val="0"/>
                  <w:vAlign w:val="center"/>
                </w:tcPr>
                <w:p w14:paraId="4204506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0.048</w:t>
                  </w:r>
                </w:p>
              </w:tc>
              <w:tc>
                <w:tcPr>
                  <w:tcW w:w="1069" w:type="dxa"/>
                  <w:vMerge w:val="continue"/>
                  <w:noWrap w:val="0"/>
                  <w:vAlign w:val="center"/>
                </w:tcPr>
                <w:p w14:paraId="3D4769BB">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073F6997">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473A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30E2CDE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10DBFCE5">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698EE009">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1FB7AFAF">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140F2D8E">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14:20-15:20</w:t>
                  </w:r>
                </w:p>
              </w:tc>
              <w:tc>
                <w:tcPr>
                  <w:tcW w:w="1070" w:type="dxa"/>
                  <w:noWrap w:val="0"/>
                  <w:vAlign w:val="center"/>
                </w:tcPr>
                <w:p w14:paraId="259B5FA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0.044</w:t>
                  </w:r>
                </w:p>
              </w:tc>
              <w:tc>
                <w:tcPr>
                  <w:tcW w:w="1069" w:type="dxa"/>
                  <w:vMerge w:val="continue"/>
                  <w:noWrap w:val="0"/>
                  <w:vAlign w:val="center"/>
                </w:tcPr>
                <w:p w14:paraId="6641927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174BCF5C">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r w14:paraId="3BD6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dxa"/>
                  <w:vMerge w:val="continue"/>
                  <w:noWrap w:val="0"/>
                  <w:vAlign w:val="center"/>
                </w:tcPr>
                <w:p w14:paraId="0DA7431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851" w:type="dxa"/>
                  <w:vMerge w:val="continue"/>
                  <w:noWrap w:val="0"/>
                  <w:vAlign w:val="center"/>
                </w:tcPr>
                <w:p w14:paraId="28860AD3">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69" w:type="dxa"/>
                  <w:vMerge w:val="continue"/>
                  <w:noWrap w:val="0"/>
                  <w:vAlign w:val="center"/>
                </w:tcPr>
                <w:p w14:paraId="7BBF3CB8">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309" w:type="dxa"/>
                  <w:vMerge w:val="continue"/>
                  <w:noWrap w:val="0"/>
                  <w:vAlign w:val="center"/>
                </w:tcPr>
                <w:p w14:paraId="1B2C17CE">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614" w:type="dxa"/>
                  <w:noWrap w:val="0"/>
                  <w:vAlign w:val="center"/>
                </w:tcPr>
                <w:p w14:paraId="6F3F3097">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16:20-17:20</w:t>
                  </w:r>
                </w:p>
              </w:tc>
              <w:tc>
                <w:tcPr>
                  <w:tcW w:w="1070" w:type="dxa"/>
                  <w:noWrap w:val="0"/>
                  <w:vAlign w:val="center"/>
                </w:tcPr>
                <w:p w14:paraId="0D7D402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Cs/>
                      <w:color w:val="000000" w:themeColor="text1"/>
                      <w:sz w:val="21"/>
                      <w:szCs w:val="21"/>
                      <w:vertAlign w:val="baseline"/>
                      <w:lang w:val="en-US" w:eastAsia="zh-CN"/>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0.038</w:t>
                  </w:r>
                </w:p>
              </w:tc>
              <w:tc>
                <w:tcPr>
                  <w:tcW w:w="1069" w:type="dxa"/>
                  <w:vMerge w:val="continue"/>
                  <w:noWrap w:val="0"/>
                  <w:vAlign w:val="center"/>
                </w:tcPr>
                <w:p w14:paraId="6DCCB692">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p>
              </w:tc>
              <w:tc>
                <w:tcPr>
                  <w:tcW w:w="1088" w:type="dxa"/>
                  <w:noWrap w:val="0"/>
                  <w:vAlign w:val="center"/>
                </w:tcPr>
                <w:p w14:paraId="438B0F7F">
                  <w:pPr>
                    <w:keepNext w:val="0"/>
                    <w:keepLines w:val="0"/>
                    <w:pageBreakBefore w:val="0"/>
                    <w:widowControl w:val="0"/>
                    <w:kinsoku/>
                    <w:wordWrap/>
                    <w:overflowPunct/>
                    <w:topLinePunct w:val="0"/>
                    <w:autoSpaceDE/>
                    <w:autoSpaceDN/>
                    <w:bidi w:val="0"/>
                    <w:adjustRightInd w:val="0"/>
                    <w:snapToGrid w:val="0"/>
                    <w:jc w:val="center"/>
                    <w:textAlignment w:val="auto"/>
                    <w:rPr>
                      <w:bCs/>
                      <w:color w:val="000000" w:themeColor="text1"/>
                      <w:sz w:val="21"/>
                      <w:szCs w:val="21"/>
                      <w:vertAlign w:val="baseline"/>
                      <w14:textFill>
                        <w14:solidFill>
                          <w14:schemeClr w14:val="tx1"/>
                        </w14:solidFill>
                      </w14:textFill>
                    </w:rPr>
                  </w:pPr>
                  <w:r>
                    <w:rPr>
                      <w:rFonts w:hint="eastAsia"/>
                      <w:bCs/>
                      <w:color w:val="000000" w:themeColor="text1"/>
                      <w:sz w:val="21"/>
                      <w:szCs w:val="21"/>
                      <w:vertAlign w:val="baseline"/>
                      <w:lang w:val="en-US" w:eastAsia="zh-CN"/>
                      <w14:textFill>
                        <w14:solidFill>
                          <w14:schemeClr w14:val="tx1"/>
                        </w14:solidFill>
                      </w14:textFill>
                    </w:rPr>
                    <w:t>达标</w:t>
                  </w:r>
                </w:p>
              </w:tc>
            </w:tr>
          </w:tbl>
          <w:p w14:paraId="145EAF2B">
            <w:pPr>
              <w:adjustRightInd w:val="0"/>
              <w:snapToGrid w:val="0"/>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lang w:val="en-US" w:eastAsia="zh-CN"/>
                <w14:textFill>
                  <w14:solidFill>
                    <w14:schemeClr w14:val="tx1"/>
                  </w14:solidFill>
                </w14:textFill>
              </w:rPr>
              <w:t>根据现有项目2024年第二季度自行监测报告</w:t>
            </w:r>
            <w:r>
              <w:rPr>
                <w:rFonts w:hint="eastAsia"/>
                <w:bCs/>
                <w:color w:val="000000" w:themeColor="text1"/>
                <w:sz w:val="24"/>
                <w14:textFill>
                  <w14:solidFill>
                    <w14:schemeClr w14:val="tx1"/>
                  </w14:solidFill>
                </w14:textFill>
              </w:rPr>
              <w:t>，项目</w:t>
            </w:r>
            <w:r>
              <w:rPr>
                <w:rFonts w:hint="eastAsia"/>
                <w:bCs/>
                <w:color w:val="000000" w:themeColor="text1"/>
                <w:sz w:val="24"/>
                <w:lang w:val="en-US" w:eastAsia="zh-CN"/>
                <w14:textFill>
                  <w14:solidFill>
                    <w14:schemeClr w14:val="tx1"/>
                  </w14:solidFill>
                </w14:textFill>
              </w:rPr>
              <w:t>厂界无组织</w:t>
            </w:r>
            <w:r>
              <w:rPr>
                <w:rFonts w:hint="eastAsia"/>
                <w:bCs/>
                <w:color w:val="000000" w:themeColor="text1"/>
                <w:sz w:val="24"/>
                <w14:textFill>
                  <w14:solidFill>
                    <w14:schemeClr w14:val="tx1"/>
                  </w14:solidFill>
                </w14:textFill>
              </w:rPr>
              <w:t>总悬浮颗粒物</w:t>
            </w:r>
            <w:r>
              <w:rPr>
                <w:rFonts w:hint="eastAsia"/>
                <w:bCs/>
                <w:color w:val="000000" w:themeColor="text1"/>
                <w:sz w:val="24"/>
                <w:lang w:eastAsia="zh-CN"/>
                <w14:textFill>
                  <w14:solidFill>
                    <w14:schemeClr w14:val="tx1"/>
                  </w14:solidFill>
                </w14:textFill>
              </w:rPr>
              <w:t>、</w:t>
            </w:r>
            <w:r>
              <w:rPr>
                <w:rFonts w:hint="eastAsia"/>
                <w:bCs/>
                <w:color w:val="000000" w:themeColor="text1"/>
                <w:sz w:val="24"/>
                <w:lang w:val="en-US" w:eastAsia="zh-CN"/>
                <w14:textFill>
                  <w14:solidFill>
                    <w14:schemeClr w14:val="tx1"/>
                  </w14:solidFill>
                </w14:textFill>
              </w:rPr>
              <w:t>二氧化硫、氟化物</w:t>
            </w:r>
            <w:r>
              <w:rPr>
                <w:rFonts w:hint="eastAsia"/>
                <w:bCs/>
                <w:color w:val="000000" w:themeColor="text1"/>
                <w:sz w:val="24"/>
                <w14:textFill>
                  <w14:solidFill>
                    <w14:schemeClr w14:val="tx1"/>
                  </w14:solidFill>
                </w14:textFill>
              </w:rPr>
              <w:t>浓度均可达到</w:t>
            </w:r>
            <w:r>
              <w:rPr>
                <w:rFonts w:hint="eastAsia"/>
                <w:bCs/>
                <w:color w:val="000000" w:themeColor="text1"/>
                <w:sz w:val="24"/>
                <w:lang w:eastAsia="zh-CN"/>
                <w14:textFill>
                  <w14:solidFill>
                    <w14:schemeClr w14:val="tx1"/>
                  </w14:solidFill>
                </w14:textFill>
              </w:rPr>
              <w:t>《砖瓦工业大气污染物排放标准》（GB 29620-2013）</w:t>
            </w:r>
            <w:r>
              <w:rPr>
                <w:rFonts w:hint="eastAsia"/>
                <w:bCs/>
                <w:color w:val="000000" w:themeColor="text1"/>
                <w:sz w:val="24"/>
                <w:lang w:val="en-US" w:eastAsia="zh-CN"/>
                <w14:textFill>
                  <w14:solidFill>
                    <w14:schemeClr w14:val="tx1"/>
                  </w14:solidFill>
                </w14:textFill>
              </w:rPr>
              <w:t>表3排放浓度限值，即总悬浮颗粒物≤1.0mg/m</w:t>
            </w:r>
            <w:r>
              <w:rPr>
                <w:rFonts w:hint="eastAsia"/>
                <w:bCs/>
                <w:color w:val="000000" w:themeColor="text1"/>
                <w:sz w:val="24"/>
                <w:vertAlign w:val="superscript"/>
                <w:lang w:val="en-US" w:eastAsia="zh-CN"/>
                <w14:textFill>
                  <w14:solidFill>
                    <w14:schemeClr w14:val="tx1"/>
                  </w14:solidFill>
                </w14:textFill>
              </w:rPr>
              <w:t>3</w:t>
            </w:r>
            <w:r>
              <w:rPr>
                <w:rFonts w:hint="eastAsia"/>
                <w:bCs/>
                <w:color w:val="000000" w:themeColor="text1"/>
                <w:sz w:val="24"/>
                <w:vertAlign w:val="baseline"/>
                <w:lang w:val="en-US" w:eastAsia="zh-CN"/>
                <w14:textFill>
                  <w14:solidFill>
                    <w14:schemeClr w14:val="tx1"/>
                  </w14:solidFill>
                </w14:textFill>
              </w:rPr>
              <w:t>，二氧化硫</w:t>
            </w:r>
            <w:r>
              <w:rPr>
                <w:rFonts w:hint="eastAsia"/>
                <w:bCs/>
                <w:color w:val="000000" w:themeColor="text1"/>
                <w:sz w:val="24"/>
                <w:lang w:val="en-US" w:eastAsia="zh-CN"/>
                <w14:textFill>
                  <w14:solidFill>
                    <w14:schemeClr w14:val="tx1"/>
                  </w14:solidFill>
                </w14:textFill>
              </w:rPr>
              <w:t>≤0.5mg/m</w:t>
            </w:r>
            <w:r>
              <w:rPr>
                <w:rFonts w:hint="eastAsia"/>
                <w:bCs/>
                <w:color w:val="000000" w:themeColor="text1"/>
                <w:sz w:val="24"/>
                <w:vertAlign w:val="superscript"/>
                <w:lang w:val="en-US" w:eastAsia="zh-CN"/>
                <w14:textFill>
                  <w14:solidFill>
                    <w14:schemeClr w14:val="tx1"/>
                  </w14:solidFill>
                </w14:textFill>
              </w:rPr>
              <w:t>3</w:t>
            </w:r>
            <w:r>
              <w:rPr>
                <w:rFonts w:hint="eastAsia"/>
                <w:bCs/>
                <w:color w:val="000000" w:themeColor="text1"/>
                <w:sz w:val="24"/>
                <w:vertAlign w:val="baseline"/>
                <w:lang w:val="en-US" w:eastAsia="zh-CN"/>
                <w14:textFill>
                  <w14:solidFill>
                    <w14:schemeClr w14:val="tx1"/>
                  </w14:solidFill>
                </w14:textFill>
              </w:rPr>
              <w:t>，氟化物</w:t>
            </w:r>
            <w:r>
              <w:rPr>
                <w:rFonts w:hint="eastAsia"/>
                <w:bCs/>
                <w:color w:val="000000" w:themeColor="text1"/>
                <w:sz w:val="24"/>
                <w:lang w:val="en-US" w:eastAsia="zh-CN"/>
                <w14:textFill>
                  <w14:solidFill>
                    <w14:schemeClr w14:val="tx1"/>
                  </w14:solidFill>
                </w14:textFill>
              </w:rPr>
              <w:t>≤0.02mg/m</w:t>
            </w:r>
            <w:r>
              <w:rPr>
                <w:rFonts w:hint="eastAsia"/>
                <w:bCs/>
                <w:color w:val="000000" w:themeColor="text1"/>
                <w:sz w:val="24"/>
                <w:vertAlign w:val="superscript"/>
                <w:lang w:val="en-US" w:eastAsia="zh-CN"/>
                <w14:textFill>
                  <w14:solidFill>
                    <w14:schemeClr w14:val="tx1"/>
                  </w14:solidFill>
                </w14:textFill>
              </w:rPr>
              <w:t>3</w:t>
            </w:r>
            <w:r>
              <w:rPr>
                <w:rFonts w:hint="eastAsia"/>
                <w:bCs/>
                <w:color w:val="000000" w:themeColor="text1"/>
                <w:sz w:val="24"/>
                <w14:textFill>
                  <w14:solidFill>
                    <w14:schemeClr w14:val="tx1"/>
                  </w14:solidFill>
                </w14:textFill>
              </w:rPr>
              <w:t>。</w:t>
            </w:r>
          </w:p>
          <w:p w14:paraId="3FDEE318">
            <w:pPr>
              <w:adjustRightInd w:val="0"/>
              <w:snapToGrid w:val="0"/>
              <w:spacing w:line="360" w:lineRule="auto"/>
              <w:ind w:firstLine="482" w:firstLineChars="200"/>
              <w:rPr>
                <w:rFonts w:hint="default" w:ascii="Times New Roman" w:hAnsi="Times New Roman" w:cs="Times New Roman"/>
                <w:bCs/>
                <w:color w:val="000000" w:themeColor="text1"/>
                <w:sz w:val="24"/>
                <w14:textFill>
                  <w14:solidFill>
                    <w14:schemeClr w14:val="tx1"/>
                  </w14:solidFill>
                </w14:textFill>
              </w:rPr>
            </w:pPr>
            <w:r>
              <w:rPr>
                <w:rFonts w:hint="default" w:ascii="Times New Roman" w:hAnsi="Times New Roman" w:cs="Times New Roman"/>
                <w:b/>
                <w:bCs w:val="0"/>
                <w:color w:val="000000" w:themeColor="text1"/>
                <w:sz w:val="24"/>
                <w14:textFill>
                  <w14:solidFill>
                    <w14:schemeClr w14:val="tx1"/>
                  </w14:solidFill>
                </w14:textFill>
              </w:rPr>
              <w:t>（</w:t>
            </w:r>
            <w:r>
              <w:rPr>
                <w:rFonts w:hint="default" w:ascii="Times New Roman" w:hAnsi="Times New Roman" w:cs="Times New Roman"/>
                <w:b/>
                <w:bCs w:val="0"/>
                <w:color w:val="000000" w:themeColor="text1"/>
                <w:sz w:val="24"/>
                <w:lang w:val="en-US" w:eastAsia="zh-CN"/>
                <w14:textFill>
                  <w14:solidFill>
                    <w14:schemeClr w14:val="tx1"/>
                  </w14:solidFill>
                </w14:textFill>
              </w:rPr>
              <w:t>2</w:t>
            </w:r>
            <w:r>
              <w:rPr>
                <w:rFonts w:hint="default" w:ascii="Times New Roman" w:hAnsi="Times New Roman" w:cs="Times New Roman"/>
                <w:b/>
                <w:bCs w:val="0"/>
                <w:color w:val="000000" w:themeColor="text1"/>
                <w:sz w:val="24"/>
                <w14:textFill>
                  <w14:solidFill>
                    <w14:schemeClr w14:val="tx1"/>
                  </w14:solidFill>
                </w14:textFill>
              </w:rPr>
              <w:t>）有组织废气</w:t>
            </w:r>
          </w:p>
          <w:p w14:paraId="4C73BCDF">
            <w:pPr>
              <w:adjustRightInd w:val="0"/>
              <w:snapToGrid w:val="0"/>
              <w:spacing w:line="360" w:lineRule="auto"/>
              <w:ind w:firstLine="480" w:firstLineChars="200"/>
              <w:rPr>
                <w:rFonts w:hint="default" w:ascii="Times New Roman" w:hAnsi="Times New Roman" w:cs="Times New Roman"/>
                <w:b w:val="0"/>
                <w:bCs/>
                <w:color w:val="000000" w:themeColor="text1"/>
                <w:sz w:val="24"/>
                <w14:textFill>
                  <w14:solidFill>
                    <w14:schemeClr w14:val="tx1"/>
                  </w14:solidFill>
                </w14:textFill>
              </w:rPr>
            </w:pPr>
            <w:r>
              <w:rPr>
                <w:rFonts w:hint="default" w:ascii="Times New Roman" w:hAnsi="Times New Roman" w:cs="Times New Roman"/>
                <w:b w:val="0"/>
                <w:bCs/>
                <w:color w:val="000000" w:themeColor="text1"/>
                <w:sz w:val="24"/>
                <w:lang w:val="en-US" w:eastAsia="zh-CN"/>
                <w14:textFill>
                  <w14:solidFill>
                    <w14:schemeClr w14:val="tx1"/>
                  </w14:solidFill>
                </w14:textFill>
              </w:rPr>
              <w:t>1）</w:t>
            </w:r>
            <w:r>
              <w:rPr>
                <w:rFonts w:hint="eastAsia" w:cs="Times New Roman"/>
                <w:b w:val="0"/>
                <w:bCs/>
                <w:color w:val="000000" w:themeColor="text1"/>
                <w:sz w:val="24"/>
                <w:lang w:val="en-US" w:eastAsia="zh-CN"/>
                <w14:textFill>
                  <w14:solidFill>
                    <w14:schemeClr w14:val="tx1"/>
                  </w14:solidFill>
                </w14:textFill>
              </w:rPr>
              <w:t>原有</w:t>
            </w:r>
            <w:r>
              <w:rPr>
                <w:rFonts w:hint="default" w:ascii="Times New Roman" w:hAnsi="Times New Roman" w:cs="Times New Roman"/>
                <w:b w:val="0"/>
                <w:bCs/>
                <w:color w:val="000000" w:themeColor="text1"/>
                <w:sz w:val="24"/>
                <w14:textFill>
                  <w14:solidFill>
                    <w14:schemeClr w14:val="tx1"/>
                  </w14:solidFill>
                </w14:textFill>
              </w:rPr>
              <w:t>排口基本情况</w:t>
            </w:r>
          </w:p>
          <w:p w14:paraId="408F73C4">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原有项目</w:t>
            </w:r>
            <w:r>
              <w:rPr>
                <w:rFonts w:hint="default" w:ascii="Times New Roman" w:hAnsi="Times New Roman" w:cs="Times New Roman"/>
                <w:color w:val="000000" w:themeColor="text1"/>
                <w:sz w:val="24"/>
                <w14:textFill>
                  <w14:solidFill>
                    <w14:schemeClr w14:val="tx1"/>
                  </w14:solidFill>
                </w14:textFill>
              </w:rPr>
              <w:t>共设置1个有组织排放口，为</w:t>
            </w:r>
            <w:r>
              <w:rPr>
                <w:rFonts w:hint="default" w:ascii="Times New Roman" w:hAnsi="Times New Roman" w:cs="Times New Roman"/>
                <w:color w:val="000000" w:themeColor="text1"/>
                <w:sz w:val="24"/>
                <w:lang w:val="en-US" w:eastAsia="zh-CN"/>
                <w14:textFill>
                  <w14:solidFill>
                    <w14:schemeClr w14:val="tx1"/>
                  </w14:solidFill>
                </w14:textFill>
              </w:rPr>
              <w:t>圆窑</w:t>
            </w:r>
            <w:r>
              <w:rPr>
                <w:rFonts w:hint="default" w:ascii="Times New Roman" w:hAnsi="Times New Roman" w:cs="Times New Roman"/>
                <w:color w:val="000000" w:themeColor="text1"/>
                <w:sz w:val="24"/>
                <w14:textFill>
                  <w14:solidFill>
                    <w14:schemeClr w14:val="tx1"/>
                  </w14:solidFill>
                </w14:textFill>
              </w:rPr>
              <w:t>烟气排放口（DA00</w:t>
            </w:r>
            <w:r>
              <w:rPr>
                <w:rFonts w:hint="eastAsia" w:cs="Times New Roman"/>
                <w:color w:val="000000" w:themeColor="text1"/>
                <w:sz w:val="24"/>
                <w:lang w:val="en-US" w:eastAsia="zh-CN"/>
                <w14:textFill>
                  <w14:solidFill>
                    <w14:schemeClr w14:val="tx1"/>
                  </w14:solidFill>
                </w14:textFill>
              </w:rPr>
              <w:t>1</w:t>
            </w:r>
            <w:r>
              <w:rPr>
                <w:rFonts w:hint="default" w:ascii="Times New Roman" w:hAnsi="Times New Roman" w:cs="Times New Roman"/>
                <w:color w:val="000000" w:themeColor="text1"/>
                <w:sz w:val="24"/>
                <w14:textFill>
                  <w14:solidFill>
                    <w14:schemeClr w14:val="tx1"/>
                  </w14:solidFill>
                </w14:textFill>
              </w:rPr>
              <w:t>），为一般排放口。</w:t>
            </w:r>
            <w:r>
              <w:rPr>
                <w:rFonts w:hint="eastAsia" w:cs="Times New Roman"/>
                <w:color w:val="000000" w:themeColor="text1"/>
                <w:sz w:val="24"/>
                <w:lang w:val="en-US" w:eastAsia="zh-CN"/>
                <w14:textFill>
                  <w14:solidFill>
                    <w14:schemeClr w14:val="tx1"/>
                  </w14:solidFill>
                </w14:textFill>
              </w:rPr>
              <w:t>原有</w:t>
            </w:r>
            <w:r>
              <w:rPr>
                <w:rFonts w:hint="default" w:ascii="Times New Roman" w:hAnsi="Times New Roman" w:cs="Times New Roman"/>
                <w:color w:val="000000" w:themeColor="text1"/>
                <w:sz w:val="24"/>
                <w14:textFill>
                  <w14:solidFill>
                    <w14:schemeClr w14:val="tx1"/>
                  </w14:solidFill>
                </w14:textFill>
              </w:rPr>
              <w:t>排放</w:t>
            </w:r>
            <w:r>
              <w:rPr>
                <w:rFonts w:hint="eastAsia" w:cs="Times New Roman"/>
                <w:color w:val="000000" w:themeColor="text1"/>
                <w:sz w:val="24"/>
                <w:lang w:val="en-US" w:eastAsia="zh-CN"/>
                <w14:textFill>
                  <w14:solidFill>
                    <w14:schemeClr w14:val="tx1"/>
                  </w14:solidFill>
                </w14:textFill>
              </w:rPr>
              <w:t>口</w:t>
            </w:r>
            <w:r>
              <w:rPr>
                <w:rFonts w:hint="default" w:ascii="Times New Roman" w:hAnsi="Times New Roman" w:cs="Times New Roman"/>
                <w:color w:val="000000" w:themeColor="text1"/>
                <w:sz w:val="24"/>
                <w14:textFill>
                  <w14:solidFill>
                    <w14:schemeClr w14:val="tx1"/>
                  </w14:solidFill>
                </w14:textFill>
              </w:rPr>
              <w:t>（DA00</w:t>
            </w:r>
            <w:r>
              <w:rPr>
                <w:rFonts w:hint="eastAsia" w:cs="Times New Roman"/>
                <w:color w:val="000000" w:themeColor="text1"/>
                <w:sz w:val="24"/>
                <w:lang w:val="en-US" w:eastAsia="zh-CN"/>
                <w14:textFill>
                  <w14:solidFill>
                    <w14:schemeClr w14:val="tx1"/>
                  </w14:solidFill>
                </w14:textFill>
              </w:rPr>
              <w:t>1</w:t>
            </w:r>
            <w:r>
              <w:rPr>
                <w:rFonts w:hint="default" w:ascii="Times New Roman" w:hAnsi="Times New Roman" w:cs="Times New Roman"/>
                <w:color w:val="000000" w:themeColor="text1"/>
                <w:sz w:val="24"/>
                <w14:textFill>
                  <w14:solidFill>
                    <w14:schemeClr w14:val="tx1"/>
                  </w14:solidFill>
                </w14:textFill>
              </w:rPr>
              <w:t>）基本情况如下：</w:t>
            </w:r>
          </w:p>
          <w:p w14:paraId="7E2ABD8D">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表2-</w:t>
            </w:r>
            <w:r>
              <w:rPr>
                <w:rFonts w:hint="eastAsia" w:cs="Times New Roman"/>
                <w:b/>
                <w:color w:val="000000" w:themeColor="text1"/>
                <w:sz w:val="24"/>
                <w:szCs w:val="24"/>
                <w:lang w:val="en-US" w:eastAsia="zh-CN"/>
                <w14:textFill>
                  <w14:solidFill>
                    <w14:schemeClr w14:val="tx1"/>
                  </w14:solidFill>
                </w14:textFill>
              </w:rPr>
              <w:t>23</w:t>
            </w:r>
            <w:r>
              <w:rPr>
                <w:rFonts w:hint="default" w:ascii="Times New Roman" w:hAnsi="Times New Roman" w:cs="Times New Roman"/>
                <w:b/>
                <w:color w:val="000000" w:themeColor="text1"/>
                <w:sz w:val="24"/>
                <w:szCs w:val="24"/>
                <w14:textFill>
                  <w14:solidFill>
                    <w14:schemeClr w14:val="tx1"/>
                  </w14:solidFill>
                </w14:textFill>
              </w:rPr>
              <w:t xml:space="preserve">  </w:t>
            </w:r>
            <w:r>
              <w:rPr>
                <w:rFonts w:hint="eastAsia" w:cs="Times New Roman"/>
                <w:b/>
                <w:color w:val="000000" w:themeColor="text1"/>
                <w:sz w:val="24"/>
                <w:szCs w:val="24"/>
                <w:lang w:val="en-US" w:eastAsia="zh-CN"/>
                <w14:textFill>
                  <w14:solidFill>
                    <w14:schemeClr w14:val="tx1"/>
                  </w14:solidFill>
                </w14:textFill>
              </w:rPr>
              <w:t>原有</w:t>
            </w:r>
            <w:r>
              <w:rPr>
                <w:rFonts w:hint="default" w:ascii="Times New Roman" w:hAnsi="Times New Roman" w:cs="Times New Roman"/>
                <w:b/>
                <w:color w:val="000000" w:themeColor="text1"/>
                <w:sz w:val="24"/>
                <w:szCs w:val="24"/>
                <w14:textFill>
                  <w14:solidFill>
                    <w14:schemeClr w14:val="tx1"/>
                  </w14:solidFill>
                </w14:textFill>
              </w:rPr>
              <w:t>排口基本情况表</w:t>
            </w:r>
          </w:p>
          <w:tbl>
            <w:tblPr>
              <w:tblStyle w:val="28"/>
              <w:tblW w:w="50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9"/>
              <w:gridCol w:w="803"/>
              <w:gridCol w:w="1116"/>
              <w:gridCol w:w="1010"/>
              <w:gridCol w:w="876"/>
              <w:gridCol w:w="1175"/>
              <w:gridCol w:w="2375"/>
            </w:tblGrid>
            <w:tr w14:paraId="3381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66" w:type="pct"/>
                  <w:gridSpan w:val="3"/>
                  <w:noWrap w:val="0"/>
                  <w:vAlign w:val="center"/>
                </w:tcPr>
                <w:p w14:paraId="61C59C71">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产排污节点</w:t>
                  </w:r>
                </w:p>
              </w:tc>
              <w:tc>
                <w:tcPr>
                  <w:tcW w:w="3133" w:type="pct"/>
                  <w:gridSpan w:val="4"/>
                  <w:noWrap w:val="0"/>
                  <w:vAlign w:val="center"/>
                </w:tcPr>
                <w:p w14:paraId="426CCF38">
                  <w:pPr>
                    <w:pStyle w:val="18"/>
                    <w:adjustRightInd w:val="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sz w:val="21"/>
                      <w:szCs w:val="21"/>
                      <w:lang w:val="en-US" w:eastAsia="zh-CN"/>
                      <w14:textFill>
                        <w14:solidFill>
                          <w14:schemeClr w14:val="tx1"/>
                        </w14:solidFill>
                      </w14:textFill>
                    </w:rPr>
                    <w:t>圆窑烧制</w:t>
                  </w:r>
                </w:p>
              </w:tc>
            </w:tr>
            <w:tr w14:paraId="013B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66" w:type="pct"/>
                  <w:gridSpan w:val="3"/>
                  <w:noWrap w:val="0"/>
                  <w:vAlign w:val="center"/>
                </w:tcPr>
                <w:p w14:paraId="40ECEEB3">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污染物种类</w:t>
                  </w:r>
                </w:p>
              </w:tc>
              <w:tc>
                <w:tcPr>
                  <w:tcW w:w="582" w:type="pct"/>
                  <w:noWrap w:val="0"/>
                  <w:vAlign w:val="center"/>
                </w:tcPr>
                <w:p w14:paraId="23E3C5EA">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颗粒物</w:t>
                  </w:r>
                </w:p>
              </w:tc>
              <w:tc>
                <w:tcPr>
                  <w:tcW w:w="504" w:type="pct"/>
                  <w:noWrap w:val="0"/>
                  <w:vAlign w:val="center"/>
                </w:tcPr>
                <w:p w14:paraId="69606E2A">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SO</w:t>
                  </w:r>
                  <w:r>
                    <w:rPr>
                      <w:rFonts w:hint="default" w:ascii="Times New Roman" w:hAnsi="Times New Roman" w:cs="Times New Roman"/>
                      <w:bCs/>
                      <w:color w:val="000000" w:themeColor="text1"/>
                      <w:sz w:val="21"/>
                      <w:szCs w:val="21"/>
                      <w:vertAlign w:val="subscript"/>
                      <w14:textFill>
                        <w14:solidFill>
                          <w14:schemeClr w14:val="tx1"/>
                        </w14:solidFill>
                      </w14:textFill>
                    </w:rPr>
                    <w:t>2</w:t>
                  </w:r>
                </w:p>
              </w:tc>
              <w:tc>
                <w:tcPr>
                  <w:tcW w:w="677" w:type="pct"/>
                  <w:noWrap w:val="0"/>
                  <w:vAlign w:val="center"/>
                </w:tcPr>
                <w:p w14:paraId="76EBEBE7">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NO</w:t>
                  </w:r>
                  <w:r>
                    <w:rPr>
                      <w:rFonts w:hint="default" w:ascii="Times New Roman" w:hAnsi="Times New Roman" w:cs="Times New Roman"/>
                      <w:bCs/>
                      <w:color w:val="000000" w:themeColor="text1"/>
                      <w:sz w:val="21"/>
                      <w:szCs w:val="21"/>
                      <w:vertAlign w:val="subscript"/>
                      <w14:textFill>
                        <w14:solidFill>
                          <w14:schemeClr w14:val="tx1"/>
                        </w14:solidFill>
                      </w14:textFill>
                    </w:rPr>
                    <w:t>x</w:t>
                  </w:r>
                </w:p>
              </w:tc>
              <w:tc>
                <w:tcPr>
                  <w:tcW w:w="1369" w:type="pct"/>
                  <w:noWrap w:val="0"/>
                  <w:vAlign w:val="center"/>
                </w:tcPr>
                <w:p w14:paraId="0D808AC9">
                  <w:pPr>
                    <w:pStyle w:val="18"/>
                    <w:adjustRightInd w:val="0"/>
                    <w:jc w:val="center"/>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cs="Times New Roman"/>
                      <w:bCs/>
                      <w:color w:val="000000" w:themeColor="text1"/>
                      <w:sz w:val="21"/>
                      <w:szCs w:val="21"/>
                      <w:lang w:eastAsia="zh-CN"/>
                      <w14:textFill>
                        <w14:solidFill>
                          <w14:schemeClr w14:val="tx1"/>
                        </w14:solidFill>
                      </w14:textFill>
                    </w:rPr>
                    <w:t>氟及其化合物（以F计）</w:t>
                  </w:r>
                </w:p>
              </w:tc>
            </w:tr>
            <w:tr w14:paraId="471F4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1866" w:type="pct"/>
                  <w:gridSpan w:val="3"/>
                  <w:noWrap w:val="0"/>
                  <w:vAlign w:val="center"/>
                </w:tcPr>
                <w:p w14:paraId="7EC9D345">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排放形式</w:t>
                  </w:r>
                </w:p>
              </w:tc>
              <w:tc>
                <w:tcPr>
                  <w:tcW w:w="3133" w:type="pct"/>
                  <w:gridSpan w:val="4"/>
                  <w:noWrap w:val="0"/>
                  <w:vAlign w:val="center"/>
                </w:tcPr>
                <w:p w14:paraId="012DA76B">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有组织</w:t>
                  </w:r>
                </w:p>
              </w:tc>
            </w:tr>
            <w:tr w14:paraId="352D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760" w:type="pct"/>
                  <w:vMerge w:val="restart"/>
                  <w:noWrap w:val="0"/>
                  <w:vAlign w:val="center"/>
                </w:tcPr>
                <w:p w14:paraId="1CA9BA63">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治理设施</w:t>
                  </w:r>
                </w:p>
              </w:tc>
              <w:tc>
                <w:tcPr>
                  <w:tcW w:w="1106" w:type="pct"/>
                  <w:gridSpan w:val="2"/>
                  <w:noWrap w:val="0"/>
                  <w:vAlign w:val="center"/>
                </w:tcPr>
                <w:p w14:paraId="3B682643">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名称</w:t>
                  </w:r>
                </w:p>
              </w:tc>
              <w:tc>
                <w:tcPr>
                  <w:tcW w:w="3133" w:type="pct"/>
                  <w:gridSpan w:val="4"/>
                  <w:noWrap w:val="0"/>
                  <w:vAlign w:val="center"/>
                </w:tcPr>
                <w:p w14:paraId="52969D80">
                  <w:pPr>
                    <w:pStyle w:val="18"/>
                    <w:adjustRightInd w:val="0"/>
                    <w:jc w:val="center"/>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cs="Times New Roman"/>
                      <w:bCs/>
                      <w:color w:val="000000" w:themeColor="text1"/>
                      <w:sz w:val="21"/>
                      <w:szCs w:val="21"/>
                      <w:lang w:eastAsia="zh-CN"/>
                      <w14:textFill>
                        <w14:solidFill>
                          <w14:schemeClr w14:val="tx1"/>
                        </w14:solidFill>
                      </w14:textFill>
                    </w:rPr>
                    <w:t>脱硫塔</w:t>
                  </w:r>
                </w:p>
              </w:tc>
            </w:tr>
            <w:tr w14:paraId="1EFB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760" w:type="pct"/>
                  <w:vMerge w:val="continue"/>
                  <w:noWrap w:val="0"/>
                  <w:vAlign w:val="center"/>
                </w:tcPr>
                <w:p w14:paraId="100896F7">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p>
              </w:tc>
              <w:tc>
                <w:tcPr>
                  <w:tcW w:w="1106" w:type="pct"/>
                  <w:gridSpan w:val="2"/>
                  <w:noWrap w:val="0"/>
                  <w:vAlign w:val="center"/>
                </w:tcPr>
                <w:p w14:paraId="1D150C99">
                  <w:pPr>
                    <w:pStyle w:val="18"/>
                    <w:adjustRightInd w:val="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cs="Times New Roman"/>
                      <w:bCs/>
                      <w:color w:val="000000" w:themeColor="text1"/>
                      <w:sz w:val="21"/>
                      <w:szCs w:val="21"/>
                      <w:lang w:val="en-US" w:eastAsia="zh-CN"/>
                      <w14:textFill>
                        <w14:solidFill>
                          <w14:schemeClr w14:val="tx1"/>
                        </w14:solidFill>
                      </w14:textFill>
                    </w:rPr>
                    <w:t>收集效率</w:t>
                  </w:r>
                </w:p>
              </w:tc>
              <w:tc>
                <w:tcPr>
                  <w:tcW w:w="3133" w:type="pct"/>
                  <w:gridSpan w:val="4"/>
                  <w:noWrap w:val="0"/>
                  <w:vAlign w:val="center"/>
                </w:tcPr>
                <w:p w14:paraId="69088E5D">
                  <w:pPr>
                    <w:pStyle w:val="18"/>
                    <w:adjustRightInd w:val="0"/>
                    <w:jc w:val="center"/>
                    <w:rPr>
                      <w:rFonts w:hint="default" w:ascii="Times New Roman" w:hAnsi="Times New Roman" w:cs="Times New Roman"/>
                      <w:bCs/>
                      <w:color w:val="000000" w:themeColor="text1"/>
                      <w:sz w:val="21"/>
                      <w:szCs w:val="21"/>
                      <w:lang w:val="en-US" w:eastAsia="zh-CN"/>
                      <w14:textFill>
                        <w14:solidFill>
                          <w14:schemeClr w14:val="tx1"/>
                        </w14:solidFill>
                      </w14:textFill>
                    </w:rPr>
                  </w:pPr>
                  <w:r>
                    <w:rPr>
                      <w:rFonts w:hint="eastAsia" w:ascii="Times New Roman" w:hAnsi="Times New Roman" w:cs="Times New Roman"/>
                      <w:bCs/>
                      <w:color w:val="000000" w:themeColor="text1"/>
                      <w:sz w:val="21"/>
                      <w:szCs w:val="21"/>
                      <w:lang w:val="en-US" w:eastAsia="zh-CN"/>
                      <w14:textFill>
                        <w14:solidFill>
                          <w14:schemeClr w14:val="tx1"/>
                        </w14:solidFill>
                      </w14:textFill>
                    </w:rPr>
                    <w:t>100%</w:t>
                  </w:r>
                </w:p>
              </w:tc>
            </w:tr>
            <w:tr w14:paraId="416A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60" w:type="pct"/>
                  <w:vMerge w:val="restart"/>
                  <w:noWrap w:val="0"/>
                  <w:vAlign w:val="center"/>
                </w:tcPr>
                <w:p w14:paraId="40E68737">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排放口基本情况</w:t>
                  </w:r>
                </w:p>
              </w:tc>
              <w:tc>
                <w:tcPr>
                  <w:tcW w:w="1106" w:type="pct"/>
                  <w:gridSpan w:val="2"/>
                  <w:noWrap w:val="0"/>
                  <w:vAlign w:val="center"/>
                </w:tcPr>
                <w:p w14:paraId="5500BB7E">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高度（m）</w:t>
                  </w:r>
                </w:p>
              </w:tc>
              <w:tc>
                <w:tcPr>
                  <w:tcW w:w="3133" w:type="pct"/>
                  <w:gridSpan w:val="4"/>
                  <w:noWrap w:val="0"/>
                  <w:vAlign w:val="center"/>
                </w:tcPr>
                <w:p w14:paraId="5771C1FE">
                  <w:pPr>
                    <w:pStyle w:val="82"/>
                    <w:adjustRightInd w:val="0"/>
                    <w:snapToGrid w:val="0"/>
                    <w:spacing w:line="240" w:lineRule="auto"/>
                    <w:ind w:firstLine="0"/>
                    <w:jc w:val="center"/>
                    <w:outlineLvl w:val="2"/>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r>
            <w:tr w14:paraId="6E0E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0" w:type="pct"/>
                  <w:vMerge w:val="continue"/>
                  <w:noWrap w:val="0"/>
                  <w:vAlign w:val="center"/>
                </w:tcPr>
                <w:p w14:paraId="41B8CBAC">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p>
              </w:tc>
              <w:tc>
                <w:tcPr>
                  <w:tcW w:w="1106" w:type="pct"/>
                  <w:gridSpan w:val="2"/>
                  <w:noWrap w:val="0"/>
                  <w:vAlign w:val="center"/>
                </w:tcPr>
                <w:p w14:paraId="0B029482">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内径（m）</w:t>
                  </w:r>
                </w:p>
              </w:tc>
              <w:tc>
                <w:tcPr>
                  <w:tcW w:w="3133" w:type="pct"/>
                  <w:gridSpan w:val="4"/>
                  <w:noWrap w:val="0"/>
                  <w:vAlign w:val="center"/>
                </w:tcPr>
                <w:p w14:paraId="7D3067E8">
                  <w:pPr>
                    <w:pStyle w:val="18"/>
                    <w:adjustRightInd w:val="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cs="Times New Roman"/>
                      <w:bCs/>
                      <w:color w:val="000000" w:themeColor="text1"/>
                      <w:sz w:val="21"/>
                      <w:szCs w:val="21"/>
                      <w:lang w:val="en-US" w:eastAsia="zh-CN"/>
                      <w14:textFill>
                        <w14:solidFill>
                          <w14:schemeClr w14:val="tx1"/>
                        </w14:solidFill>
                      </w14:textFill>
                    </w:rPr>
                    <w:t>0.35</w:t>
                  </w:r>
                </w:p>
              </w:tc>
            </w:tr>
            <w:tr w14:paraId="0B53F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760" w:type="pct"/>
                  <w:vMerge w:val="continue"/>
                  <w:noWrap w:val="0"/>
                  <w:vAlign w:val="center"/>
                </w:tcPr>
                <w:p w14:paraId="5C45F807">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p>
              </w:tc>
              <w:tc>
                <w:tcPr>
                  <w:tcW w:w="1106" w:type="pct"/>
                  <w:gridSpan w:val="2"/>
                  <w:noWrap w:val="0"/>
                  <w:vAlign w:val="center"/>
                </w:tcPr>
                <w:p w14:paraId="61BF9FCC">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温度（℃）</w:t>
                  </w:r>
                </w:p>
              </w:tc>
              <w:tc>
                <w:tcPr>
                  <w:tcW w:w="3133" w:type="pct"/>
                  <w:gridSpan w:val="4"/>
                  <w:noWrap w:val="0"/>
                  <w:vAlign w:val="center"/>
                </w:tcPr>
                <w:p w14:paraId="4CA67E11">
                  <w:pPr>
                    <w:pStyle w:val="18"/>
                    <w:adjustRightInd w:val="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sz w:val="21"/>
                      <w:szCs w:val="21"/>
                      <w:lang w:val="en-US" w:eastAsia="zh-CN"/>
                      <w14:textFill>
                        <w14:solidFill>
                          <w14:schemeClr w14:val="tx1"/>
                        </w14:solidFill>
                      </w14:textFill>
                    </w:rPr>
                    <w:t>56</w:t>
                  </w:r>
                </w:p>
              </w:tc>
            </w:tr>
            <w:tr w14:paraId="35603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0" w:type="pct"/>
                  <w:vMerge w:val="continue"/>
                  <w:noWrap w:val="0"/>
                  <w:vAlign w:val="center"/>
                </w:tcPr>
                <w:p w14:paraId="60824141">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p>
              </w:tc>
              <w:tc>
                <w:tcPr>
                  <w:tcW w:w="1106" w:type="pct"/>
                  <w:gridSpan w:val="2"/>
                  <w:noWrap w:val="0"/>
                  <w:vAlign w:val="center"/>
                </w:tcPr>
                <w:p w14:paraId="520F0C83">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编号</w:t>
                  </w:r>
                </w:p>
              </w:tc>
              <w:tc>
                <w:tcPr>
                  <w:tcW w:w="3133" w:type="pct"/>
                  <w:gridSpan w:val="4"/>
                  <w:noWrap w:val="0"/>
                  <w:vAlign w:val="center"/>
                </w:tcPr>
                <w:p w14:paraId="543F6ADA">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DA001</w:t>
                  </w:r>
                </w:p>
              </w:tc>
            </w:tr>
            <w:tr w14:paraId="38F8F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760" w:type="pct"/>
                  <w:vMerge w:val="continue"/>
                  <w:noWrap w:val="0"/>
                  <w:vAlign w:val="center"/>
                </w:tcPr>
                <w:p w14:paraId="2C666403">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p>
              </w:tc>
              <w:tc>
                <w:tcPr>
                  <w:tcW w:w="1106" w:type="pct"/>
                  <w:gridSpan w:val="2"/>
                  <w:noWrap w:val="0"/>
                  <w:vAlign w:val="center"/>
                </w:tcPr>
                <w:p w14:paraId="385F44D0">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类型</w:t>
                  </w:r>
                </w:p>
              </w:tc>
              <w:tc>
                <w:tcPr>
                  <w:tcW w:w="3133" w:type="pct"/>
                  <w:gridSpan w:val="4"/>
                  <w:noWrap w:val="0"/>
                  <w:vAlign w:val="center"/>
                </w:tcPr>
                <w:p w14:paraId="6848AF3F">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一般排口</w:t>
                  </w:r>
                </w:p>
              </w:tc>
            </w:tr>
            <w:tr w14:paraId="2ECF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760" w:type="pct"/>
                  <w:vMerge w:val="continue"/>
                  <w:noWrap w:val="0"/>
                  <w:vAlign w:val="center"/>
                </w:tcPr>
                <w:p w14:paraId="73F7DC54">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p>
              </w:tc>
              <w:tc>
                <w:tcPr>
                  <w:tcW w:w="462" w:type="pct"/>
                  <w:vMerge w:val="restart"/>
                  <w:noWrap w:val="0"/>
                  <w:vAlign w:val="center"/>
                </w:tcPr>
                <w:p w14:paraId="248B752D">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坐标</w:t>
                  </w:r>
                </w:p>
              </w:tc>
              <w:tc>
                <w:tcPr>
                  <w:tcW w:w="643" w:type="pct"/>
                  <w:noWrap w:val="0"/>
                  <w:vAlign w:val="center"/>
                </w:tcPr>
                <w:p w14:paraId="1092CB88">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E</w:t>
                  </w:r>
                </w:p>
              </w:tc>
              <w:tc>
                <w:tcPr>
                  <w:tcW w:w="3133" w:type="pct"/>
                  <w:gridSpan w:val="4"/>
                  <w:noWrap w:val="0"/>
                  <w:vAlign w:val="center"/>
                </w:tcPr>
                <w:p w14:paraId="19DA55ED">
                  <w:pPr>
                    <w:pStyle w:val="18"/>
                    <w:adjustRightInd w:val="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sz w:val="21"/>
                      <w:szCs w:val="21"/>
                      <w:lang w:val="en-US" w:eastAsia="zh-CN"/>
                      <w14:textFill>
                        <w14:solidFill>
                          <w14:schemeClr w14:val="tx1"/>
                        </w14:solidFill>
                      </w14:textFill>
                    </w:rPr>
                    <w:t>104.080</w:t>
                  </w:r>
                </w:p>
              </w:tc>
            </w:tr>
            <w:tr w14:paraId="5ABA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760" w:type="pct"/>
                  <w:vMerge w:val="continue"/>
                  <w:noWrap w:val="0"/>
                  <w:vAlign w:val="center"/>
                </w:tcPr>
                <w:p w14:paraId="4140B0A6">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p>
              </w:tc>
              <w:tc>
                <w:tcPr>
                  <w:tcW w:w="462" w:type="pct"/>
                  <w:vMerge w:val="continue"/>
                  <w:noWrap w:val="0"/>
                  <w:vAlign w:val="center"/>
                </w:tcPr>
                <w:p w14:paraId="1AECBC85">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p>
              </w:tc>
              <w:tc>
                <w:tcPr>
                  <w:tcW w:w="643" w:type="pct"/>
                  <w:noWrap w:val="0"/>
                  <w:vAlign w:val="center"/>
                </w:tcPr>
                <w:p w14:paraId="7F29140F">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N</w:t>
                  </w:r>
                </w:p>
              </w:tc>
              <w:tc>
                <w:tcPr>
                  <w:tcW w:w="3133" w:type="pct"/>
                  <w:gridSpan w:val="4"/>
                  <w:noWrap w:val="0"/>
                  <w:vAlign w:val="center"/>
                </w:tcPr>
                <w:p w14:paraId="2E6686A5">
                  <w:pPr>
                    <w:pStyle w:val="18"/>
                    <w:adjustRightInd w:val="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sz w:val="21"/>
                      <w:szCs w:val="21"/>
                      <w:lang w:val="en-US" w:eastAsia="zh-CN"/>
                      <w14:textFill>
                        <w14:solidFill>
                          <w14:schemeClr w14:val="tx1"/>
                        </w14:solidFill>
                      </w14:textFill>
                    </w:rPr>
                    <w:t>25.153</w:t>
                  </w:r>
                </w:p>
              </w:tc>
            </w:tr>
            <w:tr w14:paraId="14C8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66" w:type="pct"/>
                  <w:gridSpan w:val="3"/>
                  <w:noWrap w:val="0"/>
                  <w:vAlign w:val="center"/>
                </w:tcPr>
                <w:p w14:paraId="51A8B9AB">
                  <w:pPr>
                    <w:pStyle w:val="18"/>
                    <w:adjustRightIn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排放标准</w:t>
                  </w:r>
                </w:p>
              </w:tc>
              <w:tc>
                <w:tcPr>
                  <w:tcW w:w="3133" w:type="pct"/>
                  <w:gridSpan w:val="4"/>
                  <w:noWrap w:val="0"/>
                  <w:vAlign w:val="center"/>
                </w:tcPr>
                <w:p w14:paraId="0DDA5662">
                  <w:pPr>
                    <w:pStyle w:val="18"/>
                    <w:adjustRightInd w:val="0"/>
                    <w:jc w:val="center"/>
                    <w:rPr>
                      <w:rFonts w:hint="default" w:ascii="Times New Roman" w:hAnsi="Times New Roman" w:cs="Times New Roman"/>
                      <w:color w:val="000000" w:themeColor="text1"/>
                      <w:sz w:val="21"/>
                      <w:szCs w:val="22"/>
                      <w14:textFill>
                        <w14:solidFill>
                          <w14:schemeClr w14:val="tx1"/>
                        </w14:solidFill>
                      </w14:textFill>
                    </w:rPr>
                  </w:pPr>
                  <w:r>
                    <w:rPr>
                      <w:rFonts w:hint="default" w:ascii="Times New Roman" w:hAnsi="Times New Roman" w:cs="Times New Roman"/>
                      <w:color w:val="000000" w:themeColor="text1"/>
                      <w:sz w:val="21"/>
                      <w:szCs w:val="22"/>
                      <w14:textFill>
                        <w14:solidFill>
                          <w14:schemeClr w14:val="tx1"/>
                        </w14:solidFill>
                      </w14:textFill>
                    </w:rPr>
                    <w:t>《砖瓦工业大气污染物排放标准》（GB29620-2013）及其修改单</w:t>
                  </w:r>
                </w:p>
              </w:tc>
            </w:tr>
          </w:tbl>
          <w:p w14:paraId="78F780A3">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稳定达标排放判定</w:t>
            </w:r>
          </w:p>
          <w:p w14:paraId="00C852E1">
            <w:pPr>
              <w:adjustRightInd w:val="0"/>
              <w:snapToGrid w:val="0"/>
              <w:spacing w:line="360" w:lineRule="auto"/>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本次环评收集了</w:t>
            </w:r>
            <w:r>
              <w:rPr>
                <w:rFonts w:hint="eastAsia" w:cs="Times New Roman"/>
                <w:color w:val="000000" w:themeColor="text1"/>
                <w:sz w:val="24"/>
                <w:szCs w:val="24"/>
                <w:lang w:val="en-US" w:eastAsia="zh-CN"/>
                <w14:textFill>
                  <w14:solidFill>
                    <w14:schemeClr w14:val="tx1"/>
                  </w14:solidFill>
                </w14:textFill>
              </w:rPr>
              <w:t>原有项目</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罗平县慧联青瓦厂2023年第四季度自行监测报告</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（报告编号：YNZKBG20231221014）、</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罗平县慧联青瓦厂2024年第二季度自行监测报告</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（报告编号：YNZKBG20240612005）、</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罗平县慧联青瓦厂2024年第四季度自行监测报告</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（报告编号：YNZKBG20241015013）中圆窑废气监测数据</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作为</w:t>
            </w:r>
            <w:r>
              <w:rPr>
                <w:rFonts w:hint="eastAsia" w:ascii="宋体" w:hAnsi="宋体" w:cs="宋体"/>
                <w:color w:val="000000" w:themeColor="text1"/>
                <w:sz w:val="24"/>
                <w:lang w:val="en-US" w:eastAsia="zh-CN"/>
                <w14:textFill>
                  <w14:solidFill>
                    <w14:schemeClr w14:val="tx1"/>
                  </w14:solidFill>
                </w14:textFill>
              </w:rPr>
              <w:t>原有项目</w:t>
            </w:r>
            <w:r>
              <w:rPr>
                <w:rFonts w:hint="eastAsia" w:ascii="宋体" w:hAnsi="宋体" w:cs="宋体"/>
                <w:color w:val="000000" w:themeColor="text1"/>
                <w:sz w:val="24"/>
                <w14:textFill>
                  <w14:solidFill>
                    <w14:schemeClr w14:val="tx1"/>
                  </w14:solidFill>
                </w14:textFill>
              </w:rPr>
              <w:t>稳定达标排放判定依据</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具体监测结果如下所示：</w:t>
            </w:r>
          </w:p>
          <w:p w14:paraId="7610F8D6">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表2-</w:t>
            </w:r>
            <w:r>
              <w:rPr>
                <w:rFonts w:hint="eastAsia" w:cs="Times New Roman"/>
                <w:b/>
                <w:color w:val="000000" w:themeColor="text1"/>
                <w:sz w:val="24"/>
                <w:szCs w:val="24"/>
                <w:lang w:val="en-US" w:eastAsia="zh-CN"/>
                <w14:textFill>
                  <w14:solidFill>
                    <w14:schemeClr w14:val="tx1"/>
                  </w14:solidFill>
                </w14:textFill>
              </w:rPr>
              <w:t>24</w:t>
            </w:r>
            <w:r>
              <w:rPr>
                <w:rFonts w:hint="default" w:ascii="Times New Roman" w:hAnsi="Times New Roman" w:cs="Times New Roman"/>
                <w:b/>
                <w:color w:val="000000" w:themeColor="text1"/>
                <w:sz w:val="24"/>
                <w:szCs w:val="24"/>
                <w14:textFill>
                  <w14:solidFill>
                    <w14:schemeClr w14:val="tx1"/>
                  </w14:solidFill>
                </w14:textFill>
              </w:rPr>
              <w:t xml:space="preserve">  </w:t>
            </w:r>
            <w:r>
              <w:rPr>
                <w:rFonts w:hint="eastAsia" w:ascii="Times New Roman" w:hAnsi="Times New Roman" w:cs="Times New Roman"/>
                <w:b/>
                <w:color w:val="000000" w:themeColor="text1"/>
                <w:sz w:val="24"/>
                <w:szCs w:val="24"/>
                <w:lang w:val="en-US" w:eastAsia="zh-CN"/>
                <w14:textFill>
                  <w14:solidFill>
                    <w14:schemeClr w14:val="tx1"/>
                  </w14:solidFill>
                </w14:textFill>
              </w:rPr>
              <w:t>202</w:t>
            </w:r>
            <w:r>
              <w:rPr>
                <w:rFonts w:hint="eastAsia" w:cs="Times New Roman"/>
                <w:b/>
                <w:color w:val="000000" w:themeColor="text1"/>
                <w:sz w:val="24"/>
                <w:szCs w:val="24"/>
                <w:lang w:val="en-US" w:eastAsia="zh-CN"/>
                <w14:textFill>
                  <w14:solidFill>
                    <w14:schemeClr w14:val="tx1"/>
                  </w14:solidFill>
                </w14:textFill>
              </w:rPr>
              <w:t>3</w:t>
            </w:r>
            <w:r>
              <w:rPr>
                <w:rFonts w:hint="eastAsia" w:ascii="Times New Roman" w:hAnsi="Times New Roman" w:cs="Times New Roman"/>
                <w:b/>
                <w:color w:val="000000" w:themeColor="text1"/>
                <w:sz w:val="24"/>
                <w:szCs w:val="24"/>
                <w:lang w:val="en-US" w:eastAsia="zh-CN"/>
                <w14:textFill>
                  <w14:solidFill>
                    <w14:schemeClr w14:val="tx1"/>
                  </w14:solidFill>
                </w14:textFill>
              </w:rPr>
              <w:t>-2024年自行监测报告有组织废气检测结果表（颗粒物、SO</w:t>
            </w:r>
            <w:r>
              <w:rPr>
                <w:rFonts w:hint="eastAsia" w:ascii="Times New Roman" w:hAnsi="Times New Roman" w:cs="Times New Roman"/>
                <w:b/>
                <w:color w:val="000000" w:themeColor="text1"/>
                <w:sz w:val="24"/>
                <w:szCs w:val="24"/>
                <w:vertAlign w:val="subscript"/>
                <w:lang w:val="en-US" w:eastAsia="zh-CN"/>
                <w14:textFill>
                  <w14:solidFill>
                    <w14:schemeClr w14:val="tx1"/>
                  </w14:solidFill>
                </w14:textFill>
              </w:rPr>
              <w:t>2</w:t>
            </w:r>
            <w:r>
              <w:rPr>
                <w:rFonts w:hint="eastAsia" w:ascii="Times New Roman" w:hAnsi="Times New Roman" w:cs="Times New Roman"/>
                <w:b/>
                <w:color w:val="000000" w:themeColor="text1"/>
                <w:sz w:val="24"/>
                <w:szCs w:val="24"/>
                <w:vertAlign w:val="baseline"/>
                <w:lang w:val="en-US" w:eastAsia="zh-CN"/>
                <w14:textFill>
                  <w14:solidFill>
                    <w14:schemeClr w14:val="tx1"/>
                  </w14:solidFill>
                </w14:textFill>
              </w:rPr>
              <w:t>、NO</w:t>
            </w:r>
            <w:r>
              <w:rPr>
                <w:rFonts w:hint="eastAsia" w:ascii="Times New Roman" w:hAnsi="Times New Roman" w:cs="Times New Roman"/>
                <w:b/>
                <w:color w:val="000000" w:themeColor="text1"/>
                <w:sz w:val="24"/>
                <w:szCs w:val="24"/>
                <w:vertAlign w:val="subscript"/>
                <w:lang w:val="en-US" w:eastAsia="zh-CN"/>
                <w14:textFill>
                  <w14:solidFill>
                    <w14:schemeClr w14:val="tx1"/>
                  </w14:solidFill>
                </w14:textFill>
              </w:rPr>
              <w:t>X</w:t>
            </w:r>
            <w:r>
              <w:rPr>
                <w:rFonts w:hint="eastAsia" w:ascii="Times New Roman" w:hAnsi="Times New Roman" w:cs="Times New Roman"/>
                <w:b/>
                <w:color w:val="000000" w:themeColor="text1"/>
                <w:sz w:val="24"/>
                <w:szCs w:val="24"/>
                <w:lang w:val="en-US" w:eastAsia="zh-CN"/>
                <w14:textFill>
                  <w14:solidFill>
                    <w14:schemeClr w14:val="tx1"/>
                  </w14:solidFill>
                </w14:textFill>
              </w:rPr>
              <w:t>）</w:t>
            </w:r>
          </w:p>
          <w:tbl>
            <w:tblPr>
              <w:tblStyle w:val="29"/>
              <w:tblW w:w="8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113"/>
              <w:gridCol w:w="829"/>
              <w:gridCol w:w="658"/>
              <w:gridCol w:w="658"/>
              <w:gridCol w:w="658"/>
              <w:gridCol w:w="658"/>
              <w:gridCol w:w="658"/>
              <w:gridCol w:w="658"/>
              <w:gridCol w:w="658"/>
              <w:gridCol w:w="658"/>
              <w:gridCol w:w="658"/>
            </w:tblGrid>
            <w:tr w14:paraId="79F1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Merge w:val="restart"/>
                  <w:noWrap w:val="0"/>
                  <w:vAlign w:val="center"/>
                </w:tcPr>
                <w:p w14:paraId="0F6A5B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检测时间</w:t>
                  </w:r>
                </w:p>
              </w:tc>
              <w:tc>
                <w:tcPr>
                  <w:tcW w:w="1113" w:type="dxa"/>
                  <w:vMerge w:val="restart"/>
                  <w:noWrap w:val="0"/>
                  <w:vAlign w:val="center"/>
                </w:tcPr>
                <w:p w14:paraId="4C520B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样品编号</w:t>
                  </w:r>
                </w:p>
              </w:tc>
              <w:tc>
                <w:tcPr>
                  <w:tcW w:w="829" w:type="dxa"/>
                  <w:vMerge w:val="restart"/>
                  <w:noWrap w:val="0"/>
                  <w:vAlign w:val="center"/>
                </w:tcPr>
                <w:p w14:paraId="48314C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标杆流量（m</w:t>
                  </w:r>
                  <w:r>
                    <w:rPr>
                      <w:rFonts w:hint="eastAsia" w:ascii="Times New Roman" w:hAnsi="Times New Roman" w:eastAsia="宋体" w:cs="Times New Roman"/>
                      <w:color w:val="000000" w:themeColor="text1"/>
                      <w:sz w:val="18"/>
                      <w:szCs w:val="18"/>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/h）</w:t>
                  </w:r>
                </w:p>
              </w:tc>
              <w:tc>
                <w:tcPr>
                  <w:tcW w:w="5922" w:type="dxa"/>
                  <w:gridSpan w:val="9"/>
                  <w:noWrap w:val="0"/>
                  <w:vAlign w:val="center"/>
                </w:tcPr>
                <w:p w14:paraId="2A769E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检测结果</w:t>
                  </w:r>
                </w:p>
              </w:tc>
            </w:tr>
            <w:tr w14:paraId="68B4C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703" w:type="dxa"/>
                  <w:vMerge w:val="continue"/>
                  <w:noWrap w:val="0"/>
                  <w:vAlign w:val="center"/>
                </w:tcPr>
                <w:p w14:paraId="134610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p>
              </w:tc>
              <w:tc>
                <w:tcPr>
                  <w:tcW w:w="1113" w:type="dxa"/>
                  <w:vMerge w:val="continue"/>
                  <w:noWrap w:val="0"/>
                  <w:vAlign w:val="center"/>
                </w:tcPr>
                <w:p w14:paraId="46BC21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p>
              </w:tc>
              <w:tc>
                <w:tcPr>
                  <w:tcW w:w="829" w:type="dxa"/>
                  <w:vMerge w:val="continue"/>
                  <w:noWrap w:val="0"/>
                  <w:vAlign w:val="center"/>
                </w:tcPr>
                <w:p w14:paraId="03A259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p>
              </w:tc>
              <w:tc>
                <w:tcPr>
                  <w:tcW w:w="1974" w:type="dxa"/>
                  <w:gridSpan w:val="3"/>
                  <w:noWrap w:val="0"/>
                  <w:vAlign w:val="center"/>
                </w:tcPr>
                <w:p w14:paraId="2A6927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颗粒物</w:t>
                  </w:r>
                </w:p>
              </w:tc>
              <w:tc>
                <w:tcPr>
                  <w:tcW w:w="1974" w:type="dxa"/>
                  <w:gridSpan w:val="3"/>
                  <w:noWrap w:val="0"/>
                  <w:vAlign w:val="center"/>
                </w:tcPr>
                <w:p w14:paraId="4D4A78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二氧化硫</w:t>
                  </w:r>
                </w:p>
              </w:tc>
              <w:tc>
                <w:tcPr>
                  <w:tcW w:w="1974" w:type="dxa"/>
                  <w:gridSpan w:val="3"/>
                  <w:noWrap w:val="0"/>
                  <w:vAlign w:val="center"/>
                </w:tcPr>
                <w:p w14:paraId="02AB9C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氮氧化物</w:t>
                  </w:r>
                </w:p>
              </w:tc>
            </w:tr>
            <w:tr w14:paraId="4E6A1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703" w:type="dxa"/>
                  <w:vMerge w:val="continue"/>
                  <w:noWrap w:val="0"/>
                  <w:vAlign w:val="center"/>
                </w:tcPr>
                <w:p w14:paraId="219EDB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14:textFill>
                        <w14:solidFill>
                          <w14:schemeClr w14:val="tx1"/>
                        </w14:solidFill>
                      </w14:textFill>
                    </w:rPr>
                  </w:pPr>
                </w:p>
              </w:tc>
              <w:tc>
                <w:tcPr>
                  <w:tcW w:w="1113" w:type="dxa"/>
                  <w:vMerge w:val="continue"/>
                  <w:noWrap w:val="0"/>
                  <w:vAlign w:val="center"/>
                </w:tcPr>
                <w:p w14:paraId="16B492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14:textFill>
                        <w14:solidFill>
                          <w14:schemeClr w14:val="tx1"/>
                        </w14:solidFill>
                      </w14:textFill>
                    </w:rPr>
                  </w:pPr>
                </w:p>
              </w:tc>
              <w:tc>
                <w:tcPr>
                  <w:tcW w:w="829" w:type="dxa"/>
                  <w:vMerge w:val="continue"/>
                  <w:noWrap w:val="0"/>
                  <w:vAlign w:val="center"/>
                </w:tcPr>
                <w:p w14:paraId="7B9054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14:textFill>
                        <w14:solidFill>
                          <w14:schemeClr w14:val="tx1"/>
                        </w14:solidFill>
                      </w14:textFill>
                    </w:rPr>
                  </w:pPr>
                </w:p>
              </w:tc>
              <w:tc>
                <w:tcPr>
                  <w:tcW w:w="658" w:type="dxa"/>
                  <w:noWrap w:val="0"/>
                  <w:vAlign w:val="center"/>
                </w:tcPr>
                <w:p w14:paraId="317821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实测浓度（mg/m</w:t>
                  </w:r>
                  <w:r>
                    <w:rPr>
                      <w:rFonts w:hint="eastAsia" w:ascii="Times New Roman" w:hAnsi="Times New Roman" w:eastAsia="宋体" w:cs="Times New Roman"/>
                      <w:color w:val="000000" w:themeColor="text1"/>
                      <w:sz w:val="18"/>
                      <w:szCs w:val="18"/>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w:t>
                  </w:r>
                </w:p>
              </w:tc>
              <w:tc>
                <w:tcPr>
                  <w:tcW w:w="658" w:type="dxa"/>
                  <w:noWrap w:val="0"/>
                  <w:vAlign w:val="center"/>
                </w:tcPr>
                <w:p w14:paraId="2D8ABB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排放浓度（mg/m</w:t>
                  </w:r>
                  <w:r>
                    <w:rPr>
                      <w:rFonts w:hint="eastAsia" w:ascii="Times New Roman" w:hAnsi="Times New Roman" w:eastAsia="宋体" w:cs="Times New Roman"/>
                      <w:color w:val="000000" w:themeColor="text1"/>
                      <w:sz w:val="18"/>
                      <w:szCs w:val="18"/>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w:t>
                  </w:r>
                </w:p>
              </w:tc>
              <w:tc>
                <w:tcPr>
                  <w:tcW w:w="658" w:type="dxa"/>
                  <w:noWrap w:val="0"/>
                  <w:vAlign w:val="center"/>
                </w:tcPr>
                <w:p w14:paraId="325157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排放速率（kg/h）</w:t>
                  </w:r>
                </w:p>
              </w:tc>
              <w:tc>
                <w:tcPr>
                  <w:tcW w:w="658" w:type="dxa"/>
                  <w:noWrap w:val="0"/>
                  <w:vAlign w:val="center"/>
                </w:tcPr>
                <w:p w14:paraId="642B27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实测浓度（mg/m</w:t>
                  </w:r>
                  <w:r>
                    <w:rPr>
                      <w:rFonts w:hint="eastAsia" w:ascii="Times New Roman" w:hAnsi="Times New Roman" w:eastAsia="宋体" w:cs="Times New Roman"/>
                      <w:color w:val="000000" w:themeColor="text1"/>
                      <w:sz w:val="18"/>
                      <w:szCs w:val="18"/>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w:t>
                  </w:r>
                </w:p>
              </w:tc>
              <w:tc>
                <w:tcPr>
                  <w:tcW w:w="658" w:type="dxa"/>
                  <w:noWrap w:val="0"/>
                  <w:vAlign w:val="center"/>
                </w:tcPr>
                <w:p w14:paraId="0F5FF6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排放浓度（mg/m</w:t>
                  </w:r>
                  <w:r>
                    <w:rPr>
                      <w:rFonts w:hint="eastAsia" w:ascii="Times New Roman" w:hAnsi="Times New Roman" w:eastAsia="宋体" w:cs="Times New Roman"/>
                      <w:color w:val="000000" w:themeColor="text1"/>
                      <w:sz w:val="18"/>
                      <w:szCs w:val="18"/>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w:t>
                  </w:r>
                </w:p>
              </w:tc>
              <w:tc>
                <w:tcPr>
                  <w:tcW w:w="658" w:type="dxa"/>
                  <w:noWrap w:val="0"/>
                  <w:vAlign w:val="center"/>
                </w:tcPr>
                <w:p w14:paraId="55DF9B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排放速率（kg/h）</w:t>
                  </w:r>
                </w:p>
              </w:tc>
              <w:tc>
                <w:tcPr>
                  <w:tcW w:w="658" w:type="dxa"/>
                  <w:noWrap w:val="0"/>
                  <w:vAlign w:val="center"/>
                </w:tcPr>
                <w:p w14:paraId="46FA76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实测浓度（mg/m</w:t>
                  </w:r>
                  <w:r>
                    <w:rPr>
                      <w:rFonts w:hint="eastAsia" w:ascii="Times New Roman" w:hAnsi="Times New Roman" w:eastAsia="宋体" w:cs="Times New Roman"/>
                      <w:color w:val="000000" w:themeColor="text1"/>
                      <w:sz w:val="18"/>
                      <w:szCs w:val="18"/>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w:t>
                  </w:r>
                </w:p>
              </w:tc>
              <w:tc>
                <w:tcPr>
                  <w:tcW w:w="658" w:type="dxa"/>
                  <w:noWrap w:val="0"/>
                  <w:vAlign w:val="center"/>
                </w:tcPr>
                <w:p w14:paraId="5D2B29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排放浓度（mg/m</w:t>
                  </w:r>
                  <w:r>
                    <w:rPr>
                      <w:rFonts w:hint="eastAsia" w:ascii="Times New Roman" w:hAnsi="Times New Roman" w:eastAsia="宋体" w:cs="Times New Roman"/>
                      <w:color w:val="000000" w:themeColor="text1"/>
                      <w:sz w:val="18"/>
                      <w:szCs w:val="18"/>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w:t>
                  </w:r>
                </w:p>
              </w:tc>
              <w:tc>
                <w:tcPr>
                  <w:tcW w:w="658" w:type="dxa"/>
                  <w:noWrap w:val="0"/>
                  <w:vAlign w:val="center"/>
                </w:tcPr>
                <w:p w14:paraId="5BE78E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排放速率（kg/h）</w:t>
                  </w:r>
                </w:p>
              </w:tc>
            </w:tr>
            <w:tr w14:paraId="392BA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703" w:type="dxa"/>
                  <w:vMerge w:val="restart"/>
                  <w:noWrap w:val="0"/>
                  <w:vAlign w:val="center"/>
                </w:tcPr>
                <w:p w14:paraId="2B7B3A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2023.12.16</w:t>
                  </w:r>
                </w:p>
              </w:tc>
              <w:tc>
                <w:tcPr>
                  <w:tcW w:w="1113" w:type="dxa"/>
                  <w:noWrap w:val="0"/>
                  <w:vAlign w:val="center"/>
                </w:tcPr>
                <w:p w14:paraId="139973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YNZKSC</w:t>
                  </w:r>
                </w:p>
                <w:p w14:paraId="09C048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20231208014-A001</w:t>
                  </w:r>
                </w:p>
              </w:tc>
              <w:tc>
                <w:tcPr>
                  <w:tcW w:w="829" w:type="dxa"/>
                  <w:noWrap w:val="0"/>
                  <w:vAlign w:val="center"/>
                </w:tcPr>
                <w:p w14:paraId="625011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837</w:t>
                  </w:r>
                </w:p>
              </w:tc>
              <w:tc>
                <w:tcPr>
                  <w:tcW w:w="658" w:type="dxa"/>
                  <w:noWrap w:val="0"/>
                  <w:vAlign w:val="center"/>
                </w:tcPr>
                <w:p w14:paraId="0740DFF4">
                  <w:pPr>
                    <w:keepNext w:val="0"/>
                    <w:keepLines w:val="0"/>
                    <w:pageBreakBefore w:val="0"/>
                    <w:widowControl w:val="0"/>
                    <w:tabs>
                      <w:tab w:val="left" w:pos="579"/>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8.5</w:t>
                  </w:r>
                </w:p>
              </w:tc>
              <w:tc>
                <w:tcPr>
                  <w:tcW w:w="658" w:type="dxa"/>
                  <w:noWrap w:val="0"/>
                  <w:vAlign w:val="center"/>
                </w:tcPr>
                <w:p w14:paraId="7E812A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4.8</w:t>
                  </w:r>
                </w:p>
              </w:tc>
              <w:tc>
                <w:tcPr>
                  <w:tcW w:w="658" w:type="dxa"/>
                  <w:noWrap w:val="0"/>
                  <w:vAlign w:val="center"/>
                </w:tcPr>
                <w:p w14:paraId="4C0F69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0.007</w:t>
                  </w:r>
                </w:p>
              </w:tc>
              <w:tc>
                <w:tcPr>
                  <w:tcW w:w="658" w:type="dxa"/>
                  <w:noWrap w:val="0"/>
                  <w:vAlign w:val="center"/>
                </w:tcPr>
                <w:p w14:paraId="4560F2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19</w:t>
                  </w:r>
                </w:p>
              </w:tc>
              <w:tc>
                <w:tcPr>
                  <w:tcW w:w="658" w:type="dxa"/>
                  <w:noWrap w:val="0"/>
                  <w:vAlign w:val="center"/>
                </w:tcPr>
                <w:p w14:paraId="76D8BE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11</w:t>
                  </w:r>
                </w:p>
              </w:tc>
              <w:tc>
                <w:tcPr>
                  <w:tcW w:w="658" w:type="dxa"/>
                  <w:noWrap w:val="0"/>
                  <w:vAlign w:val="center"/>
                </w:tcPr>
                <w:p w14:paraId="77968F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0.016</w:t>
                  </w:r>
                </w:p>
              </w:tc>
              <w:tc>
                <w:tcPr>
                  <w:tcW w:w="658" w:type="dxa"/>
                  <w:noWrap w:val="0"/>
                  <w:vAlign w:val="center"/>
                </w:tcPr>
                <w:p w14:paraId="69F93F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91</w:t>
                  </w:r>
                </w:p>
              </w:tc>
              <w:tc>
                <w:tcPr>
                  <w:tcW w:w="658" w:type="dxa"/>
                  <w:noWrap w:val="0"/>
                  <w:vAlign w:val="center"/>
                </w:tcPr>
                <w:p w14:paraId="63099B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52</w:t>
                  </w:r>
                </w:p>
              </w:tc>
              <w:tc>
                <w:tcPr>
                  <w:tcW w:w="658" w:type="dxa"/>
                  <w:noWrap w:val="0"/>
                  <w:vAlign w:val="center"/>
                </w:tcPr>
                <w:p w14:paraId="7F04D8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0.076</w:t>
                  </w:r>
                </w:p>
              </w:tc>
            </w:tr>
            <w:tr w14:paraId="2C2F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Merge w:val="continue"/>
                  <w:noWrap w:val="0"/>
                  <w:vAlign w:val="center"/>
                </w:tcPr>
                <w:p w14:paraId="7D193D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p>
              </w:tc>
              <w:tc>
                <w:tcPr>
                  <w:tcW w:w="1113" w:type="dxa"/>
                  <w:noWrap w:val="0"/>
                  <w:vAlign w:val="center"/>
                </w:tcPr>
                <w:p w14:paraId="0A0912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YNZKSC</w:t>
                  </w:r>
                </w:p>
                <w:p w14:paraId="202B6F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20231208014-A002</w:t>
                  </w:r>
                </w:p>
              </w:tc>
              <w:tc>
                <w:tcPr>
                  <w:tcW w:w="829" w:type="dxa"/>
                  <w:noWrap w:val="0"/>
                  <w:vAlign w:val="center"/>
                </w:tcPr>
                <w:p w14:paraId="006C00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934</w:t>
                  </w:r>
                </w:p>
              </w:tc>
              <w:tc>
                <w:tcPr>
                  <w:tcW w:w="658" w:type="dxa"/>
                  <w:noWrap w:val="0"/>
                  <w:vAlign w:val="center"/>
                </w:tcPr>
                <w:p w14:paraId="4C2A9A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7.8</w:t>
                  </w:r>
                </w:p>
              </w:tc>
              <w:tc>
                <w:tcPr>
                  <w:tcW w:w="658" w:type="dxa"/>
                  <w:noWrap w:val="0"/>
                  <w:vAlign w:val="center"/>
                </w:tcPr>
                <w:p w14:paraId="009F62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4.3</w:t>
                  </w:r>
                </w:p>
              </w:tc>
              <w:tc>
                <w:tcPr>
                  <w:tcW w:w="658" w:type="dxa"/>
                  <w:noWrap w:val="0"/>
                  <w:vAlign w:val="center"/>
                </w:tcPr>
                <w:p w14:paraId="5D1D71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0.007</w:t>
                  </w:r>
                </w:p>
              </w:tc>
              <w:tc>
                <w:tcPr>
                  <w:tcW w:w="658" w:type="dxa"/>
                  <w:noWrap w:val="0"/>
                  <w:vAlign w:val="center"/>
                </w:tcPr>
                <w:p w14:paraId="7DF056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21</w:t>
                  </w:r>
                </w:p>
              </w:tc>
              <w:tc>
                <w:tcPr>
                  <w:tcW w:w="658" w:type="dxa"/>
                  <w:noWrap w:val="0"/>
                  <w:vAlign w:val="center"/>
                </w:tcPr>
                <w:p w14:paraId="2D1EB0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11</w:t>
                  </w:r>
                </w:p>
              </w:tc>
              <w:tc>
                <w:tcPr>
                  <w:tcW w:w="658" w:type="dxa"/>
                  <w:noWrap w:val="0"/>
                  <w:vAlign w:val="center"/>
                </w:tcPr>
                <w:p w14:paraId="303CB6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0.020</w:t>
                  </w:r>
                </w:p>
              </w:tc>
              <w:tc>
                <w:tcPr>
                  <w:tcW w:w="658" w:type="dxa"/>
                  <w:noWrap w:val="0"/>
                  <w:vAlign w:val="center"/>
                </w:tcPr>
                <w:p w14:paraId="174BE7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96</w:t>
                  </w:r>
                </w:p>
              </w:tc>
              <w:tc>
                <w:tcPr>
                  <w:tcW w:w="658" w:type="dxa"/>
                  <w:noWrap w:val="0"/>
                  <w:vAlign w:val="center"/>
                </w:tcPr>
                <w:p w14:paraId="124212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52</w:t>
                  </w:r>
                </w:p>
              </w:tc>
              <w:tc>
                <w:tcPr>
                  <w:tcW w:w="658" w:type="dxa"/>
                  <w:noWrap w:val="0"/>
                  <w:vAlign w:val="center"/>
                </w:tcPr>
                <w:p w14:paraId="384CD8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0.090</w:t>
                  </w:r>
                </w:p>
              </w:tc>
            </w:tr>
            <w:tr w14:paraId="7A18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3" w:type="dxa"/>
                  <w:vMerge w:val="continue"/>
                  <w:noWrap w:val="0"/>
                  <w:vAlign w:val="center"/>
                </w:tcPr>
                <w:p w14:paraId="7E2CFF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p>
              </w:tc>
              <w:tc>
                <w:tcPr>
                  <w:tcW w:w="1113" w:type="dxa"/>
                  <w:noWrap w:val="0"/>
                  <w:vAlign w:val="center"/>
                </w:tcPr>
                <w:p w14:paraId="05CD3C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YNZKSC</w:t>
                  </w:r>
                </w:p>
                <w:p w14:paraId="41F907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20231208014-A003</w:t>
                  </w:r>
                </w:p>
              </w:tc>
              <w:tc>
                <w:tcPr>
                  <w:tcW w:w="829" w:type="dxa"/>
                  <w:noWrap w:val="0"/>
                  <w:vAlign w:val="center"/>
                </w:tcPr>
                <w:p w14:paraId="6FB056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767</w:t>
                  </w:r>
                </w:p>
              </w:tc>
              <w:tc>
                <w:tcPr>
                  <w:tcW w:w="658" w:type="dxa"/>
                  <w:noWrap w:val="0"/>
                  <w:vAlign w:val="center"/>
                </w:tcPr>
                <w:p w14:paraId="530B02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9.1</w:t>
                  </w:r>
                </w:p>
              </w:tc>
              <w:tc>
                <w:tcPr>
                  <w:tcW w:w="658" w:type="dxa"/>
                  <w:noWrap w:val="0"/>
                  <w:vAlign w:val="center"/>
                </w:tcPr>
                <w:p w14:paraId="29F4CB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4.4</w:t>
                  </w:r>
                </w:p>
              </w:tc>
              <w:tc>
                <w:tcPr>
                  <w:tcW w:w="658" w:type="dxa"/>
                  <w:noWrap w:val="0"/>
                  <w:vAlign w:val="center"/>
                </w:tcPr>
                <w:p w14:paraId="264502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0.007</w:t>
                  </w:r>
                </w:p>
              </w:tc>
              <w:tc>
                <w:tcPr>
                  <w:tcW w:w="658" w:type="dxa"/>
                  <w:noWrap w:val="0"/>
                  <w:vAlign w:val="center"/>
                </w:tcPr>
                <w:p w14:paraId="54F6F9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23</w:t>
                  </w:r>
                </w:p>
              </w:tc>
              <w:tc>
                <w:tcPr>
                  <w:tcW w:w="658" w:type="dxa"/>
                  <w:noWrap w:val="0"/>
                  <w:vAlign w:val="center"/>
                </w:tcPr>
                <w:p w14:paraId="641EBA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11</w:t>
                  </w:r>
                </w:p>
              </w:tc>
              <w:tc>
                <w:tcPr>
                  <w:tcW w:w="658" w:type="dxa"/>
                  <w:noWrap w:val="0"/>
                  <w:vAlign w:val="center"/>
                </w:tcPr>
                <w:p w14:paraId="7F77BB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0.018</w:t>
                  </w:r>
                </w:p>
              </w:tc>
              <w:tc>
                <w:tcPr>
                  <w:tcW w:w="658" w:type="dxa"/>
                  <w:noWrap w:val="0"/>
                  <w:vAlign w:val="center"/>
                </w:tcPr>
                <w:p w14:paraId="2533E0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86</w:t>
                  </w:r>
                </w:p>
              </w:tc>
              <w:tc>
                <w:tcPr>
                  <w:tcW w:w="658" w:type="dxa"/>
                  <w:noWrap w:val="0"/>
                  <w:vAlign w:val="center"/>
                </w:tcPr>
                <w:p w14:paraId="48C492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42</w:t>
                  </w:r>
                </w:p>
              </w:tc>
              <w:tc>
                <w:tcPr>
                  <w:tcW w:w="658" w:type="dxa"/>
                  <w:noWrap w:val="0"/>
                  <w:vAlign w:val="center"/>
                </w:tcPr>
                <w:p w14:paraId="6E645F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0.066</w:t>
                  </w:r>
                </w:p>
              </w:tc>
            </w:tr>
            <w:tr w14:paraId="3659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Merge w:val="continue"/>
                  <w:noWrap w:val="0"/>
                  <w:vAlign w:val="center"/>
                </w:tcPr>
                <w:p w14:paraId="5ECDE0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p>
              </w:tc>
              <w:tc>
                <w:tcPr>
                  <w:tcW w:w="1113" w:type="dxa"/>
                  <w:noWrap w:val="0"/>
                  <w:vAlign w:val="center"/>
                </w:tcPr>
                <w:p w14:paraId="4A53FA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平均值</w:t>
                  </w:r>
                </w:p>
              </w:tc>
              <w:tc>
                <w:tcPr>
                  <w:tcW w:w="829" w:type="dxa"/>
                  <w:noWrap w:val="0"/>
                  <w:vAlign w:val="center"/>
                </w:tcPr>
                <w:p w14:paraId="33025E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846</w:t>
                  </w:r>
                </w:p>
              </w:tc>
              <w:tc>
                <w:tcPr>
                  <w:tcW w:w="658" w:type="dxa"/>
                  <w:noWrap w:val="0"/>
                  <w:vAlign w:val="center"/>
                </w:tcPr>
                <w:p w14:paraId="5A598D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8.5</w:t>
                  </w:r>
                </w:p>
              </w:tc>
              <w:tc>
                <w:tcPr>
                  <w:tcW w:w="658" w:type="dxa"/>
                  <w:noWrap w:val="0"/>
                  <w:vAlign w:val="center"/>
                </w:tcPr>
                <w:p w14:paraId="101AE8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4.5</w:t>
                  </w:r>
                </w:p>
              </w:tc>
              <w:tc>
                <w:tcPr>
                  <w:tcW w:w="658" w:type="dxa"/>
                  <w:noWrap w:val="0"/>
                  <w:vAlign w:val="center"/>
                </w:tcPr>
                <w:p w14:paraId="10D126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0.007</w:t>
                  </w:r>
                </w:p>
              </w:tc>
              <w:tc>
                <w:tcPr>
                  <w:tcW w:w="658" w:type="dxa"/>
                  <w:noWrap w:val="0"/>
                  <w:vAlign w:val="center"/>
                </w:tcPr>
                <w:p w14:paraId="7708E4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21</w:t>
                  </w:r>
                </w:p>
              </w:tc>
              <w:tc>
                <w:tcPr>
                  <w:tcW w:w="658" w:type="dxa"/>
                  <w:noWrap w:val="0"/>
                  <w:vAlign w:val="center"/>
                </w:tcPr>
                <w:p w14:paraId="6AC72E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11</w:t>
                  </w:r>
                </w:p>
              </w:tc>
              <w:tc>
                <w:tcPr>
                  <w:tcW w:w="658" w:type="dxa"/>
                  <w:noWrap w:val="0"/>
                  <w:vAlign w:val="center"/>
                </w:tcPr>
                <w:p w14:paraId="3A41F6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0.018</w:t>
                  </w:r>
                </w:p>
              </w:tc>
              <w:tc>
                <w:tcPr>
                  <w:tcW w:w="658" w:type="dxa"/>
                  <w:noWrap w:val="0"/>
                  <w:vAlign w:val="center"/>
                </w:tcPr>
                <w:p w14:paraId="7EB9F9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91</w:t>
                  </w:r>
                </w:p>
              </w:tc>
              <w:tc>
                <w:tcPr>
                  <w:tcW w:w="658" w:type="dxa"/>
                  <w:noWrap w:val="0"/>
                  <w:vAlign w:val="center"/>
                </w:tcPr>
                <w:p w14:paraId="360440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49</w:t>
                  </w:r>
                </w:p>
              </w:tc>
              <w:tc>
                <w:tcPr>
                  <w:tcW w:w="658" w:type="dxa"/>
                  <w:noWrap w:val="0"/>
                  <w:vAlign w:val="center"/>
                </w:tcPr>
                <w:p w14:paraId="541CA1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0.077</w:t>
                  </w:r>
                </w:p>
              </w:tc>
            </w:tr>
            <w:tr w14:paraId="5D7F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Merge w:val="restart"/>
                  <w:noWrap w:val="0"/>
                  <w:vAlign w:val="center"/>
                </w:tcPr>
                <w:p w14:paraId="241DFC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2024.06.07</w:t>
                  </w:r>
                </w:p>
              </w:tc>
              <w:tc>
                <w:tcPr>
                  <w:tcW w:w="1113" w:type="dxa"/>
                  <w:noWrap w:val="0"/>
                  <w:vAlign w:val="center"/>
                </w:tcPr>
                <w:p w14:paraId="2FC608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YNZKSC</w:t>
                  </w:r>
                </w:p>
                <w:p w14:paraId="0A9938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20240606016-A001</w:t>
                  </w:r>
                </w:p>
              </w:tc>
              <w:tc>
                <w:tcPr>
                  <w:tcW w:w="829" w:type="dxa"/>
                  <w:noWrap w:val="0"/>
                  <w:vAlign w:val="center"/>
                </w:tcPr>
                <w:p w14:paraId="3EDE35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856</w:t>
                  </w:r>
                </w:p>
              </w:tc>
              <w:tc>
                <w:tcPr>
                  <w:tcW w:w="658" w:type="dxa"/>
                  <w:noWrap w:val="0"/>
                  <w:vAlign w:val="center"/>
                </w:tcPr>
                <w:p w14:paraId="537C73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15.6</w:t>
                  </w:r>
                </w:p>
              </w:tc>
              <w:tc>
                <w:tcPr>
                  <w:tcW w:w="658" w:type="dxa"/>
                  <w:noWrap w:val="0"/>
                  <w:vAlign w:val="center"/>
                </w:tcPr>
                <w:p w14:paraId="155BD9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23.4</w:t>
                  </w:r>
                </w:p>
              </w:tc>
              <w:tc>
                <w:tcPr>
                  <w:tcW w:w="658" w:type="dxa"/>
                  <w:noWrap w:val="0"/>
                  <w:vAlign w:val="center"/>
                </w:tcPr>
                <w:p w14:paraId="3A1991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0.013</w:t>
                  </w:r>
                </w:p>
              </w:tc>
              <w:tc>
                <w:tcPr>
                  <w:tcW w:w="658" w:type="dxa"/>
                  <w:noWrap w:val="0"/>
                  <w:vAlign w:val="center"/>
                </w:tcPr>
                <w:p w14:paraId="62FF29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3L</w:t>
                  </w:r>
                </w:p>
              </w:tc>
              <w:tc>
                <w:tcPr>
                  <w:tcW w:w="658" w:type="dxa"/>
                  <w:noWrap w:val="0"/>
                  <w:vAlign w:val="center"/>
                </w:tcPr>
                <w:p w14:paraId="5807E1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3L</w:t>
                  </w:r>
                </w:p>
              </w:tc>
              <w:tc>
                <w:tcPr>
                  <w:tcW w:w="658" w:type="dxa"/>
                  <w:noWrap w:val="0"/>
                  <w:vAlign w:val="center"/>
                </w:tcPr>
                <w:p w14:paraId="210A25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0.001</w:t>
                  </w:r>
                </w:p>
              </w:tc>
              <w:tc>
                <w:tcPr>
                  <w:tcW w:w="658" w:type="dxa"/>
                  <w:noWrap w:val="0"/>
                  <w:vAlign w:val="center"/>
                </w:tcPr>
                <w:p w14:paraId="5C8CE7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4</w:t>
                  </w:r>
                </w:p>
              </w:tc>
              <w:tc>
                <w:tcPr>
                  <w:tcW w:w="658" w:type="dxa"/>
                  <w:noWrap w:val="0"/>
                  <w:vAlign w:val="center"/>
                </w:tcPr>
                <w:p w14:paraId="17DBDA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6</w:t>
                  </w:r>
                </w:p>
              </w:tc>
              <w:tc>
                <w:tcPr>
                  <w:tcW w:w="658" w:type="dxa"/>
                  <w:noWrap w:val="0"/>
                  <w:vAlign w:val="center"/>
                </w:tcPr>
                <w:p w14:paraId="75B7BC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0.003</w:t>
                  </w:r>
                </w:p>
              </w:tc>
            </w:tr>
            <w:tr w14:paraId="5DD9E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Merge w:val="continue"/>
                  <w:noWrap w:val="0"/>
                  <w:vAlign w:val="center"/>
                </w:tcPr>
                <w:p w14:paraId="26817E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p>
              </w:tc>
              <w:tc>
                <w:tcPr>
                  <w:tcW w:w="1113" w:type="dxa"/>
                  <w:noWrap w:val="0"/>
                  <w:vAlign w:val="center"/>
                </w:tcPr>
                <w:p w14:paraId="092334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YNZKSC</w:t>
                  </w:r>
                </w:p>
                <w:p w14:paraId="20A021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20240606016-A002</w:t>
                  </w:r>
                </w:p>
              </w:tc>
              <w:tc>
                <w:tcPr>
                  <w:tcW w:w="829" w:type="dxa"/>
                  <w:noWrap w:val="0"/>
                  <w:vAlign w:val="center"/>
                </w:tcPr>
                <w:p w14:paraId="48D036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707</w:t>
                  </w:r>
                </w:p>
              </w:tc>
              <w:tc>
                <w:tcPr>
                  <w:tcW w:w="658" w:type="dxa"/>
                  <w:noWrap w:val="0"/>
                  <w:vAlign w:val="center"/>
                </w:tcPr>
                <w:p w14:paraId="1D22C5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16.7</w:t>
                  </w:r>
                </w:p>
              </w:tc>
              <w:tc>
                <w:tcPr>
                  <w:tcW w:w="658" w:type="dxa"/>
                  <w:noWrap w:val="0"/>
                  <w:vAlign w:val="center"/>
                </w:tcPr>
                <w:p w14:paraId="0F46A1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21.8</w:t>
                  </w:r>
                </w:p>
              </w:tc>
              <w:tc>
                <w:tcPr>
                  <w:tcW w:w="658" w:type="dxa"/>
                  <w:noWrap w:val="0"/>
                  <w:vAlign w:val="center"/>
                </w:tcPr>
                <w:p w14:paraId="4A73D9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0.012</w:t>
                  </w:r>
                </w:p>
              </w:tc>
              <w:tc>
                <w:tcPr>
                  <w:tcW w:w="658" w:type="dxa"/>
                  <w:noWrap w:val="0"/>
                  <w:vAlign w:val="center"/>
                </w:tcPr>
                <w:p w14:paraId="07D4AB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3L</w:t>
                  </w:r>
                </w:p>
              </w:tc>
              <w:tc>
                <w:tcPr>
                  <w:tcW w:w="658" w:type="dxa"/>
                  <w:noWrap w:val="0"/>
                  <w:vAlign w:val="center"/>
                </w:tcPr>
                <w:p w14:paraId="1650A4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3L</w:t>
                  </w:r>
                </w:p>
              </w:tc>
              <w:tc>
                <w:tcPr>
                  <w:tcW w:w="658" w:type="dxa"/>
                  <w:noWrap w:val="0"/>
                  <w:vAlign w:val="center"/>
                </w:tcPr>
                <w:p w14:paraId="23BB5D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0.001</w:t>
                  </w:r>
                </w:p>
              </w:tc>
              <w:tc>
                <w:tcPr>
                  <w:tcW w:w="658" w:type="dxa"/>
                  <w:noWrap w:val="0"/>
                  <w:vAlign w:val="center"/>
                </w:tcPr>
                <w:p w14:paraId="625A96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10</w:t>
                  </w:r>
                </w:p>
              </w:tc>
              <w:tc>
                <w:tcPr>
                  <w:tcW w:w="658" w:type="dxa"/>
                  <w:noWrap w:val="0"/>
                  <w:vAlign w:val="center"/>
                </w:tcPr>
                <w:p w14:paraId="0FF230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13</w:t>
                  </w:r>
                </w:p>
              </w:tc>
              <w:tc>
                <w:tcPr>
                  <w:tcW w:w="658" w:type="dxa"/>
                  <w:noWrap w:val="0"/>
                  <w:vAlign w:val="center"/>
                </w:tcPr>
                <w:p w14:paraId="4E9C86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0.007</w:t>
                  </w:r>
                </w:p>
              </w:tc>
            </w:tr>
            <w:tr w14:paraId="26A66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Merge w:val="continue"/>
                  <w:noWrap w:val="0"/>
                  <w:vAlign w:val="center"/>
                </w:tcPr>
                <w:p w14:paraId="3E913E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p>
              </w:tc>
              <w:tc>
                <w:tcPr>
                  <w:tcW w:w="1113" w:type="dxa"/>
                  <w:noWrap w:val="0"/>
                  <w:vAlign w:val="center"/>
                </w:tcPr>
                <w:p w14:paraId="356348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YNZKSC</w:t>
                  </w:r>
                </w:p>
                <w:p w14:paraId="767C51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20240606016-A003</w:t>
                  </w:r>
                </w:p>
              </w:tc>
              <w:tc>
                <w:tcPr>
                  <w:tcW w:w="829" w:type="dxa"/>
                  <w:noWrap w:val="0"/>
                  <w:vAlign w:val="center"/>
                </w:tcPr>
                <w:p w14:paraId="236817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733</w:t>
                  </w:r>
                </w:p>
              </w:tc>
              <w:tc>
                <w:tcPr>
                  <w:tcW w:w="658" w:type="dxa"/>
                  <w:noWrap w:val="0"/>
                  <w:vAlign w:val="center"/>
                </w:tcPr>
                <w:p w14:paraId="4A5AAC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13.6</w:t>
                  </w:r>
                </w:p>
              </w:tc>
              <w:tc>
                <w:tcPr>
                  <w:tcW w:w="658" w:type="dxa"/>
                  <w:noWrap w:val="0"/>
                  <w:vAlign w:val="center"/>
                </w:tcPr>
                <w:p w14:paraId="2D44C0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25.5</w:t>
                  </w:r>
                </w:p>
              </w:tc>
              <w:tc>
                <w:tcPr>
                  <w:tcW w:w="658" w:type="dxa"/>
                  <w:noWrap w:val="0"/>
                  <w:vAlign w:val="center"/>
                </w:tcPr>
                <w:p w14:paraId="1C5EFE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0.010</w:t>
                  </w:r>
                </w:p>
              </w:tc>
              <w:tc>
                <w:tcPr>
                  <w:tcW w:w="658" w:type="dxa"/>
                  <w:noWrap w:val="0"/>
                  <w:vAlign w:val="center"/>
                </w:tcPr>
                <w:p w14:paraId="3B7E40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3L</w:t>
                  </w:r>
                </w:p>
              </w:tc>
              <w:tc>
                <w:tcPr>
                  <w:tcW w:w="658" w:type="dxa"/>
                  <w:noWrap w:val="0"/>
                  <w:vAlign w:val="center"/>
                </w:tcPr>
                <w:p w14:paraId="7F4D71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3L</w:t>
                  </w:r>
                </w:p>
              </w:tc>
              <w:tc>
                <w:tcPr>
                  <w:tcW w:w="658" w:type="dxa"/>
                  <w:noWrap w:val="0"/>
                  <w:vAlign w:val="center"/>
                </w:tcPr>
                <w:p w14:paraId="3A5E8C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0.001</w:t>
                  </w:r>
                </w:p>
              </w:tc>
              <w:tc>
                <w:tcPr>
                  <w:tcW w:w="658" w:type="dxa"/>
                  <w:noWrap w:val="0"/>
                  <w:vAlign w:val="center"/>
                </w:tcPr>
                <w:p w14:paraId="768A78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13</w:t>
                  </w:r>
                </w:p>
              </w:tc>
              <w:tc>
                <w:tcPr>
                  <w:tcW w:w="658" w:type="dxa"/>
                  <w:noWrap w:val="0"/>
                  <w:vAlign w:val="center"/>
                </w:tcPr>
                <w:p w14:paraId="39B6AC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24</w:t>
                  </w:r>
                </w:p>
              </w:tc>
              <w:tc>
                <w:tcPr>
                  <w:tcW w:w="658" w:type="dxa"/>
                  <w:noWrap w:val="0"/>
                  <w:vAlign w:val="center"/>
                </w:tcPr>
                <w:p w14:paraId="2734E3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0.010</w:t>
                  </w:r>
                </w:p>
              </w:tc>
            </w:tr>
            <w:tr w14:paraId="1576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Merge w:val="continue"/>
                  <w:noWrap w:val="0"/>
                  <w:vAlign w:val="center"/>
                </w:tcPr>
                <w:p w14:paraId="6B0E65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p>
              </w:tc>
              <w:tc>
                <w:tcPr>
                  <w:tcW w:w="1113" w:type="dxa"/>
                  <w:noWrap w:val="0"/>
                  <w:vAlign w:val="center"/>
                </w:tcPr>
                <w:p w14:paraId="79B323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平均值</w:t>
                  </w:r>
                </w:p>
              </w:tc>
              <w:tc>
                <w:tcPr>
                  <w:tcW w:w="829" w:type="dxa"/>
                  <w:noWrap w:val="0"/>
                  <w:vAlign w:val="center"/>
                </w:tcPr>
                <w:p w14:paraId="10750F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765</w:t>
                  </w:r>
                </w:p>
              </w:tc>
              <w:tc>
                <w:tcPr>
                  <w:tcW w:w="658" w:type="dxa"/>
                  <w:noWrap w:val="0"/>
                  <w:vAlign w:val="center"/>
                </w:tcPr>
                <w:p w14:paraId="14ECBE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15.3</w:t>
                  </w:r>
                </w:p>
              </w:tc>
              <w:tc>
                <w:tcPr>
                  <w:tcW w:w="658" w:type="dxa"/>
                  <w:noWrap w:val="0"/>
                  <w:vAlign w:val="center"/>
                </w:tcPr>
                <w:p w14:paraId="03DBDF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23.6</w:t>
                  </w:r>
                </w:p>
              </w:tc>
              <w:tc>
                <w:tcPr>
                  <w:tcW w:w="658" w:type="dxa"/>
                  <w:noWrap w:val="0"/>
                  <w:vAlign w:val="center"/>
                </w:tcPr>
                <w:p w14:paraId="2C59C9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0.012</w:t>
                  </w:r>
                </w:p>
              </w:tc>
              <w:tc>
                <w:tcPr>
                  <w:tcW w:w="658" w:type="dxa"/>
                  <w:noWrap w:val="0"/>
                  <w:vAlign w:val="center"/>
                </w:tcPr>
                <w:p w14:paraId="2E1851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3L</w:t>
                  </w:r>
                </w:p>
              </w:tc>
              <w:tc>
                <w:tcPr>
                  <w:tcW w:w="658" w:type="dxa"/>
                  <w:noWrap w:val="0"/>
                  <w:vAlign w:val="center"/>
                </w:tcPr>
                <w:p w14:paraId="3321C3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3L</w:t>
                  </w:r>
                </w:p>
              </w:tc>
              <w:tc>
                <w:tcPr>
                  <w:tcW w:w="658" w:type="dxa"/>
                  <w:noWrap w:val="0"/>
                  <w:vAlign w:val="center"/>
                </w:tcPr>
                <w:p w14:paraId="017342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0.001</w:t>
                  </w:r>
                </w:p>
              </w:tc>
              <w:tc>
                <w:tcPr>
                  <w:tcW w:w="658" w:type="dxa"/>
                  <w:noWrap w:val="0"/>
                  <w:vAlign w:val="center"/>
                </w:tcPr>
                <w:p w14:paraId="0307BE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9</w:t>
                  </w:r>
                </w:p>
              </w:tc>
              <w:tc>
                <w:tcPr>
                  <w:tcW w:w="658" w:type="dxa"/>
                  <w:noWrap w:val="0"/>
                  <w:vAlign w:val="center"/>
                </w:tcPr>
                <w:p w14:paraId="454377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14</w:t>
                  </w:r>
                </w:p>
              </w:tc>
              <w:tc>
                <w:tcPr>
                  <w:tcW w:w="658" w:type="dxa"/>
                  <w:noWrap w:val="0"/>
                  <w:vAlign w:val="center"/>
                </w:tcPr>
                <w:p w14:paraId="4C5E16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0.007</w:t>
                  </w:r>
                </w:p>
              </w:tc>
            </w:tr>
            <w:tr w14:paraId="1ACF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Merge w:val="restart"/>
                  <w:noWrap w:val="0"/>
                  <w:vAlign w:val="center"/>
                </w:tcPr>
                <w:p w14:paraId="3BBA96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2024.10.11</w:t>
                  </w:r>
                </w:p>
              </w:tc>
              <w:tc>
                <w:tcPr>
                  <w:tcW w:w="1113" w:type="dxa"/>
                  <w:noWrap w:val="0"/>
                  <w:vAlign w:val="center"/>
                </w:tcPr>
                <w:p w14:paraId="51A022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YNZKSC</w:t>
                  </w:r>
                </w:p>
                <w:p w14:paraId="363DFD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20241008012-A001</w:t>
                  </w:r>
                </w:p>
              </w:tc>
              <w:tc>
                <w:tcPr>
                  <w:tcW w:w="829" w:type="dxa"/>
                  <w:noWrap w:val="0"/>
                  <w:vAlign w:val="center"/>
                </w:tcPr>
                <w:p w14:paraId="73CF78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742</w:t>
                  </w:r>
                </w:p>
              </w:tc>
              <w:tc>
                <w:tcPr>
                  <w:tcW w:w="658" w:type="dxa"/>
                  <w:noWrap w:val="0"/>
                  <w:vAlign w:val="center"/>
                </w:tcPr>
                <w:p w14:paraId="2D8E0E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14.9</w:t>
                  </w:r>
                </w:p>
              </w:tc>
              <w:tc>
                <w:tcPr>
                  <w:tcW w:w="658" w:type="dxa"/>
                  <w:noWrap w:val="0"/>
                  <w:vAlign w:val="center"/>
                </w:tcPr>
                <w:p w14:paraId="69EAA9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5.9</w:t>
                  </w:r>
                </w:p>
              </w:tc>
              <w:tc>
                <w:tcPr>
                  <w:tcW w:w="658" w:type="dxa"/>
                  <w:noWrap w:val="0"/>
                  <w:vAlign w:val="center"/>
                </w:tcPr>
                <w:p w14:paraId="75EB66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0.011</w:t>
                  </w:r>
                </w:p>
              </w:tc>
              <w:tc>
                <w:tcPr>
                  <w:tcW w:w="658" w:type="dxa"/>
                  <w:noWrap w:val="0"/>
                  <w:vAlign w:val="center"/>
                </w:tcPr>
                <w:p w14:paraId="71466A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4</w:t>
                  </w:r>
                </w:p>
              </w:tc>
              <w:tc>
                <w:tcPr>
                  <w:tcW w:w="658" w:type="dxa"/>
                  <w:noWrap w:val="0"/>
                  <w:vAlign w:val="center"/>
                </w:tcPr>
                <w:p w14:paraId="49BA54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3L</w:t>
                  </w:r>
                </w:p>
              </w:tc>
              <w:tc>
                <w:tcPr>
                  <w:tcW w:w="658" w:type="dxa"/>
                  <w:noWrap w:val="0"/>
                  <w:vAlign w:val="center"/>
                </w:tcPr>
                <w:p w14:paraId="28CEBA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0.003</w:t>
                  </w:r>
                </w:p>
              </w:tc>
              <w:tc>
                <w:tcPr>
                  <w:tcW w:w="658" w:type="dxa"/>
                  <w:noWrap w:val="0"/>
                  <w:vAlign w:val="center"/>
                </w:tcPr>
                <w:p w14:paraId="692CFC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23</w:t>
                  </w:r>
                </w:p>
              </w:tc>
              <w:tc>
                <w:tcPr>
                  <w:tcW w:w="658" w:type="dxa"/>
                  <w:noWrap w:val="0"/>
                  <w:vAlign w:val="center"/>
                </w:tcPr>
                <w:p w14:paraId="11F851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9</w:t>
                  </w:r>
                </w:p>
              </w:tc>
              <w:tc>
                <w:tcPr>
                  <w:tcW w:w="658" w:type="dxa"/>
                  <w:noWrap w:val="0"/>
                  <w:vAlign w:val="center"/>
                </w:tcPr>
                <w:p w14:paraId="4B2D0E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0.017</w:t>
                  </w:r>
                </w:p>
              </w:tc>
            </w:tr>
            <w:tr w14:paraId="2291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Merge w:val="continue"/>
                  <w:noWrap w:val="0"/>
                  <w:vAlign w:val="center"/>
                </w:tcPr>
                <w:p w14:paraId="1A04C7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p>
              </w:tc>
              <w:tc>
                <w:tcPr>
                  <w:tcW w:w="1113" w:type="dxa"/>
                  <w:noWrap w:val="0"/>
                  <w:vAlign w:val="center"/>
                </w:tcPr>
                <w:p w14:paraId="499B00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YNZKSC</w:t>
                  </w:r>
                </w:p>
                <w:p w14:paraId="116927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20241008012-A002</w:t>
                  </w:r>
                </w:p>
              </w:tc>
              <w:tc>
                <w:tcPr>
                  <w:tcW w:w="829" w:type="dxa"/>
                  <w:noWrap w:val="0"/>
                  <w:vAlign w:val="center"/>
                </w:tcPr>
                <w:p w14:paraId="6AFA7E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888</w:t>
                  </w:r>
                </w:p>
              </w:tc>
              <w:tc>
                <w:tcPr>
                  <w:tcW w:w="658" w:type="dxa"/>
                  <w:noWrap w:val="0"/>
                  <w:vAlign w:val="center"/>
                </w:tcPr>
                <w:p w14:paraId="5A2542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16.4</w:t>
                  </w:r>
                </w:p>
              </w:tc>
              <w:tc>
                <w:tcPr>
                  <w:tcW w:w="658" w:type="dxa"/>
                  <w:noWrap w:val="0"/>
                  <w:vAlign w:val="center"/>
                </w:tcPr>
                <w:p w14:paraId="783974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7.2</w:t>
                  </w:r>
                </w:p>
              </w:tc>
              <w:tc>
                <w:tcPr>
                  <w:tcW w:w="658" w:type="dxa"/>
                  <w:noWrap w:val="0"/>
                  <w:vAlign w:val="center"/>
                </w:tcPr>
                <w:p w14:paraId="7BF8BC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0.015</w:t>
                  </w:r>
                </w:p>
              </w:tc>
              <w:tc>
                <w:tcPr>
                  <w:tcW w:w="658" w:type="dxa"/>
                  <w:noWrap w:val="0"/>
                  <w:vAlign w:val="center"/>
                </w:tcPr>
                <w:p w14:paraId="103085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4</w:t>
                  </w:r>
                </w:p>
              </w:tc>
              <w:tc>
                <w:tcPr>
                  <w:tcW w:w="658" w:type="dxa"/>
                  <w:noWrap w:val="0"/>
                  <w:vAlign w:val="center"/>
                </w:tcPr>
                <w:p w14:paraId="4A2743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3L</w:t>
                  </w:r>
                </w:p>
              </w:tc>
              <w:tc>
                <w:tcPr>
                  <w:tcW w:w="658" w:type="dxa"/>
                  <w:noWrap w:val="0"/>
                  <w:vAlign w:val="center"/>
                </w:tcPr>
                <w:p w14:paraId="0CC1F4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0.004</w:t>
                  </w:r>
                </w:p>
              </w:tc>
              <w:tc>
                <w:tcPr>
                  <w:tcW w:w="658" w:type="dxa"/>
                  <w:noWrap w:val="0"/>
                  <w:vAlign w:val="center"/>
                </w:tcPr>
                <w:p w14:paraId="237496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28</w:t>
                  </w:r>
                </w:p>
              </w:tc>
              <w:tc>
                <w:tcPr>
                  <w:tcW w:w="658" w:type="dxa"/>
                  <w:noWrap w:val="0"/>
                  <w:vAlign w:val="center"/>
                </w:tcPr>
                <w:p w14:paraId="08F848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12</w:t>
                  </w:r>
                </w:p>
              </w:tc>
              <w:tc>
                <w:tcPr>
                  <w:tcW w:w="658" w:type="dxa"/>
                  <w:noWrap w:val="0"/>
                  <w:vAlign w:val="center"/>
                </w:tcPr>
                <w:p w14:paraId="7134F2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0.025</w:t>
                  </w:r>
                </w:p>
              </w:tc>
            </w:tr>
            <w:tr w14:paraId="5B0A8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Merge w:val="continue"/>
                  <w:noWrap w:val="0"/>
                  <w:vAlign w:val="center"/>
                </w:tcPr>
                <w:p w14:paraId="39A38E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p>
              </w:tc>
              <w:tc>
                <w:tcPr>
                  <w:tcW w:w="1113" w:type="dxa"/>
                  <w:noWrap w:val="0"/>
                  <w:vAlign w:val="center"/>
                </w:tcPr>
                <w:p w14:paraId="0FA37C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YNZKSC</w:t>
                  </w:r>
                </w:p>
                <w:p w14:paraId="3E3A14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20241008012-A003</w:t>
                  </w:r>
                </w:p>
              </w:tc>
              <w:tc>
                <w:tcPr>
                  <w:tcW w:w="829" w:type="dxa"/>
                  <w:noWrap w:val="0"/>
                  <w:vAlign w:val="center"/>
                </w:tcPr>
                <w:p w14:paraId="21A572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797</w:t>
                  </w:r>
                </w:p>
              </w:tc>
              <w:tc>
                <w:tcPr>
                  <w:tcW w:w="658" w:type="dxa"/>
                  <w:noWrap w:val="0"/>
                  <w:vAlign w:val="center"/>
                </w:tcPr>
                <w:p w14:paraId="375F0B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12.7</w:t>
                  </w:r>
                </w:p>
              </w:tc>
              <w:tc>
                <w:tcPr>
                  <w:tcW w:w="658" w:type="dxa"/>
                  <w:noWrap w:val="0"/>
                  <w:vAlign w:val="center"/>
                </w:tcPr>
                <w:p w14:paraId="0A60F0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6.0</w:t>
                  </w:r>
                </w:p>
              </w:tc>
              <w:tc>
                <w:tcPr>
                  <w:tcW w:w="658" w:type="dxa"/>
                  <w:noWrap w:val="0"/>
                  <w:vAlign w:val="center"/>
                </w:tcPr>
                <w:p w14:paraId="5FE9A7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0.010</w:t>
                  </w:r>
                </w:p>
              </w:tc>
              <w:tc>
                <w:tcPr>
                  <w:tcW w:w="658" w:type="dxa"/>
                  <w:noWrap w:val="0"/>
                  <w:vAlign w:val="center"/>
                </w:tcPr>
                <w:p w14:paraId="37E162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5</w:t>
                  </w:r>
                </w:p>
              </w:tc>
              <w:tc>
                <w:tcPr>
                  <w:tcW w:w="658" w:type="dxa"/>
                  <w:noWrap w:val="0"/>
                  <w:vAlign w:val="center"/>
                </w:tcPr>
                <w:p w14:paraId="35BD03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3L</w:t>
                  </w:r>
                </w:p>
              </w:tc>
              <w:tc>
                <w:tcPr>
                  <w:tcW w:w="658" w:type="dxa"/>
                  <w:noWrap w:val="0"/>
                  <w:vAlign w:val="center"/>
                </w:tcPr>
                <w:p w14:paraId="5E2A17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0.004</w:t>
                  </w:r>
                </w:p>
              </w:tc>
              <w:tc>
                <w:tcPr>
                  <w:tcW w:w="658" w:type="dxa"/>
                  <w:noWrap w:val="0"/>
                  <w:vAlign w:val="center"/>
                </w:tcPr>
                <w:p w14:paraId="17EA2D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21</w:t>
                  </w:r>
                </w:p>
              </w:tc>
              <w:tc>
                <w:tcPr>
                  <w:tcW w:w="658" w:type="dxa"/>
                  <w:noWrap w:val="0"/>
                  <w:vAlign w:val="center"/>
                </w:tcPr>
                <w:p w14:paraId="16F6D9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10</w:t>
                  </w:r>
                </w:p>
              </w:tc>
              <w:tc>
                <w:tcPr>
                  <w:tcW w:w="658" w:type="dxa"/>
                  <w:noWrap w:val="0"/>
                  <w:vAlign w:val="center"/>
                </w:tcPr>
                <w:p w14:paraId="01EF10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0.017</w:t>
                  </w:r>
                </w:p>
              </w:tc>
            </w:tr>
            <w:tr w14:paraId="040BE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vMerge w:val="continue"/>
                  <w:noWrap w:val="0"/>
                  <w:vAlign w:val="center"/>
                </w:tcPr>
                <w:p w14:paraId="1101F4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p>
              </w:tc>
              <w:tc>
                <w:tcPr>
                  <w:tcW w:w="1113" w:type="dxa"/>
                  <w:noWrap w:val="0"/>
                  <w:vAlign w:val="center"/>
                </w:tcPr>
                <w:p w14:paraId="3AEDD9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平均值</w:t>
                  </w:r>
                </w:p>
              </w:tc>
              <w:tc>
                <w:tcPr>
                  <w:tcW w:w="829" w:type="dxa"/>
                  <w:noWrap w:val="0"/>
                  <w:vAlign w:val="center"/>
                </w:tcPr>
                <w:p w14:paraId="14C4A9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809</w:t>
                  </w:r>
                </w:p>
              </w:tc>
              <w:tc>
                <w:tcPr>
                  <w:tcW w:w="658" w:type="dxa"/>
                  <w:noWrap w:val="0"/>
                  <w:vAlign w:val="center"/>
                </w:tcPr>
                <w:p w14:paraId="2AA367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14.7</w:t>
                  </w:r>
                </w:p>
              </w:tc>
              <w:tc>
                <w:tcPr>
                  <w:tcW w:w="658" w:type="dxa"/>
                  <w:noWrap w:val="0"/>
                  <w:vAlign w:val="center"/>
                </w:tcPr>
                <w:p w14:paraId="5ED9E5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6.4</w:t>
                  </w:r>
                </w:p>
              </w:tc>
              <w:tc>
                <w:tcPr>
                  <w:tcW w:w="658" w:type="dxa"/>
                  <w:noWrap w:val="0"/>
                  <w:vAlign w:val="center"/>
                </w:tcPr>
                <w:p w14:paraId="2A4284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0.012</w:t>
                  </w:r>
                </w:p>
              </w:tc>
              <w:tc>
                <w:tcPr>
                  <w:tcW w:w="658" w:type="dxa"/>
                  <w:noWrap w:val="0"/>
                  <w:vAlign w:val="center"/>
                </w:tcPr>
                <w:p w14:paraId="07B7C5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4</w:t>
                  </w:r>
                </w:p>
              </w:tc>
              <w:tc>
                <w:tcPr>
                  <w:tcW w:w="658" w:type="dxa"/>
                  <w:noWrap w:val="0"/>
                  <w:vAlign w:val="center"/>
                </w:tcPr>
                <w:p w14:paraId="2B5710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3L</w:t>
                  </w:r>
                </w:p>
              </w:tc>
              <w:tc>
                <w:tcPr>
                  <w:tcW w:w="658" w:type="dxa"/>
                  <w:noWrap w:val="0"/>
                  <w:vAlign w:val="center"/>
                </w:tcPr>
                <w:p w14:paraId="723648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0.004</w:t>
                  </w:r>
                </w:p>
              </w:tc>
              <w:tc>
                <w:tcPr>
                  <w:tcW w:w="658" w:type="dxa"/>
                  <w:noWrap w:val="0"/>
                  <w:vAlign w:val="center"/>
                </w:tcPr>
                <w:p w14:paraId="5D505B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24</w:t>
                  </w:r>
                </w:p>
              </w:tc>
              <w:tc>
                <w:tcPr>
                  <w:tcW w:w="658" w:type="dxa"/>
                  <w:noWrap w:val="0"/>
                  <w:vAlign w:val="center"/>
                </w:tcPr>
                <w:p w14:paraId="46C808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10</w:t>
                  </w:r>
                </w:p>
              </w:tc>
              <w:tc>
                <w:tcPr>
                  <w:tcW w:w="658" w:type="dxa"/>
                  <w:noWrap w:val="0"/>
                  <w:vAlign w:val="center"/>
                </w:tcPr>
                <w:p w14:paraId="67A38C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0.020</w:t>
                  </w:r>
                </w:p>
              </w:tc>
            </w:tr>
          </w:tbl>
          <w:p w14:paraId="3792EFCF">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表2-</w:t>
            </w:r>
            <w:r>
              <w:rPr>
                <w:rFonts w:hint="eastAsia" w:cs="Times New Roman"/>
                <w:b/>
                <w:color w:val="000000" w:themeColor="text1"/>
                <w:sz w:val="24"/>
                <w:szCs w:val="24"/>
                <w:lang w:val="en-US" w:eastAsia="zh-CN"/>
                <w14:textFill>
                  <w14:solidFill>
                    <w14:schemeClr w14:val="tx1"/>
                  </w14:solidFill>
                </w14:textFill>
              </w:rPr>
              <w:t>25</w:t>
            </w:r>
            <w:r>
              <w:rPr>
                <w:rFonts w:hint="default" w:ascii="Times New Roman" w:hAnsi="Times New Roman" w:cs="Times New Roman"/>
                <w:b/>
                <w:color w:val="000000" w:themeColor="text1"/>
                <w:sz w:val="24"/>
                <w:szCs w:val="24"/>
                <w14:textFill>
                  <w14:solidFill>
                    <w14:schemeClr w14:val="tx1"/>
                  </w14:solidFill>
                </w14:textFill>
              </w:rPr>
              <w:t xml:space="preserve">  </w:t>
            </w:r>
            <w:r>
              <w:rPr>
                <w:rFonts w:hint="eastAsia" w:ascii="Times New Roman" w:hAnsi="Times New Roman" w:cs="Times New Roman"/>
                <w:b/>
                <w:color w:val="000000" w:themeColor="text1"/>
                <w:sz w:val="24"/>
                <w:szCs w:val="24"/>
                <w:lang w:val="en-US" w:eastAsia="zh-CN"/>
                <w14:textFill>
                  <w14:solidFill>
                    <w14:schemeClr w14:val="tx1"/>
                  </w14:solidFill>
                </w14:textFill>
              </w:rPr>
              <w:t>202</w:t>
            </w:r>
            <w:r>
              <w:rPr>
                <w:rFonts w:hint="eastAsia" w:cs="Times New Roman"/>
                <w:b/>
                <w:color w:val="000000" w:themeColor="text1"/>
                <w:sz w:val="24"/>
                <w:szCs w:val="24"/>
                <w:lang w:val="en-US" w:eastAsia="zh-CN"/>
                <w14:textFill>
                  <w14:solidFill>
                    <w14:schemeClr w14:val="tx1"/>
                  </w14:solidFill>
                </w14:textFill>
              </w:rPr>
              <w:t>3</w:t>
            </w:r>
            <w:r>
              <w:rPr>
                <w:rFonts w:hint="eastAsia" w:ascii="Times New Roman" w:hAnsi="Times New Roman" w:cs="Times New Roman"/>
                <w:b/>
                <w:color w:val="000000" w:themeColor="text1"/>
                <w:sz w:val="24"/>
                <w:szCs w:val="24"/>
                <w:lang w:val="en-US" w:eastAsia="zh-CN"/>
                <w14:textFill>
                  <w14:solidFill>
                    <w14:schemeClr w14:val="tx1"/>
                  </w14:solidFill>
                </w14:textFill>
              </w:rPr>
              <w:t>-2024年自行监测报告有组织废气检测结果表（氟化物）</w:t>
            </w:r>
          </w:p>
          <w:tbl>
            <w:tblPr>
              <w:tblStyle w:val="29"/>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2018"/>
              <w:gridCol w:w="1353"/>
              <w:gridCol w:w="1462"/>
              <w:gridCol w:w="1483"/>
              <w:gridCol w:w="1212"/>
            </w:tblGrid>
            <w:tr w14:paraId="59A0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976" w:type="dxa"/>
                  <w:vMerge w:val="restart"/>
                  <w:noWrap w:val="0"/>
                  <w:vAlign w:val="center"/>
                </w:tcPr>
                <w:p w14:paraId="65F2EF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检测时间</w:t>
                  </w:r>
                </w:p>
              </w:tc>
              <w:tc>
                <w:tcPr>
                  <w:tcW w:w="2018" w:type="dxa"/>
                  <w:vMerge w:val="restart"/>
                  <w:noWrap w:val="0"/>
                  <w:vAlign w:val="center"/>
                </w:tcPr>
                <w:p w14:paraId="1F7311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样品编号</w:t>
                  </w:r>
                </w:p>
              </w:tc>
              <w:tc>
                <w:tcPr>
                  <w:tcW w:w="1353" w:type="dxa"/>
                  <w:vMerge w:val="restart"/>
                  <w:noWrap w:val="0"/>
                  <w:vAlign w:val="center"/>
                </w:tcPr>
                <w:p w14:paraId="1EA89E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标杆流量（m</w:t>
                  </w:r>
                  <w:r>
                    <w:rPr>
                      <w:rFonts w:hint="eastAsia" w:ascii="Times New Roman" w:hAnsi="Times New Roman" w:eastAsia="宋体" w:cs="Times New Roman"/>
                      <w:color w:val="000000" w:themeColor="text1"/>
                      <w:sz w:val="18"/>
                      <w:szCs w:val="18"/>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/h）</w:t>
                  </w:r>
                </w:p>
              </w:tc>
              <w:tc>
                <w:tcPr>
                  <w:tcW w:w="4157" w:type="dxa"/>
                  <w:gridSpan w:val="3"/>
                  <w:noWrap w:val="0"/>
                  <w:vAlign w:val="center"/>
                </w:tcPr>
                <w:p w14:paraId="572CCC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检测结果</w:t>
                  </w:r>
                </w:p>
              </w:tc>
            </w:tr>
            <w:tr w14:paraId="4149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976" w:type="dxa"/>
                  <w:vMerge w:val="continue"/>
                  <w:noWrap w:val="0"/>
                  <w:vAlign w:val="center"/>
                </w:tcPr>
                <w:p w14:paraId="1476CA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p>
              </w:tc>
              <w:tc>
                <w:tcPr>
                  <w:tcW w:w="2018" w:type="dxa"/>
                  <w:vMerge w:val="continue"/>
                  <w:noWrap w:val="0"/>
                  <w:vAlign w:val="center"/>
                </w:tcPr>
                <w:p w14:paraId="6D8262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p>
              </w:tc>
              <w:tc>
                <w:tcPr>
                  <w:tcW w:w="1353" w:type="dxa"/>
                  <w:vMerge w:val="continue"/>
                  <w:noWrap w:val="0"/>
                  <w:vAlign w:val="center"/>
                </w:tcPr>
                <w:p w14:paraId="48FB3F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p>
              </w:tc>
              <w:tc>
                <w:tcPr>
                  <w:tcW w:w="4157" w:type="dxa"/>
                  <w:gridSpan w:val="3"/>
                  <w:noWrap w:val="0"/>
                  <w:vAlign w:val="center"/>
                </w:tcPr>
                <w:p w14:paraId="161198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氟化物</w:t>
                  </w:r>
                </w:p>
              </w:tc>
            </w:tr>
            <w:tr w14:paraId="0E71F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76" w:type="dxa"/>
                  <w:vMerge w:val="continue"/>
                  <w:noWrap w:val="0"/>
                  <w:vAlign w:val="center"/>
                </w:tcPr>
                <w:p w14:paraId="101471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14:textFill>
                        <w14:solidFill>
                          <w14:schemeClr w14:val="tx1"/>
                        </w14:solidFill>
                      </w14:textFill>
                    </w:rPr>
                  </w:pPr>
                </w:p>
              </w:tc>
              <w:tc>
                <w:tcPr>
                  <w:tcW w:w="2018" w:type="dxa"/>
                  <w:vMerge w:val="continue"/>
                  <w:noWrap w:val="0"/>
                  <w:vAlign w:val="center"/>
                </w:tcPr>
                <w:p w14:paraId="50344F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14:textFill>
                        <w14:solidFill>
                          <w14:schemeClr w14:val="tx1"/>
                        </w14:solidFill>
                      </w14:textFill>
                    </w:rPr>
                  </w:pPr>
                </w:p>
              </w:tc>
              <w:tc>
                <w:tcPr>
                  <w:tcW w:w="1353" w:type="dxa"/>
                  <w:vMerge w:val="continue"/>
                  <w:noWrap w:val="0"/>
                  <w:vAlign w:val="center"/>
                </w:tcPr>
                <w:p w14:paraId="422132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14:textFill>
                        <w14:solidFill>
                          <w14:schemeClr w14:val="tx1"/>
                        </w14:solidFill>
                      </w14:textFill>
                    </w:rPr>
                  </w:pPr>
                </w:p>
              </w:tc>
              <w:tc>
                <w:tcPr>
                  <w:tcW w:w="1462" w:type="dxa"/>
                  <w:noWrap w:val="0"/>
                  <w:vAlign w:val="center"/>
                </w:tcPr>
                <w:p w14:paraId="080987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实测浓度（mg/m</w:t>
                  </w:r>
                  <w:r>
                    <w:rPr>
                      <w:rFonts w:hint="eastAsia" w:ascii="Times New Roman" w:hAnsi="Times New Roman" w:eastAsia="宋体" w:cs="Times New Roman"/>
                      <w:color w:val="000000" w:themeColor="text1"/>
                      <w:sz w:val="18"/>
                      <w:szCs w:val="18"/>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w:t>
                  </w:r>
                </w:p>
              </w:tc>
              <w:tc>
                <w:tcPr>
                  <w:tcW w:w="1483" w:type="dxa"/>
                  <w:noWrap w:val="0"/>
                  <w:vAlign w:val="center"/>
                </w:tcPr>
                <w:p w14:paraId="2A8A70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排放浓度（mg/m</w:t>
                  </w:r>
                  <w:r>
                    <w:rPr>
                      <w:rFonts w:hint="eastAsia" w:ascii="Times New Roman" w:hAnsi="Times New Roman" w:eastAsia="宋体" w:cs="Times New Roman"/>
                      <w:color w:val="000000" w:themeColor="text1"/>
                      <w:sz w:val="18"/>
                      <w:szCs w:val="18"/>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w:t>
                  </w:r>
                </w:p>
              </w:tc>
              <w:tc>
                <w:tcPr>
                  <w:tcW w:w="1212" w:type="dxa"/>
                  <w:noWrap w:val="0"/>
                  <w:vAlign w:val="center"/>
                </w:tcPr>
                <w:p w14:paraId="216C7D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排放速率（kg/h）</w:t>
                  </w:r>
                </w:p>
              </w:tc>
            </w:tr>
            <w:tr w14:paraId="23BC8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976" w:type="dxa"/>
                  <w:vMerge w:val="restart"/>
                  <w:noWrap w:val="0"/>
                  <w:vAlign w:val="center"/>
                </w:tcPr>
                <w:p w14:paraId="043EAA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2023.12.16</w:t>
                  </w:r>
                </w:p>
              </w:tc>
              <w:tc>
                <w:tcPr>
                  <w:tcW w:w="2018" w:type="dxa"/>
                  <w:noWrap w:val="0"/>
                  <w:vAlign w:val="center"/>
                </w:tcPr>
                <w:p w14:paraId="4615B3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YNZKSC</w:t>
                  </w:r>
                </w:p>
                <w:p w14:paraId="2BD6CD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20231208014-A004</w:t>
                  </w:r>
                </w:p>
              </w:tc>
              <w:tc>
                <w:tcPr>
                  <w:tcW w:w="1353" w:type="dxa"/>
                  <w:noWrap w:val="0"/>
                  <w:vAlign w:val="center"/>
                </w:tcPr>
                <w:p w14:paraId="599546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772</w:t>
                  </w:r>
                </w:p>
              </w:tc>
              <w:tc>
                <w:tcPr>
                  <w:tcW w:w="1462" w:type="dxa"/>
                  <w:noWrap w:val="0"/>
                  <w:vAlign w:val="center"/>
                </w:tcPr>
                <w:p w14:paraId="6A79804E">
                  <w:pPr>
                    <w:keepNext w:val="0"/>
                    <w:keepLines w:val="0"/>
                    <w:pageBreakBefore w:val="0"/>
                    <w:widowControl w:val="0"/>
                    <w:tabs>
                      <w:tab w:val="left" w:pos="579"/>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0.34</w:t>
                  </w:r>
                </w:p>
              </w:tc>
              <w:tc>
                <w:tcPr>
                  <w:tcW w:w="1483" w:type="dxa"/>
                  <w:noWrap w:val="0"/>
                  <w:vAlign w:val="center"/>
                </w:tcPr>
                <w:p w14:paraId="401588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0.18</w:t>
                  </w:r>
                </w:p>
              </w:tc>
              <w:tc>
                <w:tcPr>
                  <w:tcW w:w="1212" w:type="dxa"/>
                  <w:noWrap w:val="0"/>
                  <w:vAlign w:val="center"/>
                </w:tcPr>
                <w:p w14:paraId="52198C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2.62×10</w:t>
                  </w:r>
                  <w:r>
                    <w:rPr>
                      <w:rFonts w:hint="eastAsia" w:ascii="Times New Roman" w:hAnsi="Times New Roman" w:eastAsia="宋体" w:cs="Times New Roman"/>
                      <w:color w:val="000000" w:themeColor="text1"/>
                      <w:sz w:val="18"/>
                      <w:szCs w:val="18"/>
                      <w:vertAlign w:val="superscript"/>
                      <w:lang w:val="en-US" w:eastAsia="zh-CN"/>
                      <w14:textFill>
                        <w14:solidFill>
                          <w14:schemeClr w14:val="tx1"/>
                        </w14:solidFill>
                      </w14:textFill>
                    </w:rPr>
                    <w:t>-4</w:t>
                  </w:r>
                </w:p>
              </w:tc>
            </w:tr>
            <w:tr w14:paraId="760FF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vMerge w:val="continue"/>
                  <w:noWrap w:val="0"/>
                  <w:vAlign w:val="center"/>
                </w:tcPr>
                <w:p w14:paraId="21363C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p>
              </w:tc>
              <w:tc>
                <w:tcPr>
                  <w:tcW w:w="2018" w:type="dxa"/>
                  <w:noWrap w:val="0"/>
                  <w:vAlign w:val="center"/>
                </w:tcPr>
                <w:p w14:paraId="2CABDE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YNZKSC</w:t>
                  </w:r>
                </w:p>
                <w:p w14:paraId="25BED6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20231208014-A005</w:t>
                  </w:r>
                </w:p>
              </w:tc>
              <w:tc>
                <w:tcPr>
                  <w:tcW w:w="1353" w:type="dxa"/>
                  <w:noWrap w:val="0"/>
                  <w:vAlign w:val="center"/>
                </w:tcPr>
                <w:p w14:paraId="7CED03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833</w:t>
                  </w:r>
                </w:p>
              </w:tc>
              <w:tc>
                <w:tcPr>
                  <w:tcW w:w="1462" w:type="dxa"/>
                  <w:noWrap w:val="0"/>
                  <w:vAlign w:val="center"/>
                </w:tcPr>
                <w:p w14:paraId="5A09DB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0.27</w:t>
                  </w:r>
                </w:p>
              </w:tc>
              <w:tc>
                <w:tcPr>
                  <w:tcW w:w="1483" w:type="dxa"/>
                  <w:noWrap w:val="0"/>
                  <w:vAlign w:val="center"/>
                </w:tcPr>
                <w:p w14:paraId="0223F8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0.13</w:t>
                  </w:r>
                </w:p>
              </w:tc>
              <w:tc>
                <w:tcPr>
                  <w:tcW w:w="1212" w:type="dxa"/>
                  <w:noWrap w:val="0"/>
                  <w:vAlign w:val="center"/>
                </w:tcPr>
                <w:p w14:paraId="4ACF9A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2.25×10</w:t>
                  </w:r>
                  <w:r>
                    <w:rPr>
                      <w:rFonts w:hint="eastAsia" w:ascii="Times New Roman" w:hAnsi="Times New Roman" w:eastAsia="宋体" w:cs="Times New Roman"/>
                      <w:color w:val="000000" w:themeColor="text1"/>
                      <w:sz w:val="18"/>
                      <w:szCs w:val="18"/>
                      <w:vertAlign w:val="superscript"/>
                      <w:lang w:val="en-US" w:eastAsia="zh-CN"/>
                      <w14:textFill>
                        <w14:solidFill>
                          <w14:schemeClr w14:val="tx1"/>
                        </w14:solidFill>
                      </w14:textFill>
                    </w:rPr>
                    <w:t>-4</w:t>
                  </w:r>
                </w:p>
              </w:tc>
            </w:tr>
            <w:tr w14:paraId="362A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6" w:type="dxa"/>
                  <w:vMerge w:val="continue"/>
                  <w:noWrap w:val="0"/>
                  <w:vAlign w:val="center"/>
                </w:tcPr>
                <w:p w14:paraId="10F4CF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p>
              </w:tc>
              <w:tc>
                <w:tcPr>
                  <w:tcW w:w="2018" w:type="dxa"/>
                  <w:noWrap w:val="0"/>
                  <w:vAlign w:val="center"/>
                </w:tcPr>
                <w:p w14:paraId="6756C5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YNZKSC</w:t>
                  </w:r>
                </w:p>
                <w:p w14:paraId="47F620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20231208014-A006</w:t>
                  </w:r>
                </w:p>
              </w:tc>
              <w:tc>
                <w:tcPr>
                  <w:tcW w:w="1353" w:type="dxa"/>
                  <w:noWrap w:val="0"/>
                  <w:vAlign w:val="center"/>
                </w:tcPr>
                <w:p w14:paraId="2BAF13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772</w:t>
                  </w:r>
                </w:p>
              </w:tc>
              <w:tc>
                <w:tcPr>
                  <w:tcW w:w="1462" w:type="dxa"/>
                  <w:noWrap w:val="0"/>
                  <w:vAlign w:val="center"/>
                </w:tcPr>
                <w:p w14:paraId="79A3302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0.31</w:t>
                  </w:r>
                </w:p>
              </w:tc>
              <w:tc>
                <w:tcPr>
                  <w:tcW w:w="1483" w:type="dxa"/>
                  <w:noWrap w:val="0"/>
                  <w:vAlign w:val="center"/>
                </w:tcPr>
                <w:p w14:paraId="17D055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0.16</w:t>
                  </w:r>
                </w:p>
              </w:tc>
              <w:tc>
                <w:tcPr>
                  <w:tcW w:w="1212" w:type="dxa"/>
                  <w:noWrap w:val="0"/>
                  <w:vAlign w:val="center"/>
                </w:tcPr>
                <w:p w14:paraId="68AE16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2.39×10</w:t>
                  </w:r>
                  <w:r>
                    <w:rPr>
                      <w:rFonts w:hint="eastAsia" w:ascii="Times New Roman" w:hAnsi="Times New Roman" w:eastAsia="宋体" w:cs="Times New Roman"/>
                      <w:color w:val="000000" w:themeColor="text1"/>
                      <w:sz w:val="18"/>
                      <w:szCs w:val="18"/>
                      <w:vertAlign w:val="superscript"/>
                      <w:lang w:val="en-US" w:eastAsia="zh-CN"/>
                      <w14:textFill>
                        <w14:solidFill>
                          <w14:schemeClr w14:val="tx1"/>
                        </w14:solidFill>
                      </w14:textFill>
                    </w:rPr>
                    <w:t>-4</w:t>
                  </w:r>
                </w:p>
              </w:tc>
            </w:tr>
            <w:tr w14:paraId="707E5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vMerge w:val="continue"/>
                  <w:noWrap w:val="0"/>
                  <w:vAlign w:val="center"/>
                </w:tcPr>
                <w:p w14:paraId="272108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p>
              </w:tc>
              <w:tc>
                <w:tcPr>
                  <w:tcW w:w="2018" w:type="dxa"/>
                  <w:noWrap w:val="0"/>
                  <w:vAlign w:val="center"/>
                </w:tcPr>
                <w:p w14:paraId="6F2FD8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平均值</w:t>
                  </w:r>
                </w:p>
              </w:tc>
              <w:tc>
                <w:tcPr>
                  <w:tcW w:w="1353" w:type="dxa"/>
                  <w:noWrap w:val="0"/>
                  <w:vAlign w:val="center"/>
                </w:tcPr>
                <w:p w14:paraId="361ADF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792</w:t>
                  </w:r>
                </w:p>
              </w:tc>
              <w:tc>
                <w:tcPr>
                  <w:tcW w:w="1462" w:type="dxa"/>
                  <w:noWrap w:val="0"/>
                  <w:vAlign w:val="center"/>
                </w:tcPr>
                <w:p w14:paraId="597AE5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0.31</w:t>
                  </w:r>
                </w:p>
              </w:tc>
              <w:tc>
                <w:tcPr>
                  <w:tcW w:w="1483" w:type="dxa"/>
                  <w:noWrap w:val="0"/>
                  <w:vAlign w:val="center"/>
                </w:tcPr>
                <w:p w14:paraId="79D19F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0.16</w:t>
                  </w:r>
                </w:p>
              </w:tc>
              <w:tc>
                <w:tcPr>
                  <w:tcW w:w="1212" w:type="dxa"/>
                  <w:noWrap w:val="0"/>
                  <w:vAlign w:val="center"/>
                </w:tcPr>
                <w:p w14:paraId="3026F7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2.42×10</w:t>
                  </w:r>
                  <w:r>
                    <w:rPr>
                      <w:rFonts w:hint="eastAsia" w:ascii="Times New Roman" w:hAnsi="Times New Roman" w:eastAsia="宋体" w:cs="Times New Roman"/>
                      <w:color w:val="000000" w:themeColor="text1"/>
                      <w:sz w:val="18"/>
                      <w:szCs w:val="18"/>
                      <w:vertAlign w:val="superscript"/>
                      <w:lang w:val="en-US" w:eastAsia="zh-CN"/>
                      <w14:textFill>
                        <w14:solidFill>
                          <w14:schemeClr w14:val="tx1"/>
                        </w14:solidFill>
                      </w14:textFill>
                    </w:rPr>
                    <w:t>-4</w:t>
                  </w:r>
                </w:p>
              </w:tc>
            </w:tr>
            <w:tr w14:paraId="28D1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vMerge w:val="restart"/>
                  <w:noWrap w:val="0"/>
                  <w:vAlign w:val="center"/>
                </w:tcPr>
                <w:p w14:paraId="144399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2024.06.07</w:t>
                  </w:r>
                </w:p>
              </w:tc>
              <w:tc>
                <w:tcPr>
                  <w:tcW w:w="2018" w:type="dxa"/>
                  <w:noWrap w:val="0"/>
                  <w:vAlign w:val="center"/>
                </w:tcPr>
                <w:p w14:paraId="14486F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YNZKSC</w:t>
                  </w:r>
                </w:p>
                <w:p w14:paraId="4B64A8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20240606016-A004</w:t>
                  </w:r>
                </w:p>
              </w:tc>
              <w:tc>
                <w:tcPr>
                  <w:tcW w:w="1353" w:type="dxa"/>
                  <w:noWrap w:val="0"/>
                  <w:vAlign w:val="center"/>
                </w:tcPr>
                <w:p w14:paraId="79AC06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826</w:t>
                  </w:r>
                </w:p>
              </w:tc>
              <w:tc>
                <w:tcPr>
                  <w:tcW w:w="1462" w:type="dxa"/>
                  <w:noWrap w:val="0"/>
                  <w:vAlign w:val="center"/>
                </w:tcPr>
                <w:p w14:paraId="65B0AE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0.29</w:t>
                  </w:r>
                </w:p>
              </w:tc>
              <w:tc>
                <w:tcPr>
                  <w:tcW w:w="1483" w:type="dxa"/>
                  <w:noWrap w:val="0"/>
                  <w:vAlign w:val="center"/>
                </w:tcPr>
                <w:p w14:paraId="3CCAD4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0.26</w:t>
                  </w:r>
                </w:p>
              </w:tc>
              <w:tc>
                <w:tcPr>
                  <w:tcW w:w="1212" w:type="dxa"/>
                  <w:noWrap w:val="0"/>
                  <w:vAlign w:val="center"/>
                </w:tcPr>
                <w:p w14:paraId="0EDCFA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2.40×10</w:t>
                  </w:r>
                  <w:r>
                    <w:rPr>
                      <w:rFonts w:hint="eastAsia" w:ascii="Times New Roman" w:hAnsi="Times New Roman" w:eastAsia="宋体" w:cs="Times New Roman"/>
                      <w:color w:val="000000" w:themeColor="text1"/>
                      <w:sz w:val="18"/>
                      <w:szCs w:val="18"/>
                      <w:vertAlign w:val="superscript"/>
                      <w:lang w:val="en-US" w:eastAsia="zh-CN"/>
                      <w14:textFill>
                        <w14:solidFill>
                          <w14:schemeClr w14:val="tx1"/>
                        </w14:solidFill>
                      </w14:textFill>
                    </w:rPr>
                    <w:t>-4</w:t>
                  </w:r>
                </w:p>
              </w:tc>
            </w:tr>
            <w:tr w14:paraId="2C8A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vMerge w:val="continue"/>
                  <w:noWrap w:val="0"/>
                  <w:vAlign w:val="center"/>
                </w:tcPr>
                <w:p w14:paraId="3D02B4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p>
              </w:tc>
              <w:tc>
                <w:tcPr>
                  <w:tcW w:w="2018" w:type="dxa"/>
                  <w:noWrap w:val="0"/>
                  <w:vAlign w:val="center"/>
                </w:tcPr>
                <w:p w14:paraId="5F5F6C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YNZKSC</w:t>
                  </w:r>
                </w:p>
                <w:p w14:paraId="381076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20240606016-A005</w:t>
                  </w:r>
                </w:p>
              </w:tc>
              <w:tc>
                <w:tcPr>
                  <w:tcW w:w="1353" w:type="dxa"/>
                  <w:noWrap w:val="0"/>
                  <w:vAlign w:val="center"/>
                </w:tcPr>
                <w:p w14:paraId="19636F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817</w:t>
                  </w:r>
                </w:p>
              </w:tc>
              <w:tc>
                <w:tcPr>
                  <w:tcW w:w="1462" w:type="dxa"/>
                  <w:noWrap w:val="0"/>
                  <w:vAlign w:val="center"/>
                </w:tcPr>
                <w:p w14:paraId="3A3AE9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0.31</w:t>
                  </w:r>
                </w:p>
              </w:tc>
              <w:tc>
                <w:tcPr>
                  <w:tcW w:w="1483" w:type="dxa"/>
                  <w:noWrap w:val="0"/>
                  <w:vAlign w:val="center"/>
                </w:tcPr>
                <w:p w14:paraId="3A93CF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0.28</w:t>
                  </w:r>
                </w:p>
              </w:tc>
              <w:tc>
                <w:tcPr>
                  <w:tcW w:w="1212" w:type="dxa"/>
                  <w:noWrap w:val="0"/>
                  <w:vAlign w:val="center"/>
                </w:tcPr>
                <w:p w14:paraId="26EA4A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2.53×10</w:t>
                  </w:r>
                  <w:r>
                    <w:rPr>
                      <w:rFonts w:hint="eastAsia" w:ascii="Times New Roman" w:hAnsi="Times New Roman" w:eastAsia="宋体" w:cs="Times New Roman"/>
                      <w:color w:val="000000" w:themeColor="text1"/>
                      <w:sz w:val="18"/>
                      <w:szCs w:val="18"/>
                      <w:vertAlign w:val="superscript"/>
                      <w:lang w:val="en-US" w:eastAsia="zh-CN"/>
                      <w14:textFill>
                        <w14:solidFill>
                          <w14:schemeClr w14:val="tx1"/>
                        </w14:solidFill>
                      </w14:textFill>
                    </w:rPr>
                    <w:t>-4</w:t>
                  </w:r>
                </w:p>
              </w:tc>
            </w:tr>
            <w:tr w14:paraId="151B8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vMerge w:val="continue"/>
                  <w:noWrap w:val="0"/>
                  <w:vAlign w:val="center"/>
                </w:tcPr>
                <w:p w14:paraId="3B98B9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p>
              </w:tc>
              <w:tc>
                <w:tcPr>
                  <w:tcW w:w="2018" w:type="dxa"/>
                  <w:noWrap w:val="0"/>
                  <w:vAlign w:val="center"/>
                </w:tcPr>
                <w:p w14:paraId="047EA9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YNZKSC</w:t>
                  </w:r>
                </w:p>
                <w:p w14:paraId="74FDA2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20240606016-A006</w:t>
                  </w:r>
                </w:p>
              </w:tc>
              <w:tc>
                <w:tcPr>
                  <w:tcW w:w="1353" w:type="dxa"/>
                  <w:noWrap w:val="0"/>
                  <w:vAlign w:val="center"/>
                </w:tcPr>
                <w:p w14:paraId="7A35D5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895</w:t>
                  </w:r>
                </w:p>
              </w:tc>
              <w:tc>
                <w:tcPr>
                  <w:tcW w:w="1462" w:type="dxa"/>
                  <w:noWrap w:val="0"/>
                  <w:vAlign w:val="center"/>
                </w:tcPr>
                <w:p w14:paraId="083C60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0.27</w:t>
                  </w:r>
                </w:p>
              </w:tc>
              <w:tc>
                <w:tcPr>
                  <w:tcW w:w="1483" w:type="dxa"/>
                  <w:noWrap w:val="0"/>
                  <w:vAlign w:val="center"/>
                </w:tcPr>
                <w:p w14:paraId="67B2E9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0.35</w:t>
                  </w:r>
                </w:p>
              </w:tc>
              <w:tc>
                <w:tcPr>
                  <w:tcW w:w="1212" w:type="dxa"/>
                  <w:noWrap w:val="0"/>
                  <w:vAlign w:val="center"/>
                </w:tcPr>
                <w:p w14:paraId="1ED9EF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2.42×10</w:t>
                  </w:r>
                  <w:r>
                    <w:rPr>
                      <w:rFonts w:hint="eastAsia" w:ascii="Times New Roman" w:hAnsi="Times New Roman" w:eastAsia="宋体" w:cs="Times New Roman"/>
                      <w:color w:val="000000" w:themeColor="text1"/>
                      <w:sz w:val="18"/>
                      <w:szCs w:val="18"/>
                      <w:vertAlign w:val="superscript"/>
                      <w:lang w:val="en-US" w:eastAsia="zh-CN"/>
                      <w14:textFill>
                        <w14:solidFill>
                          <w14:schemeClr w14:val="tx1"/>
                        </w14:solidFill>
                      </w14:textFill>
                    </w:rPr>
                    <w:t>-4</w:t>
                  </w:r>
                </w:p>
              </w:tc>
            </w:tr>
            <w:tr w14:paraId="34B98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vMerge w:val="continue"/>
                  <w:noWrap w:val="0"/>
                  <w:vAlign w:val="center"/>
                </w:tcPr>
                <w:p w14:paraId="3843B6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p>
              </w:tc>
              <w:tc>
                <w:tcPr>
                  <w:tcW w:w="2018" w:type="dxa"/>
                  <w:noWrap w:val="0"/>
                  <w:vAlign w:val="center"/>
                </w:tcPr>
                <w:p w14:paraId="18B15A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平均值</w:t>
                  </w:r>
                </w:p>
              </w:tc>
              <w:tc>
                <w:tcPr>
                  <w:tcW w:w="1353" w:type="dxa"/>
                  <w:noWrap w:val="0"/>
                  <w:vAlign w:val="center"/>
                </w:tcPr>
                <w:p w14:paraId="7444F9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846</w:t>
                  </w:r>
                </w:p>
              </w:tc>
              <w:tc>
                <w:tcPr>
                  <w:tcW w:w="1462" w:type="dxa"/>
                  <w:noWrap w:val="0"/>
                  <w:vAlign w:val="center"/>
                </w:tcPr>
                <w:p w14:paraId="37D5E0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0.29</w:t>
                  </w:r>
                </w:p>
              </w:tc>
              <w:tc>
                <w:tcPr>
                  <w:tcW w:w="1483" w:type="dxa"/>
                  <w:noWrap w:val="0"/>
                  <w:vAlign w:val="center"/>
                </w:tcPr>
                <w:p w14:paraId="2D0B6C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0.30</w:t>
                  </w:r>
                </w:p>
              </w:tc>
              <w:tc>
                <w:tcPr>
                  <w:tcW w:w="1212" w:type="dxa"/>
                  <w:noWrap w:val="0"/>
                  <w:vAlign w:val="center"/>
                </w:tcPr>
                <w:p w14:paraId="5312C4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2.45×10</w:t>
                  </w:r>
                  <w:r>
                    <w:rPr>
                      <w:rFonts w:hint="eastAsia" w:ascii="Times New Roman" w:hAnsi="Times New Roman" w:eastAsia="宋体" w:cs="Times New Roman"/>
                      <w:color w:val="000000" w:themeColor="text1"/>
                      <w:sz w:val="18"/>
                      <w:szCs w:val="18"/>
                      <w:vertAlign w:val="superscript"/>
                      <w:lang w:val="en-US" w:eastAsia="zh-CN"/>
                      <w14:textFill>
                        <w14:solidFill>
                          <w14:schemeClr w14:val="tx1"/>
                        </w14:solidFill>
                      </w14:textFill>
                    </w:rPr>
                    <w:t>-4</w:t>
                  </w:r>
                </w:p>
              </w:tc>
            </w:tr>
          </w:tbl>
          <w:p w14:paraId="330E19E4">
            <w:pPr>
              <w:adjustRightInd w:val="0"/>
              <w:snapToGrid w:val="0"/>
              <w:spacing w:line="360" w:lineRule="auto"/>
              <w:ind w:firstLine="480" w:firstLineChars="200"/>
              <w:rPr>
                <w:rFonts w:hint="default" w:ascii="Times New Roman" w:hAnsi="Times New Roman" w:cs="Times New Roman"/>
                <w:color w:val="000000" w:themeColor="text1"/>
                <w:sz w:val="32"/>
                <w14:textFill>
                  <w14:solidFill>
                    <w14:schemeClr w14:val="tx1"/>
                  </w14:solidFill>
                </w14:textFill>
              </w:rPr>
            </w:pPr>
            <w:r>
              <w:rPr>
                <w:rFonts w:hint="eastAsia"/>
                <w:bCs/>
                <w:color w:val="000000" w:themeColor="text1"/>
                <w:sz w:val="24"/>
                <w:lang w:val="en-US" w:eastAsia="zh-CN"/>
                <w14:textFill>
                  <w14:solidFill>
                    <w14:schemeClr w14:val="tx1"/>
                  </w14:solidFill>
                </w14:textFill>
              </w:rPr>
              <w:t>根</w:t>
            </w:r>
            <w:r>
              <w:rPr>
                <w:rFonts w:hint="default" w:ascii="Times New Roman" w:hAnsi="Times New Roman" w:cs="Times New Roman"/>
                <w:bCs/>
                <w:color w:val="000000" w:themeColor="text1"/>
                <w:sz w:val="24"/>
                <w:lang w:val="en-US" w:eastAsia="zh-CN"/>
                <w14:textFill>
                  <w14:solidFill>
                    <w14:schemeClr w14:val="tx1"/>
                  </w14:solidFill>
                </w14:textFill>
              </w:rPr>
              <w:t>据原项目202</w:t>
            </w:r>
            <w:r>
              <w:rPr>
                <w:rFonts w:hint="eastAsia" w:cs="Times New Roman"/>
                <w:bCs/>
                <w:color w:val="000000" w:themeColor="text1"/>
                <w:sz w:val="24"/>
                <w:lang w:val="en-US" w:eastAsia="zh-CN"/>
                <w14:textFill>
                  <w14:solidFill>
                    <w14:schemeClr w14:val="tx1"/>
                  </w14:solidFill>
                </w14:textFill>
              </w:rPr>
              <w:t>3</w:t>
            </w:r>
            <w:r>
              <w:rPr>
                <w:rFonts w:hint="default" w:ascii="Times New Roman" w:hAnsi="Times New Roman" w:cs="Times New Roman"/>
                <w:bCs/>
                <w:color w:val="000000" w:themeColor="text1"/>
                <w:sz w:val="24"/>
                <w:lang w:val="en-US" w:eastAsia="zh-CN"/>
                <w14:textFill>
                  <w14:solidFill>
                    <w14:schemeClr w14:val="tx1"/>
                  </w14:solidFill>
                </w14:textFill>
              </w:rPr>
              <w:t>-2024年自行监测报告</w:t>
            </w:r>
            <w:r>
              <w:rPr>
                <w:rFonts w:hint="default" w:ascii="Times New Roman" w:hAnsi="Times New Roman" w:cs="Times New Roman"/>
                <w:bCs/>
                <w:color w:val="000000" w:themeColor="text1"/>
                <w:sz w:val="24"/>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项目</w:t>
            </w:r>
            <w:r>
              <w:rPr>
                <w:rFonts w:hint="default" w:ascii="Times New Roman" w:hAnsi="Times New Roman" w:cs="Times New Roman"/>
                <w:color w:val="000000" w:themeColor="text1"/>
                <w:sz w:val="24"/>
                <w:lang w:val="en-US" w:eastAsia="zh-CN"/>
                <w14:textFill>
                  <w14:solidFill>
                    <w14:schemeClr w14:val="tx1"/>
                  </w14:solidFill>
                </w14:textFill>
              </w:rPr>
              <w:t>圆窑废气排放的</w:t>
            </w:r>
            <w:r>
              <w:rPr>
                <w:rFonts w:hint="default" w:ascii="Times New Roman" w:hAnsi="Times New Roman" w:cs="Times New Roman"/>
                <w:bCs/>
                <w:color w:val="000000" w:themeColor="text1"/>
                <w:sz w:val="24"/>
                <w14:textFill>
                  <w14:solidFill>
                    <w14:schemeClr w14:val="tx1"/>
                  </w14:solidFill>
                </w14:textFill>
              </w:rPr>
              <w:t>颗粒物</w:t>
            </w:r>
            <w:r>
              <w:rPr>
                <w:rFonts w:hint="default" w:ascii="Times New Roman" w:hAnsi="Times New Roman" w:cs="Times New Roman"/>
                <w:bCs/>
                <w:color w:val="000000" w:themeColor="text1"/>
                <w:sz w:val="24"/>
                <w:lang w:eastAsia="zh-CN"/>
                <w14:textFill>
                  <w14:solidFill>
                    <w14:schemeClr w14:val="tx1"/>
                  </w14:solidFill>
                </w14:textFill>
              </w:rPr>
              <w:t>、</w:t>
            </w:r>
            <w:r>
              <w:rPr>
                <w:rFonts w:hint="default" w:ascii="Times New Roman" w:hAnsi="Times New Roman" w:cs="Times New Roman"/>
                <w:bCs/>
                <w:color w:val="000000" w:themeColor="text1"/>
                <w:sz w:val="24"/>
                <w:lang w:val="en-US" w:eastAsia="zh-CN"/>
                <w14:textFill>
                  <w14:solidFill>
                    <w14:schemeClr w14:val="tx1"/>
                  </w14:solidFill>
                </w14:textFill>
              </w:rPr>
              <w:t>二氧化硫、氮氧化物、氟化物的排放浓度能够</w:t>
            </w:r>
            <w:r>
              <w:rPr>
                <w:rFonts w:hint="default" w:ascii="Times New Roman" w:hAnsi="Times New Roman" w:cs="Times New Roman"/>
                <w:bCs/>
                <w:color w:val="000000" w:themeColor="text1"/>
                <w:sz w:val="24"/>
                <w14:textFill>
                  <w14:solidFill>
                    <w14:schemeClr w14:val="tx1"/>
                  </w14:solidFill>
                </w14:textFill>
              </w:rPr>
              <w:t>达到</w:t>
            </w:r>
            <w:r>
              <w:rPr>
                <w:rFonts w:hint="default" w:ascii="Times New Roman" w:hAnsi="Times New Roman" w:cs="Times New Roman"/>
                <w:bCs/>
                <w:color w:val="000000" w:themeColor="text1"/>
                <w:sz w:val="24"/>
                <w:lang w:eastAsia="zh-CN"/>
                <w14:textFill>
                  <w14:solidFill>
                    <w14:schemeClr w14:val="tx1"/>
                  </w14:solidFill>
                </w14:textFill>
              </w:rPr>
              <w:t>《砖瓦工业大气污染物排放标准》（GB 29620-2013）</w:t>
            </w:r>
            <w:r>
              <w:rPr>
                <w:rFonts w:hint="default" w:ascii="Times New Roman" w:hAnsi="Times New Roman" w:cs="Times New Roman"/>
                <w:bCs/>
                <w:color w:val="000000" w:themeColor="text1"/>
                <w:sz w:val="24"/>
                <w:lang w:val="en-US" w:eastAsia="zh-CN"/>
                <w14:textFill>
                  <w14:solidFill>
                    <w14:schemeClr w14:val="tx1"/>
                  </w14:solidFill>
                </w14:textFill>
              </w:rPr>
              <w:t>表2及修改单排放浓度限值，即颗粒物</w:t>
            </w:r>
            <w:r>
              <w:rPr>
                <w:rFonts w:hint="eastAsia"/>
                <w:bCs/>
                <w:color w:val="000000" w:themeColor="text1"/>
                <w:sz w:val="24"/>
                <w:lang w:val="en-US" w:eastAsia="zh-CN"/>
                <w14:textFill>
                  <w14:solidFill>
                    <w14:schemeClr w14:val="tx1"/>
                  </w14:solidFill>
                </w14:textFill>
              </w:rPr>
              <w:t>≤</w:t>
            </w:r>
            <w:r>
              <w:rPr>
                <w:rFonts w:hint="default" w:ascii="Times New Roman" w:hAnsi="Times New Roman" w:cs="Times New Roman"/>
                <w:bCs/>
                <w:color w:val="000000" w:themeColor="text1"/>
                <w:sz w:val="24"/>
                <w:lang w:val="en-US" w:eastAsia="zh-CN"/>
                <w14:textFill>
                  <w14:solidFill>
                    <w14:schemeClr w14:val="tx1"/>
                  </w14:solidFill>
                </w14:textFill>
              </w:rPr>
              <w:t>30mg/m</w:t>
            </w:r>
            <w:r>
              <w:rPr>
                <w:rFonts w:hint="default" w:ascii="Times New Roman" w:hAnsi="Times New Roman" w:cs="Times New Roman"/>
                <w:bCs/>
                <w:color w:val="000000" w:themeColor="text1"/>
                <w:sz w:val="24"/>
                <w:vertAlign w:val="superscript"/>
                <w:lang w:val="en-US" w:eastAsia="zh-CN"/>
                <w14:textFill>
                  <w14:solidFill>
                    <w14:schemeClr w14:val="tx1"/>
                  </w14:solidFill>
                </w14:textFill>
              </w:rPr>
              <w:t>3</w:t>
            </w:r>
            <w:r>
              <w:rPr>
                <w:rFonts w:hint="default" w:ascii="Times New Roman" w:hAnsi="Times New Roman" w:cs="Times New Roman"/>
                <w:bCs/>
                <w:color w:val="000000" w:themeColor="text1"/>
                <w:sz w:val="24"/>
                <w:vertAlign w:val="baseline"/>
                <w:lang w:val="en-US" w:eastAsia="zh-CN"/>
                <w14:textFill>
                  <w14:solidFill>
                    <w14:schemeClr w14:val="tx1"/>
                  </w14:solidFill>
                </w14:textFill>
              </w:rPr>
              <w:t>，二氧化硫</w:t>
            </w:r>
            <w:r>
              <w:rPr>
                <w:rFonts w:hint="eastAsia"/>
                <w:bCs/>
                <w:color w:val="000000" w:themeColor="text1"/>
                <w:sz w:val="24"/>
                <w:lang w:val="en-US" w:eastAsia="zh-CN"/>
                <w14:textFill>
                  <w14:solidFill>
                    <w14:schemeClr w14:val="tx1"/>
                  </w14:solidFill>
                </w14:textFill>
              </w:rPr>
              <w:t>≤</w:t>
            </w:r>
            <w:r>
              <w:rPr>
                <w:rFonts w:hint="default" w:ascii="Times New Roman" w:hAnsi="Times New Roman" w:cs="Times New Roman"/>
                <w:bCs/>
                <w:color w:val="000000" w:themeColor="text1"/>
                <w:sz w:val="24"/>
                <w:lang w:val="en-US" w:eastAsia="zh-CN"/>
                <w14:textFill>
                  <w14:solidFill>
                    <w14:schemeClr w14:val="tx1"/>
                  </w14:solidFill>
                </w14:textFill>
              </w:rPr>
              <w:t>150mg/m</w:t>
            </w:r>
            <w:r>
              <w:rPr>
                <w:rFonts w:hint="default" w:ascii="Times New Roman" w:hAnsi="Times New Roman" w:cs="Times New Roman"/>
                <w:bCs/>
                <w:color w:val="000000" w:themeColor="text1"/>
                <w:sz w:val="24"/>
                <w:vertAlign w:val="superscript"/>
                <w:lang w:val="en-US" w:eastAsia="zh-CN"/>
                <w14:textFill>
                  <w14:solidFill>
                    <w14:schemeClr w14:val="tx1"/>
                  </w14:solidFill>
                </w14:textFill>
              </w:rPr>
              <w:t>3</w:t>
            </w:r>
            <w:r>
              <w:rPr>
                <w:rFonts w:hint="default" w:ascii="Times New Roman" w:hAnsi="Times New Roman" w:cs="Times New Roman"/>
                <w:bCs/>
                <w:color w:val="000000" w:themeColor="text1"/>
                <w:sz w:val="24"/>
                <w:vertAlign w:val="baseline"/>
                <w:lang w:val="en-US" w:eastAsia="zh-CN"/>
                <w14:textFill>
                  <w14:solidFill>
                    <w14:schemeClr w14:val="tx1"/>
                  </w14:solidFill>
                </w14:textFill>
              </w:rPr>
              <w:t>，氮氧化物</w:t>
            </w:r>
            <w:r>
              <w:rPr>
                <w:rFonts w:hint="eastAsia"/>
                <w:bCs/>
                <w:color w:val="000000" w:themeColor="text1"/>
                <w:sz w:val="24"/>
                <w:lang w:val="en-US" w:eastAsia="zh-CN"/>
                <w14:textFill>
                  <w14:solidFill>
                    <w14:schemeClr w14:val="tx1"/>
                  </w14:solidFill>
                </w14:textFill>
              </w:rPr>
              <w:t>≤</w:t>
            </w:r>
            <w:r>
              <w:rPr>
                <w:rFonts w:hint="default" w:ascii="Times New Roman" w:hAnsi="Times New Roman" w:cs="Times New Roman"/>
                <w:bCs/>
                <w:color w:val="000000" w:themeColor="text1"/>
                <w:sz w:val="24"/>
                <w:lang w:val="en-US" w:eastAsia="zh-CN"/>
                <w14:textFill>
                  <w14:solidFill>
                    <w14:schemeClr w14:val="tx1"/>
                  </w14:solidFill>
                </w14:textFill>
              </w:rPr>
              <w:t>200mg/m</w:t>
            </w:r>
            <w:r>
              <w:rPr>
                <w:rFonts w:hint="default" w:ascii="Times New Roman" w:hAnsi="Times New Roman" w:cs="Times New Roman"/>
                <w:bCs/>
                <w:color w:val="000000" w:themeColor="text1"/>
                <w:sz w:val="24"/>
                <w:vertAlign w:val="superscript"/>
                <w:lang w:val="en-US" w:eastAsia="zh-CN"/>
                <w14:textFill>
                  <w14:solidFill>
                    <w14:schemeClr w14:val="tx1"/>
                  </w14:solidFill>
                </w14:textFill>
              </w:rPr>
              <w:t>3</w:t>
            </w:r>
            <w:r>
              <w:rPr>
                <w:rFonts w:hint="default" w:ascii="Times New Roman" w:hAnsi="Times New Roman" w:cs="Times New Roman"/>
                <w:bCs/>
                <w:color w:val="000000" w:themeColor="text1"/>
                <w:sz w:val="24"/>
                <w:vertAlign w:val="baseline"/>
                <w:lang w:val="en-US" w:eastAsia="zh-CN"/>
                <w14:textFill>
                  <w14:solidFill>
                    <w14:schemeClr w14:val="tx1"/>
                  </w14:solidFill>
                </w14:textFill>
              </w:rPr>
              <w:t>，氟化物</w:t>
            </w:r>
            <w:r>
              <w:rPr>
                <w:rFonts w:hint="eastAsia"/>
                <w:bCs/>
                <w:color w:val="000000" w:themeColor="text1"/>
                <w:sz w:val="24"/>
                <w:lang w:val="en-US" w:eastAsia="zh-CN"/>
                <w14:textFill>
                  <w14:solidFill>
                    <w14:schemeClr w14:val="tx1"/>
                  </w14:solidFill>
                </w14:textFill>
              </w:rPr>
              <w:t>≤</w:t>
            </w:r>
            <w:r>
              <w:rPr>
                <w:rFonts w:hint="default" w:ascii="Times New Roman" w:hAnsi="Times New Roman" w:cs="Times New Roman"/>
                <w:bCs/>
                <w:color w:val="000000" w:themeColor="text1"/>
                <w:sz w:val="24"/>
                <w:lang w:val="en-US" w:eastAsia="zh-CN"/>
                <w14:textFill>
                  <w14:solidFill>
                    <w14:schemeClr w14:val="tx1"/>
                  </w14:solidFill>
                </w14:textFill>
              </w:rPr>
              <w:t>3mg/m</w:t>
            </w:r>
            <w:r>
              <w:rPr>
                <w:rFonts w:hint="default" w:ascii="Times New Roman" w:hAnsi="Times New Roman" w:cs="Times New Roman"/>
                <w:bCs/>
                <w:color w:val="000000" w:themeColor="text1"/>
                <w:sz w:val="24"/>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w:t>
            </w:r>
          </w:p>
          <w:p w14:paraId="13CCC4C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3）</w:t>
            </w:r>
            <w:r>
              <w:rPr>
                <w:rFonts w:hint="eastAsia" w:cs="Times New Roman"/>
                <w:color w:val="000000" w:themeColor="text1"/>
                <w:sz w:val="24"/>
                <w:lang w:val="en-US" w:eastAsia="zh-CN"/>
                <w14:textFill>
                  <w14:solidFill>
                    <w14:schemeClr w14:val="tx1"/>
                  </w14:solidFill>
                </w14:textFill>
              </w:rPr>
              <w:t>原项目</w:t>
            </w:r>
            <w:r>
              <w:rPr>
                <w:rFonts w:hint="default" w:ascii="Times New Roman" w:hAnsi="Times New Roman" w:cs="Times New Roman"/>
                <w:color w:val="000000" w:themeColor="text1"/>
                <w:sz w:val="24"/>
                <w14:textFill>
                  <w14:solidFill>
                    <w14:schemeClr w14:val="tx1"/>
                  </w14:solidFill>
                </w14:textFill>
              </w:rPr>
              <w:t>污染源强核算</w:t>
            </w:r>
          </w:p>
          <w:p w14:paraId="358CCD9A">
            <w:pPr>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ind w:leftChars="0" w:right="0" w:rightChars="0" w:firstLine="480" w:firstLineChars="200"/>
              <w:jc w:val="both"/>
              <w:textAlignment w:val="auto"/>
              <w:outlineLvl w:val="9"/>
              <w:rPr>
                <w:color w:val="000000" w:themeColor="text1"/>
                <w:sz w:val="24"/>
                <w:szCs w:val="24"/>
                <w14:textFill>
                  <w14:solidFill>
                    <w14:schemeClr w14:val="tx1"/>
                  </w14:solidFill>
                </w14:textFill>
              </w:rPr>
            </w:pPr>
            <w:r>
              <w:rPr>
                <w:rFonts w:hint="eastAsia"/>
                <w:bCs/>
                <w:color w:val="000000" w:themeColor="text1"/>
                <w:sz w:val="24"/>
                <w:highlight w:val="none"/>
                <w:lang w:val="en-US" w:eastAsia="zh-CN"/>
                <w14:textFill>
                  <w14:solidFill>
                    <w14:schemeClr w14:val="tx1"/>
                  </w14:solidFill>
                </w14:textFill>
              </w:rPr>
              <w:t>原有项目燃料于2023年起将燃料更换为生物质颗粒，原项目炉窑废气源强核算参照</w:t>
            </w:r>
            <w:r>
              <w:rPr>
                <w:rFonts w:hint="eastAsia"/>
                <w:bCs/>
                <w:color w:val="000000" w:themeColor="text1"/>
                <w:sz w:val="24"/>
                <w:szCs w:val="24"/>
                <w14:textFill>
                  <w14:solidFill>
                    <w14:schemeClr w14:val="tx1"/>
                  </w14:solidFill>
                </w14:textFill>
              </w:rPr>
              <w:t>《排放源统计调查产排污核算方法和系数手册》</w:t>
            </w:r>
            <w:r>
              <w:rPr>
                <w:rFonts w:hint="eastAsia"/>
                <w:bCs/>
                <w:color w:val="000000" w:themeColor="text1"/>
                <w:sz w:val="24"/>
                <w:szCs w:val="24"/>
                <w:lang w:val="en-US" w:eastAsia="zh-CN"/>
                <w14:textFill>
                  <w14:solidFill>
                    <w14:schemeClr w14:val="tx1"/>
                  </w14:solidFill>
                </w14:textFill>
              </w:rPr>
              <w:t>3031粘土砖瓦及建筑砌块制造</w:t>
            </w:r>
            <w:r>
              <w:rPr>
                <w:rFonts w:hint="eastAsia"/>
                <w:bCs/>
                <w:color w:val="000000" w:themeColor="text1"/>
                <w:sz w:val="24"/>
                <w:szCs w:val="24"/>
                <w14:textFill>
                  <w14:solidFill>
                    <w14:schemeClr w14:val="tx1"/>
                  </w14:solidFill>
                </w14:textFill>
              </w:rPr>
              <w:t>系数表</w:t>
            </w:r>
            <w:r>
              <w:rPr>
                <w:rFonts w:hint="eastAsia"/>
                <w:bCs/>
                <w:color w:val="000000" w:themeColor="text1"/>
                <w:sz w:val="24"/>
                <w:szCs w:val="24"/>
                <w:lang w:val="en-US" w:eastAsia="zh-CN"/>
                <w14:textFill>
                  <w14:solidFill>
                    <w14:schemeClr w14:val="tx1"/>
                  </w14:solidFill>
                </w14:textFill>
              </w:rPr>
              <w:t>中燃煤砖瓦工业焙烧炉窑</w:t>
            </w:r>
            <w:r>
              <w:rPr>
                <w:rFonts w:hint="eastAsia"/>
                <w:bCs/>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计算</w:t>
            </w:r>
            <w:r>
              <w:rPr>
                <w:rFonts w:hint="eastAsia"/>
                <w:color w:val="000000" w:themeColor="text1"/>
                <w:sz w:val="24"/>
                <w:szCs w:val="24"/>
                <w:lang w:val="en-US" w:eastAsia="zh-CN"/>
                <w14:textFill>
                  <w14:solidFill>
                    <w14:schemeClr w14:val="tx1"/>
                  </w14:solidFill>
                </w14:textFill>
              </w:rPr>
              <w:t>工业炉窑废气量、颗粒物、氮氧化物的</w:t>
            </w:r>
            <w:r>
              <w:rPr>
                <w:color w:val="000000" w:themeColor="text1"/>
                <w:sz w:val="24"/>
                <w:szCs w:val="24"/>
                <w14:textFill>
                  <w14:solidFill>
                    <w14:schemeClr w14:val="tx1"/>
                  </w14:solidFill>
                </w14:textFill>
              </w:rPr>
              <w:t>产生量。</w:t>
            </w:r>
            <w:r>
              <w:rPr>
                <w:rFonts w:hint="default" w:eastAsia="宋体"/>
                <w:bCs/>
                <w:color w:val="000000" w:themeColor="text1"/>
                <w:sz w:val="24"/>
                <w:highlight w:val="none"/>
                <w:lang w:val="en-US" w:eastAsia="zh-CN"/>
                <w14:textFill>
                  <w14:solidFill>
                    <w14:schemeClr w14:val="tx1"/>
                  </w14:solidFill>
                </w14:textFill>
              </w:rPr>
              <w:t>根据《烧结普通砖》（GB/T5101-2017），标准砖公称尺寸为240×115×53mm，原有项目年产1000万片青瓦，折算为标砖约</w:t>
            </w:r>
            <w:r>
              <w:rPr>
                <w:rFonts w:hint="eastAsia"/>
                <w:bCs/>
                <w:color w:val="000000" w:themeColor="text1"/>
                <w:sz w:val="24"/>
                <w:highlight w:val="none"/>
                <w:lang w:val="en-US" w:eastAsia="zh-CN"/>
                <w14:textFill>
                  <w14:solidFill>
                    <w14:schemeClr w14:val="tx1"/>
                  </w14:solidFill>
                </w14:textFill>
              </w:rPr>
              <w:t>1272</w:t>
            </w:r>
            <w:r>
              <w:rPr>
                <w:rFonts w:hint="default" w:eastAsia="宋体"/>
                <w:bCs/>
                <w:color w:val="000000" w:themeColor="text1"/>
                <w:sz w:val="24"/>
                <w:highlight w:val="none"/>
                <w:lang w:val="en-US" w:eastAsia="zh-CN"/>
                <w14:textFill>
                  <w14:solidFill>
                    <w14:schemeClr w14:val="tx1"/>
                  </w14:solidFill>
                </w14:textFill>
              </w:rPr>
              <w:t>万块标砖</w:t>
            </w:r>
            <w:r>
              <w:rPr>
                <w:rFonts w:hint="eastAsia"/>
                <w:bCs/>
                <w:color w:val="000000" w:themeColor="text1"/>
                <w:sz w:val="24"/>
                <w:highlight w:val="none"/>
                <w:lang w:val="en-US" w:eastAsia="zh-CN"/>
                <w14:textFill>
                  <w14:solidFill>
                    <w14:schemeClr w14:val="tx1"/>
                  </w14:solidFill>
                </w14:textFill>
              </w:rPr>
              <w:t>，则原有项目炉窑废气污染物产排情况如下所示：</w:t>
            </w:r>
          </w:p>
          <w:p w14:paraId="287DA637">
            <w:pPr>
              <w:jc w:val="center"/>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表</w:t>
            </w:r>
            <w:r>
              <w:rPr>
                <w:rFonts w:hint="eastAsia"/>
                <w:b/>
                <w:bCs/>
                <w:color w:val="000000" w:themeColor="text1"/>
                <w:sz w:val="24"/>
                <w:lang w:val="en-US" w:eastAsia="zh-CN"/>
                <w14:textFill>
                  <w14:solidFill>
                    <w14:schemeClr w14:val="tx1"/>
                  </w14:solidFill>
                </w14:textFill>
              </w:rPr>
              <w:t>2-26</w:t>
            </w:r>
            <w:r>
              <w:rPr>
                <w:rFonts w:hint="eastAsia"/>
                <w:b/>
                <w:bCs/>
                <w:color w:val="000000" w:themeColor="text1"/>
                <w:sz w:val="24"/>
                <w14:textFill>
                  <w14:solidFill>
                    <w14:schemeClr w14:val="tx1"/>
                  </w14:solidFill>
                </w14:textFill>
              </w:rPr>
              <w:t xml:space="preserve"> </w:t>
            </w:r>
            <w:r>
              <w:rPr>
                <w:b/>
                <w:bCs/>
                <w:color w:val="000000" w:themeColor="text1"/>
                <w:sz w:val="24"/>
                <w14:textFill>
                  <w14:solidFill>
                    <w14:schemeClr w14:val="tx1"/>
                  </w14:solidFill>
                </w14:textFill>
              </w:rPr>
              <w:t xml:space="preserve">  </w:t>
            </w:r>
            <w:r>
              <w:rPr>
                <w:rFonts w:hint="eastAsia"/>
                <w:b/>
                <w:bCs/>
                <w:color w:val="000000" w:themeColor="text1"/>
                <w:sz w:val="24"/>
                <w14:textFill>
                  <w14:solidFill>
                    <w14:schemeClr w14:val="tx1"/>
                  </w14:solidFill>
                </w14:textFill>
              </w:rPr>
              <w:t>粘土砖瓦及建筑砌块制造系数表</w:t>
            </w:r>
          </w:p>
          <w:tbl>
            <w:tblPr>
              <w:tblStyle w:val="28"/>
              <w:tblW w:w="8674"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732"/>
              <w:gridCol w:w="684"/>
              <w:gridCol w:w="720"/>
              <w:gridCol w:w="888"/>
              <w:gridCol w:w="960"/>
              <w:gridCol w:w="636"/>
              <w:gridCol w:w="900"/>
              <w:gridCol w:w="828"/>
              <w:gridCol w:w="720"/>
              <w:gridCol w:w="952"/>
            </w:tblGrid>
            <w:tr w14:paraId="3413A79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1089" w:hRule="atLeast"/>
                <w:jc w:val="center"/>
              </w:trPr>
              <w:tc>
                <w:tcPr>
                  <w:tcW w:w="376" w:type="pct"/>
                  <w:noWrap w:val="0"/>
                  <w:vAlign w:val="center"/>
                </w:tcPr>
                <w:p w14:paraId="2766F6A8">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产品名称</w:t>
                  </w:r>
                </w:p>
              </w:tc>
              <w:tc>
                <w:tcPr>
                  <w:tcW w:w="421" w:type="pct"/>
                  <w:noWrap w:val="0"/>
                  <w:vAlign w:val="center"/>
                </w:tcPr>
                <w:p w14:paraId="1AD204A6">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原料名称</w:t>
                  </w:r>
                </w:p>
              </w:tc>
              <w:tc>
                <w:tcPr>
                  <w:tcW w:w="394" w:type="pct"/>
                  <w:noWrap w:val="0"/>
                  <w:vAlign w:val="center"/>
                </w:tcPr>
                <w:p w14:paraId="7CC537B2">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工艺名称</w:t>
                  </w:r>
                </w:p>
              </w:tc>
              <w:tc>
                <w:tcPr>
                  <w:tcW w:w="415" w:type="pct"/>
                  <w:noWrap w:val="0"/>
                  <w:vAlign w:val="center"/>
                </w:tcPr>
                <w:p w14:paraId="0271EA75">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规模等级</w:t>
                  </w:r>
                </w:p>
              </w:tc>
              <w:tc>
                <w:tcPr>
                  <w:tcW w:w="511" w:type="pct"/>
                  <w:noWrap w:val="0"/>
                  <w:vAlign w:val="center"/>
                </w:tcPr>
                <w:p w14:paraId="5C65EC00">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污染物指标</w:t>
                  </w:r>
                </w:p>
              </w:tc>
              <w:tc>
                <w:tcPr>
                  <w:tcW w:w="553" w:type="pct"/>
                  <w:noWrap w:val="0"/>
                  <w:vAlign w:val="center"/>
                </w:tcPr>
                <w:p w14:paraId="36C22DBF">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单位</w:t>
                  </w:r>
                </w:p>
              </w:tc>
              <w:tc>
                <w:tcPr>
                  <w:tcW w:w="366" w:type="pct"/>
                  <w:noWrap w:val="0"/>
                  <w:vAlign w:val="center"/>
                </w:tcPr>
                <w:p w14:paraId="0EFA12AA">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产污系数</w:t>
                  </w:r>
                </w:p>
              </w:tc>
              <w:tc>
                <w:tcPr>
                  <w:tcW w:w="518" w:type="pct"/>
                  <w:noWrap w:val="0"/>
                  <w:vAlign w:val="center"/>
                </w:tcPr>
                <w:p w14:paraId="3B08D3AB">
                  <w:pPr>
                    <w:adjustRightInd w:val="0"/>
                    <w:snapToGrid w:val="0"/>
                    <w:jc w:val="center"/>
                    <w:rPr>
                      <w:rFonts w:hint="default"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产生量（t/a）</w:t>
                  </w:r>
                </w:p>
              </w:tc>
              <w:tc>
                <w:tcPr>
                  <w:tcW w:w="477" w:type="pct"/>
                  <w:noWrap w:val="0"/>
                  <w:vAlign w:val="center"/>
                </w:tcPr>
                <w:p w14:paraId="3007D6AB">
                  <w:pPr>
                    <w:adjustRightInd w:val="0"/>
                    <w:snapToGrid w:val="0"/>
                    <w:jc w:val="center"/>
                    <w:rPr>
                      <w:rFonts w:hint="default"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污染治理措施</w:t>
                  </w:r>
                </w:p>
              </w:tc>
              <w:tc>
                <w:tcPr>
                  <w:tcW w:w="415" w:type="pct"/>
                  <w:noWrap w:val="0"/>
                  <w:vAlign w:val="center"/>
                </w:tcPr>
                <w:p w14:paraId="615BEB2C">
                  <w:pPr>
                    <w:adjustRightInd w:val="0"/>
                    <w:snapToGrid w:val="0"/>
                    <w:jc w:val="center"/>
                    <w:rPr>
                      <w:rFonts w:hint="default"/>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去除率</w:t>
                  </w:r>
                </w:p>
              </w:tc>
              <w:tc>
                <w:tcPr>
                  <w:tcW w:w="548" w:type="pct"/>
                  <w:noWrap w:val="0"/>
                  <w:vAlign w:val="center"/>
                </w:tcPr>
                <w:p w14:paraId="69936692">
                  <w:pPr>
                    <w:adjustRightInd w:val="0"/>
                    <w:snapToGrid w:val="0"/>
                    <w:jc w:val="center"/>
                    <w:rPr>
                      <w:rFonts w:hint="eastAsia"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排放量（t/a）</w:t>
                  </w:r>
                </w:p>
              </w:tc>
            </w:tr>
            <w:tr w14:paraId="31E599C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623" w:hRule="exact"/>
                <w:jc w:val="center"/>
              </w:trPr>
              <w:tc>
                <w:tcPr>
                  <w:tcW w:w="376" w:type="pct"/>
                  <w:vMerge w:val="restart"/>
                  <w:noWrap w:val="0"/>
                  <w:vAlign w:val="center"/>
                </w:tcPr>
                <w:p w14:paraId="498C61DB">
                  <w:pPr>
                    <w:adjustRightInd w:val="0"/>
                    <w:snapToGrid w:val="0"/>
                    <w:jc w:val="center"/>
                    <w:rPr>
                      <w:bCs/>
                      <w:color w:val="000000" w:themeColor="text1"/>
                      <w:szCs w:val="21"/>
                      <w14:textFill>
                        <w14:solidFill>
                          <w14:schemeClr w14:val="tx1"/>
                        </w14:solidFill>
                      </w14:textFill>
                    </w:rPr>
                  </w:pPr>
                  <w:r>
                    <w:rPr>
                      <w:rFonts w:hint="eastAsia"/>
                      <w:bCs/>
                      <w:color w:val="000000" w:themeColor="text1"/>
                      <w:szCs w:val="21"/>
                      <w:lang w:val="en-US" w:eastAsia="zh-CN"/>
                      <w14:textFill>
                        <w14:solidFill>
                          <w14:schemeClr w14:val="tx1"/>
                        </w14:solidFill>
                      </w14:textFill>
                    </w:rPr>
                    <w:t>烧结类砖瓦及建筑砌块</w:t>
                  </w:r>
                </w:p>
              </w:tc>
              <w:tc>
                <w:tcPr>
                  <w:tcW w:w="421" w:type="pct"/>
                  <w:vMerge w:val="restart"/>
                  <w:noWrap w:val="0"/>
                  <w:vAlign w:val="center"/>
                </w:tcPr>
                <w:p w14:paraId="23914741">
                  <w:pPr>
                    <w:adjustRightInd w:val="0"/>
                    <w:snapToGrid w:val="0"/>
                    <w:jc w:val="center"/>
                    <w:rPr>
                      <w:bCs/>
                      <w:color w:val="000000" w:themeColor="text1"/>
                      <w:szCs w:val="21"/>
                      <w14:textFill>
                        <w14:solidFill>
                          <w14:schemeClr w14:val="tx1"/>
                        </w14:solidFill>
                      </w14:textFill>
                    </w:rPr>
                  </w:pPr>
                  <w:r>
                    <w:rPr>
                      <w:rFonts w:hint="eastAsia"/>
                      <w:bCs/>
                      <w:color w:val="000000" w:themeColor="text1"/>
                      <w:szCs w:val="21"/>
                      <w:lang w:val="en-US" w:eastAsia="zh-CN"/>
                      <w14:textFill>
                        <w14:solidFill>
                          <w14:schemeClr w14:val="tx1"/>
                        </w14:solidFill>
                      </w14:textFill>
                    </w:rPr>
                    <w:t>粘土、页岩、粉煤灰、污泥等</w:t>
                  </w:r>
                </w:p>
              </w:tc>
              <w:tc>
                <w:tcPr>
                  <w:tcW w:w="394" w:type="pct"/>
                  <w:vMerge w:val="restart"/>
                  <w:noWrap w:val="0"/>
                  <w:vAlign w:val="center"/>
                </w:tcPr>
                <w:p w14:paraId="4377C51C">
                  <w:pPr>
                    <w:adjustRightInd w:val="0"/>
                    <w:snapToGrid w:val="0"/>
                    <w:jc w:val="center"/>
                    <w:rPr>
                      <w:bCs/>
                      <w:color w:val="000000" w:themeColor="text1"/>
                      <w:szCs w:val="21"/>
                      <w14:textFill>
                        <w14:solidFill>
                          <w14:schemeClr w14:val="tx1"/>
                        </w14:solidFill>
                      </w14:textFill>
                    </w:rPr>
                  </w:pPr>
                  <w:r>
                    <w:rPr>
                      <w:rFonts w:hint="eastAsia"/>
                      <w:bCs/>
                      <w:color w:val="000000" w:themeColor="text1"/>
                      <w:szCs w:val="21"/>
                      <w:lang w:val="en-US" w:eastAsia="zh-CN"/>
                      <w14:textFill>
                        <w14:solidFill>
                          <w14:schemeClr w14:val="tx1"/>
                        </w14:solidFill>
                      </w14:textFill>
                    </w:rPr>
                    <w:t>砖瓦工业焙烧炉窑（单条）（燃煤等）</w:t>
                  </w:r>
                </w:p>
              </w:tc>
              <w:tc>
                <w:tcPr>
                  <w:tcW w:w="415" w:type="pct"/>
                  <w:vMerge w:val="restart"/>
                  <w:noWrap w:val="0"/>
                  <w:vAlign w:val="center"/>
                </w:tcPr>
                <w:p w14:paraId="462B1DC0">
                  <w:pPr>
                    <w:adjustRightInd w:val="0"/>
                    <w:snapToGrid w:val="0"/>
                    <w:jc w:val="center"/>
                    <w:rPr>
                      <w:bCs/>
                      <w:color w:val="000000" w:themeColor="text1"/>
                      <w:szCs w:val="21"/>
                      <w14:textFill>
                        <w14:solidFill>
                          <w14:schemeClr w14:val="tx1"/>
                        </w14:solidFill>
                      </w14:textFill>
                    </w:rPr>
                  </w:pPr>
                  <w:r>
                    <w:rPr>
                      <w:rFonts w:hint="eastAsia"/>
                      <w:bCs/>
                      <w:color w:val="000000" w:themeColor="text1"/>
                      <w:szCs w:val="21"/>
                      <w:lang w:val="en-US" w:eastAsia="zh-CN"/>
                      <w14:textFill>
                        <w14:solidFill>
                          <w14:schemeClr w14:val="tx1"/>
                        </w14:solidFill>
                      </w14:textFill>
                    </w:rPr>
                    <w:t>＜5000万块标砖/年</w:t>
                  </w:r>
                </w:p>
              </w:tc>
              <w:tc>
                <w:tcPr>
                  <w:tcW w:w="511" w:type="pct"/>
                  <w:noWrap w:val="0"/>
                  <w:vAlign w:val="center"/>
                </w:tcPr>
                <w:p w14:paraId="7045E94A">
                  <w:pPr>
                    <w:adjustRightInd w:val="0"/>
                    <w:snapToGrid w:val="0"/>
                    <w:jc w:val="center"/>
                    <w:rPr>
                      <w:rFonts w:hint="eastAsia" w:eastAsia="宋体"/>
                      <w:bCs/>
                      <w:color w:val="000000" w:themeColor="text1"/>
                      <w:szCs w:val="21"/>
                      <w:lang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颗粒物</w:t>
                  </w:r>
                </w:p>
              </w:tc>
              <w:tc>
                <w:tcPr>
                  <w:tcW w:w="553" w:type="pct"/>
                  <w:noWrap w:val="0"/>
                  <w:vAlign w:val="center"/>
                </w:tcPr>
                <w:p w14:paraId="321E9AF4">
                  <w:pPr>
                    <w:adjustRightInd w:val="0"/>
                    <w:snapToGrid w:val="0"/>
                    <w:jc w:val="center"/>
                    <w:rPr>
                      <w:rFonts w:hint="eastAsia" w:eastAsia="宋体"/>
                      <w:bCs/>
                      <w:color w:val="000000" w:themeColor="text1"/>
                      <w:szCs w:val="21"/>
                      <w:lang w:eastAsia="zh-CN"/>
                      <w14:textFill>
                        <w14:solidFill>
                          <w14:schemeClr w14:val="tx1"/>
                        </w14:solidFill>
                      </w14:textFill>
                    </w:rPr>
                  </w:pPr>
                  <w:r>
                    <w:rPr>
                      <w:bCs/>
                      <w:color w:val="000000" w:themeColor="text1"/>
                      <w:szCs w:val="21"/>
                      <w14:textFill>
                        <w14:solidFill>
                          <w14:schemeClr w14:val="tx1"/>
                        </w14:solidFill>
                      </w14:textFill>
                    </w:rPr>
                    <w:t>千克/</w:t>
                  </w:r>
                  <w:r>
                    <w:rPr>
                      <w:rFonts w:hint="eastAsia"/>
                      <w:bCs/>
                      <w:color w:val="000000" w:themeColor="text1"/>
                      <w:szCs w:val="21"/>
                      <w:lang w:val="en-US" w:eastAsia="zh-CN"/>
                      <w14:textFill>
                        <w14:solidFill>
                          <w14:schemeClr w14:val="tx1"/>
                        </w14:solidFill>
                      </w14:textFill>
                    </w:rPr>
                    <w:t>万块标砖</w:t>
                  </w:r>
                </w:p>
              </w:tc>
              <w:tc>
                <w:tcPr>
                  <w:tcW w:w="366" w:type="pct"/>
                  <w:noWrap w:val="0"/>
                  <w:vAlign w:val="center"/>
                </w:tcPr>
                <w:p w14:paraId="0B844A51">
                  <w:pPr>
                    <w:adjustRightInd w:val="0"/>
                    <w:snapToGrid w:val="0"/>
                    <w:jc w:val="center"/>
                    <w:rPr>
                      <w:rFonts w:hint="default"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6.08</w:t>
                  </w:r>
                </w:p>
              </w:tc>
              <w:tc>
                <w:tcPr>
                  <w:tcW w:w="518" w:type="pct"/>
                  <w:noWrap w:val="0"/>
                  <w:vAlign w:val="center"/>
                </w:tcPr>
                <w:p w14:paraId="1DEB7A81">
                  <w:pPr>
                    <w:adjustRightInd w:val="0"/>
                    <w:snapToGrid w:val="0"/>
                    <w:jc w:val="center"/>
                    <w:rPr>
                      <w:rFonts w:hint="default"/>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7.73</w:t>
                  </w:r>
                </w:p>
              </w:tc>
              <w:tc>
                <w:tcPr>
                  <w:tcW w:w="477" w:type="pct"/>
                  <w:vMerge w:val="restart"/>
                  <w:noWrap w:val="0"/>
                  <w:vAlign w:val="center"/>
                </w:tcPr>
                <w:p w14:paraId="735A6F5F">
                  <w:pPr>
                    <w:adjustRightInd w:val="0"/>
                    <w:snapToGrid w:val="0"/>
                    <w:jc w:val="center"/>
                    <w:rPr>
                      <w:rFonts w:hint="default"/>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脱硫塔</w:t>
                  </w:r>
                </w:p>
              </w:tc>
              <w:tc>
                <w:tcPr>
                  <w:tcW w:w="415" w:type="pct"/>
                  <w:noWrap w:val="0"/>
                  <w:vAlign w:val="center"/>
                </w:tcPr>
                <w:p w14:paraId="5010EB55">
                  <w:pPr>
                    <w:adjustRightInd w:val="0"/>
                    <w:snapToGrid w:val="0"/>
                    <w:jc w:val="center"/>
                    <w:rPr>
                      <w:rFonts w:hint="default"/>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30%</w:t>
                  </w:r>
                </w:p>
              </w:tc>
              <w:tc>
                <w:tcPr>
                  <w:tcW w:w="548" w:type="pct"/>
                  <w:noWrap w:val="0"/>
                  <w:vAlign w:val="center"/>
                </w:tcPr>
                <w:p w14:paraId="0868B8A9">
                  <w:pPr>
                    <w:adjustRightInd w:val="0"/>
                    <w:snapToGrid w:val="0"/>
                    <w:jc w:val="center"/>
                    <w:rPr>
                      <w:rFonts w:hint="default"/>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5.41</w:t>
                  </w:r>
                </w:p>
              </w:tc>
            </w:tr>
            <w:tr w14:paraId="180EF2E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376" w:type="pct"/>
                  <w:vMerge w:val="continue"/>
                  <w:noWrap w:val="0"/>
                  <w:vAlign w:val="center"/>
                </w:tcPr>
                <w:p w14:paraId="04BD61C5">
                  <w:pPr>
                    <w:adjustRightInd w:val="0"/>
                    <w:snapToGrid w:val="0"/>
                    <w:jc w:val="center"/>
                    <w:rPr>
                      <w:bCs/>
                      <w:color w:val="000000" w:themeColor="text1"/>
                      <w:szCs w:val="21"/>
                      <w14:textFill>
                        <w14:solidFill>
                          <w14:schemeClr w14:val="tx1"/>
                        </w14:solidFill>
                      </w14:textFill>
                    </w:rPr>
                  </w:pPr>
                </w:p>
              </w:tc>
              <w:tc>
                <w:tcPr>
                  <w:tcW w:w="421" w:type="pct"/>
                  <w:vMerge w:val="continue"/>
                  <w:noWrap w:val="0"/>
                  <w:vAlign w:val="center"/>
                </w:tcPr>
                <w:p w14:paraId="11E9697F">
                  <w:pPr>
                    <w:adjustRightInd w:val="0"/>
                    <w:snapToGrid w:val="0"/>
                    <w:jc w:val="center"/>
                    <w:rPr>
                      <w:bCs/>
                      <w:color w:val="000000" w:themeColor="text1"/>
                      <w:szCs w:val="21"/>
                      <w14:textFill>
                        <w14:solidFill>
                          <w14:schemeClr w14:val="tx1"/>
                        </w14:solidFill>
                      </w14:textFill>
                    </w:rPr>
                  </w:pPr>
                </w:p>
              </w:tc>
              <w:tc>
                <w:tcPr>
                  <w:tcW w:w="394" w:type="pct"/>
                  <w:vMerge w:val="continue"/>
                  <w:noWrap w:val="0"/>
                  <w:vAlign w:val="center"/>
                </w:tcPr>
                <w:p w14:paraId="72BCC578">
                  <w:pPr>
                    <w:adjustRightInd w:val="0"/>
                    <w:snapToGrid w:val="0"/>
                    <w:jc w:val="center"/>
                    <w:rPr>
                      <w:bCs/>
                      <w:color w:val="000000" w:themeColor="text1"/>
                      <w:szCs w:val="21"/>
                      <w14:textFill>
                        <w14:solidFill>
                          <w14:schemeClr w14:val="tx1"/>
                        </w14:solidFill>
                      </w14:textFill>
                    </w:rPr>
                  </w:pPr>
                </w:p>
              </w:tc>
              <w:tc>
                <w:tcPr>
                  <w:tcW w:w="415" w:type="pct"/>
                  <w:vMerge w:val="continue"/>
                  <w:noWrap w:val="0"/>
                  <w:vAlign w:val="center"/>
                </w:tcPr>
                <w:p w14:paraId="0519D7E2">
                  <w:pPr>
                    <w:adjustRightInd w:val="0"/>
                    <w:snapToGrid w:val="0"/>
                    <w:jc w:val="center"/>
                    <w:rPr>
                      <w:bCs/>
                      <w:color w:val="000000" w:themeColor="text1"/>
                      <w:szCs w:val="21"/>
                      <w14:textFill>
                        <w14:solidFill>
                          <w14:schemeClr w14:val="tx1"/>
                        </w14:solidFill>
                      </w14:textFill>
                    </w:rPr>
                  </w:pPr>
                </w:p>
              </w:tc>
              <w:tc>
                <w:tcPr>
                  <w:tcW w:w="511" w:type="pct"/>
                  <w:noWrap w:val="0"/>
                  <w:vAlign w:val="center"/>
                </w:tcPr>
                <w:p w14:paraId="2F37B9C9">
                  <w:pPr>
                    <w:adjustRightInd w:val="0"/>
                    <w:snapToGrid w:val="0"/>
                    <w:jc w:val="center"/>
                    <w:rPr>
                      <w:rFonts w:hint="default"/>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二氧化硫</w:t>
                  </w:r>
                </w:p>
              </w:tc>
              <w:tc>
                <w:tcPr>
                  <w:tcW w:w="553" w:type="pct"/>
                  <w:noWrap w:val="0"/>
                  <w:vAlign w:val="center"/>
                </w:tcPr>
                <w:p w14:paraId="41604946">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千克/</w:t>
                  </w:r>
                  <w:r>
                    <w:rPr>
                      <w:rFonts w:hint="eastAsia"/>
                      <w:bCs/>
                      <w:color w:val="000000" w:themeColor="text1"/>
                      <w:szCs w:val="21"/>
                      <w:lang w:val="en-US" w:eastAsia="zh-CN"/>
                      <w14:textFill>
                        <w14:solidFill>
                          <w14:schemeClr w14:val="tx1"/>
                        </w14:solidFill>
                      </w14:textFill>
                    </w:rPr>
                    <w:t>万块标砖</w:t>
                  </w:r>
                </w:p>
              </w:tc>
              <w:tc>
                <w:tcPr>
                  <w:tcW w:w="366" w:type="pct"/>
                  <w:noWrap w:val="0"/>
                  <w:vAlign w:val="center"/>
                </w:tcPr>
                <w:p w14:paraId="5F101245">
                  <w:pPr>
                    <w:adjustRightInd w:val="0"/>
                    <w:snapToGrid w:val="0"/>
                    <w:jc w:val="center"/>
                    <w:rPr>
                      <w:rFonts w:hint="default"/>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16.8</w:t>
                  </w:r>
                </w:p>
              </w:tc>
              <w:tc>
                <w:tcPr>
                  <w:tcW w:w="518" w:type="pct"/>
                  <w:noWrap w:val="0"/>
                  <w:vAlign w:val="center"/>
                </w:tcPr>
                <w:p w14:paraId="66C558E8">
                  <w:pPr>
                    <w:adjustRightInd w:val="0"/>
                    <w:snapToGrid w:val="0"/>
                    <w:jc w:val="center"/>
                    <w:rPr>
                      <w:rFonts w:hint="default"/>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21.37</w:t>
                  </w:r>
                </w:p>
              </w:tc>
              <w:tc>
                <w:tcPr>
                  <w:tcW w:w="477" w:type="pct"/>
                  <w:vMerge w:val="continue"/>
                  <w:noWrap w:val="0"/>
                  <w:vAlign w:val="center"/>
                </w:tcPr>
                <w:p w14:paraId="317A2D7D">
                  <w:pPr>
                    <w:adjustRightInd w:val="0"/>
                    <w:snapToGrid w:val="0"/>
                    <w:jc w:val="center"/>
                    <w:rPr>
                      <w:rFonts w:hint="eastAsia"/>
                      <w:bCs/>
                      <w:color w:val="000000" w:themeColor="text1"/>
                      <w:szCs w:val="21"/>
                      <w:lang w:val="en-US" w:eastAsia="zh-CN"/>
                      <w14:textFill>
                        <w14:solidFill>
                          <w14:schemeClr w14:val="tx1"/>
                        </w14:solidFill>
                      </w14:textFill>
                    </w:rPr>
                  </w:pPr>
                </w:p>
              </w:tc>
              <w:tc>
                <w:tcPr>
                  <w:tcW w:w="415" w:type="pct"/>
                  <w:noWrap w:val="0"/>
                  <w:vAlign w:val="center"/>
                </w:tcPr>
                <w:p w14:paraId="481E1FE5">
                  <w:pPr>
                    <w:adjustRightInd w:val="0"/>
                    <w:snapToGrid w:val="0"/>
                    <w:jc w:val="center"/>
                    <w:rPr>
                      <w:rFonts w:hint="default"/>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80%</w:t>
                  </w:r>
                </w:p>
              </w:tc>
              <w:tc>
                <w:tcPr>
                  <w:tcW w:w="548" w:type="pct"/>
                  <w:noWrap w:val="0"/>
                  <w:vAlign w:val="center"/>
                </w:tcPr>
                <w:p w14:paraId="631D814B">
                  <w:pPr>
                    <w:adjustRightInd w:val="0"/>
                    <w:snapToGrid w:val="0"/>
                    <w:jc w:val="center"/>
                    <w:rPr>
                      <w:rFonts w:hint="default"/>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4.27</w:t>
                  </w:r>
                </w:p>
              </w:tc>
            </w:tr>
            <w:tr w14:paraId="04B4CC5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1277" w:hRule="exact"/>
                <w:jc w:val="center"/>
              </w:trPr>
              <w:tc>
                <w:tcPr>
                  <w:tcW w:w="376" w:type="pct"/>
                  <w:vMerge w:val="continue"/>
                  <w:noWrap w:val="0"/>
                  <w:vAlign w:val="center"/>
                </w:tcPr>
                <w:p w14:paraId="03963D32">
                  <w:pPr>
                    <w:adjustRightInd w:val="0"/>
                    <w:snapToGrid w:val="0"/>
                    <w:jc w:val="center"/>
                    <w:rPr>
                      <w:bCs/>
                      <w:color w:val="000000" w:themeColor="text1"/>
                      <w:szCs w:val="21"/>
                      <w14:textFill>
                        <w14:solidFill>
                          <w14:schemeClr w14:val="tx1"/>
                        </w14:solidFill>
                      </w14:textFill>
                    </w:rPr>
                  </w:pPr>
                </w:p>
              </w:tc>
              <w:tc>
                <w:tcPr>
                  <w:tcW w:w="421" w:type="pct"/>
                  <w:vMerge w:val="continue"/>
                  <w:noWrap w:val="0"/>
                  <w:vAlign w:val="center"/>
                </w:tcPr>
                <w:p w14:paraId="72EADCA3">
                  <w:pPr>
                    <w:adjustRightInd w:val="0"/>
                    <w:snapToGrid w:val="0"/>
                    <w:jc w:val="center"/>
                    <w:rPr>
                      <w:bCs/>
                      <w:color w:val="000000" w:themeColor="text1"/>
                      <w:szCs w:val="21"/>
                      <w14:textFill>
                        <w14:solidFill>
                          <w14:schemeClr w14:val="tx1"/>
                        </w14:solidFill>
                      </w14:textFill>
                    </w:rPr>
                  </w:pPr>
                </w:p>
              </w:tc>
              <w:tc>
                <w:tcPr>
                  <w:tcW w:w="394" w:type="pct"/>
                  <w:vMerge w:val="continue"/>
                  <w:noWrap w:val="0"/>
                  <w:vAlign w:val="center"/>
                </w:tcPr>
                <w:p w14:paraId="741B87E1">
                  <w:pPr>
                    <w:adjustRightInd w:val="0"/>
                    <w:snapToGrid w:val="0"/>
                    <w:jc w:val="center"/>
                    <w:rPr>
                      <w:bCs/>
                      <w:color w:val="000000" w:themeColor="text1"/>
                      <w:szCs w:val="21"/>
                      <w14:textFill>
                        <w14:solidFill>
                          <w14:schemeClr w14:val="tx1"/>
                        </w14:solidFill>
                      </w14:textFill>
                    </w:rPr>
                  </w:pPr>
                </w:p>
              </w:tc>
              <w:tc>
                <w:tcPr>
                  <w:tcW w:w="415" w:type="pct"/>
                  <w:vMerge w:val="continue"/>
                  <w:noWrap w:val="0"/>
                  <w:vAlign w:val="center"/>
                </w:tcPr>
                <w:p w14:paraId="5341F5FD">
                  <w:pPr>
                    <w:adjustRightInd w:val="0"/>
                    <w:snapToGrid w:val="0"/>
                    <w:jc w:val="center"/>
                    <w:rPr>
                      <w:bCs/>
                      <w:color w:val="000000" w:themeColor="text1"/>
                      <w:szCs w:val="21"/>
                      <w14:textFill>
                        <w14:solidFill>
                          <w14:schemeClr w14:val="tx1"/>
                        </w14:solidFill>
                      </w14:textFill>
                    </w:rPr>
                  </w:pPr>
                </w:p>
              </w:tc>
              <w:tc>
                <w:tcPr>
                  <w:tcW w:w="511" w:type="pct"/>
                  <w:noWrap w:val="0"/>
                  <w:vAlign w:val="center"/>
                </w:tcPr>
                <w:p w14:paraId="70E2E502">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氮氧化物</w:t>
                  </w:r>
                </w:p>
              </w:tc>
              <w:tc>
                <w:tcPr>
                  <w:tcW w:w="553" w:type="pct"/>
                  <w:noWrap w:val="0"/>
                  <w:vAlign w:val="center"/>
                </w:tcPr>
                <w:p w14:paraId="0BBD4A73">
                  <w:pPr>
                    <w:adjustRightInd w:val="0"/>
                    <w:snapToGrid w:val="0"/>
                    <w:jc w:val="center"/>
                    <w:rPr>
                      <w:rFonts w:hint="default" w:eastAsia="宋体"/>
                      <w:bCs/>
                      <w:color w:val="000000" w:themeColor="text1"/>
                      <w:szCs w:val="21"/>
                      <w:lang w:val="en-US" w:eastAsia="zh-CN"/>
                      <w14:textFill>
                        <w14:solidFill>
                          <w14:schemeClr w14:val="tx1"/>
                        </w14:solidFill>
                      </w14:textFill>
                    </w:rPr>
                  </w:pPr>
                  <w:r>
                    <w:rPr>
                      <w:bCs/>
                      <w:color w:val="000000" w:themeColor="text1"/>
                      <w:szCs w:val="21"/>
                      <w14:textFill>
                        <w14:solidFill>
                          <w14:schemeClr w14:val="tx1"/>
                        </w14:solidFill>
                      </w14:textFill>
                    </w:rPr>
                    <w:t>千克/</w:t>
                  </w:r>
                  <w:r>
                    <w:rPr>
                      <w:rFonts w:hint="eastAsia"/>
                      <w:bCs/>
                      <w:color w:val="000000" w:themeColor="text1"/>
                      <w:szCs w:val="21"/>
                      <w:lang w:val="en-US" w:eastAsia="zh-CN"/>
                      <w14:textFill>
                        <w14:solidFill>
                          <w14:schemeClr w14:val="tx1"/>
                        </w14:solidFill>
                      </w14:textFill>
                    </w:rPr>
                    <w:t>万块标砖</w:t>
                  </w:r>
                </w:p>
              </w:tc>
              <w:tc>
                <w:tcPr>
                  <w:tcW w:w="366" w:type="pct"/>
                  <w:noWrap w:val="0"/>
                  <w:vAlign w:val="center"/>
                </w:tcPr>
                <w:p w14:paraId="0B9B9B2A">
                  <w:pPr>
                    <w:adjustRightInd w:val="0"/>
                    <w:snapToGrid w:val="0"/>
                    <w:jc w:val="center"/>
                    <w:rPr>
                      <w:rFonts w:hint="default"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3.26</w:t>
                  </w:r>
                </w:p>
              </w:tc>
              <w:tc>
                <w:tcPr>
                  <w:tcW w:w="518" w:type="pct"/>
                  <w:noWrap w:val="0"/>
                  <w:vAlign w:val="center"/>
                </w:tcPr>
                <w:p w14:paraId="311858F0">
                  <w:pPr>
                    <w:adjustRightInd w:val="0"/>
                    <w:snapToGrid w:val="0"/>
                    <w:jc w:val="center"/>
                    <w:rPr>
                      <w:rFonts w:hint="default"/>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4.14</w:t>
                  </w:r>
                </w:p>
              </w:tc>
              <w:tc>
                <w:tcPr>
                  <w:tcW w:w="477" w:type="pct"/>
                  <w:vMerge w:val="continue"/>
                  <w:noWrap w:val="0"/>
                  <w:vAlign w:val="center"/>
                </w:tcPr>
                <w:p w14:paraId="74656410">
                  <w:pPr>
                    <w:adjustRightInd w:val="0"/>
                    <w:snapToGrid w:val="0"/>
                    <w:jc w:val="center"/>
                    <w:rPr>
                      <w:rFonts w:hint="eastAsia"/>
                      <w:bCs/>
                      <w:color w:val="000000" w:themeColor="text1"/>
                      <w:szCs w:val="21"/>
                      <w:lang w:val="en-US" w:eastAsia="zh-CN"/>
                      <w14:textFill>
                        <w14:solidFill>
                          <w14:schemeClr w14:val="tx1"/>
                        </w14:solidFill>
                      </w14:textFill>
                    </w:rPr>
                  </w:pPr>
                </w:p>
              </w:tc>
              <w:tc>
                <w:tcPr>
                  <w:tcW w:w="415" w:type="pct"/>
                  <w:noWrap w:val="0"/>
                  <w:vAlign w:val="center"/>
                </w:tcPr>
                <w:p w14:paraId="6A000182">
                  <w:pPr>
                    <w:adjustRightInd w:val="0"/>
                    <w:snapToGrid w:val="0"/>
                    <w:jc w:val="center"/>
                    <w:rPr>
                      <w:rFonts w:hint="default"/>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w:t>
                  </w:r>
                </w:p>
              </w:tc>
              <w:tc>
                <w:tcPr>
                  <w:tcW w:w="548" w:type="pct"/>
                  <w:noWrap w:val="0"/>
                  <w:vAlign w:val="center"/>
                </w:tcPr>
                <w:p w14:paraId="28EA1526">
                  <w:pPr>
                    <w:adjustRightInd w:val="0"/>
                    <w:snapToGrid w:val="0"/>
                    <w:jc w:val="center"/>
                    <w:rPr>
                      <w:rFonts w:hint="default"/>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4.14</w:t>
                  </w:r>
                </w:p>
              </w:tc>
            </w:tr>
          </w:tbl>
          <w:p w14:paraId="505B4A39">
            <w:pPr>
              <w:widowControl/>
              <w:spacing w:line="360" w:lineRule="auto"/>
              <w:ind w:firstLine="482" w:firstLineChars="200"/>
              <w:jc w:val="left"/>
              <w:rPr>
                <w:rFonts w:hint="eastAsia" w:ascii="Times New Roman" w:hAnsi="Times New Roman" w:eastAsia="宋体" w:cs="Times New Roman"/>
                <w:b/>
                <w:bCs/>
                <w:color w:val="000000" w:themeColor="text1"/>
                <w:kern w:val="0"/>
                <w:sz w:val="24"/>
                <w:szCs w:val="24"/>
                <w:lang w:eastAsia="zh-CN" w:bidi="ar"/>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②</w:t>
            </w:r>
            <w:r>
              <w:rPr>
                <w:rFonts w:hint="eastAsia" w:ascii="Times New Roman" w:hAnsi="Times New Roman" w:eastAsia="宋体" w:cs="Times New Roman"/>
                <w:b/>
                <w:bCs/>
                <w:color w:val="000000" w:themeColor="text1"/>
                <w:kern w:val="0"/>
                <w:sz w:val="24"/>
                <w:szCs w:val="24"/>
                <w:lang w:val="en-US" w:eastAsia="zh-CN" w:bidi="ar"/>
                <w14:textFill>
                  <w14:solidFill>
                    <w14:schemeClr w14:val="tx1"/>
                  </w14:solidFill>
                </w14:textFill>
              </w:rPr>
              <w:t>氟化物</w:t>
            </w:r>
          </w:p>
          <w:p w14:paraId="2CE6BF2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eastAsia="宋体"/>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根据《四川环境》（2003年第22卷第5期）中刘</w:t>
            </w:r>
            <w:r>
              <w:rPr>
                <w:rFonts w:hint="default" w:ascii="Times New Roman" w:hAnsi="Times New Roman" w:eastAsia="宋体" w:cs="Times New Roman"/>
                <w:color w:val="000000" w:themeColor="text1"/>
                <w:kern w:val="0"/>
                <w:sz w:val="24"/>
                <w:szCs w:val="24"/>
                <w:lang w:bidi="ar"/>
                <w14:textFill>
                  <w14:solidFill>
                    <w14:schemeClr w14:val="tx1"/>
                  </w14:solidFill>
                </w14:textFill>
              </w:rPr>
              <w:t>咏《我国砖瓦厂氟化物的排放及其污染治理研究进展》，砖瓦烧制过程中氟的平均释放率为54.3%。</w:t>
            </w:r>
            <w:r>
              <w:rPr>
                <w:rFonts w:hint="eastAsia" w:cs="Times New Roman"/>
                <w:color w:val="000000" w:themeColor="text1"/>
                <w:kern w:val="0"/>
                <w:sz w:val="24"/>
                <w:szCs w:val="24"/>
                <w:lang w:val="en-US" w:eastAsia="zh-CN" w:bidi="ar"/>
                <w14:textFill>
                  <w14:solidFill>
                    <w14:schemeClr w14:val="tx1"/>
                  </w14:solidFill>
                </w14:textFill>
              </w:rPr>
              <w:t>原有</w:t>
            </w:r>
            <w:r>
              <w:rPr>
                <w:rFonts w:hint="default" w:ascii="Times New Roman" w:hAnsi="Times New Roman" w:eastAsia="宋体" w:cs="Times New Roman"/>
                <w:color w:val="000000" w:themeColor="text1"/>
                <w:kern w:val="0"/>
                <w:sz w:val="24"/>
                <w:szCs w:val="24"/>
                <w:lang w:bidi="ar"/>
                <w14:textFill>
                  <w14:solidFill>
                    <w14:schemeClr w14:val="tx1"/>
                  </w14:solidFill>
                </w14:textFill>
              </w:rPr>
              <w:t>项目</w:t>
            </w:r>
            <w:r>
              <w:rPr>
                <w:rFonts w:hint="eastAsia" w:cs="Times New Roman"/>
                <w:color w:val="000000" w:themeColor="text1"/>
                <w:kern w:val="0"/>
                <w:sz w:val="24"/>
                <w:szCs w:val="24"/>
                <w:lang w:val="en-US" w:eastAsia="zh-CN" w:bidi="ar"/>
                <w14:textFill>
                  <w14:solidFill>
                    <w14:schemeClr w14:val="tx1"/>
                  </w14:solidFill>
                </w14:textFill>
              </w:rPr>
              <w:t>原料</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中</w:t>
            </w:r>
            <w:r>
              <w:rPr>
                <w:rFonts w:hint="default" w:ascii="Times New Roman" w:hAnsi="Times New Roman" w:eastAsia="宋体" w:cs="Times New Roman"/>
                <w:color w:val="000000" w:themeColor="text1"/>
                <w:kern w:val="0"/>
                <w:sz w:val="24"/>
                <w:szCs w:val="24"/>
                <w:lang w:bidi="ar"/>
                <w14:textFill>
                  <w14:solidFill>
                    <w14:schemeClr w14:val="tx1"/>
                  </w14:solidFill>
                </w14:textFill>
              </w:rPr>
              <w:t>含</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氟</w:t>
            </w:r>
            <w:r>
              <w:rPr>
                <w:rFonts w:hint="eastAsia" w:cs="Times New Roman"/>
                <w:color w:val="000000" w:themeColor="text1"/>
                <w:kern w:val="0"/>
                <w:sz w:val="24"/>
                <w:szCs w:val="24"/>
                <w:lang w:val="en-US" w:eastAsia="zh-CN" w:bidi="ar"/>
                <w14:textFill>
                  <w14:solidFill>
                    <w14:schemeClr w14:val="tx1"/>
                  </w14:solidFill>
                </w14:textFill>
              </w:rPr>
              <w:t>0.002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eastAsia" w:cs="Times New Roman"/>
                <w:color w:val="000000" w:themeColor="text1"/>
                <w:kern w:val="0"/>
                <w:sz w:val="24"/>
                <w:szCs w:val="24"/>
                <w:highlight w:val="none"/>
                <w:lang w:val="en-US" w:eastAsia="zh-CN" w:bidi="ar"/>
                <w14:textFill>
                  <w14:solidFill>
                    <w14:schemeClr w14:val="tx1"/>
                  </w14:solidFill>
                </w14:textFill>
              </w:rPr>
              <w:t>用</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量为</w:t>
            </w:r>
            <w:r>
              <w:rPr>
                <w:rFonts w:hint="eastAsia" w:cs="Times New Roman"/>
                <w:color w:val="000000" w:themeColor="text1"/>
                <w:kern w:val="0"/>
                <w:sz w:val="24"/>
                <w:szCs w:val="24"/>
                <w:highlight w:val="none"/>
                <w:lang w:val="en-US" w:eastAsia="zh-CN" w:bidi="ar"/>
                <w14:textFill>
                  <w14:solidFill>
                    <w14:schemeClr w14:val="tx1"/>
                  </w14:solidFill>
                </w14:textFill>
              </w:rPr>
              <w:t>3.344万</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t/a</w:t>
            </w:r>
            <w:r>
              <w:rPr>
                <w:rFonts w:hint="eastAsia" w:cs="Times New Roman"/>
                <w:color w:val="000000" w:themeColor="text1"/>
                <w:kern w:val="0"/>
                <w:sz w:val="24"/>
                <w:szCs w:val="24"/>
                <w:highlight w:val="none"/>
                <w:lang w:val="en-US" w:eastAsia="zh-CN" w:bidi="ar"/>
                <w14:textFill>
                  <w14:solidFill>
                    <w14:schemeClr w14:val="tx1"/>
                  </w14:solidFill>
                </w14:textFill>
              </w:rPr>
              <w:t>。则氟化物产生量为0.36t/a，经脱硫塔协同去除80%，则原有项目氟化排放量为0.072t/a。</w:t>
            </w:r>
          </w:p>
          <w:p w14:paraId="2901647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4.2</w:t>
            </w:r>
            <w:r>
              <w:rPr>
                <w:rFonts w:hint="default" w:ascii="Times New Roman" w:hAnsi="Times New Roman" w:eastAsia="宋体" w:cs="Times New Roman"/>
                <w:b/>
                <w:bCs/>
                <w:color w:val="000000" w:themeColor="text1"/>
                <w:sz w:val="24"/>
                <w:szCs w:val="24"/>
                <w14:textFill>
                  <w14:solidFill>
                    <w14:schemeClr w14:val="tx1"/>
                  </w14:solidFill>
                </w14:textFill>
              </w:rPr>
              <w:t>废水</w:t>
            </w:r>
          </w:p>
          <w:p w14:paraId="70464DA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b w:val="0"/>
                <w:bCs/>
                <w:color w:val="000000" w:themeColor="text1"/>
                <w:sz w:val="24"/>
                <w:szCs w:val="24"/>
                <w:lang w:val="en-US" w:eastAsia="zh-CN"/>
                <w14:textFill>
                  <w14:solidFill>
                    <w14:schemeClr w14:val="tx1"/>
                  </w14:solidFill>
                </w14:textFill>
              </w:rPr>
            </w:pPr>
            <w:r>
              <w:rPr>
                <w:rFonts w:hint="eastAsia"/>
                <w:b w:val="0"/>
                <w:bCs/>
                <w:color w:val="000000" w:themeColor="text1"/>
                <w:sz w:val="24"/>
                <w:szCs w:val="24"/>
                <w:lang w:val="en-US" w:eastAsia="zh-CN"/>
                <w14:textFill>
                  <w14:solidFill>
                    <w14:schemeClr w14:val="tx1"/>
                  </w14:solidFill>
                </w14:textFill>
              </w:rPr>
              <w:t>（1）生产废水</w:t>
            </w:r>
          </w:p>
          <w:p w14:paraId="62973A4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480" w:firstLineChars="200"/>
              <w:jc w:val="both"/>
              <w:textAlignment w:val="auto"/>
              <w:rPr>
                <w:rFonts w:hint="default"/>
                <w:b w:val="0"/>
                <w:bCs/>
                <w:color w:val="000000" w:themeColor="text1"/>
                <w:sz w:val="24"/>
                <w:szCs w:val="24"/>
                <w:lang w:val="en-US" w:eastAsia="zh-CN"/>
                <w14:textFill>
                  <w14:solidFill>
                    <w14:schemeClr w14:val="tx1"/>
                  </w14:solidFill>
                </w14:textFill>
              </w:rPr>
            </w:pPr>
            <w:r>
              <w:rPr>
                <w:rFonts w:hint="eastAsia"/>
                <w:b w:val="0"/>
                <w:bCs/>
                <w:color w:val="000000" w:themeColor="text1"/>
                <w:sz w:val="24"/>
                <w:szCs w:val="24"/>
                <w:lang w:val="en-US" w:eastAsia="zh-CN"/>
                <w14:textFill>
                  <w14:solidFill>
                    <w14:schemeClr w14:val="tx1"/>
                  </w14:solidFill>
                </w14:textFill>
              </w:rPr>
              <w:t>原有项目运营期搅拌用水随产品带走，炉窑降温冷却水蒸发，脱硫塔用水经</w:t>
            </w:r>
            <w:r>
              <w:rPr>
                <w:rFonts w:hint="eastAsia"/>
                <w:b w:val="0"/>
                <w:bCs/>
                <w:color w:val="000000" w:themeColor="text1"/>
                <w:sz w:val="24"/>
                <w:szCs w:val="24"/>
                <w:vertAlign w:val="baseline"/>
                <w:lang w:val="en-US" w:eastAsia="zh-CN"/>
                <w14:textFill>
                  <w14:solidFill>
                    <w14:schemeClr w14:val="tx1"/>
                  </w14:solidFill>
                </w14:textFill>
              </w:rPr>
              <w:t>循环池收集后循环使用，脱硫塔定期排水设置1个容积</w:t>
            </w:r>
            <w:r>
              <w:rPr>
                <w:rFonts w:hint="eastAsia" w:cs="Times New Roman"/>
                <w:color w:val="000000" w:themeColor="text1"/>
                <w:sz w:val="24"/>
                <w:szCs w:val="24"/>
                <w:lang w:val="en-US" w:eastAsia="zh-CN"/>
                <w14:textFill>
                  <w14:solidFill>
                    <w14:schemeClr w14:val="tx1"/>
                  </w14:solidFill>
                </w14:textFill>
              </w:rPr>
              <w:t>为80m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vertAlign w:val="baseline"/>
                <w:lang w:val="en-US" w:eastAsia="zh-CN"/>
                <w14:textFill>
                  <w14:solidFill>
                    <w14:schemeClr w14:val="tx1"/>
                  </w14:solidFill>
                </w14:textFill>
              </w:rPr>
              <w:t>的循环沉淀池，沉淀后回用搅拌用水，不外排。项目</w:t>
            </w:r>
            <w:r>
              <w:rPr>
                <w:rFonts w:hint="eastAsia"/>
                <w:b w:val="0"/>
                <w:bCs/>
                <w:color w:val="000000" w:themeColor="text1"/>
                <w:sz w:val="24"/>
                <w:szCs w:val="24"/>
                <w:lang w:val="en-US" w:eastAsia="zh-CN"/>
                <w14:textFill>
                  <w14:solidFill>
                    <w14:schemeClr w14:val="tx1"/>
                  </w14:solidFill>
                </w14:textFill>
              </w:rPr>
              <w:t>无生产废水排放。</w:t>
            </w:r>
          </w:p>
          <w:p w14:paraId="5950D0E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eastAsia"/>
                <w:b w:val="0"/>
                <w:bCs/>
                <w:color w:val="000000" w:themeColor="text1"/>
                <w:sz w:val="24"/>
                <w:szCs w:val="24"/>
                <w:lang w:val="en-US" w:eastAsia="zh-CN"/>
                <w14:textFill>
                  <w14:solidFill>
                    <w14:schemeClr w14:val="tx1"/>
                  </w14:solidFill>
                </w14:textFill>
              </w:rPr>
            </w:pPr>
            <w:r>
              <w:rPr>
                <w:rFonts w:hint="eastAsia"/>
                <w:b w:val="0"/>
                <w:bCs/>
                <w:color w:val="000000" w:themeColor="text1"/>
                <w:sz w:val="24"/>
                <w:szCs w:val="24"/>
                <w:lang w:val="en-US" w:eastAsia="zh-CN"/>
                <w14:textFill>
                  <w14:solidFill>
                    <w14:schemeClr w14:val="tx1"/>
                  </w14:solidFill>
                </w14:textFill>
              </w:rPr>
              <w:t>（2）生活污水</w:t>
            </w:r>
          </w:p>
          <w:p w14:paraId="156D8BF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480" w:firstLineChars="200"/>
              <w:jc w:val="both"/>
              <w:textAlignment w:val="auto"/>
              <w:rPr>
                <w:rFonts w:hint="default"/>
                <w:b w:val="0"/>
                <w:bCs/>
                <w:color w:val="000000" w:themeColor="text1"/>
                <w:sz w:val="24"/>
                <w:szCs w:val="24"/>
                <w:highlight w:val="none"/>
                <w:lang w:val="en-US" w:eastAsia="zh-CN"/>
                <w14:textFill>
                  <w14:solidFill>
                    <w14:schemeClr w14:val="tx1"/>
                  </w14:solidFill>
                </w14:textFill>
              </w:rPr>
            </w:pPr>
            <w:r>
              <w:rPr>
                <w:rFonts w:hint="eastAsia"/>
                <w:b w:val="0"/>
                <w:bCs/>
                <w:color w:val="000000" w:themeColor="text1"/>
                <w:sz w:val="24"/>
                <w:szCs w:val="24"/>
                <w:lang w:val="en-US" w:eastAsia="zh-CN"/>
                <w14:textFill>
                  <w14:solidFill>
                    <w14:schemeClr w14:val="tx1"/>
                  </w14:solidFill>
                </w14:textFill>
              </w:rPr>
              <w:t>原有项目</w:t>
            </w:r>
            <w:r>
              <w:rPr>
                <w:rFonts w:hint="default"/>
                <w:b w:val="0"/>
                <w:bCs/>
                <w:color w:val="000000" w:themeColor="text1"/>
                <w:sz w:val="24"/>
                <w:szCs w:val="24"/>
                <w:lang w:val="en-US" w:eastAsia="zh-CN"/>
                <w14:textFill>
                  <w14:solidFill>
                    <w14:schemeClr w14:val="tx1"/>
                  </w14:solidFill>
                </w14:textFill>
              </w:rPr>
              <w:t>劳动定员为12人，其中管理人员为2人在项目区食宿，其余人员为周边村民，不在项目区食宿。</w:t>
            </w:r>
            <w:r>
              <w:rPr>
                <w:rFonts w:hint="eastAsia"/>
                <w:color w:val="000000" w:themeColor="text1"/>
                <w:kern w:val="0"/>
                <w:sz w:val="24"/>
                <w14:textFill>
                  <w14:solidFill>
                    <w14:schemeClr w14:val="tx1"/>
                  </w14:solidFill>
                </w14:textFill>
              </w:rPr>
              <w:t>根据《云南省地方标准</w:t>
            </w:r>
            <w:r>
              <w:rPr>
                <w:rFonts w:hint="eastAsia"/>
                <w:color w:val="000000" w:themeColor="text1"/>
                <w:kern w:val="0"/>
                <w:sz w:val="24"/>
                <w:lang w:val="en-US" w:eastAsia="zh-CN"/>
                <w14:textFill>
                  <w14:solidFill>
                    <w14:schemeClr w14:val="tx1"/>
                  </w14:solidFill>
                </w14:textFill>
              </w:rPr>
              <w:t xml:space="preserve"> </w:t>
            </w:r>
            <w:r>
              <w:rPr>
                <w:rFonts w:hint="eastAsia"/>
                <w:color w:val="000000" w:themeColor="text1"/>
                <w:kern w:val="0"/>
                <w:sz w:val="24"/>
                <w14:textFill>
                  <w14:solidFill>
                    <w14:schemeClr w14:val="tx1"/>
                  </w14:solidFill>
                </w14:textFill>
              </w:rPr>
              <w:t>用水定额》（DB53/T</w:t>
            </w:r>
            <w:r>
              <w:rPr>
                <w:rFonts w:hint="eastAsia"/>
                <w:color w:val="000000" w:themeColor="text1"/>
                <w:kern w:val="0"/>
                <w:sz w:val="24"/>
                <w:lang w:val="en-US" w:eastAsia="zh-CN"/>
                <w14:textFill>
                  <w14:solidFill>
                    <w14:schemeClr w14:val="tx1"/>
                  </w14:solidFill>
                </w14:textFill>
              </w:rPr>
              <w:t xml:space="preserve"> </w:t>
            </w:r>
            <w:r>
              <w:rPr>
                <w:rFonts w:hint="eastAsia"/>
                <w:color w:val="000000" w:themeColor="text1"/>
                <w:kern w:val="0"/>
                <w:sz w:val="24"/>
                <w14:textFill>
                  <w14:solidFill>
                    <w14:schemeClr w14:val="tx1"/>
                  </w14:solidFill>
                </w14:textFill>
              </w:rPr>
              <w:t>168-2019）</w:t>
            </w:r>
            <w:r>
              <w:rPr>
                <w:rFonts w:hint="eastAsia"/>
                <w:color w:val="000000" w:themeColor="text1"/>
                <w:kern w:val="0"/>
                <w:sz w:val="24"/>
                <w:lang w:eastAsia="zh-CN"/>
                <w14:textFill>
                  <w14:solidFill>
                    <w14:schemeClr w14:val="tx1"/>
                  </w14:solidFill>
                </w14:textFill>
              </w:rPr>
              <w:t>，</w:t>
            </w:r>
            <w:r>
              <w:rPr>
                <w:rFonts w:hint="eastAsia"/>
                <w:color w:val="000000" w:themeColor="text1"/>
                <w:kern w:val="0"/>
                <w:sz w:val="24"/>
                <w:lang w:val="en-US" w:eastAsia="zh-CN"/>
                <w14:textFill>
                  <w14:solidFill>
                    <w14:schemeClr w14:val="tx1"/>
                  </w14:solidFill>
                </w14:textFill>
              </w:rPr>
              <w:t>不在项目区食宿人员的用水量</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按40L/（人</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d）计，在项目区食宿人员的用水量按100L/（人</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d）计，则本项目生活用水量为0.6</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/d</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，180</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a。</w:t>
            </w:r>
            <w:r>
              <w:rPr>
                <w:rFonts w:hint="eastAsia"/>
                <w:color w:val="000000" w:themeColor="text1"/>
                <w:sz w:val="24"/>
                <w14:textFill>
                  <w14:solidFill>
                    <w14:schemeClr w14:val="tx1"/>
                  </w14:solidFill>
                </w14:textFill>
              </w:rPr>
              <w:t>项目生活污水产生量按用水量的80%计，</w:t>
            </w:r>
            <w:r>
              <w:rPr>
                <w:rFonts w:hint="eastAsia"/>
                <w:color w:val="000000" w:themeColor="text1"/>
                <w:sz w:val="24"/>
                <w:lang w:val="en-US" w:eastAsia="zh-CN"/>
                <w14:textFill>
                  <w14:solidFill>
                    <w14:schemeClr w14:val="tx1"/>
                  </w14:solidFill>
                </w14:textFill>
              </w:rPr>
              <w:t>则生活污水</w:t>
            </w:r>
            <w:r>
              <w:rPr>
                <w:rFonts w:hint="eastAsia"/>
                <w:color w:val="000000" w:themeColor="text1"/>
                <w:sz w:val="24"/>
                <w14:textFill>
                  <w14:solidFill>
                    <w14:schemeClr w14:val="tx1"/>
                  </w14:solidFill>
                </w14:textFill>
              </w:rPr>
              <w:t>产生量为</w:t>
            </w:r>
            <w:r>
              <w:rPr>
                <w:rFonts w:hint="eastAsia"/>
                <w:color w:val="000000" w:themeColor="text1"/>
                <w:sz w:val="24"/>
                <w:lang w:val="en-US" w:eastAsia="zh-CN"/>
                <w14:textFill>
                  <w14:solidFill>
                    <w14:schemeClr w14:val="tx1"/>
                  </w14:solidFill>
                </w14:textFill>
              </w:rPr>
              <w:t>0.4</w:t>
            </w:r>
            <w:r>
              <w:rPr>
                <w:rFonts w:hint="eastAsia"/>
                <w:color w:val="000000" w:themeColor="text1"/>
                <w:sz w:val="24"/>
                <w:highlight w:val="none"/>
                <w:lang w:val="en-US" w:eastAsia="zh-CN"/>
                <w14:textFill>
                  <w14:solidFill>
                    <w14:schemeClr w14:val="tx1"/>
                  </w14:solidFill>
                </w14:textFill>
              </w:rPr>
              <w:t>8</w:t>
            </w:r>
            <w:r>
              <w:rPr>
                <w:rFonts w:hint="eastAsia"/>
                <w:color w:val="000000" w:themeColor="text1"/>
                <w:sz w:val="24"/>
                <w:highlight w:val="none"/>
                <w14:textFill>
                  <w14:solidFill>
                    <w14:schemeClr w14:val="tx1"/>
                  </w14:solidFill>
                </w14:textFill>
              </w:rPr>
              <w:t>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/d、</w:t>
            </w:r>
            <w:r>
              <w:rPr>
                <w:rFonts w:hint="eastAsia"/>
                <w:color w:val="000000" w:themeColor="text1"/>
                <w:sz w:val="24"/>
                <w:highlight w:val="none"/>
                <w:lang w:val="en-US" w:eastAsia="zh-CN"/>
                <w14:textFill>
                  <w14:solidFill>
                    <w14:schemeClr w14:val="tx1"/>
                  </w14:solidFill>
                </w14:textFill>
              </w:rPr>
              <w:t>144</w:t>
            </w:r>
            <w:r>
              <w:rPr>
                <w:rFonts w:hint="eastAsia"/>
                <w:color w:val="000000" w:themeColor="text1"/>
                <w:sz w:val="24"/>
                <w:highlight w:val="none"/>
                <w14:textFill>
                  <w14:solidFill>
                    <w14:schemeClr w14:val="tx1"/>
                  </w14:solidFill>
                </w14:textFill>
              </w:rPr>
              <w:t>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/a</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经1个容积为10m</w:t>
            </w:r>
            <w:r>
              <w:rPr>
                <w:rFonts w:hint="eastAsia"/>
                <w:color w:val="000000" w:themeColor="text1"/>
                <w:sz w:val="24"/>
                <w:szCs w:val="24"/>
                <w:highlight w:val="none"/>
                <w:vertAlign w:val="superscript"/>
                <w:lang w:val="en-US" w:eastAsia="zh-CN"/>
                <w14:textFill>
                  <w14:solidFill>
                    <w14:schemeClr w14:val="tx1"/>
                  </w14:solidFill>
                </w14:textFill>
              </w:rPr>
              <w:t>3</w:t>
            </w:r>
            <w:r>
              <w:rPr>
                <w:rFonts w:hint="eastAsia"/>
                <w:color w:val="000000" w:themeColor="text1"/>
                <w:sz w:val="24"/>
                <w:szCs w:val="24"/>
                <w:highlight w:val="none"/>
                <w:vertAlign w:val="baseline"/>
                <w:lang w:val="en-US" w:eastAsia="zh-CN"/>
                <w14:textFill>
                  <w14:solidFill>
                    <w14:schemeClr w14:val="tx1"/>
                  </w14:solidFill>
                </w14:textFill>
              </w:rPr>
              <w:t>的</w:t>
            </w:r>
            <w:r>
              <w:rPr>
                <w:rFonts w:hint="eastAsia"/>
                <w:color w:val="000000" w:themeColor="text1"/>
                <w:sz w:val="24"/>
                <w:szCs w:val="24"/>
                <w:highlight w:val="none"/>
                <w:lang w:val="en-US" w:eastAsia="zh-CN"/>
                <w14:textFill>
                  <w14:solidFill>
                    <w14:schemeClr w14:val="tx1"/>
                  </w14:solidFill>
                </w14:textFill>
              </w:rPr>
              <w:t>化粪池处理后定期清掏用作农肥。</w:t>
            </w:r>
          </w:p>
          <w:p w14:paraId="76DED5C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480" w:firstLineChars="200"/>
              <w:jc w:val="both"/>
              <w:textAlignment w:val="auto"/>
              <w:rPr>
                <w:rFonts w:hint="default"/>
                <w:b w:val="0"/>
                <w:bCs/>
                <w:color w:val="000000" w:themeColor="text1"/>
                <w:sz w:val="24"/>
                <w:szCs w:val="24"/>
                <w:lang w:val="en-US" w:eastAsia="zh-CN"/>
                <w14:textFill>
                  <w14:solidFill>
                    <w14:schemeClr w14:val="tx1"/>
                  </w14:solidFill>
                </w14:textFill>
              </w:rPr>
            </w:pPr>
            <w:r>
              <w:rPr>
                <w:rFonts w:hint="eastAsia"/>
                <w:b w:val="0"/>
                <w:bCs/>
                <w:color w:val="000000" w:themeColor="text1"/>
                <w:sz w:val="24"/>
                <w:szCs w:val="24"/>
                <w:lang w:val="en-US" w:eastAsia="zh-CN"/>
                <w14:textFill>
                  <w14:solidFill>
                    <w14:schemeClr w14:val="tx1"/>
                  </w14:solidFill>
                </w14:textFill>
              </w:rPr>
              <w:t>（3）初期雨水</w:t>
            </w:r>
          </w:p>
          <w:p w14:paraId="6CCB4DF6">
            <w:pPr>
              <w:pageBreakBefore w:val="0"/>
              <w:kinsoku/>
              <w:wordWrap/>
              <w:overflowPunct w:val="0"/>
              <w:topLinePunct w:val="0"/>
              <w:autoSpaceDE/>
              <w:autoSpaceDN/>
              <w:bidi w:val="0"/>
              <w:spacing w:line="360" w:lineRule="auto"/>
              <w:ind w:firstLine="480" w:firstLineChars="200"/>
              <w:rPr>
                <w:rFonts w:hint="default" w:ascii="Times New Roman" w:hAnsi="Times New Roman" w:eastAsia="宋体" w:cs="Times New Roman"/>
                <w:color w:val="000000" w:themeColor="text1"/>
                <w:kern w:val="2"/>
                <w:sz w:val="24"/>
                <w:szCs w:val="24"/>
                <w:highlight w:val="none"/>
                <w:lang w:val="zh-CN"/>
                <w14:textFill>
                  <w14:solidFill>
                    <w14:schemeClr w14:val="tx1"/>
                  </w14:solidFill>
                </w14:textFill>
              </w:rPr>
            </w:pPr>
            <w:r>
              <w:rPr>
                <w:rFonts w:hint="eastAsia" w:cs="Times New Roman"/>
                <w:color w:val="000000" w:themeColor="text1"/>
                <w:kern w:val="2"/>
                <w:sz w:val="24"/>
                <w:szCs w:val="24"/>
                <w:highlight w:val="none"/>
                <w:lang w:val="en-US" w:eastAsia="zh-CN"/>
                <w14:textFill>
                  <w14:solidFill>
                    <w14:schemeClr w14:val="tx1"/>
                  </w14:solidFill>
                </w14:textFill>
              </w:rPr>
              <w:t>原有</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项目道路及露天</w:t>
            </w:r>
            <w:r>
              <w:rPr>
                <w:rFonts w:hint="default" w:ascii="Times New Roman" w:hAnsi="Times New Roman" w:eastAsia="宋体" w:cs="Times New Roman"/>
                <w:color w:val="000000" w:themeColor="text1"/>
                <w:kern w:val="2"/>
                <w:sz w:val="24"/>
                <w:szCs w:val="24"/>
                <w:highlight w:val="none"/>
                <w:lang w:val="zh-CN"/>
                <w14:textFill>
                  <w14:solidFill>
                    <w14:schemeClr w14:val="tx1"/>
                  </w14:solidFill>
                </w14:textFill>
              </w:rPr>
              <w:t>面积</w:t>
            </w:r>
            <w:r>
              <w:rPr>
                <w:rFonts w:hint="eastAsia" w:cs="Times New Roman"/>
                <w:color w:val="000000" w:themeColor="text1"/>
                <w:kern w:val="2"/>
                <w:sz w:val="24"/>
                <w:szCs w:val="24"/>
                <w:highlight w:val="none"/>
                <w:lang w:val="zh-CN"/>
                <w14:textFill>
                  <w14:solidFill>
                    <w14:schemeClr w14:val="tx1"/>
                  </w14:solidFill>
                </w14:textFill>
              </w:rPr>
              <w:t>约</w:t>
            </w:r>
            <w:r>
              <w:rPr>
                <w:rFonts w:hint="eastAsia" w:ascii="Times New Roman" w:hAnsi="Times New Roman" w:eastAsia="宋体" w:cs="Times New Roman"/>
                <w:color w:val="000000" w:themeColor="text1"/>
                <w:sz w:val="24"/>
                <w:lang w:val="en-US" w:eastAsia="zh-CN"/>
                <w14:textFill>
                  <w14:solidFill>
                    <w14:schemeClr w14:val="tx1"/>
                  </w14:solidFill>
                </w14:textFill>
              </w:rPr>
              <w:t>22</w:t>
            </w:r>
            <w:r>
              <w:rPr>
                <w:rFonts w:hint="eastAsia" w:cs="Times New Roman"/>
                <w:color w:val="000000" w:themeColor="text1"/>
                <w:sz w:val="24"/>
                <w:lang w:val="en-US" w:eastAsia="zh-CN"/>
                <w14:textFill>
                  <w14:solidFill>
                    <w14:schemeClr w14:val="tx1"/>
                  </w14:solidFill>
                </w14:textFill>
              </w:rPr>
              <w:t>0</w:t>
            </w:r>
            <w:r>
              <w:rPr>
                <w:rFonts w:hint="eastAsia" w:ascii="Times New Roman" w:hAnsi="Times New Roman" w:eastAsia="宋体" w:cs="Times New Roman"/>
                <w:color w:val="000000" w:themeColor="text1"/>
                <w:sz w:val="24"/>
                <w:lang w:val="en-US" w:eastAsia="zh-CN"/>
                <w14:textFill>
                  <w14:solidFill>
                    <w14:schemeClr w14:val="tx1"/>
                  </w14:solidFill>
                </w14:textFill>
              </w:rPr>
              <w:t>0</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kern w:val="2"/>
                <w:sz w:val="24"/>
                <w:szCs w:val="24"/>
                <w:highlight w:val="none"/>
                <w:lang w:val="zh-CN"/>
                <w14:textFill>
                  <w14:solidFill>
                    <w14:schemeClr w14:val="tx1"/>
                  </w14:solidFill>
                </w14:textFill>
              </w:rPr>
              <w:t>。</w:t>
            </w:r>
            <w:r>
              <w:rPr>
                <w:rFonts w:hint="eastAsia" w:cs="Times New Roman"/>
                <w:color w:val="000000" w:themeColor="text1"/>
                <w:kern w:val="2"/>
                <w:sz w:val="24"/>
                <w:szCs w:val="24"/>
                <w:highlight w:val="none"/>
                <w:lang w:val="en-US" w:eastAsia="zh-CN"/>
                <w14:textFill>
                  <w14:solidFill>
                    <w14:schemeClr w14:val="tx1"/>
                  </w14:solidFill>
                </w14:textFill>
              </w:rPr>
              <w:t>原有</w:t>
            </w:r>
            <w:r>
              <w:rPr>
                <w:rFonts w:hint="default" w:ascii="Times New Roman" w:hAnsi="Times New Roman" w:eastAsia="宋体" w:cs="Times New Roman"/>
                <w:color w:val="000000" w:themeColor="text1"/>
                <w:kern w:val="2"/>
                <w:sz w:val="24"/>
                <w:szCs w:val="24"/>
                <w:highlight w:val="none"/>
                <w:lang w:val="zh-CN"/>
                <w14:textFill>
                  <w14:solidFill>
                    <w14:schemeClr w14:val="tx1"/>
                  </w14:solidFill>
                </w14:textFill>
              </w:rPr>
              <w:t>厂区地面均为</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碎石路</w:t>
            </w:r>
            <w:r>
              <w:rPr>
                <w:rFonts w:hint="default" w:ascii="Times New Roman" w:hAnsi="Times New Roman" w:eastAsia="宋体" w:cs="Times New Roman"/>
                <w:color w:val="000000" w:themeColor="text1"/>
                <w:kern w:val="2"/>
                <w:sz w:val="24"/>
                <w:szCs w:val="24"/>
                <w:highlight w:val="none"/>
                <w:lang w:val="zh-CN"/>
                <w14:textFill>
                  <w14:solidFill>
                    <w14:schemeClr w14:val="tx1"/>
                  </w14:solidFill>
                </w14:textFill>
              </w:rPr>
              <w:t>地面，贮存及运输过程中可能有各种污染物滴漏、散落在露天场地及路面上，遇雨天形成地表径流，污染物会随流带入周边水体，造成一定的环境污染，从而需要进行处理。</w:t>
            </w:r>
          </w:p>
          <w:p w14:paraId="5D4B599D">
            <w:pPr>
              <w:pageBreakBefore w:val="0"/>
              <w:kinsoku/>
              <w:wordWrap/>
              <w:overflowPunct w:val="0"/>
              <w:topLinePunct w:val="0"/>
              <w:autoSpaceDE/>
              <w:autoSpaceDN/>
              <w:bidi w:val="0"/>
              <w:spacing w:line="360" w:lineRule="auto"/>
              <w:ind w:firstLine="480" w:firstLineChars="200"/>
              <w:rPr>
                <w:rFonts w:hint="default" w:ascii="Times New Roman" w:hAnsi="Times New Roman" w:eastAsia="宋体" w:cs="Times New Roman"/>
                <w:color w:val="000000" w:themeColor="text1"/>
                <w:kern w:val="2"/>
                <w:sz w:val="24"/>
                <w:szCs w:val="24"/>
                <w:highlight w:val="none"/>
                <w:lang w:val="zh-CN"/>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zh-CN"/>
                <w14:textFill>
                  <w14:solidFill>
                    <w14:schemeClr w14:val="tx1"/>
                  </w14:solidFill>
                </w14:textFill>
              </w:rPr>
              <w:t>本项目位于曲靖市</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罗平县</w:t>
            </w:r>
            <w:r>
              <w:rPr>
                <w:rFonts w:hint="default" w:ascii="Times New Roman" w:hAnsi="Times New Roman" w:eastAsia="宋体" w:cs="Times New Roman"/>
                <w:color w:val="000000" w:themeColor="text1"/>
                <w:kern w:val="2"/>
                <w:sz w:val="24"/>
                <w:szCs w:val="24"/>
                <w:highlight w:val="none"/>
                <w:lang w:val="zh-CN"/>
                <w14:textFill>
                  <w14:solidFill>
                    <w14:schemeClr w14:val="tx1"/>
                  </w14:solidFill>
                </w14:textFill>
              </w:rPr>
              <w:t>，所在区域暴雨强度计算公式如下：</w:t>
            </w:r>
          </w:p>
          <w:p w14:paraId="17A0AE41">
            <w:pPr>
              <w:pageBreakBefore w:val="0"/>
              <w:kinsoku/>
              <w:wordWrap/>
              <w:overflowPunct w:val="0"/>
              <w:topLinePunct w:val="0"/>
              <w:autoSpaceDE/>
              <w:autoSpaceDN/>
              <w:bidi w:val="0"/>
              <w:spacing w:line="360" w:lineRule="auto"/>
              <w:jc w:val="center"/>
              <w:rPr>
                <w:rFonts w:hint="default" w:ascii="Times New Roman" w:hAnsi="Times New Roman" w:eastAsia="宋体" w:cs="Times New Roman"/>
                <w:color w:val="000000" w:themeColor="text1"/>
                <w:kern w:val="2"/>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object>
                <v:shape id="_x0000_i1032" o:spt="75" type="#_x0000_t75" style="height:36pt;width:117.75pt;" o:ole="t" filled="f" o:preferrelative="t" stroked="f" coordsize="21600,21600">
                  <v:path/>
                  <v:fill on="f" focussize="0,0"/>
                  <v:stroke on="f" joinstyle="miter"/>
                  <v:imagedata r:id="rId13" o:title=""/>
                  <o:lock v:ext="edit" aspectratio="t"/>
                  <w10:wrap type="none"/>
                  <w10:anchorlock/>
                </v:shape>
                <o:OLEObject Type="Embed" ProgID="Equation.3" ShapeID="_x0000_i1032" DrawAspect="Content" ObjectID="_1468075732" r:id="rId26">
                  <o:LockedField>false</o:LockedField>
                </o:OLEObject>
              </w:object>
            </w:r>
          </w:p>
          <w:p w14:paraId="0D074932">
            <w:pPr>
              <w:pageBreakBefore w:val="0"/>
              <w:kinsoku/>
              <w:wordWrap/>
              <w:overflowPunct w:val="0"/>
              <w:topLinePunct w:val="0"/>
              <w:autoSpaceDE/>
              <w:autoSpaceDN/>
              <w:bidi w:val="0"/>
              <w:spacing w:line="360" w:lineRule="auto"/>
              <w:ind w:firstLine="480" w:firstLineChars="200"/>
              <w:rPr>
                <w:rFonts w:hint="default" w:ascii="Times New Roman" w:hAnsi="Times New Roman" w:eastAsia="宋体" w:cs="Times New Roman"/>
                <w:color w:val="000000" w:themeColor="text1"/>
                <w:spacing w:val="-6"/>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式中：</w:t>
            </w:r>
            <w:r>
              <w:rPr>
                <w:rFonts w:hint="default" w:ascii="Times New Roman" w:hAnsi="Times New Roman" w:eastAsia="宋体" w:cs="Times New Roman"/>
                <w:color w:val="000000" w:themeColor="text1"/>
                <w:sz w:val="24"/>
                <w:szCs w:val="24"/>
                <w:highlight w:val="none"/>
                <w14:textFill>
                  <w14:solidFill>
                    <w14:schemeClr w14:val="tx1"/>
                  </w14:solidFill>
                </w14:textFill>
              </w:rPr>
              <w:t>q</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设计暴雨强度</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w:t>
            </w:r>
            <w:r>
              <w:rPr>
                <w:rFonts w:hint="default" w:ascii="Times New Roman" w:hAnsi="Times New Roman" w:eastAsia="宋体" w:cs="Times New Roman"/>
                <w:color w:val="000000" w:themeColor="text1"/>
                <w:spacing w:val="-120"/>
                <w:sz w:val="24"/>
                <w:szCs w:val="24"/>
                <w:highlight w:val="none"/>
                <w14:textFill>
                  <w14:solidFill>
                    <w14:schemeClr w14:val="tx1"/>
                  </w14:solidFill>
                </w14:textFill>
              </w:rPr>
              <w:t xml:space="preserve"> </w:t>
            </w:r>
            <w:r>
              <w:rPr>
                <w:rFonts w:hint="default" w:ascii="Times New Roman" w:hAnsi="Times New Roman" w:eastAsia="宋体" w:cs="Times New Roman"/>
                <w:color w:val="000000" w:themeColor="text1"/>
                <w:sz w:val="24"/>
                <w:szCs w:val="24"/>
                <w:highlight w:val="none"/>
                <w14:textFill>
                  <w14:solidFill>
                    <w14:schemeClr w14:val="tx1"/>
                  </w14:solidFill>
                </w14:textFill>
              </w:rPr>
              <w:t>L/s</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hm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w:t>
            </w:r>
          </w:p>
          <w:p w14:paraId="6E75053A">
            <w:pPr>
              <w:pageBreakBefore w:val="0"/>
              <w:kinsoku/>
              <w:wordWrap/>
              <w:overflowPunct w:val="0"/>
              <w:topLinePunct w:val="0"/>
              <w:autoSpaceDE/>
              <w:autoSpaceDN/>
              <w:bidi w:val="0"/>
              <w:spacing w:line="360" w:lineRule="auto"/>
              <w:ind w:firstLine="1200" w:firstLineChars="500"/>
              <w:rPr>
                <w:rFonts w:hint="default" w:ascii="Times New Roman" w:hAnsi="Times New Roman" w:eastAsia="宋体" w:cs="Times New Roman"/>
                <w:color w:val="000000" w:themeColor="text1"/>
                <w:kern w:val="2"/>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P</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设计降雨重现期a（5a）；</w:t>
            </w:r>
          </w:p>
          <w:p w14:paraId="7C629CBC">
            <w:pPr>
              <w:pageBreakBefore w:val="0"/>
              <w:kinsoku/>
              <w:wordWrap/>
              <w:overflowPunct w:val="0"/>
              <w:topLinePunct w:val="0"/>
              <w:autoSpaceDE/>
              <w:autoSpaceDN/>
              <w:bidi w:val="0"/>
              <w:adjustRightInd w:val="0"/>
              <w:spacing w:line="360" w:lineRule="auto"/>
              <w:ind w:firstLine="1200" w:firstLineChars="500"/>
              <w:rPr>
                <w:rFonts w:hint="default" w:ascii="Times New Roman" w:hAnsi="Times New Roman" w:eastAsia="宋体" w:cs="Times New Roman"/>
                <w:color w:val="000000" w:themeColor="text1"/>
                <w:kern w:val="2"/>
                <w:sz w:val="24"/>
                <w:szCs w:val="24"/>
                <w:highlight w:val="none"/>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t-</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降雨历时min（取</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60</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min）；</w:t>
            </w:r>
          </w:p>
          <w:p w14:paraId="634AED77">
            <w:pPr>
              <w:keepNext w:val="0"/>
              <w:keepLines w:val="0"/>
              <w:pageBreakBefore w:val="0"/>
              <w:widowControl w:val="0"/>
              <w:kinsoku/>
              <w:wordWrap/>
              <w:overflowPunct w:val="0"/>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000000" w:themeColor="text1"/>
                <w:kern w:val="2"/>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计算结果q=</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109.15</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L/s</w:t>
            </w:r>
            <w:r>
              <w:rPr>
                <w:rFonts w:hint="default"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hm</w:t>
            </w:r>
            <w:r>
              <w:rPr>
                <w:rFonts w:hint="default" w:ascii="Times New Roman" w:hAnsi="Times New Roman" w:eastAsia="宋体" w:cs="Times New Roman"/>
                <w:color w:val="000000" w:themeColor="text1"/>
                <w:kern w:val="2"/>
                <w:sz w:val="24"/>
                <w:szCs w:val="24"/>
                <w:highlight w:val="none"/>
                <w:vertAlign w:val="superscript"/>
                <w14:textFill>
                  <w14:solidFill>
                    <w14:schemeClr w14:val="tx1"/>
                  </w14:solidFill>
                </w14:textFill>
              </w:rPr>
              <w:t>2</w:t>
            </w:r>
            <w:r>
              <w:rPr>
                <w:rFonts w:hint="eastAsia" w:ascii="Times New Roman" w:hAnsi="Times New Roman" w:eastAsia="宋体" w:cs="Times New Roman"/>
                <w:color w:val="000000" w:themeColor="text1"/>
                <w:kern w:val="2"/>
                <w:sz w:val="24"/>
                <w:szCs w:val="24"/>
                <w:highlight w:val="none"/>
                <w:vertAlign w:val="baseline"/>
                <w:lang w:eastAsia="zh-CN"/>
                <w14:textFill>
                  <w14:solidFill>
                    <w14:schemeClr w14:val="tx1"/>
                  </w14:solidFill>
                </w14:textFill>
              </w:rPr>
              <w:t>。</w:t>
            </w:r>
          </w:p>
          <w:p w14:paraId="29CD2820">
            <w:pPr>
              <w:pStyle w:val="2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初期</w:t>
            </w:r>
            <w:r>
              <w:rPr>
                <w:rFonts w:hint="default" w:ascii="Times New Roman" w:hAnsi="Times New Roman" w:eastAsia="宋体" w:cs="Times New Roman"/>
                <w:color w:val="000000" w:themeColor="text1"/>
                <w:sz w:val="24"/>
                <w:szCs w:val="24"/>
                <w:highlight w:val="none"/>
                <w14:textFill>
                  <w14:solidFill>
                    <w14:schemeClr w14:val="tx1"/>
                  </w14:solidFill>
                </w14:textFill>
              </w:rPr>
              <w:t>雨水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涉及</w:t>
            </w:r>
            <w:r>
              <w:rPr>
                <w:rFonts w:hint="default" w:ascii="Times New Roman" w:hAnsi="Times New Roman" w:eastAsia="宋体" w:cs="Times New Roman"/>
                <w:color w:val="000000" w:themeColor="text1"/>
                <w:sz w:val="24"/>
                <w:szCs w:val="24"/>
                <w:highlight w:val="none"/>
                <w14:textFill>
                  <w14:solidFill>
                    <w14:schemeClr w14:val="tx1"/>
                  </w14:solidFill>
                </w14:textFill>
              </w:rPr>
              <w:t>汇水量计算公式：</w:t>
            </w:r>
          </w:p>
          <w:p w14:paraId="0B1A82C5">
            <w:pPr>
              <w:pageBreakBefore w:val="0"/>
              <w:kinsoku/>
              <w:wordWrap/>
              <w:overflowPunct w:val="0"/>
              <w:topLinePunct w:val="0"/>
              <w:autoSpaceDE/>
              <w:autoSpaceDN/>
              <w:bidi w:val="0"/>
              <w:spacing w:line="360" w:lineRule="auto"/>
              <w:jc w:val="center"/>
              <w:rPr>
                <w:rFonts w:hint="default" w:ascii="Times New Roman" w:hAnsi="Times New Roman" w:eastAsia="宋体" w:cs="Times New Roman"/>
                <w:color w:val="000000" w:themeColor="text1"/>
                <w:kern w:val="2"/>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2"/>
                <w:position w:val="-10"/>
                <w:sz w:val="24"/>
                <w:szCs w:val="24"/>
                <w:highlight w:val="none"/>
                <w14:textFill>
                  <w14:solidFill>
                    <w14:schemeClr w14:val="tx1"/>
                  </w14:solidFill>
                </w14:textFill>
              </w:rPr>
              <w:object>
                <v:shape id="_x0000_i1033" o:spt="75" type="#_x0000_t75" style="height:16pt;width:51pt;" o:ole="t" filled="f" o:preferrelative="t" stroked="f" coordsize="21600,21600">
                  <v:path/>
                  <v:fill on="f" focussize="0,0"/>
                  <v:stroke on="f"/>
                  <v:imagedata r:id="rId15" o:title=""/>
                  <o:lock v:ext="edit" aspectratio="t"/>
                  <w10:wrap type="none"/>
                  <w10:anchorlock/>
                </v:shape>
                <o:OLEObject Type="Embed" ProgID="Equation.KSEE3" ShapeID="_x0000_i1033" DrawAspect="Content" ObjectID="_1468075733" r:id="rId27">
                  <o:LockedField>false</o:LockedField>
                </o:OLEObject>
              </w:object>
            </w:r>
          </w:p>
          <w:p w14:paraId="56A4E2EF">
            <w:pPr>
              <w:pageBreakBefore w:val="0"/>
              <w:kinsoku/>
              <w:wordWrap/>
              <w:overflowPunct w:val="0"/>
              <w:topLinePunct w:val="0"/>
              <w:autoSpaceDE/>
              <w:autoSpaceDN/>
              <w:bidi w:val="0"/>
              <w:spacing w:line="360" w:lineRule="auto"/>
              <w:ind w:firstLine="480" w:firstLineChars="200"/>
              <w:jc w:val="left"/>
              <w:rPr>
                <w:rFonts w:hint="default" w:ascii="Times New Roman" w:hAnsi="Times New Roman" w:eastAsia="宋体" w:cs="Times New Roman"/>
                <w:color w:val="000000" w:themeColor="text1"/>
                <w:kern w:val="2"/>
                <w:sz w:val="24"/>
                <w:szCs w:val="24"/>
                <w:highlight w:val="none"/>
                <w:lang w:eastAsia="zh-CN"/>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式中：</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Q</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雨水流量，L；</w:t>
            </w:r>
          </w:p>
          <w:p w14:paraId="2840ADF6">
            <w:pPr>
              <w:pageBreakBefore w:val="0"/>
              <w:kinsoku/>
              <w:wordWrap/>
              <w:overflowPunct w:val="0"/>
              <w:topLinePunct w:val="0"/>
              <w:autoSpaceDE/>
              <w:autoSpaceDN/>
              <w:bidi w:val="0"/>
              <w:spacing w:line="360" w:lineRule="auto"/>
              <w:ind w:firstLine="1200" w:firstLineChars="500"/>
              <w:jc w:val="left"/>
              <w:rPr>
                <w:rFonts w:hint="default" w:ascii="Times New Roman" w:hAnsi="Times New Roman" w:eastAsia="宋体" w:cs="Times New Roman"/>
                <w:color w:val="000000" w:themeColor="text1"/>
                <w:kern w:val="2"/>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F</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汇水面积</w:t>
            </w:r>
            <w:r>
              <w:rPr>
                <w:rFonts w:hint="default" w:ascii="Times New Roman" w:hAnsi="Times New Roman" w:eastAsia="宋体" w:cs="Times New Roman"/>
                <w:color w:val="000000" w:themeColor="text1"/>
                <w:kern w:val="2"/>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hm</w:t>
            </w:r>
            <w:r>
              <w:rPr>
                <w:rFonts w:hint="default" w:ascii="Times New Roman" w:hAnsi="Times New Roman" w:eastAsia="宋体" w:cs="Times New Roman"/>
                <w:color w:val="000000" w:themeColor="text1"/>
                <w:kern w:val="2"/>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kern w:val="2"/>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lang w:eastAsia="zh-CN"/>
                <w14:textFill>
                  <w14:solidFill>
                    <w14:schemeClr w14:val="tx1"/>
                  </w14:solidFill>
                </w14:textFill>
              </w:rPr>
              <w:t>本项目为</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0.22</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hm</w:t>
            </w:r>
            <w:r>
              <w:rPr>
                <w:rFonts w:hint="default" w:ascii="Times New Roman" w:hAnsi="Times New Roman" w:eastAsia="宋体" w:cs="Times New Roman"/>
                <w:color w:val="000000" w:themeColor="text1"/>
                <w:kern w:val="2"/>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w:t>
            </w:r>
          </w:p>
          <w:p w14:paraId="02932EBB">
            <w:pPr>
              <w:pageBreakBefore w:val="0"/>
              <w:kinsoku/>
              <w:wordWrap/>
              <w:overflowPunct w:val="0"/>
              <w:topLinePunct w:val="0"/>
              <w:autoSpaceDE/>
              <w:autoSpaceDN/>
              <w:bidi w:val="0"/>
              <w:spacing w:line="360" w:lineRule="auto"/>
              <w:ind w:firstLine="1200" w:firstLineChars="500"/>
              <w:jc w:val="left"/>
              <w:rPr>
                <w:rFonts w:hint="default" w:ascii="Times New Roman" w:hAnsi="Times New Roman" w:eastAsia="宋体" w:cs="Times New Roman"/>
                <w:color w:val="000000" w:themeColor="text1"/>
                <w:kern w:val="2"/>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φ</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为径流系数，</w:t>
            </w:r>
            <w:r>
              <w:rPr>
                <w:rFonts w:hint="eastAsia" w:cs="Times New Roman"/>
                <w:color w:val="000000" w:themeColor="text1"/>
                <w:kern w:val="2"/>
                <w:sz w:val="24"/>
                <w:szCs w:val="24"/>
                <w:highlight w:val="none"/>
                <w:lang w:val="en-US" w:eastAsia="zh-CN"/>
                <w14:textFill>
                  <w14:solidFill>
                    <w14:schemeClr w14:val="tx1"/>
                  </w14:solidFill>
                </w14:textFill>
              </w:rPr>
              <w:t>原有项目为</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碎石路面</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取值为</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0.4</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w:t>
            </w:r>
          </w:p>
          <w:p w14:paraId="2EB33C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b w:val="0"/>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按照上述公式计算，项目区的暴雨强度为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109.15</w:t>
            </w:r>
            <w:r>
              <w:rPr>
                <w:rFonts w:hint="default" w:ascii="Times New Roman" w:hAnsi="Times New Roman" w:eastAsia="宋体" w:cs="Times New Roman"/>
                <w:color w:val="000000" w:themeColor="text1"/>
                <w:sz w:val="24"/>
                <w:szCs w:val="24"/>
                <w:highlight w:val="none"/>
                <w14:textFill>
                  <w14:solidFill>
                    <w14:schemeClr w14:val="tx1"/>
                  </w14:solidFill>
                </w14:textFill>
              </w:rPr>
              <w:t>L/秒·hm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，项目</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场地</w:t>
            </w:r>
            <w:r>
              <w:rPr>
                <w:rFonts w:hint="default" w:ascii="Times New Roman" w:hAnsi="Times New Roman" w:eastAsia="宋体" w:cs="Times New Roman"/>
                <w:color w:val="000000" w:themeColor="text1"/>
                <w:sz w:val="24"/>
                <w:szCs w:val="24"/>
                <w:highlight w:val="none"/>
                <w14:textFill>
                  <w14:solidFill>
                    <w14:schemeClr w14:val="tx1"/>
                  </w14:solidFill>
                </w14:textFill>
              </w:rPr>
              <w:t>在设计重现期</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14:textFill>
                  <w14:solidFill>
                    <w14:schemeClr w14:val="tx1"/>
                  </w14:solidFill>
                </w14:textFill>
              </w:rPr>
              <w:t>年的条件下，雨水流量为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16.2</w:t>
            </w:r>
            <w:r>
              <w:rPr>
                <w:rFonts w:hint="default" w:ascii="Times New Roman" w:hAnsi="Times New Roman" w:eastAsia="宋体" w:cs="Times New Roman"/>
                <w:color w:val="000000" w:themeColor="text1"/>
                <w:sz w:val="24"/>
                <w:szCs w:val="24"/>
                <w:highlight w:val="none"/>
                <w14:textFill>
                  <w14:solidFill>
                    <w14:schemeClr w14:val="tx1"/>
                  </w14:solidFill>
                </w14:textFill>
              </w:rPr>
              <w:t>L/s</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本次评价考虑对暴雨条件下前15min的雨水进行收集，则暴雨情况下需收集的雨水量为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9.6m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/次（1152m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/a）</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项目区设置有1个容积为20m</w:t>
            </w:r>
            <w:r>
              <w:rPr>
                <w:rFonts w:hint="eastAsia"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的初期雨水收集池收集沉淀后全部回用于项目区洒水降尘，不外排</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5FBE7549">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b/>
                <w:color w:val="000000" w:themeColor="text1"/>
                <w14:textFill>
                  <w14:solidFill>
                    <w14:schemeClr w14:val="tx1"/>
                  </w14:solidFill>
                </w14:textFill>
              </w:rPr>
            </w:pPr>
            <w:r>
              <w:rPr>
                <w:rFonts w:hint="eastAsia"/>
                <w:b/>
                <w:color w:val="000000" w:themeColor="text1"/>
                <w:sz w:val="24"/>
                <w:lang w:val="en-US" w:eastAsia="zh-CN"/>
                <w14:textFill>
                  <w14:solidFill>
                    <w14:schemeClr w14:val="tx1"/>
                  </w14:solidFill>
                </w14:textFill>
              </w:rPr>
              <w:t>4.3</w:t>
            </w:r>
            <w:r>
              <w:rPr>
                <w:rFonts w:hint="eastAsia"/>
                <w:b/>
                <w:color w:val="000000" w:themeColor="text1"/>
                <w:sz w:val="24"/>
                <w14:textFill>
                  <w14:solidFill>
                    <w14:schemeClr w14:val="tx1"/>
                  </w14:solidFill>
                </w14:textFill>
              </w:rPr>
              <w:t>噪声</w:t>
            </w:r>
          </w:p>
          <w:p w14:paraId="0A8901EE">
            <w:pPr>
              <w:pStyle w:val="9"/>
              <w:tabs>
                <w:tab w:val="left" w:pos="5220"/>
              </w:tabs>
              <w:spacing w:before="0" w:after="0" w:line="360" w:lineRule="auto"/>
              <w:ind w:right="0" w:firstLine="482"/>
              <w:outlineLvl w:val="2"/>
              <w:rPr>
                <w:bCs/>
                <w:color w:val="000000" w:themeColor="text1"/>
                <w:sz w:val="24"/>
                <w14:textFill>
                  <w14:solidFill>
                    <w14:schemeClr w14:val="tx1"/>
                  </w14:solidFill>
                </w14:textFill>
              </w:rPr>
            </w:pPr>
            <w:r>
              <w:rPr>
                <w:color w:val="000000" w:themeColor="text1"/>
                <w:sz w:val="24"/>
                <w:szCs w:val="24"/>
                <w14:textFill>
                  <w14:solidFill>
                    <w14:schemeClr w14:val="tx1"/>
                  </w14:solidFill>
                </w14:textFill>
              </w:rPr>
              <w:t>原有工程噪声主要</w:t>
            </w:r>
            <w:r>
              <w:rPr>
                <w:rFonts w:hint="eastAsia"/>
                <w:color w:val="000000" w:themeColor="text1"/>
                <w:sz w:val="24"/>
                <w:szCs w:val="24"/>
                <w:lang w:eastAsia="zh-CN"/>
                <w14:textFill>
                  <w14:solidFill>
                    <w14:schemeClr w14:val="tx1"/>
                  </w14:solidFill>
                </w14:textFill>
              </w:rPr>
              <w:t>来自</w:t>
            </w:r>
            <w:r>
              <w:rPr>
                <w:rFonts w:hint="eastAsia"/>
                <w:color w:val="000000" w:themeColor="text1"/>
                <w:sz w:val="24"/>
                <w:szCs w:val="24"/>
                <w14:textFill>
                  <w14:solidFill>
                    <w14:schemeClr w14:val="tx1"/>
                  </w14:solidFill>
                </w14:textFill>
              </w:rPr>
              <w:t>生产设备</w:t>
            </w:r>
            <w:r>
              <w:rPr>
                <w:color w:val="000000" w:themeColor="text1"/>
                <w:sz w:val="24"/>
                <w:szCs w:val="24"/>
                <w14:textFill>
                  <w14:solidFill>
                    <w14:schemeClr w14:val="tx1"/>
                  </w14:solidFill>
                </w14:textFill>
              </w:rPr>
              <w:t>，源强为7</w:t>
            </w:r>
            <w:r>
              <w:rPr>
                <w:rFonts w:hint="eastAsia"/>
                <w:color w:val="000000" w:themeColor="text1"/>
                <w:sz w:val="24"/>
                <w:szCs w:val="24"/>
                <w:lang w:val="en-US" w:eastAsia="zh-CN"/>
                <w14:textFill>
                  <w14:solidFill>
                    <w14:schemeClr w14:val="tx1"/>
                  </w14:solidFill>
                </w14:textFill>
              </w:rPr>
              <w:t>5</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90</w:t>
            </w:r>
            <w:r>
              <w:rPr>
                <w:color w:val="000000" w:themeColor="text1"/>
                <w:sz w:val="24"/>
                <w:szCs w:val="24"/>
                <w14:textFill>
                  <w14:solidFill>
                    <w14:schemeClr w14:val="tx1"/>
                  </w14:solidFill>
                </w14:textFill>
              </w:rPr>
              <w:t>dB（A）。</w:t>
            </w:r>
            <w:r>
              <w:rPr>
                <w:rFonts w:hint="eastAsia"/>
                <w:color w:val="000000" w:themeColor="text1"/>
                <w:sz w:val="24"/>
                <w:szCs w:val="24"/>
                <w14:textFill>
                  <w14:solidFill>
                    <w14:schemeClr w14:val="tx1"/>
                  </w14:solidFill>
                </w14:textFill>
              </w:rPr>
              <w:t>生产设备</w:t>
            </w:r>
            <w:r>
              <w:rPr>
                <w:rFonts w:hint="eastAsia"/>
                <w:color w:val="000000" w:themeColor="text1"/>
                <w:sz w:val="24"/>
                <w:szCs w:val="24"/>
                <w:lang w:val="en-US" w:eastAsia="zh-CN"/>
                <w14:textFill>
                  <w14:solidFill>
                    <w14:schemeClr w14:val="tx1"/>
                  </w14:solidFill>
                </w14:textFill>
              </w:rPr>
              <w:t>均设置在</w:t>
            </w:r>
            <w:r>
              <w:rPr>
                <w:rFonts w:hint="eastAsia"/>
                <w:color w:val="000000" w:themeColor="text1"/>
                <w:sz w:val="24"/>
                <w:szCs w:val="24"/>
                <w14:textFill>
                  <w14:solidFill>
                    <w14:schemeClr w14:val="tx1"/>
                  </w14:solidFill>
                </w14:textFill>
              </w:rPr>
              <w:t>厂房内</w:t>
            </w:r>
            <w:r>
              <w:rPr>
                <w:color w:val="000000" w:themeColor="text1"/>
                <w:sz w:val="24"/>
                <w:szCs w:val="24"/>
                <w14:textFill>
                  <w14:solidFill>
                    <w14:schemeClr w14:val="tx1"/>
                  </w14:solidFill>
                </w14:textFill>
              </w:rPr>
              <w:t>，且设置基础减振</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厂房隔声等</w:t>
            </w:r>
            <w:r>
              <w:rPr>
                <w:color w:val="000000" w:themeColor="text1"/>
                <w:sz w:val="24"/>
                <w:szCs w:val="24"/>
                <w14:textFill>
                  <w14:solidFill>
                    <w14:schemeClr w14:val="tx1"/>
                  </w14:solidFill>
                </w14:textFill>
              </w:rPr>
              <w:t>措施。</w:t>
            </w:r>
            <w:r>
              <w:rPr>
                <w:rFonts w:hint="default" w:ascii="Times New Roman" w:hAnsi="Times New Roman" w:eastAsia="宋体" w:cs="Times New Roman"/>
                <w:color w:val="000000" w:themeColor="text1"/>
                <w:sz w:val="24"/>
                <w:szCs w:val="24"/>
                <w14:textFill>
                  <w14:solidFill>
                    <w14:schemeClr w14:val="tx1"/>
                  </w14:solidFill>
                </w14:textFill>
              </w:rPr>
              <w:t>本次环评收集了现有项目</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罗平县慧联青瓦厂2024年第二季度自行监测报告</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（报告编号：YNZKBG20240612005）、</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罗平县慧联青瓦厂2024年第四季度自行监测报告</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（报告编号：YNZKBG20241015013）中的</w:t>
            </w:r>
            <w:r>
              <w:rPr>
                <w:rFonts w:hint="default" w:ascii="Times New Roman" w:hAnsi="Times New Roman" w:eastAsia="宋体" w:cs="Times New Roman"/>
                <w:color w:val="000000" w:themeColor="text1"/>
                <w:sz w:val="24"/>
                <w:szCs w:val="24"/>
                <w14:textFill>
                  <w14:solidFill>
                    <w14:schemeClr w14:val="tx1"/>
                  </w14:solidFill>
                </w14:textFill>
              </w:rPr>
              <w:t>监测数据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分析厂界达标情况</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eastAsia"/>
                <w:color w:val="000000" w:themeColor="text1"/>
                <w:sz w:val="24"/>
                <w:lang w:val="en-US" w:eastAsia="zh-CN"/>
                <w14:textFill>
                  <w14:solidFill>
                    <w14:schemeClr w14:val="tx1"/>
                  </w14:solidFill>
                </w14:textFill>
              </w:rPr>
              <w:t>原有</w:t>
            </w:r>
            <w:r>
              <w:rPr>
                <w:bCs/>
                <w:color w:val="000000" w:themeColor="text1"/>
                <w:sz w:val="24"/>
                <w14:textFill>
                  <w14:solidFill>
                    <w14:schemeClr w14:val="tx1"/>
                  </w14:solidFill>
                </w14:textFill>
              </w:rPr>
              <w:t>工程</w:t>
            </w:r>
            <w:r>
              <w:rPr>
                <w:rFonts w:hint="eastAsia"/>
                <w:bCs/>
                <w:color w:val="000000" w:themeColor="text1"/>
                <w:sz w:val="24"/>
                <w14:textFill>
                  <w14:solidFill>
                    <w14:schemeClr w14:val="tx1"/>
                  </w14:solidFill>
                </w14:textFill>
              </w:rPr>
              <w:t>厂界</w:t>
            </w:r>
            <w:r>
              <w:rPr>
                <w:bCs/>
                <w:color w:val="000000" w:themeColor="text1"/>
                <w:sz w:val="24"/>
                <w14:textFill>
                  <w14:solidFill>
                    <w14:schemeClr w14:val="tx1"/>
                  </w14:solidFill>
                </w14:textFill>
              </w:rPr>
              <w:t>噪声监测结果见</w:t>
            </w:r>
            <w:r>
              <w:rPr>
                <w:rFonts w:hint="eastAsia"/>
                <w:bCs/>
                <w:color w:val="000000" w:themeColor="text1"/>
                <w:sz w:val="24"/>
                <w:lang w:val="en-US" w:eastAsia="zh-CN"/>
                <w14:textFill>
                  <w14:solidFill>
                    <w14:schemeClr w14:val="tx1"/>
                  </w14:solidFill>
                </w14:textFill>
              </w:rPr>
              <w:t>下表</w:t>
            </w:r>
            <w:r>
              <w:rPr>
                <w:bCs/>
                <w:color w:val="000000" w:themeColor="text1"/>
                <w:sz w:val="24"/>
                <w14:textFill>
                  <w14:solidFill>
                    <w14:schemeClr w14:val="tx1"/>
                  </w14:solidFill>
                </w14:textFill>
              </w:rPr>
              <w:t>。</w:t>
            </w:r>
          </w:p>
          <w:p w14:paraId="54AB1072">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default" w:eastAsia="宋体"/>
                <w:b/>
                <w:bCs/>
                <w:color w:val="000000" w:themeColor="text1"/>
                <w:sz w:val="24"/>
                <w:szCs w:val="24"/>
                <w:lang w:val="en-US" w:eastAsia="zh-CN"/>
                <w14:textFill>
                  <w14:solidFill>
                    <w14:schemeClr w14:val="tx1"/>
                  </w14:solidFill>
                </w14:textFill>
              </w:rPr>
            </w:pPr>
            <w:r>
              <w:rPr>
                <w:b/>
                <w:bCs/>
                <w:color w:val="000000" w:themeColor="text1"/>
                <w:sz w:val="24"/>
                <w:szCs w:val="24"/>
                <w14:textFill>
                  <w14:solidFill>
                    <w14:schemeClr w14:val="tx1"/>
                  </w14:solidFill>
                </w14:textFill>
              </w:rPr>
              <w:t>表2-</w:t>
            </w:r>
            <w:r>
              <w:rPr>
                <w:rFonts w:hint="eastAsia"/>
                <w:b/>
                <w:bCs/>
                <w:color w:val="000000" w:themeColor="text1"/>
                <w:sz w:val="24"/>
                <w:szCs w:val="24"/>
                <w:lang w:val="en-US" w:eastAsia="zh-CN"/>
                <w14:textFill>
                  <w14:solidFill>
                    <w14:schemeClr w14:val="tx1"/>
                  </w14:solidFill>
                </w14:textFill>
              </w:rPr>
              <w:t>27</w:t>
            </w:r>
            <w:r>
              <w:rPr>
                <w:b/>
                <w:bCs/>
                <w:color w:val="000000" w:themeColor="text1"/>
                <w:sz w:val="24"/>
                <w:szCs w:val="24"/>
                <w14:textFill>
                  <w14:solidFill>
                    <w14:schemeClr w14:val="tx1"/>
                  </w14:solidFill>
                </w14:textFill>
              </w:rPr>
              <w:t xml:space="preserve">  现有项目厂界噪声监测统计表</w:t>
            </w:r>
            <w:r>
              <w:rPr>
                <w:rFonts w:hint="eastAsia"/>
                <w:b/>
                <w:bCs/>
                <w:color w:val="000000" w:themeColor="text1"/>
                <w:sz w:val="24"/>
                <w:szCs w:val="24"/>
                <w:lang w:val="en-US" w:eastAsia="zh-CN"/>
                <w14:textFill>
                  <w14:solidFill>
                    <w14:schemeClr w14:val="tx1"/>
                  </w14:solidFill>
                </w14:textFill>
              </w:rPr>
              <w:t xml:space="preserve">  单位：dB（A）</w:t>
            </w:r>
          </w:p>
          <w:tbl>
            <w:tblPr>
              <w:tblStyle w:val="28"/>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1080"/>
              <w:gridCol w:w="1549"/>
              <w:gridCol w:w="1549"/>
              <w:gridCol w:w="1549"/>
              <w:gridCol w:w="1552"/>
            </w:tblGrid>
            <w:tr w14:paraId="375AE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25" w:type="dxa"/>
                  <w:noWrap w:val="0"/>
                  <w:vAlign w:val="center"/>
                </w:tcPr>
                <w:p w14:paraId="637D8A99">
                  <w:pPr>
                    <w:bidi w:val="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检测时间</w:t>
                  </w:r>
                </w:p>
              </w:tc>
              <w:tc>
                <w:tcPr>
                  <w:tcW w:w="1080" w:type="dxa"/>
                  <w:noWrap w:val="0"/>
                  <w:vAlign w:val="center"/>
                </w:tcPr>
                <w:p w14:paraId="67AB18D9">
                  <w:pPr>
                    <w:bidi w:val="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检测时段</w:t>
                  </w:r>
                </w:p>
              </w:tc>
              <w:tc>
                <w:tcPr>
                  <w:tcW w:w="1549" w:type="dxa"/>
                  <w:noWrap w:val="0"/>
                  <w:vAlign w:val="center"/>
                </w:tcPr>
                <w:p w14:paraId="21FABB4E">
                  <w:pPr>
                    <w:bidi w:val="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厂界东外1m处</w:t>
                  </w:r>
                </w:p>
              </w:tc>
              <w:tc>
                <w:tcPr>
                  <w:tcW w:w="1549" w:type="dxa"/>
                  <w:noWrap w:val="0"/>
                  <w:vAlign w:val="center"/>
                </w:tcPr>
                <w:p w14:paraId="4E41E822">
                  <w:pPr>
                    <w:bidi w:val="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厂界南外1m处</w:t>
                  </w:r>
                </w:p>
              </w:tc>
              <w:tc>
                <w:tcPr>
                  <w:tcW w:w="1549" w:type="dxa"/>
                  <w:noWrap w:val="0"/>
                  <w:vAlign w:val="center"/>
                </w:tcPr>
                <w:p w14:paraId="7DEEC3E0">
                  <w:pPr>
                    <w:bidi w:val="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厂界西外1m处</w:t>
                  </w:r>
                </w:p>
              </w:tc>
              <w:tc>
                <w:tcPr>
                  <w:tcW w:w="1552" w:type="dxa"/>
                  <w:noWrap w:val="0"/>
                  <w:vAlign w:val="center"/>
                </w:tcPr>
                <w:p w14:paraId="6EDA1BB7">
                  <w:pPr>
                    <w:bidi w:val="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厂界北外1m处</w:t>
                  </w:r>
                </w:p>
              </w:tc>
            </w:tr>
            <w:tr w14:paraId="16CE0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25" w:type="dxa"/>
                  <w:vMerge w:val="restart"/>
                  <w:noWrap w:val="0"/>
                  <w:vAlign w:val="center"/>
                </w:tcPr>
                <w:p w14:paraId="6A9C678A">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2024.06.07</w:t>
                  </w:r>
                </w:p>
              </w:tc>
              <w:tc>
                <w:tcPr>
                  <w:tcW w:w="1080" w:type="dxa"/>
                  <w:noWrap w:val="0"/>
                  <w:vAlign w:val="center"/>
                </w:tcPr>
                <w:p w14:paraId="7B560A27">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昼间</w:t>
                  </w:r>
                </w:p>
              </w:tc>
              <w:tc>
                <w:tcPr>
                  <w:tcW w:w="1549" w:type="dxa"/>
                  <w:noWrap w:val="0"/>
                  <w:vAlign w:val="center"/>
                </w:tcPr>
                <w:p w14:paraId="16CE0D29">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52</w:t>
                  </w:r>
                </w:p>
              </w:tc>
              <w:tc>
                <w:tcPr>
                  <w:tcW w:w="1549" w:type="dxa"/>
                  <w:noWrap w:val="0"/>
                  <w:vAlign w:val="center"/>
                </w:tcPr>
                <w:p w14:paraId="71696EF1">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47</w:t>
                  </w:r>
                </w:p>
              </w:tc>
              <w:tc>
                <w:tcPr>
                  <w:tcW w:w="1549" w:type="dxa"/>
                  <w:noWrap w:val="0"/>
                  <w:vAlign w:val="center"/>
                </w:tcPr>
                <w:p w14:paraId="2DC8A0F2">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52</w:t>
                  </w:r>
                </w:p>
              </w:tc>
              <w:tc>
                <w:tcPr>
                  <w:tcW w:w="1552" w:type="dxa"/>
                  <w:noWrap w:val="0"/>
                  <w:vAlign w:val="center"/>
                </w:tcPr>
                <w:p w14:paraId="68BBCC5E">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46</w:t>
                  </w:r>
                </w:p>
              </w:tc>
            </w:tr>
            <w:tr w14:paraId="6935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25" w:type="dxa"/>
                  <w:vMerge w:val="continue"/>
                  <w:noWrap w:val="0"/>
                  <w:vAlign w:val="center"/>
                </w:tcPr>
                <w:p w14:paraId="120F509E">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1080" w:type="dxa"/>
                  <w:noWrap w:val="0"/>
                  <w:vAlign w:val="center"/>
                </w:tcPr>
                <w:p w14:paraId="6F243337">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夜间</w:t>
                  </w:r>
                </w:p>
              </w:tc>
              <w:tc>
                <w:tcPr>
                  <w:tcW w:w="1549" w:type="dxa"/>
                  <w:noWrap w:val="0"/>
                  <w:vAlign w:val="center"/>
                </w:tcPr>
                <w:p w14:paraId="1736FF35">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44</w:t>
                  </w:r>
                </w:p>
              </w:tc>
              <w:tc>
                <w:tcPr>
                  <w:tcW w:w="1549" w:type="dxa"/>
                  <w:noWrap w:val="0"/>
                  <w:vAlign w:val="center"/>
                </w:tcPr>
                <w:p w14:paraId="22CA03DF">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46</w:t>
                  </w:r>
                </w:p>
              </w:tc>
              <w:tc>
                <w:tcPr>
                  <w:tcW w:w="1549" w:type="dxa"/>
                  <w:noWrap w:val="0"/>
                  <w:vAlign w:val="center"/>
                </w:tcPr>
                <w:p w14:paraId="3C7B945A">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41</w:t>
                  </w:r>
                </w:p>
              </w:tc>
              <w:tc>
                <w:tcPr>
                  <w:tcW w:w="1552" w:type="dxa"/>
                  <w:noWrap w:val="0"/>
                  <w:vAlign w:val="center"/>
                </w:tcPr>
                <w:p w14:paraId="03E59B24">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41</w:t>
                  </w:r>
                </w:p>
              </w:tc>
            </w:tr>
            <w:tr w14:paraId="3BF7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25" w:type="dxa"/>
                  <w:vMerge w:val="restart"/>
                  <w:noWrap w:val="0"/>
                  <w:vAlign w:val="center"/>
                </w:tcPr>
                <w:p w14:paraId="7C86F65A">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2024.10.11</w:t>
                  </w:r>
                </w:p>
              </w:tc>
              <w:tc>
                <w:tcPr>
                  <w:tcW w:w="1080" w:type="dxa"/>
                  <w:noWrap w:val="0"/>
                  <w:vAlign w:val="center"/>
                </w:tcPr>
                <w:p w14:paraId="7C03677F">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昼间</w:t>
                  </w:r>
                </w:p>
              </w:tc>
              <w:tc>
                <w:tcPr>
                  <w:tcW w:w="1549" w:type="dxa"/>
                  <w:noWrap w:val="0"/>
                  <w:vAlign w:val="center"/>
                </w:tcPr>
                <w:p w14:paraId="234395E0">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55</w:t>
                  </w:r>
                </w:p>
              </w:tc>
              <w:tc>
                <w:tcPr>
                  <w:tcW w:w="1549" w:type="dxa"/>
                  <w:noWrap w:val="0"/>
                  <w:vAlign w:val="center"/>
                </w:tcPr>
                <w:p w14:paraId="743028DF">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51</w:t>
                  </w:r>
                </w:p>
              </w:tc>
              <w:tc>
                <w:tcPr>
                  <w:tcW w:w="1549" w:type="dxa"/>
                  <w:noWrap w:val="0"/>
                  <w:vAlign w:val="center"/>
                </w:tcPr>
                <w:p w14:paraId="60DD3D7A">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54</w:t>
                  </w:r>
                </w:p>
              </w:tc>
              <w:tc>
                <w:tcPr>
                  <w:tcW w:w="1552" w:type="dxa"/>
                  <w:noWrap w:val="0"/>
                  <w:vAlign w:val="center"/>
                </w:tcPr>
                <w:p w14:paraId="43E0BBB7">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51</w:t>
                  </w:r>
                </w:p>
              </w:tc>
            </w:tr>
            <w:tr w14:paraId="4346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25" w:type="dxa"/>
                  <w:vMerge w:val="continue"/>
                  <w:noWrap w:val="0"/>
                  <w:vAlign w:val="center"/>
                </w:tcPr>
                <w:p w14:paraId="3D687FE8">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1080" w:type="dxa"/>
                  <w:noWrap w:val="0"/>
                  <w:vAlign w:val="center"/>
                </w:tcPr>
                <w:p w14:paraId="1E1F1DED">
                  <w:pPr>
                    <w:bidi w:val="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夜间</w:t>
                  </w:r>
                </w:p>
              </w:tc>
              <w:tc>
                <w:tcPr>
                  <w:tcW w:w="1549" w:type="dxa"/>
                  <w:noWrap w:val="0"/>
                  <w:vAlign w:val="center"/>
                </w:tcPr>
                <w:p w14:paraId="3ABBB3EA">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46</w:t>
                  </w:r>
                </w:p>
              </w:tc>
              <w:tc>
                <w:tcPr>
                  <w:tcW w:w="1549" w:type="dxa"/>
                  <w:noWrap w:val="0"/>
                  <w:vAlign w:val="center"/>
                </w:tcPr>
                <w:p w14:paraId="0E974254">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43</w:t>
                  </w:r>
                </w:p>
              </w:tc>
              <w:tc>
                <w:tcPr>
                  <w:tcW w:w="1549" w:type="dxa"/>
                  <w:noWrap w:val="0"/>
                  <w:vAlign w:val="center"/>
                </w:tcPr>
                <w:p w14:paraId="77782EB4">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45</w:t>
                  </w:r>
                </w:p>
              </w:tc>
              <w:tc>
                <w:tcPr>
                  <w:tcW w:w="1552" w:type="dxa"/>
                  <w:noWrap w:val="0"/>
                  <w:vAlign w:val="center"/>
                </w:tcPr>
                <w:p w14:paraId="5E2394CE">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42</w:t>
                  </w:r>
                </w:p>
              </w:tc>
            </w:tr>
          </w:tbl>
          <w:p w14:paraId="0A8E9FCD">
            <w:pPr>
              <w:pStyle w:val="9"/>
              <w:tabs>
                <w:tab w:val="left" w:pos="5220"/>
              </w:tabs>
              <w:spacing w:before="0" w:after="0" w:line="360" w:lineRule="auto"/>
              <w:ind w:right="0" w:firstLine="480" w:firstLineChars="200"/>
              <w:outlineLvl w:val="2"/>
              <w:rPr>
                <w:b/>
                <w:color w:val="000000" w:themeColor="text1"/>
                <w:szCs w:val="24"/>
                <w14:textFill>
                  <w14:solidFill>
                    <w14:schemeClr w14:val="tx1"/>
                  </w14:solidFill>
                </w14:textFill>
              </w:rPr>
            </w:pPr>
            <w:r>
              <w:rPr>
                <w:rFonts w:hint="eastAsia"/>
                <w:bCs/>
                <w:color w:val="000000" w:themeColor="text1"/>
                <w:sz w:val="24"/>
                <w14:textFill>
                  <w14:solidFill>
                    <w14:schemeClr w14:val="tx1"/>
                  </w14:solidFill>
                </w14:textFill>
              </w:rPr>
              <w:t>根据</w:t>
            </w:r>
            <w:r>
              <w:rPr>
                <w:rFonts w:hint="eastAsia"/>
                <w:bCs/>
                <w:color w:val="000000" w:themeColor="text1"/>
                <w:sz w:val="24"/>
                <w:lang w:val="en-US" w:eastAsia="zh-CN"/>
                <w14:textFill>
                  <w14:solidFill>
                    <w14:schemeClr w14:val="tx1"/>
                  </w14:solidFill>
                </w14:textFill>
              </w:rPr>
              <w:t>原有项目2024年自行监测数据可知</w:t>
            </w:r>
            <w:r>
              <w:rPr>
                <w:bCs/>
                <w:color w:val="000000" w:themeColor="text1"/>
                <w:sz w:val="24"/>
                <w14:textFill>
                  <w14:solidFill>
                    <w14:schemeClr w14:val="tx1"/>
                  </w14:solidFill>
                </w14:textFill>
              </w:rPr>
              <w:t>，在监测时段内，</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罗平县慧联青瓦厂</w:t>
            </w:r>
            <w:r>
              <w:rPr>
                <w:rFonts w:hint="eastAsia"/>
                <w:bCs/>
                <w:color w:val="000000" w:themeColor="text1"/>
                <w:sz w:val="24"/>
                <w14:textFill>
                  <w14:solidFill>
                    <w14:schemeClr w14:val="tx1"/>
                  </w14:solidFill>
                </w14:textFill>
              </w:rPr>
              <w:t>厂界</w:t>
            </w:r>
            <w:r>
              <w:rPr>
                <w:bCs/>
                <w:color w:val="000000" w:themeColor="text1"/>
                <w:sz w:val="24"/>
                <w14:textFill>
                  <w14:solidFill>
                    <w14:schemeClr w14:val="tx1"/>
                  </w14:solidFill>
                </w14:textFill>
              </w:rPr>
              <w:t>噪声值可达到</w:t>
            </w:r>
            <w:r>
              <w:rPr>
                <w:color w:val="000000" w:themeColor="text1"/>
                <w:sz w:val="24"/>
                <w:szCs w:val="32"/>
                <w14:textFill>
                  <w14:solidFill>
                    <w14:schemeClr w14:val="tx1"/>
                  </w14:solidFill>
                </w14:textFill>
              </w:rPr>
              <w:t>《工业企业厂界环境噪声排放标准》（GB12348-2008）中</w:t>
            </w:r>
            <w:r>
              <w:rPr>
                <w:rFonts w:hint="eastAsia"/>
                <w:color w:val="000000" w:themeColor="text1"/>
                <w:sz w:val="24"/>
                <w:szCs w:val="32"/>
                <w:lang w:val="en-US" w:eastAsia="zh-CN"/>
                <w14:textFill>
                  <w14:solidFill>
                    <w14:schemeClr w14:val="tx1"/>
                  </w14:solidFill>
                </w14:textFill>
              </w:rPr>
              <w:t>2</w:t>
            </w:r>
            <w:r>
              <w:rPr>
                <w:color w:val="000000" w:themeColor="text1"/>
                <w:sz w:val="24"/>
                <w:szCs w:val="32"/>
                <w14:textFill>
                  <w14:solidFill>
                    <w14:schemeClr w14:val="tx1"/>
                  </w14:solidFill>
                </w14:textFill>
              </w:rPr>
              <w:t>类标</w:t>
            </w:r>
            <w:r>
              <w:rPr>
                <w:bCs/>
                <w:color w:val="000000" w:themeColor="text1"/>
                <w:sz w:val="24"/>
                <w14:textFill>
                  <w14:solidFill>
                    <w14:schemeClr w14:val="tx1"/>
                  </w14:solidFill>
                </w14:textFill>
              </w:rPr>
              <w:t>准</w:t>
            </w:r>
            <w:r>
              <w:rPr>
                <w:rFonts w:hint="eastAsia"/>
                <w:bCs/>
                <w:color w:val="000000" w:themeColor="text1"/>
                <w:sz w:val="24"/>
                <w14:textFill>
                  <w14:solidFill>
                    <w14:schemeClr w14:val="tx1"/>
                  </w14:solidFill>
                </w14:textFill>
              </w:rPr>
              <w:t>（昼间</w:t>
            </w:r>
            <w:r>
              <w:rPr>
                <w:rFonts w:hint="eastAsia"/>
                <w:bCs/>
                <w:color w:val="000000" w:themeColor="text1"/>
                <w:sz w:val="24"/>
                <w:lang w:val="en-US" w:eastAsia="zh-CN"/>
                <w14:textFill>
                  <w14:solidFill>
                    <w14:schemeClr w14:val="tx1"/>
                  </w14:solidFill>
                </w14:textFill>
              </w:rPr>
              <w:t>60</w:t>
            </w:r>
            <w:r>
              <w:rPr>
                <w:rFonts w:hint="eastAsia"/>
                <w:bCs/>
                <w:color w:val="000000" w:themeColor="text1"/>
                <w:sz w:val="24"/>
                <w14:textFill>
                  <w14:solidFill>
                    <w14:schemeClr w14:val="tx1"/>
                  </w14:solidFill>
                </w14:textFill>
              </w:rPr>
              <w:t>dB（A）、夜间</w:t>
            </w:r>
            <w:r>
              <w:rPr>
                <w:rFonts w:hint="eastAsia"/>
                <w:bCs/>
                <w:color w:val="000000" w:themeColor="text1"/>
                <w:sz w:val="24"/>
                <w:lang w:val="en-US" w:eastAsia="zh-CN"/>
                <w14:textFill>
                  <w14:solidFill>
                    <w14:schemeClr w14:val="tx1"/>
                  </w14:solidFill>
                </w14:textFill>
              </w:rPr>
              <w:t>50</w:t>
            </w:r>
            <w:r>
              <w:rPr>
                <w:rFonts w:hint="eastAsia"/>
                <w:bCs/>
                <w:color w:val="000000" w:themeColor="text1"/>
                <w:sz w:val="24"/>
                <w14:textFill>
                  <w14:solidFill>
                    <w14:schemeClr w14:val="tx1"/>
                  </w14:solidFill>
                </w14:textFill>
              </w:rPr>
              <w:t>dB（A））</w:t>
            </w:r>
            <w:r>
              <w:rPr>
                <w:bCs/>
                <w:color w:val="000000" w:themeColor="text1"/>
                <w:sz w:val="24"/>
                <w14:textFill>
                  <w14:solidFill>
                    <w14:schemeClr w14:val="tx1"/>
                  </w14:solidFill>
                </w14:textFill>
              </w:rPr>
              <w:t>。</w:t>
            </w:r>
          </w:p>
          <w:p w14:paraId="5AC6144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val="0"/>
                <w:color w:val="000000" w:themeColor="text1"/>
                <w:sz w:val="24"/>
                <w:szCs w:val="24"/>
                <w:lang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t>4.4固体废物</w:t>
            </w:r>
          </w:p>
          <w:p w14:paraId="53D434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（1）布袋</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收尘器</w:t>
            </w:r>
            <w:r>
              <w:rPr>
                <w:rFonts w:hint="default" w:ascii="Times New Roman" w:hAnsi="Times New Roman" w:eastAsia="宋体" w:cs="Times New Roman"/>
                <w:color w:val="000000" w:themeColor="text1"/>
                <w:sz w:val="24"/>
                <w:szCs w:val="24"/>
                <w14:textFill>
                  <w14:solidFill>
                    <w14:schemeClr w14:val="tx1"/>
                  </w14:solidFill>
                </w14:textFill>
              </w:rPr>
              <w:t>粉尘</w:t>
            </w:r>
          </w:p>
          <w:p w14:paraId="00C125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原有</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项目筛分、粉磨</w:t>
            </w:r>
            <w:r>
              <w:rPr>
                <w:rFonts w:hint="default" w:ascii="Times New Roman" w:hAnsi="Times New Roman" w:eastAsia="宋体" w:cs="Times New Roman"/>
                <w:color w:val="000000" w:themeColor="text1"/>
                <w:sz w:val="24"/>
                <w:szCs w:val="24"/>
                <w14:textFill>
                  <w14:solidFill>
                    <w14:schemeClr w14:val="tx1"/>
                  </w14:solidFill>
                </w14:textFill>
              </w:rPr>
              <w:t>粉尘</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布袋收尘器粉尘</w:t>
            </w:r>
            <w:r>
              <w:rPr>
                <w:rFonts w:hint="default" w:ascii="Times New Roman" w:hAnsi="Times New Roman" w:eastAsia="宋体" w:cs="Times New Roman"/>
                <w:color w:val="000000" w:themeColor="text1"/>
                <w:sz w:val="24"/>
                <w:szCs w:val="24"/>
                <w14:textFill>
                  <w14:solidFill>
                    <w14:schemeClr w14:val="tx1"/>
                  </w14:solidFill>
                </w14:textFill>
              </w:rPr>
              <w:t>收集量为</w:t>
            </w:r>
            <w:r>
              <w:rPr>
                <w:rFonts w:hint="eastAsia" w:cs="Times New Roman"/>
                <w:color w:val="000000" w:themeColor="text1"/>
                <w:sz w:val="24"/>
                <w:szCs w:val="24"/>
                <w:lang w:val="en-US" w:eastAsia="zh-CN"/>
                <w14:textFill>
                  <w14:solidFill>
                    <w14:schemeClr w14:val="tx1"/>
                  </w14:solidFill>
                </w14:textFill>
              </w:rPr>
              <w:t>0.56</w:t>
            </w:r>
            <w:r>
              <w:rPr>
                <w:rFonts w:hint="default" w:ascii="Times New Roman" w:hAnsi="Times New Roman" w:eastAsia="宋体" w:cs="Times New Roman"/>
                <w:color w:val="000000" w:themeColor="text1"/>
                <w:sz w:val="24"/>
                <w:szCs w:val="24"/>
                <w14:textFill>
                  <w14:solidFill>
                    <w14:schemeClr w14:val="tx1"/>
                  </w14:solidFill>
                </w14:textFill>
              </w:rPr>
              <w:t>t/a，作为原料投入搅拌</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机中使用</w:t>
            </w:r>
            <w:r>
              <w:rPr>
                <w:rFonts w:hint="default" w:ascii="Times New Roman" w:hAnsi="Times New Roman" w:eastAsia="宋体" w:cs="Times New Roman"/>
                <w:color w:val="000000" w:themeColor="text1"/>
                <w:sz w:val="24"/>
                <w:szCs w:val="24"/>
                <w14:textFill>
                  <w14:solidFill>
                    <w14:schemeClr w14:val="tx1"/>
                  </w14:solidFill>
                </w14:textFill>
              </w:rPr>
              <w:t>。</w:t>
            </w:r>
          </w:p>
          <w:p w14:paraId="1569C1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不合格产品及边角料</w:t>
            </w:r>
          </w:p>
          <w:p w14:paraId="5F7C4B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根据项目实际生产经验，</w:t>
            </w:r>
            <w:r>
              <w:rPr>
                <w:rFonts w:hint="eastAsia" w:cs="Times New Roman"/>
                <w:color w:val="000000" w:themeColor="text1"/>
                <w:sz w:val="24"/>
                <w:szCs w:val="24"/>
                <w:lang w:val="en-US" w:eastAsia="zh-CN"/>
                <w14:textFill>
                  <w14:solidFill>
                    <w14:schemeClr w14:val="tx1"/>
                  </w14:solidFill>
                </w14:textFill>
              </w:rPr>
              <w:t>原有</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项目不合格产品及边角料产生量为2.7t/a，作为原料回用于生产。</w:t>
            </w:r>
          </w:p>
          <w:p w14:paraId="7A6507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（3）炉渣</w:t>
            </w:r>
          </w:p>
          <w:p w14:paraId="15E32C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根据项目实际生产经验，</w:t>
            </w:r>
            <w:r>
              <w:rPr>
                <w:rFonts w:hint="eastAsia" w:cs="Times New Roman"/>
                <w:color w:val="000000" w:themeColor="text1"/>
                <w:sz w:val="24"/>
                <w:szCs w:val="24"/>
                <w:lang w:val="en-US" w:eastAsia="zh-CN"/>
                <w14:textFill>
                  <w14:solidFill>
                    <w14:schemeClr w14:val="tx1"/>
                  </w14:solidFill>
                </w14:textFill>
              </w:rPr>
              <w:t>原有</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项目炉渣产生量约为130t/a，作为原料回用于生产</w:t>
            </w:r>
            <w:r>
              <w:rPr>
                <w:rFonts w:hint="default" w:ascii="Times New Roman" w:hAnsi="Times New Roman" w:eastAsia="宋体" w:cs="Times New Roman"/>
                <w:color w:val="000000" w:themeColor="text1"/>
                <w:sz w:val="24"/>
                <w:szCs w:val="24"/>
                <w14:textFill>
                  <w14:solidFill>
                    <w14:schemeClr w14:val="tx1"/>
                  </w14:solidFill>
                </w14:textFill>
              </w:rPr>
              <w:t>。</w:t>
            </w:r>
          </w:p>
          <w:p w14:paraId="78FA80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（4）</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脱硫沉渣</w:t>
            </w:r>
          </w:p>
          <w:p w14:paraId="5E21A4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根据实际情况统计，</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脱硫沉渣产生量约为</w:t>
            </w:r>
            <w:r>
              <w:rPr>
                <w:rFonts w:hint="eastAsia" w:cs="Times New Roman"/>
                <w:color w:val="000000" w:themeColor="text1"/>
                <w:sz w:val="24"/>
                <w:szCs w:val="24"/>
                <w:lang w:val="en-US" w:eastAsia="zh-CN"/>
                <w14:textFill>
                  <w14:solidFill>
                    <w14:schemeClr w14:val="tx1"/>
                  </w14:solidFill>
                </w14:textFill>
              </w:rPr>
              <w:t>45.8</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t/a，作为原料回用于生产。</w:t>
            </w:r>
          </w:p>
          <w:p w14:paraId="13D254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（5）生活垃圾</w:t>
            </w:r>
          </w:p>
          <w:p w14:paraId="65F195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厂区劳动定员</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12</w:t>
            </w:r>
            <w:r>
              <w:rPr>
                <w:rFonts w:hint="default" w:ascii="Times New Roman" w:hAnsi="Times New Roman" w:eastAsia="宋体" w:cs="Times New Roman"/>
                <w:color w:val="000000" w:themeColor="text1"/>
                <w:sz w:val="24"/>
                <w:szCs w:val="24"/>
                <w14:textFill>
                  <w14:solidFill>
                    <w14:schemeClr w14:val="tx1"/>
                  </w14:solidFill>
                </w14:textFill>
              </w:rPr>
              <w:t>人，生活垃圾产生量为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14:textFill>
                  <w14:solidFill>
                    <w14:schemeClr w14:val="tx1"/>
                  </w14:solidFill>
                </w14:textFill>
              </w:rPr>
              <w:t>kg/d，</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1.8</w:t>
            </w:r>
            <w:r>
              <w:rPr>
                <w:rFonts w:hint="default" w:ascii="Times New Roman" w:hAnsi="Times New Roman" w:eastAsia="宋体" w:cs="Times New Roman"/>
                <w:color w:val="000000" w:themeColor="text1"/>
                <w:sz w:val="24"/>
                <w:szCs w:val="24"/>
                <w14:textFill>
                  <w14:solidFill>
                    <w14:schemeClr w14:val="tx1"/>
                  </w14:solidFill>
                </w14:textFill>
              </w:rPr>
              <w:t>t/a，设置有1个生活垃圾箱收集，委托环卫部门定期清运。</w:t>
            </w:r>
          </w:p>
          <w:p w14:paraId="2F7C6E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（6）</w:t>
            </w:r>
            <w:r>
              <w:rPr>
                <w:rFonts w:hint="eastAsia" w:cs="Times New Roman"/>
                <w:color w:val="000000" w:themeColor="text1"/>
                <w:sz w:val="24"/>
                <w:szCs w:val="24"/>
                <w:lang w:val="en-US" w:eastAsia="zh-CN"/>
                <w14:textFill>
                  <w14:solidFill>
                    <w14:schemeClr w14:val="tx1"/>
                  </w14:solidFill>
                </w14:textFill>
              </w:rPr>
              <w:t>废机油、</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废润滑油</w:t>
            </w:r>
          </w:p>
          <w:p w14:paraId="2A136C57">
            <w:pPr>
              <w:pStyle w:val="6"/>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根据实际</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生产</w:t>
            </w:r>
            <w:r>
              <w:rPr>
                <w:rFonts w:hint="default" w:ascii="Times New Roman" w:hAnsi="Times New Roman" w:eastAsia="宋体" w:cs="Times New Roman"/>
                <w:color w:val="000000" w:themeColor="text1"/>
                <w:sz w:val="24"/>
                <w:szCs w:val="24"/>
                <w14:textFill>
                  <w14:solidFill>
                    <w14:schemeClr w14:val="tx1"/>
                  </w14:solidFill>
                </w14:textFill>
              </w:rPr>
              <w:t>情况统计，项目生产设备每半年检修1次，更换量约为50kg/次，则</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废润滑油</w:t>
            </w:r>
            <w:r>
              <w:rPr>
                <w:rFonts w:hint="default" w:ascii="Times New Roman" w:hAnsi="Times New Roman" w:eastAsia="宋体" w:cs="Times New Roman"/>
                <w:color w:val="000000" w:themeColor="text1"/>
                <w:sz w:val="24"/>
                <w:szCs w:val="24"/>
                <w14:textFill>
                  <w14:solidFill>
                    <w14:schemeClr w14:val="tx1"/>
                  </w14:solidFill>
                </w14:textFill>
              </w:rPr>
              <w:t>产生量为0.1t/a。</w:t>
            </w:r>
            <w:r>
              <w:rPr>
                <w:rFonts w:hint="eastAsia" w:cs="Times New Roman"/>
                <w:color w:val="000000" w:themeColor="text1"/>
                <w:sz w:val="24"/>
                <w:szCs w:val="24"/>
                <w:lang w:val="en-US" w:eastAsia="zh-CN"/>
                <w14:textFill>
                  <w14:solidFill>
                    <w14:schemeClr w14:val="tx1"/>
                  </w14:solidFill>
                </w14:textFill>
              </w:rPr>
              <w:t>原有项目产生的废机油、废润滑油</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由维修人员直接带走，</w:t>
            </w:r>
            <w:r>
              <w:rPr>
                <w:rFonts w:hint="default" w:ascii="Times New Roman" w:hAnsi="Times New Roman" w:eastAsia="宋体" w:cs="Times New Roman"/>
                <w:color w:val="000000" w:themeColor="text1"/>
                <w:sz w:val="24"/>
                <w:szCs w:val="24"/>
                <w14:textFill>
                  <w14:solidFill>
                    <w14:schemeClr w14:val="tx1"/>
                  </w14:solidFill>
                </w14:textFill>
              </w:rPr>
              <w:t>不在项目区贮存。</w:t>
            </w:r>
            <w:r>
              <w:rPr>
                <w:rFonts w:hint="eastAsia" w:cs="Times New Roman"/>
                <w:color w:val="000000" w:themeColor="text1"/>
                <w:sz w:val="24"/>
                <w:szCs w:val="24"/>
                <w:lang w:val="en-US" w:eastAsia="zh-CN"/>
                <w14:textFill>
                  <w14:solidFill>
                    <w14:schemeClr w14:val="tx1"/>
                  </w14:solidFill>
                </w14:textFill>
              </w:rPr>
              <w:t>废机油、废润滑油属于危险废物，原有项目处置方式不符合《危险废物贮存污染控制标准》（GB18597-2023）、《危险废物转移管理办法》（环境保护部令第23号），本次环评提出整改措施：新增1间危险废物暂存间暂存产生的废机油、废润滑油，委托有资质的单位清运处置。</w:t>
            </w:r>
          </w:p>
          <w:p w14:paraId="249AFE29">
            <w:pPr>
              <w:pStyle w:val="82"/>
              <w:keepNext w:val="0"/>
              <w:keepLines w:val="0"/>
              <w:pageBreakBefore w:val="0"/>
              <w:kinsoku/>
              <w:wordWrap/>
              <w:overflowPunct/>
              <w:topLinePunct w:val="0"/>
              <w:autoSpaceDE/>
              <w:autoSpaceDN/>
              <w:bidi w:val="0"/>
              <w:adjustRightInd w:val="0"/>
              <w:snapToGrid w:val="0"/>
              <w:ind w:firstLine="482" w:firstLineChars="200"/>
              <w:jc w:val="both"/>
              <w:textAlignment w:val="auto"/>
              <w:rPr>
                <w:rFonts w:hint="default"/>
                <w:b/>
                <w:color w:val="000000" w:themeColor="text1"/>
                <w:szCs w:val="24"/>
                <w:lang w:val="en-US" w:eastAsia="zh-CN"/>
                <w14:textFill>
                  <w14:solidFill>
                    <w14:schemeClr w14:val="tx1"/>
                  </w14:solidFill>
                </w14:textFill>
              </w:rPr>
            </w:pPr>
            <w:r>
              <w:rPr>
                <w:rFonts w:hint="eastAsia"/>
                <w:b/>
                <w:color w:val="000000" w:themeColor="text1"/>
                <w:szCs w:val="24"/>
                <w:lang w:val="en-US" w:eastAsia="zh-CN"/>
                <w14:textFill>
                  <w14:solidFill>
                    <w14:schemeClr w14:val="tx1"/>
                  </w14:solidFill>
                </w14:textFill>
              </w:rPr>
              <w:t>4.5原有项目污染物产排情况</w:t>
            </w:r>
          </w:p>
          <w:p w14:paraId="2A6197BE">
            <w:pPr>
              <w:keepNext w:val="0"/>
              <w:keepLines w:val="0"/>
              <w:pageBreakBefore w:val="0"/>
              <w:widowControl w:val="0"/>
              <w:kinsoku/>
              <w:wordWrap/>
              <w:overflowPunct/>
              <w:topLinePunct w:val="0"/>
              <w:autoSpaceDE/>
              <w:autoSpaceDN/>
              <w:bidi w:val="0"/>
              <w:adjustRightInd/>
              <w:snapToGrid/>
              <w:spacing w:line="276" w:lineRule="auto"/>
              <w:ind w:firstLine="0" w:firstLineChars="0"/>
              <w:jc w:val="center"/>
              <w:textAlignment w:val="auto"/>
              <w:rPr>
                <w:rFonts w:hint="default"/>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表2-28  原有项目污染物产排情况一览表</w:t>
            </w:r>
          </w:p>
          <w:tbl>
            <w:tblPr>
              <w:tblStyle w:val="29"/>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1164"/>
              <w:gridCol w:w="1548"/>
              <w:gridCol w:w="1037"/>
              <w:gridCol w:w="1927"/>
              <w:gridCol w:w="907"/>
              <w:gridCol w:w="1419"/>
            </w:tblGrid>
            <w:tr w14:paraId="7101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dxa"/>
                  <w:gridSpan w:val="2"/>
                  <w:noWrap w:val="0"/>
                  <w:vAlign w:val="center"/>
                </w:tcPr>
                <w:p w14:paraId="0DABC1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项目</w:t>
                  </w:r>
                </w:p>
              </w:tc>
              <w:tc>
                <w:tcPr>
                  <w:tcW w:w="1548" w:type="dxa"/>
                  <w:noWrap w:val="0"/>
                  <w:vAlign w:val="center"/>
                </w:tcPr>
                <w:p w14:paraId="66128A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污染物名称</w:t>
                  </w:r>
                </w:p>
              </w:tc>
              <w:tc>
                <w:tcPr>
                  <w:tcW w:w="1037" w:type="dxa"/>
                  <w:noWrap w:val="0"/>
                  <w:vAlign w:val="center"/>
                </w:tcPr>
                <w:p w14:paraId="1F6ABD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产生量</w:t>
                  </w:r>
                </w:p>
              </w:tc>
              <w:tc>
                <w:tcPr>
                  <w:tcW w:w="1927" w:type="dxa"/>
                  <w:noWrap w:val="0"/>
                  <w:vAlign w:val="center"/>
                </w:tcPr>
                <w:p w14:paraId="28DF0A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防治措施</w:t>
                  </w:r>
                </w:p>
              </w:tc>
              <w:tc>
                <w:tcPr>
                  <w:tcW w:w="907" w:type="dxa"/>
                  <w:noWrap w:val="0"/>
                  <w:vAlign w:val="center"/>
                </w:tcPr>
                <w:p w14:paraId="559C50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排放量</w:t>
                  </w:r>
                </w:p>
              </w:tc>
              <w:tc>
                <w:tcPr>
                  <w:tcW w:w="1419" w:type="dxa"/>
                  <w:noWrap w:val="0"/>
                  <w:vAlign w:val="center"/>
                </w:tcPr>
                <w:p w14:paraId="4BECF1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排放去向</w:t>
                  </w:r>
                </w:p>
              </w:tc>
            </w:tr>
            <w:tr w14:paraId="139B9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restart"/>
                  <w:noWrap w:val="0"/>
                  <w:vAlign w:val="center"/>
                </w:tcPr>
                <w:p w14:paraId="735343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废气</w:t>
                  </w:r>
                </w:p>
              </w:tc>
              <w:tc>
                <w:tcPr>
                  <w:tcW w:w="1164" w:type="dxa"/>
                  <w:vMerge w:val="restart"/>
                  <w:noWrap w:val="0"/>
                  <w:vAlign w:val="center"/>
                </w:tcPr>
                <w:p w14:paraId="7F7E23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有组织</w:t>
                  </w:r>
                </w:p>
              </w:tc>
              <w:tc>
                <w:tcPr>
                  <w:tcW w:w="1548" w:type="dxa"/>
                  <w:noWrap w:val="0"/>
                  <w:vAlign w:val="center"/>
                </w:tcPr>
                <w:p w14:paraId="09E88E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颗粒物（t/a）</w:t>
                  </w:r>
                </w:p>
              </w:tc>
              <w:tc>
                <w:tcPr>
                  <w:tcW w:w="1037" w:type="dxa"/>
                  <w:noWrap w:val="0"/>
                  <w:vAlign w:val="center"/>
                </w:tcPr>
                <w:p w14:paraId="2CBBC5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7.73</w:t>
                  </w:r>
                </w:p>
              </w:tc>
              <w:tc>
                <w:tcPr>
                  <w:tcW w:w="1927" w:type="dxa"/>
                  <w:vMerge w:val="restart"/>
                  <w:noWrap w:val="0"/>
                  <w:vAlign w:val="center"/>
                </w:tcPr>
                <w:p w14:paraId="3A20B6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脱硫塔（钠碱法）</w:t>
                  </w:r>
                </w:p>
              </w:tc>
              <w:tc>
                <w:tcPr>
                  <w:tcW w:w="907" w:type="dxa"/>
                  <w:noWrap w:val="0"/>
                  <w:vAlign w:val="center"/>
                </w:tcPr>
                <w:p w14:paraId="300826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bookmarkStart w:id="13" w:name="_GoBack"/>
                  <w:bookmarkEnd w:id="13"/>
                  <w:r>
                    <w:rPr>
                      <w:rFonts w:hint="eastAsia"/>
                      <w:color w:val="000000" w:themeColor="text1"/>
                      <w:sz w:val="21"/>
                      <w:szCs w:val="21"/>
                      <w:vertAlign w:val="baseline"/>
                      <w:lang w:val="en-US" w:eastAsia="zh-CN"/>
                      <w14:textFill>
                        <w14:solidFill>
                          <w14:schemeClr w14:val="tx1"/>
                        </w14:solidFill>
                      </w14:textFill>
                    </w:rPr>
                    <w:t>5.41</w:t>
                  </w:r>
                </w:p>
              </w:tc>
              <w:tc>
                <w:tcPr>
                  <w:tcW w:w="1419" w:type="dxa"/>
                  <w:vMerge w:val="restart"/>
                  <w:noWrap w:val="0"/>
                  <w:vAlign w:val="center"/>
                </w:tcPr>
                <w:p w14:paraId="78AC6D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设置1根高15m的排气筒（DA001）排放</w:t>
                  </w:r>
                </w:p>
              </w:tc>
            </w:tr>
            <w:tr w14:paraId="2DEE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continue"/>
                  <w:noWrap w:val="0"/>
                  <w:vAlign w:val="center"/>
                </w:tcPr>
                <w:p w14:paraId="2E68BE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p>
              </w:tc>
              <w:tc>
                <w:tcPr>
                  <w:tcW w:w="1164" w:type="dxa"/>
                  <w:vMerge w:val="continue"/>
                  <w:noWrap w:val="0"/>
                  <w:vAlign w:val="center"/>
                </w:tcPr>
                <w:p w14:paraId="6DB1BB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p>
              </w:tc>
              <w:tc>
                <w:tcPr>
                  <w:tcW w:w="1548" w:type="dxa"/>
                  <w:noWrap w:val="0"/>
                  <w:vAlign w:val="center"/>
                </w:tcPr>
                <w:p w14:paraId="0994A0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二氧化硫（t/a）</w:t>
                  </w:r>
                </w:p>
              </w:tc>
              <w:tc>
                <w:tcPr>
                  <w:tcW w:w="1037" w:type="dxa"/>
                  <w:noWrap w:val="0"/>
                  <w:vAlign w:val="center"/>
                </w:tcPr>
                <w:p w14:paraId="62D93D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21.37</w:t>
                  </w:r>
                </w:p>
              </w:tc>
              <w:tc>
                <w:tcPr>
                  <w:tcW w:w="1927" w:type="dxa"/>
                  <w:vMerge w:val="continue"/>
                  <w:noWrap w:val="0"/>
                  <w:vAlign w:val="center"/>
                </w:tcPr>
                <w:p w14:paraId="6F8FA5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p>
              </w:tc>
              <w:tc>
                <w:tcPr>
                  <w:tcW w:w="907" w:type="dxa"/>
                  <w:noWrap w:val="0"/>
                  <w:vAlign w:val="center"/>
                </w:tcPr>
                <w:p w14:paraId="408BAC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4.27</w:t>
                  </w:r>
                </w:p>
              </w:tc>
              <w:tc>
                <w:tcPr>
                  <w:tcW w:w="1419" w:type="dxa"/>
                  <w:vMerge w:val="continue"/>
                  <w:noWrap w:val="0"/>
                  <w:vAlign w:val="center"/>
                </w:tcPr>
                <w:p w14:paraId="0678FC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p>
              </w:tc>
            </w:tr>
            <w:tr w14:paraId="6F0F8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continue"/>
                  <w:noWrap w:val="0"/>
                  <w:vAlign w:val="center"/>
                </w:tcPr>
                <w:p w14:paraId="03EEBA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p>
              </w:tc>
              <w:tc>
                <w:tcPr>
                  <w:tcW w:w="1164" w:type="dxa"/>
                  <w:vMerge w:val="continue"/>
                  <w:noWrap w:val="0"/>
                  <w:vAlign w:val="center"/>
                </w:tcPr>
                <w:p w14:paraId="100A9C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p>
              </w:tc>
              <w:tc>
                <w:tcPr>
                  <w:tcW w:w="1548" w:type="dxa"/>
                  <w:noWrap w:val="0"/>
                  <w:vAlign w:val="center"/>
                </w:tcPr>
                <w:p w14:paraId="38DC24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氮氧化物（t/a）</w:t>
                  </w:r>
                </w:p>
              </w:tc>
              <w:tc>
                <w:tcPr>
                  <w:tcW w:w="1037" w:type="dxa"/>
                  <w:noWrap w:val="0"/>
                  <w:vAlign w:val="center"/>
                </w:tcPr>
                <w:p w14:paraId="2CDDB7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4.14</w:t>
                  </w:r>
                </w:p>
              </w:tc>
              <w:tc>
                <w:tcPr>
                  <w:tcW w:w="1927" w:type="dxa"/>
                  <w:vMerge w:val="continue"/>
                  <w:noWrap w:val="0"/>
                  <w:vAlign w:val="center"/>
                </w:tcPr>
                <w:p w14:paraId="6BFF66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p>
              </w:tc>
              <w:tc>
                <w:tcPr>
                  <w:tcW w:w="907" w:type="dxa"/>
                  <w:noWrap w:val="0"/>
                  <w:vAlign w:val="center"/>
                </w:tcPr>
                <w:p w14:paraId="70421A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4.14</w:t>
                  </w:r>
                </w:p>
              </w:tc>
              <w:tc>
                <w:tcPr>
                  <w:tcW w:w="1419" w:type="dxa"/>
                  <w:vMerge w:val="continue"/>
                  <w:noWrap w:val="0"/>
                  <w:vAlign w:val="center"/>
                </w:tcPr>
                <w:p w14:paraId="56615E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p>
              </w:tc>
            </w:tr>
            <w:tr w14:paraId="5023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continue"/>
                  <w:noWrap w:val="0"/>
                  <w:vAlign w:val="center"/>
                </w:tcPr>
                <w:p w14:paraId="7EC2DF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p>
              </w:tc>
              <w:tc>
                <w:tcPr>
                  <w:tcW w:w="1164" w:type="dxa"/>
                  <w:vMerge w:val="continue"/>
                  <w:noWrap w:val="0"/>
                  <w:vAlign w:val="center"/>
                </w:tcPr>
                <w:p w14:paraId="7BFC31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p>
              </w:tc>
              <w:tc>
                <w:tcPr>
                  <w:tcW w:w="1548" w:type="dxa"/>
                  <w:noWrap w:val="0"/>
                  <w:vAlign w:val="center"/>
                </w:tcPr>
                <w:p w14:paraId="0C4BF8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氟化物（t/a）</w:t>
                  </w:r>
                </w:p>
              </w:tc>
              <w:tc>
                <w:tcPr>
                  <w:tcW w:w="1037" w:type="dxa"/>
                  <w:noWrap w:val="0"/>
                  <w:vAlign w:val="center"/>
                </w:tcPr>
                <w:p w14:paraId="251067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0.36</w:t>
                  </w:r>
                </w:p>
              </w:tc>
              <w:tc>
                <w:tcPr>
                  <w:tcW w:w="1927" w:type="dxa"/>
                  <w:vMerge w:val="continue"/>
                  <w:noWrap w:val="0"/>
                  <w:vAlign w:val="center"/>
                </w:tcPr>
                <w:p w14:paraId="03D501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p>
              </w:tc>
              <w:tc>
                <w:tcPr>
                  <w:tcW w:w="907" w:type="dxa"/>
                  <w:noWrap w:val="0"/>
                  <w:vAlign w:val="center"/>
                </w:tcPr>
                <w:p w14:paraId="74DD18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0.072</w:t>
                  </w:r>
                </w:p>
              </w:tc>
              <w:tc>
                <w:tcPr>
                  <w:tcW w:w="1419" w:type="dxa"/>
                  <w:vMerge w:val="continue"/>
                  <w:noWrap w:val="0"/>
                  <w:vAlign w:val="center"/>
                </w:tcPr>
                <w:p w14:paraId="6BE6EE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p>
              </w:tc>
            </w:tr>
            <w:tr w14:paraId="2E50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continue"/>
                  <w:noWrap w:val="0"/>
                  <w:vAlign w:val="center"/>
                </w:tcPr>
                <w:p w14:paraId="1202D3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p>
              </w:tc>
              <w:tc>
                <w:tcPr>
                  <w:tcW w:w="1164" w:type="dxa"/>
                  <w:noWrap w:val="0"/>
                  <w:vAlign w:val="center"/>
                </w:tcPr>
                <w:p w14:paraId="7B0AA8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无组织</w:t>
                  </w:r>
                </w:p>
              </w:tc>
              <w:tc>
                <w:tcPr>
                  <w:tcW w:w="1548" w:type="dxa"/>
                  <w:noWrap w:val="0"/>
                  <w:vAlign w:val="center"/>
                </w:tcPr>
                <w:p w14:paraId="53449D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颗粒物（t/a）</w:t>
                  </w:r>
                </w:p>
              </w:tc>
              <w:tc>
                <w:tcPr>
                  <w:tcW w:w="1037" w:type="dxa"/>
                  <w:noWrap w:val="0"/>
                  <w:vAlign w:val="center"/>
                </w:tcPr>
                <w:p w14:paraId="5A9DC1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27.94</w:t>
                  </w:r>
                </w:p>
              </w:tc>
              <w:tc>
                <w:tcPr>
                  <w:tcW w:w="1927" w:type="dxa"/>
                  <w:noWrap w:val="0"/>
                  <w:vAlign w:val="center"/>
                </w:tcPr>
                <w:p w14:paraId="61C84C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原料贮存库设置喷雾降尘设施，筛分粉磨废气设置袋式收尘器收集，道路洒水降尘</w:t>
                  </w:r>
                </w:p>
              </w:tc>
              <w:tc>
                <w:tcPr>
                  <w:tcW w:w="907" w:type="dxa"/>
                  <w:noWrap w:val="0"/>
                  <w:vAlign w:val="center"/>
                </w:tcPr>
                <w:p w14:paraId="5C5AAB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3.622</w:t>
                  </w:r>
                </w:p>
              </w:tc>
              <w:tc>
                <w:tcPr>
                  <w:tcW w:w="1419" w:type="dxa"/>
                  <w:noWrap w:val="0"/>
                  <w:vAlign w:val="center"/>
                </w:tcPr>
                <w:p w14:paraId="2B147C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无组织排放</w:t>
                  </w:r>
                </w:p>
              </w:tc>
            </w:tr>
            <w:tr w14:paraId="2F546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restart"/>
                  <w:noWrap w:val="0"/>
                  <w:vAlign w:val="center"/>
                </w:tcPr>
                <w:p w14:paraId="347554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废水</w:t>
                  </w:r>
                </w:p>
              </w:tc>
              <w:tc>
                <w:tcPr>
                  <w:tcW w:w="1164" w:type="dxa"/>
                  <w:noWrap w:val="0"/>
                  <w:vAlign w:val="center"/>
                </w:tcPr>
                <w:p w14:paraId="699B96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生活污水（m</w:t>
                  </w:r>
                  <w:r>
                    <w:rPr>
                      <w:rFonts w:hint="eastAsia"/>
                      <w:color w:val="000000" w:themeColor="text1"/>
                      <w:sz w:val="21"/>
                      <w:szCs w:val="21"/>
                      <w:vertAlign w:val="superscript"/>
                      <w:lang w:val="en-US" w:eastAsia="zh-CN"/>
                      <w14:textFill>
                        <w14:solidFill>
                          <w14:schemeClr w14:val="tx1"/>
                        </w14:solidFill>
                      </w14:textFill>
                    </w:rPr>
                    <w:t>3</w:t>
                  </w:r>
                  <w:r>
                    <w:rPr>
                      <w:rFonts w:hint="eastAsia"/>
                      <w:color w:val="000000" w:themeColor="text1"/>
                      <w:sz w:val="21"/>
                      <w:szCs w:val="21"/>
                      <w:vertAlign w:val="baseline"/>
                      <w:lang w:val="en-US" w:eastAsia="zh-CN"/>
                      <w14:textFill>
                        <w14:solidFill>
                          <w14:schemeClr w14:val="tx1"/>
                        </w14:solidFill>
                      </w14:textFill>
                    </w:rPr>
                    <w:t>/a）</w:t>
                  </w:r>
                </w:p>
              </w:tc>
              <w:tc>
                <w:tcPr>
                  <w:tcW w:w="1548" w:type="dxa"/>
                  <w:noWrap w:val="0"/>
                  <w:vAlign w:val="center"/>
                </w:tcPr>
                <w:p w14:paraId="14850C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COD</w:t>
                  </w:r>
                  <w:r>
                    <w:rPr>
                      <w:rFonts w:hint="eastAsia"/>
                      <w:color w:val="000000" w:themeColor="text1"/>
                      <w:sz w:val="21"/>
                      <w:szCs w:val="21"/>
                      <w:vertAlign w:val="subscript"/>
                      <w:lang w:val="en-US" w:eastAsia="zh-CN"/>
                      <w14:textFill>
                        <w14:solidFill>
                          <w14:schemeClr w14:val="tx1"/>
                        </w14:solidFill>
                      </w14:textFill>
                    </w:rPr>
                    <w:t>Cr</w:t>
                  </w:r>
                  <w:r>
                    <w:rPr>
                      <w:rFonts w:hint="eastAsia"/>
                      <w:color w:val="000000" w:themeColor="text1"/>
                      <w:sz w:val="21"/>
                      <w:szCs w:val="21"/>
                      <w:vertAlign w:val="baseline"/>
                      <w:lang w:val="en-US" w:eastAsia="zh-CN"/>
                      <w14:textFill>
                        <w14:solidFill>
                          <w14:schemeClr w14:val="tx1"/>
                        </w14:solidFill>
                      </w14:textFill>
                    </w:rPr>
                    <w:t>、BOD</w:t>
                  </w:r>
                  <w:r>
                    <w:rPr>
                      <w:rFonts w:hint="eastAsia"/>
                      <w:color w:val="000000" w:themeColor="text1"/>
                      <w:sz w:val="21"/>
                      <w:szCs w:val="21"/>
                      <w:vertAlign w:val="subscript"/>
                      <w:lang w:val="en-US" w:eastAsia="zh-CN"/>
                      <w14:textFill>
                        <w14:solidFill>
                          <w14:schemeClr w14:val="tx1"/>
                        </w14:solidFill>
                      </w14:textFill>
                    </w:rPr>
                    <w:t>5</w:t>
                  </w:r>
                  <w:r>
                    <w:rPr>
                      <w:rFonts w:hint="eastAsia"/>
                      <w:color w:val="000000" w:themeColor="text1"/>
                      <w:sz w:val="21"/>
                      <w:szCs w:val="21"/>
                      <w:vertAlign w:val="baseline"/>
                      <w:lang w:val="en-US" w:eastAsia="zh-CN"/>
                      <w14:textFill>
                        <w14:solidFill>
                          <w14:schemeClr w14:val="tx1"/>
                        </w14:solidFill>
                      </w14:textFill>
                    </w:rPr>
                    <w:t>、氨氮、总磷</w:t>
                  </w:r>
                </w:p>
              </w:tc>
              <w:tc>
                <w:tcPr>
                  <w:tcW w:w="1037" w:type="dxa"/>
                  <w:noWrap w:val="0"/>
                  <w:vAlign w:val="center"/>
                </w:tcPr>
                <w:p w14:paraId="2DE083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144</w:t>
                  </w:r>
                </w:p>
              </w:tc>
              <w:tc>
                <w:tcPr>
                  <w:tcW w:w="1927" w:type="dxa"/>
                  <w:noWrap w:val="0"/>
                  <w:vAlign w:val="center"/>
                </w:tcPr>
                <w:p w14:paraId="75DAF9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1个容积为10m</w:t>
                  </w:r>
                  <w:r>
                    <w:rPr>
                      <w:rFonts w:hint="eastAsia"/>
                      <w:color w:val="000000" w:themeColor="text1"/>
                      <w:sz w:val="21"/>
                      <w:szCs w:val="21"/>
                      <w:vertAlign w:val="superscript"/>
                      <w:lang w:val="en-US" w:eastAsia="zh-CN"/>
                      <w14:textFill>
                        <w14:solidFill>
                          <w14:schemeClr w14:val="tx1"/>
                        </w14:solidFill>
                      </w14:textFill>
                    </w:rPr>
                    <w:t>3</w:t>
                  </w:r>
                  <w:r>
                    <w:rPr>
                      <w:rFonts w:hint="eastAsia"/>
                      <w:color w:val="000000" w:themeColor="text1"/>
                      <w:sz w:val="21"/>
                      <w:szCs w:val="21"/>
                      <w:vertAlign w:val="baseline"/>
                      <w:lang w:val="en-US" w:eastAsia="zh-CN"/>
                      <w14:textFill>
                        <w14:solidFill>
                          <w14:schemeClr w14:val="tx1"/>
                        </w14:solidFill>
                      </w14:textFill>
                    </w:rPr>
                    <w:t>的化粪池</w:t>
                  </w:r>
                </w:p>
              </w:tc>
              <w:tc>
                <w:tcPr>
                  <w:tcW w:w="907" w:type="dxa"/>
                  <w:noWrap w:val="0"/>
                  <w:vAlign w:val="center"/>
                </w:tcPr>
                <w:p w14:paraId="3280D7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0</w:t>
                  </w:r>
                </w:p>
              </w:tc>
              <w:tc>
                <w:tcPr>
                  <w:tcW w:w="1419" w:type="dxa"/>
                  <w:noWrap w:val="0"/>
                  <w:vAlign w:val="center"/>
                </w:tcPr>
                <w:p w14:paraId="79558E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定期清掏作农肥</w:t>
                  </w:r>
                </w:p>
              </w:tc>
            </w:tr>
            <w:tr w14:paraId="0B2DB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continue"/>
                  <w:noWrap w:val="0"/>
                  <w:vAlign w:val="center"/>
                </w:tcPr>
                <w:p w14:paraId="1F917C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p>
              </w:tc>
              <w:tc>
                <w:tcPr>
                  <w:tcW w:w="1164" w:type="dxa"/>
                  <w:noWrap w:val="0"/>
                  <w:vAlign w:val="center"/>
                </w:tcPr>
                <w:p w14:paraId="45E09B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脱硫塔废水（m</w:t>
                  </w:r>
                  <w:r>
                    <w:rPr>
                      <w:rFonts w:hint="eastAsia"/>
                      <w:color w:val="000000" w:themeColor="text1"/>
                      <w:sz w:val="21"/>
                      <w:szCs w:val="21"/>
                      <w:vertAlign w:val="superscript"/>
                      <w:lang w:val="en-US" w:eastAsia="zh-CN"/>
                      <w14:textFill>
                        <w14:solidFill>
                          <w14:schemeClr w14:val="tx1"/>
                        </w14:solidFill>
                      </w14:textFill>
                    </w:rPr>
                    <w:t>3</w:t>
                  </w:r>
                  <w:r>
                    <w:rPr>
                      <w:rFonts w:hint="eastAsia"/>
                      <w:color w:val="000000" w:themeColor="text1"/>
                      <w:sz w:val="21"/>
                      <w:szCs w:val="21"/>
                      <w:vertAlign w:val="baseline"/>
                      <w:lang w:val="en-US" w:eastAsia="zh-CN"/>
                      <w14:textFill>
                        <w14:solidFill>
                          <w14:schemeClr w14:val="tx1"/>
                        </w14:solidFill>
                      </w14:textFill>
                    </w:rPr>
                    <w:t>/a）</w:t>
                  </w:r>
                </w:p>
              </w:tc>
              <w:tc>
                <w:tcPr>
                  <w:tcW w:w="1548" w:type="dxa"/>
                  <w:noWrap w:val="0"/>
                  <w:vAlign w:val="center"/>
                </w:tcPr>
                <w:p w14:paraId="5ADCEC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pH、COD、SS、盐类</w:t>
                  </w:r>
                </w:p>
              </w:tc>
              <w:tc>
                <w:tcPr>
                  <w:tcW w:w="1037" w:type="dxa"/>
                  <w:noWrap w:val="0"/>
                  <w:vAlign w:val="center"/>
                </w:tcPr>
                <w:p w14:paraId="470E8F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w:t>
                  </w:r>
                </w:p>
              </w:tc>
              <w:tc>
                <w:tcPr>
                  <w:tcW w:w="1927" w:type="dxa"/>
                  <w:noWrap w:val="0"/>
                  <w:vAlign w:val="center"/>
                </w:tcPr>
                <w:p w14:paraId="550D86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1个容积为</w:t>
                  </w:r>
                  <w:r>
                    <w:rPr>
                      <w:rFonts w:hint="eastAsia" w:cs="Times New Roman"/>
                      <w:color w:val="000000" w:themeColor="text1"/>
                      <w:lang w:val="en-US" w:eastAsia="zh-CN"/>
                      <w14:textFill>
                        <w14:solidFill>
                          <w14:schemeClr w14:val="tx1"/>
                        </w14:solidFill>
                      </w14:textFill>
                    </w:rPr>
                    <w:t>80m</w:t>
                  </w:r>
                  <w:r>
                    <w:rPr>
                      <w:rFonts w:hint="eastAsia" w:cs="Times New Roman"/>
                      <w:color w:val="000000" w:themeColor="text1"/>
                      <w:vertAlign w:val="superscript"/>
                      <w:lang w:val="en-US" w:eastAsia="zh-CN"/>
                      <w14:textFill>
                        <w14:solidFill>
                          <w14:schemeClr w14:val="tx1"/>
                        </w14:solidFill>
                      </w14:textFill>
                    </w:rPr>
                    <w:t>3</w:t>
                  </w:r>
                  <w:r>
                    <w:rPr>
                      <w:rFonts w:hint="eastAsia" w:cs="Times New Roman"/>
                      <w:color w:val="000000" w:themeColor="text1"/>
                      <w:vertAlign w:val="baseline"/>
                      <w:lang w:val="en-US" w:eastAsia="zh-CN"/>
                      <w14:textFill>
                        <w14:solidFill>
                          <w14:schemeClr w14:val="tx1"/>
                        </w14:solidFill>
                      </w14:textFill>
                    </w:rPr>
                    <w:t>的循环沉淀池</w:t>
                  </w:r>
                </w:p>
              </w:tc>
              <w:tc>
                <w:tcPr>
                  <w:tcW w:w="907" w:type="dxa"/>
                  <w:noWrap w:val="0"/>
                  <w:vAlign w:val="center"/>
                </w:tcPr>
                <w:p w14:paraId="6D8CC8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0</w:t>
                  </w:r>
                </w:p>
              </w:tc>
              <w:tc>
                <w:tcPr>
                  <w:tcW w:w="1419" w:type="dxa"/>
                  <w:noWrap w:val="0"/>
                  <w:vAlign w:val="center"/>
                </w:tcPr>
                <w:p w14:paraId="64E8E5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全部回用于搅拌用水</w:t>
                  </w:r>
                </w:p>
              </w:tc>
            </w:tr>
            <w:tr w14:paraId="53AD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continue"/>
                  <w:noWrap w:val="0"/>
                  <w:vAlign w:val="center"/>
                </w:tcPr>
                <w:p w14:paraId="07E20F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p>
              </w:tc>
              <w:tc>
                <w:tcPr>
                  <w:tcW w:w="1164" w:type="dxa"/>
                  <w:noWrap w:val="0"/>
                  <w:vAlign w:val="center"/>
                </w:tcPr>
                <w:p w14:paraId="2D54B1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初期雨水（m</w:t>
                  </w:r>
                  <w:r>
                    <w:rPr>
                      <w:rFonts w:hint="eastAsia"/>
                      <w:color w:val="000000" w:themeColor="text1"/>
                      <w:sz w:val="21"/>
                      <w:szCs w:val="21"/>
                      <w:vertAlign w:val="superscript"/>
                      <w:lang w:val="en-US" w:eastAsia="zh-CN"/>
                      <w14:textFill>
                        <w14:solidFill>
                          <w14:schemeClr w14:val="tx1"/>
                        </w14:solidFill>
                      </w14:textFill>
                    </w:rPr>
                    <w:t>3</w:t>
                  </w:r>
                  <w:r>
                    <w:rPr>
                      <w:rFonts w:hint="eastAsia"/>
                      <w:color w:val="000000" w:themeColor="text1"/>
                      <w:sz w:val="21"/>
                      <w:szCs w:val="21"/>
                      <w:vertAlign w:val="baseline"/>
                      <w:lang w:val="en-US" w:eastAsia="zh-CN"/>
                      <w14:textFill>
                        <w14:solidFill>
                          <w14:schemeClr w14:val="tx1"/>
                        </w14:solidFill>
                      </w14:textFill>
                    </w:rPr>
                    <w:t>/a）</w:t>
                  </w:r>
                </w:p>
              </w:tc>
              <w:tc>
                <w:tcPr>
                  <w:tcW w:w="1548" w:type="dxa"/>
                  <w:noWrap w:val="0"/>
                  <w:vAlign w:val="center"/>
                </w:tcPr>
                <w:p w14:paraId="151DC2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SS</w:t>
                  </w:r>
                </w:p>
              </w:tc>
              <w:tc>
                <w:tcPr>
                  <w:tcW w:w="1037" w:type="dxa"/>
                  <w:noWrap w:val="0"/>
                  <w:vAlign w:val="center"/>
                </w:tcPr>
                <w:p w14:paraId="3D972D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1152</w:t>
                  </w:r>
                </w:p>
              </w:tc>
              <w:tc>
                <w:tcPr>
                  <w:tcW w:w="1927" w:type="dxa"/>
                  <w:noWrap w:val="0"/>
                  <w:vAlign w:val="center"/>
                </w:tcPr>
                <w:p w14:paraId="694D7D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1个容积为20m</w:t>
                  </w:r>
                  <w:r>
                    <w:rPr>
                      <w:rFonts w:hint="eastAsia"/>
                      <w:color w:val="000000" w:themeColor="text1"/>
                      <w:sz w:val="21"/>
                      <w:szCs w:val="21"/>
                      <w:vertAlign w:val="superscript"/>
                      <w:lang w:val="en-US" w:eastAsia="zh-CN"/>
                      <w14:textFill>
                        <w14:solidFill>
                          <w14:schemeClr w14:val="tx1"/>
                        </w14:solidFill>
                      </w14:textFill>
                    </w:rPr>
                    <w:t>3</w:t>
                  </w:r>
                  <w:r>
                    <w:rPr>
                      <w:rFonts w:hint="eastAsia"/>
                      <w:color w:val="000000" w:themeColor="text1"/>
                      <w:sz w:val="21"/>
                      <w:szCs w:val="21"/>
                      <w:vertAlign w:val="baseline"/>
                      <w:lang w:val="en-US" w:eastAsia="zh-CN"/>
                      <w14:textFill>
                        <w14:solidFill>
                          <w14:schemeClr w14:val="tx1"/>
                        </w14:solidFill>
                      </w14:textFill>
                    </w:rPr>
                    <w:t>的初期雨水收集池</w:t>
                  </w:r>
                </w:p>
              </w:tc>
              <w:tc>
                <w:tcPr>
                  <w:tcW w:w="907" w:type="dxa"/>
                  <w:noWrap w:val="0"/>
                  <w:vAlign w:val="center"/>
                </w:tcPr>
                <w:p w14:paraId="5EC1BF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0</w:t>
                  </w:r>
                </w:p>
              </w:tc>
              <w:tc>
                <w:tcPr>
                  <w:tcW w:w="1419" w:type="dxa"/>
                  <w:noWrap w:val="0"/>
                  <w:vAlign w:val="center"/>
                </w:tcPr>
                <w:p w14:paraId="0CCF15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全部回用于厂区洒水降尘</w:t>
                  </w:r>
                </w:p>
              </w:tc>
            </w:tr>
            <w:tr w14:paraId="374DE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restart"/>
                  <w:noWrap w:val="0"/>
                  <w:vAlign w:val="center"/>
                </w:tcPr>
                <w:p w14:paraId="292369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固体废物</w:t>
                  </w:r>
                </w:p>
              </w:tc>
              <w:tc>
                <w:tcPr>
                  <w:tcW w:w="2712" w:type="dxa"/>
                  <w:gridSpan w:val="2"/>
                  <w:noWrap w:val="0"/>
                  <w:vAlign w:val="center"/>
                </w:tcPr>
                <w:p w14:paraId="5EB50A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布袋收尘器粉尘（t/a）</w:t>
                  </w:r>
                </w:p>
              </w:tc>
              <w:tc>
                <w:tcPr>
                  <w:tcW w:w="1037" w:type="dxa"/>
                  <w:noWrap w:val="0"/>
                  <w:vAlign w:val="center"/>
                </w:tcPr>
                <w:p w14:paraId="3F8D8E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0.56</w:t>
                  </w:r>
                </w:p>
              </w:tc>
              <w:tc>
                <w:tcPr>
                  <w:tcW w:w="1927" w:type="dxa"/>
                  <w:noWrap w:val="0"/>
                  <w:vAlign w:val="center"/>
                </w:tcPr>
                <w:p w14:paraId="514D55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作为原料回用于生产</w:t>
                  </w:r>
                </w:p>
              </w:tc>
              <w:tc>
                <w:tcPr>
                  <w:tcW w:w="907" w:type="dxa"/>
                  <w:noWrap w:val="0"/>
                  <w:vAlign w:val="center"/>
                </w:tcPr>
                <w:p w14:paraId="75A858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0</w:t>
                  </w:r>
                </w:p>
              </w:tc>
              <w:tc>
                <w:tcPr>
                  <w:tcW w:w="1419" w:type="dxa"/>
                  <w:noWrap w:val="0"/>
                  <w:vAlign w:val="center"/>
                </w:tcPr>
                <w:p w14:paraId="5A064C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作为原料回用于生产</w:t>
                  </w:r>
                </w:p>
              </w:tc>
            </w:tr>
            <w:tr w14:paraId="6484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continue"/>
                  <w:noWrap w:val="0"/>
                  <w:vAlign w:val="center"/>
                </w:tcPr>
                <w:p w14:paraId="55D124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p>
              </w:tc>
              <w:tc>
                <w:tcPr>
                  <w:tcW w:w="2712" w:type="dxa"/>
                  <w:gridSpan w:val="2"/>
                  <w:noWrap w:val="0"/>
                  <w:vAlign w:val="center"/>
                </w:tcPr>
                <w:p w14:paraId="28A4A3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不合格产品及边角料（t/a）</w:t>
                  </w:r>
                </w:p>
              </w:tc>
              <w:tc>
                <w:tcPr>
                  <w:tcW w:w="1037" w:type="dxa"/>
                  <w:noWrap w:val="0"/>
                  <w:vAlign w:val="center"/>
                </w:tcPr>
                <w:p w14:paraId="70D256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2.7</w:t>
                  </w:r>
                </w:p>
              </w:tc>
              <w:tc>
                <w:tcPr>
                  <w:tcW w:w="1927" w:type="dxa"/>
                  <w:noWrap w:val="0"/>
                  <w:vAlign w:val="center"/>
                </w:tcPr>
                <w:p w14:paraId="20FF2A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作为原料回用于生产</w:t>
                  </w:r>
                </w:p>
              </w:tc>
              <w:tc>
                <w:tcPr>
                  <w:tcW w:w="907" w:type="dxa"/>
                  <w:noWrap w:val="0"/>
                  <w:vAlign w:val="center"/>
                </w:tcPr>
                <w:p w14:paraId="286A85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0</w:t>
                  </w:r>
                </w:p>
              </w:tc>
              <w:tc>
                <w:tcPr>
                  <w:tcW w:w="1419" w:type="dxa"/>
                  <w:noWrap w:val="0"/>
                  <w:vAlign w:val="center"/>
                </w:tcPr>
                <w:p w14:paraId="1A475C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作为原料回用于生产</w:t>
                  </w:r>
                </w:p>
              </w:tc>
            </w:tr>
            <w:tr w14:paraId="6BF4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502" w:type="dxa"/>
                  <w:vMerge w:val="continue"/>
                  <w:noWrap w:val="0"/>
                  <w:vAlign w:val="center"/>
                </w:tcPr>
                <w:p w14:paraId="5BF252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p>
              </w:tc>
              <w:tc>
                <w:tcPr>
                  <w:tcW w:w="2712" w:type="dxa"/>
                  <w:gridSpan w:val="2"/>
                  <w:noWrap w:val="0"/>
                  <w:vAlign w:val="center"/>
                </w:tcPr>
                <w:p w14:paraId="3C320C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炉渣（t/a）</w:t>
                  </w:r>
                </w:p>
              </w:tc>
              <w:tc>
                <w:tcPr>
                  <w:tcW w:w="1037" w:type="dxa"/>
                  <w:noWrap w:val="0"/>
                  <w:vAlign w:val="center"/>
                </w:tcPr>
                <w:p w14:paraId="0203BA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130</w:t>
                  </w:r>
                </w:p>
              </w:tc>
              <w:tc>
                <w:tcPr>
                  <w:tcW w:w="1927" w:type="dxa"/>
                  <w:noWrap w:val="0"/>
                  <w:vAlign w:val="center"/>
                </w:tcPr>
                <w:p w14:paraId="146DC4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作为原料回用于生产</w:t>
                  </w:r>
                </w:p>
              </w:tc>
              <w:tc>
                <w:tcPr>
                  <w:tcW w:w="907" w:type="dxa"/>
                  <w:noWrap w:val="0"/>
                  <w:vAlign w:val="center"/>
                </w:tcPr>
                <w:p w14:paraId="1A182E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0</w:t>
                  </w:r>
                </w:p>
              </w:tc>
              <w:tc>
                <w:tcPr>
                  <w:tcW w:w="1419" w:type="dxa"/>
                  <w:noWrap w:val="0"/>
                  <w:vAlign w:val="center"/>
                </w:tcPr>
                <w:p w14:paraId="306B0A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作为原料回用于生产</w:t>
                  </w:r>
                </w:p>
              </w:tc>
            </w:tr>
            <w:tr w14:paraId="47BF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continue"/>
                  <w:noWrap w:val="0"/>
                  <w:vAlign w:val="center"/>
                </w:tcPr>
                <w:p w14:paraId="04CC40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p>
              </w:tc>
              <w:tc>
                <w:tcPr>
                  <w:tcW w:w="2712" w:type="dxa"/>
                  <w:gridSpan w:val="2"/>
                  <w:noWrap w:val="0"/>
                  <w:vAlign w:val="center"/>
                </w:tcPr>
                <w:p w14:paraId="1B5C7C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脱硫沉渣（t/a）</w:t>
                  </w:r>
                </w:p>
              </w:tc>
              <w:tc>
                <w:tcPr>
                  <w:tcW w:w="1037" w:type="dxa"/>
                  <w:noWrap w:val="0"/>
                  <w:vAlign w:val="center"/>
                </w:tcPr>
                <w:p w14:paraId="3BC284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45.8</w:t>
                  </w:r>
                </w:p>
              </w:tc>
              <w:tc>
                <w:tcPr>
                  <w:tcW w:w="1927" w:type="dxa"/>
                  <w:noWrap w:val="0"/>
                  <w:vAlign w:val="center"/>
                </w:tcPr>
                <w:p w14:paraId="208CE6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作为原料回用于生产</w:t>
                  </w:r>
                </w:p>
              </w:tc>
              <w:tc>
                <w:tcPr>
                  <w:tcW w:w="907" w:type="dxa"/>
                  <w:noWrap w:val="0"/>
                  <w:vAlign w:val="center"/>
                </w:tcPr>
                <w:p w14:paraId="15982B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0</w:t>
                  </w:r>
                </w:p>
              </w:tc>
              <w:tc>
                <w:tcPr>
                  <w:tcW w:w="1419" w:type="dxa"/>
                  <w:noWrap w:val="0"/>
                  <w:vAlign w:val="center"/>
                </w:tcPr>
                <w:p w14:paraId="0FADAB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作为原料回用于生产</w:t>
                  </w:r>
                </w:p>
              </w:tc>
            </w:tr>
            <w:tr w14:paraId="01D19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continue"/>
                  <w:noWrap w:val="0"/>
                  <w:vAlign w:val="center"/>
                </w:tcPr>
                <w:p w14:paraId="25767A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p>
              </w:tc>
              <w:tc>
                <w:tcPr>
                  <w:tcW w:w="2712" w:type="dxa"/>
                  <w:gridSpan w:val="2"/>
                  <w:noWrap w:val="0"/>
                  <w:vAlign w:val="center"/>
                </w:tcPr>
                <w:p w14:paraId="035DD1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生活垃圾（t/a）</w:t>
                  </w:r>
                </w:p>
              </w:tc>
              <w:tc>
                <w:tcPr>
                  <w:tcW w:w="1037" w:type="dxa"/>
                  <w:noWrap w:val="0"/>
                  <w:vAlign w:val="center"/>
                </w:tcPr>
                <w:p w14:paraId="2D53B2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1.8</w:t>
                  </w:r>
                </w:p>
              </w:tc>
              <w:tc>
                <w:tcPr>
                  <w:tcW w:w="1927" w:type="dxa"/>
                  <w:noWrap w:val="0"/>
                  <w:vAlign w:val="center"/>
                </w:tcPr>
                <w:p w14:paraId="7BB39C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委托环卫部门定期清运</w:t>
                  </w:r>
                </w:p>
              </w:tc>
              <w:tc>
                <w:tcPr>
                  <w:tcW w:w="907" w:type="dxa"/>
                  <w:noWrap w:val="0"/>
                  <w:vAlign w:val="center"/>
                </w:tcPr>
                <w:p w14:paraId="7374AC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0</w:t>
                  </w:r>
                </w:p>
              </w:tc>
              <w:tc>
                <w:tcPr>
                  <w:tcW w:w="1419" w:type="dxa"/>
                  <w:noWrap w:val="0"/>
                  <w:vAlign w:val="center"/>
                </w:tcPr>
                <w:p w14:paraId="7B4C1C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委托环卫部门定期清运</w:t>
                  </w:r>
                </w:p>
              </w:tc>
            </w:tr>
            <w:tr w14:paraId="61B03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vMerge w:val="continue"/>
                  <w:noWrap w:val="0"/>
                  <w:vAlign w:val="center"/>
                </w:tcPr>
                <w:p w14:paraId="5C3E25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p>
              </w:tc>
              <w:tc>
                <w:tcPr>
                  <w:tcW w:w="2712" w:type="dxa"/>
                  <w:gridSpan w:val="2"/>
                  <w:noWrap w:val="0"/>
                  <w:vAlign w:val="center"/>
                </w:tcPr>
                <w:p w14:paraId="2DB569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废机油、废润滑油（t/a）</w:t>
                  </w:r>
                </w:p>
              </w:tc>
              <w:tc>
                <w:tcPr>
                  <w:tcW w:w="1037" w:type="dxa"/>
                  <w:noWrap w:val="0"/>
                  <w:vAlign w:val="center"/>
                </w:tcPr>
                <w:p w14:paraId="70DF5B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0.1</w:t>
                  </w:r>
                </w:p>
              </w:tc>
              <w:tc>
                <w:tcPr>
                  <w:tcW w:w="1927" w:type="dxa"/>
                  <w:noWrap w:val="0"/>
                  <w:vAlign w:val="center"/>
                </w:tcPr>
                <w:p w14:paraId="38A949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由维修人员直接带走</w:t>
                  </w:r>
                </w:p>
              </w:tc>
              <w:tc>
                <w:tcPr>
                  <w:tcW w:w="907" w:type="dxa"/>
                  <w:noWrap w:val="0"/>
                  <w:vAlign w:val="center"/>
                </w:tcPr>
                <w:p w14:paraId="2829F1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0</w:t>
                  </w:r>
                </w:p>
              </w:tc>
              <w:tc>
                <w:tcPr>
                  <w:tcW w:w="1419" w:type="dxa"/>
                  <w:noWrap w:val="0"/>
                  <w:vAlign w:val="center"/>
                </w:tcPr>
                <w:p w14:paraId="4B698A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由维修人员直接带走</w:t>
                  </w:r>
                </w:p>
              </w:tc>
            </w:tr>
          </w:tbl>
          <w:p w14:paraId="4234662A">
            <w:pPr>
              <w:pStyle w:val="82"/>
              <w:keepNext w:val="0"/>
              <w:keepLines w:val="0"/>
              <w:pageBreakBefore w:val="0"/>
              <w:kinsoku/>
              <w:wordWrap/>
              <w:overflowPunct/>
              <w:topLinePunct w:val="0"/>
              <w:autoSpaceDE/>
              <w:autoSpaceDN/>
              <w:bidi w:val="0"/>
              <w:adjustRightInd w:val="0"/>
              <w:snapToGrid w:val="0"/>
              <w:ind w:firstLine="482" w:firstLineChars="200"/>
              <w:jc w:val="both"/>
              <w:textAlignment w:val="auto"/>
              <w:rPr>
                <w:b/>
                <w:color w:val="000000" w:themeColor="text1"/>
                <w:szCs w:val="24"/>
                <w14:textFill>
                  <w14:solidFill>
                    <w14:schemeClr w14:val="tx1"/>
                  </w14:solidFill>
                </w14:textFill>
              </w:rPr>
            </w:pPr>
            <w:r>
              <w:rPr>
                <w:rFonts w:hint="eastAsia"/>
                <w:b/>
                <w:color w:val="000000" w:themeColor="text1"/>
                <w:szCs w:val="24"/>
                <w:lang w:val="en-US" w:eastAsia="zh-CN"/>
                <w14:textFill>
                  <w14:solidFill>
                    <w14:schemeClr w14:val="tx1"/>
                  </w14:solidFill>
                </w14:textFill>
              </w:rPr>
              <w:t>5、</w:t>
            </w:r>
            <w:r>
              <w:rPr>
                <w:b/>
                <w:color w:val="000000" w:themeColor="text1"/>
                <w:szCs w:val="24"/>
                <w14:textFill>
                  <w14:solidFill>
                    <w14:schemeClr w14:val="tx1"/>
                  </w14:solidFill>
                </w14:textFill>
              </w:rPr>
              <w:t>现有项目存在的环境问题及整改措施</w:t>
            </w:r>
          </w:p>
          <w:p w14:paraId="506AC3D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（1）现有项目存在的环境问题及整改措施如下所示：</w:t>
            </w:r>
          </w:p>
          <w:p w14:paraId="00D35985">
            <w:pPr>
              <w:keepNext w:val="0"/>
              <w:keepLines w:val="0"/>
              <w:pageBreakBefore w:val="0"/>
              <w:widowControl w:val="0"/>
              <w:kinsoku/>
              <w:wordWrap/>
              <w:overflowPunct/>
              <w:topLinePunct w:val="0"/>
              <w:autoSpaceDE/>
              <w:autoSpaceDN/>
              <w:bidi w:val="0"/>
              <w:adjustRightInd/>
              <w:snapToGrid/>
              <w:spacing w:line="276" w:lineRule="auto"/>
              <w:ind w:firstLine="0" w:firstLineChars="0"/>
              <w:jc w:val="center"/>
              <w:textAlignment w:val="auto"/>
              <w:rPr>
                <w:rFonts w:hint="default"/>
                <w:b/>
                <w:bCs/>
                <w:color w:val="000000" w:themeColor="text1"/>
                <w:sz w:val="24"/>
                <w:szCs w:val="24"/>
                <w:vertAlign w:val="baseline"/>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表2-29  现有项目存在的环境问题及整改措施</w:t>
            </w:r>
          </w:p>
          <w:tbl>
            <w:tblPr>
              <w:tblStyle w:val="29"/>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3822"/>
              <w:gridCol w:w="3952"/>
            </w:tblGrid>
            <w:tr w14:paraId="286D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noWrap w:val="0"/>
                  <w:vAlign w:val="center"/>
                </w:tcPr>
                <w:p w14:paraId="019882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项目</w:t>
                  </w:r>
                </w:p>
              </w:tc>
              <w:tc>
                <w:tcPr>
                  <w:tcW w:w="3822" w:type="dxa"/>
                  <w:noWrap w:val="0"/>
                  <w:vAlign w:val="center"/>
                </w:tcPr>
                <w:p w14:paraId="4B4E0A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存在的问题</w:t>
                  </w:r>
                </w:p>
              </w:tc>
              <w:tc>
                <w:tcPr>
                  <w:tcW w:w="3952" w:type="dxa"/>
                  <w:noWrap w:val="0"/>
                  <w:vAlign w:val="center"/>
                </w:tcPr>
                <w:p w14:paraId="3CCBD8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整改措施</w:t>
                  </w:r>
                </w:p>
              </w:tc>
            </w:tr>
            <w:tr w14:paraId="481B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restart"/>
                  <w:noWrap w:val="0"/>
                  <w:vAlign w:val="center"/>
                </w:tcPr>
                <w:p w14:paraId="3C8BE9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废气</w:t>
                  </w:r>
                </w:p>
              </w:tc>
              <w:tc>
                <w:tcPr>
                  <w:tcW w:w="3822" w:type="dxa"/>
                  <w:noWrap w:val="0"/>
                  <w:vAlign w:val="center"/>
                </w:tcPr>
                <w:p w14:paraId="63409F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现有原料贮存库北侧和东侧围挡没有与彩钢瓦顶棚连接</w:t>
                  </w:r>
                </w:p>
              </w:tc>
              <w:tc>
                <w:tcPr>
                  <w:tcW w:w="3952" w:type="dxa"/>
                  <w:noWrap w:val="0"/>
                  <w:vAlign w:val="center"/>
                </w:tcPr>
                <w:p w14:paraId="62283C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对现有原料库北侧和东侧设置封闭围挡，南侧作为出入口，西侧靠近筛分设施因生产需要无法封闭</w:t>
                  </w:r>
                </w:p>
              </w:tc>
            </w:tr>
            <w:tr w14:paraId="6363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continue"/>
                  <w:noWrap w:val="0"/>
                  <w:vAlign w:val="center"/>
                </w:tcPr>
                <w:p w14:paraId="664E90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vertAlign w:val="baseline"/>
                      <w:lang w:val="en-US" w:eastAsia="zh-CN"/>
                      <w14:textFill>
                        <w14:solidFill>
                          <w14:schemeClr w14:val="tx1"/>
                        </w14:solidFill>
                      </w14:textFill>
                    </w:rPr>
                  </w:pPr>
                </w:p>
              </w:tc>
              <w:tc>
                <w:tcPr>
                  <w:tcW w:w="3822" w:type="dxa"/>
                  <w:noWrap w:val="0"/>
                  <w:vAlign w:val="center"/>
                </w:tcPr>
                <w:p w14:paraId="667D56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现有项目筛分、粉磨废气采用袋式收尘器收尘后无组织排放，粉尘收集效率低，除尘效率低</w:t>
                  </w:r>
                </w:p>
              </w:tc>
              <w:tc>
                <w:tcPr>
                  <w:tcW w:w="3952" w:type="dxa"/>
                  <w:noWrap w:val="0"/>
                  <w:vAlign w:val="center"/>
                </w:tcPr>
                <w:p w14:paraId="6D1533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筛分机设置集气罩（收集效率不低于60%）收集，粉磨废气通过管道收集，收集后粉尘设置1套脉冲袋式除尘器处理后，通过1根15m高的排气筒排放。</w:t>
                  </w:r>
                </w:p>
              </w:tc>
            </w:tr>
            <w:tr w14:paraId="54FA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continue"/>
                  <w:noWrap w:val="0"/>
                  <w:vAlign w:val="center"/>
                </w:tcPr>
                <w:p w14:paraId="61D8CD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vertAlign w:val="baseline"/>
                      <w:lang w:val="en-US" w:eastAsia="zh-CN"/>
                      <w14:textFill>
                        <w14:solidFill>
                          <w14:schemeClr w14:val="tx1"/>
                        </w14:solidFill>
                      </w14:textFill>
                    </w:rPr>
                  </w:pPr>
                </w:p>
              </w:tc>
              <w:tc>
                <w:tcPr>
                  <w:tcW w:w="3822" w:type="dxa"/>
                  <w:noWrap w:val="0"/>
                  <w:vAlign w:val="center"/>
                </w:tcPr>
                <w:p w14:paraId="270679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现有圆窑废气通过长约50m，DN800管道收集后设置1套脱硫塔处理后，设置1根15m高的排气筒（内径为0.35m）排放。存在的问题：</w:t>
                  </w:r>
                </w:p>
                <w:p w14:paraId="7367B5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①根据国家污染防治技术指导目录（2024 年，限制类和淘汰类）及《关于印发2025年国家污染防治技术指导目录》（环办科财函〔2025〕197号），烟气湿法除尘脱硫一体化技术被列为限制类低效类技术，存在除尘效率低，单独使用颗粒物难以稳定达标排放的技术缺陷。</w:t>
                  </w:r>
                </w:p>
                <w:p w14:paraId="6E244D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②原有排气筒内径无法满足改扩建后烟气排放需求。</w:t>
                  </w:r>
                </w:p>
              </w:tc>
              <w:tc>
                <w:tcPr>
                  <w:tcW w:w="3952" w:type="dxa"/>
                  <w:noWrap w:val="0"/>
                  <w:vAlign w:val="center"/>
                </w:tcPr>
                <w:p w14:paraId="3E9603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炉窑废气通过长约50m，DN800管道收集后设置1套“高温脉冲袋式除尘器+脱硫塔（石灰石石膏法）”处理后，通过1根15m高的排气筒（内径为0.8m）排放。</w:t>
                  </w:r>
                </w:p>
                <w:p w14:paraId="6BEE0B4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烟气输送管道密闭敷设，管道焊缝、法兰、伸缩节等连接部位密封完好，</w:t>
                  </w:r>
                  <w:r>
                    <w:rPr>
                      <w:rFonts w:hint="eastAsia"/>
                      <w:color w:val="000000" w:themeColor="text1"/>
                      <w:lang w:val="en-US" w:eastAsia="zh-CN"/>
                      <w14:textFill>
                        <w14:solidFill>
                          <w14:schemeClr w14:val="tx1"/>
                        </w14:solidFill>
                      </w14:textFill>
                    </w:rPr>
                    <w:t>确保</w:t>
                  </w:r>
                  <w:r>
                    <w:rPr>
                      <w:rFonts w:hint="default"/>
                      <w:color w:val="000000" w:themeColor="text1"/>
                      <w:lang w:val="en-US" w:eastAsia="zh-CN"/>
                      <w14:textFill>
                        <w14:solidFill>
                          <w14:schemeClr w14:val="tx1"/>
                        </w14:solidFill>
                      </w14:textFill>
                    </w:rPr>
                    <w:t>运行期间无烟气逸散泄漏。</w:t>
                  </w:r>
                </w:p>
              </w:tc>
            </w:tr>
            <w:tr w14:paraId="4A1E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continue"/>
                  <w:noWrap w:val="0"/>
                  <w:vAlign w:val="center"/>
                </w:tcPr>
                <w:p w14:paraId="099CA9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vertAlign w:val="baseline"/>
                      <w:lang w:val="en-US" w:eastAsia="zh-CN"/>
                      <w14:textFill>
                        <w14:solidFill>
                          <w14:schemeClr w14:val="tx1"/>
                        </w14:solidFill>
                      </w14:textFill>
                    </w:rPr>
                  </w:pPr>
                </w:p>
              </w:tc>
              <w:tc>
                <w:tcPr>
                  <w:tcW w:w="3822" w:type="dxa"/>
                  <w:noWrap w:val="0"/>
                  <w:vAlign w:val="center"/>
                </w:tcPr>
                <w:p w14:paraId="1F8C77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现有圆窑废气排气筒（DA001）未设置规范化的采样口及采样平台</w:t>
                  </w:r>
                </w:p>
              </w:tc>
              <w:tc>
                <w:tcPr>
                  <w:tcW w:w="3952" w:type="dxa"/>
                  <w:noWrap w:val="0"/>
                  <w:vAlign w:val="center"/>
                </w:tcPr>
                <w:p w14:paraId="595E5C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项目原辅料制备工段废气排气筒（DA002）和炉窑废气排气筒（DA001）按照《固定污染源排气中颗粒物测定与气态污染物采样方法》（GB/T 16157-1996）规定设置规范的采样口及采样平台</w:t>
                  </w:r>
                </w:p>
              </w:tc>
            </w:tr>
            <w:tr w14:paraId="2B97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noWrap w:val="0"/>
                  <w:vAlign w:val="center"/>
                </w:tcPr>
                <w:p w14:paraId="178514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初期雨水</w:t>
                  </w:r>
                </w:p>
              </w:tc>
              <w:tc>
                <w:tcPr>
                  <w:tcW w:w="3822" w:type="dxa"/>
                  <w:noWrap w:val="0"/>
                  <w:vAlign w:val="center"/>
                </w:tcPr>
                <w:p w14:paraId="3CCE6B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现有初期雨水收集池初期雨水收集回用设施不完善，</w:t>
                  </w:r>
                  <w:r>
                    <w:rPr>
                      <w:rFonts w:hint="eastAsia"/>
                      <w:color w:val="000000" w:themeColor="text1"/>
                      <w:sz w:val="21"/>
                      <w:szCs w:val="21"/>
                      <w:lang w:val="en-US" w:eastAsia="zh-CN"/>
                      <w14:textFill>
                        <w14:solidFill>
                          <w14:schemeClr w14:val="tx1"/>
                        </w14:solidFill>
                      </w14:textFill>
                    </w:rPr>
                    <w:t>初期雨水收集设施存在管道管径偏小、未安装切换阀门，</w:t>
                  </w:r>
                  <w:r>
                    <w:rPr>
                      <w:rFonts w:hint="eastAsia"/>
                      <w:b w:val="0"/>
                      <w:bCs w:val="0"/>
                      <w:color w:val="000000" w:themeColor="text1"/>
                      <w:sz w:val="21"/>
                      <w:szCs w:val="21"/>
                      <w:vertAlign w:val="baseline"/>
                      <w:lang w:val="en-US" w:eastAsia="zh-CN"/>
                      <w14:textFill>
                        <w14:solidFill>
                          <w14:schemeClr w14:val="tx1"/>
                        </w14:solidFill>
                      </w14:textFill>
                    </w:rPr>
                    <w:t>未设置回用水系统的问题。</w:t>
                  </w:r>
                </w:p>
              </w:tc>
              <w:tc>
                <w:tcPr>
                  <w:tcW w:w="3952" w:type="dxa"/>
                  <w:noWrap w:val="0"/>
                  <w:vAlign w:val="center"/>
                </w:tcPr>
                <w:p w14:paraId="374E90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建立完善的初期雨水收集系统，更换管径满足收集要求的进水管道，并配套安装切断阀；严格管控收集时长，仅收集降雨前15分钟的初期雨水，后期雨水通过沿原有雨水沟渠外排；同时按规范设置标准化雨水排放口。设置初期雨水回用设施，产生的初期雨水全部</w:t>
                  </w:r>
                  <w:r>
                    <w:rPr>
                      <w:rFonts w:hint="eastAsia"/>
                      <w:color w:val="000000" w:themeColor="text1"/>
                      <w:lang w:val="en-US" w:eastAsia="zh-CN"/>
                      <w14:textFill>
                        <w14:solidFill>
                          <w14:schemeClr w14:val="tx1"/>
                        </w14:solidFill>
                      </w14:textFill>
                    </w:rPr>
                    <w:t>回用至搅拌用水及洒水降尘用水</w:t>
                  </w:r>
                  <w:r>
                    <w:rPr>
                      <w:rFonts w:hint="eastAsia"/>
                      <w:b w:val="0"/>
                      <w:bCs w:val="0"/>
                      <w:color w:val="000000" w:themeColor="text1"/>
                      <w:sz w:val="21"/>
                      <w:szCs w:val="21"/>
                      <w:vertAlign w:val="baseline"/>
                      <w:lang w:val="en-US" w:eastAsia="zh-CN"/>
                      <w14:textFill>
                        <w14:solidFill>
                          <w14:schemeClr w14:val="tx1"/>
                        </w14:solidFill>
                      </w14:textFill>
                    </w:rPr>
                    <w:t>。</w:t>
                  </w:r>
                </w:p>
              </w:tc>
            </w:tr>
            <w:tr w14:paraId="4C80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noWrap w:val="0"/>
                  <w:vAlign w:val="center"/>
                </w:tcPr>
                <w:p w14:paraId="767A46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脱硫废水</w:t>
                  </w:r>
                </w:p>
              </w:tc>
              <w:tc>
                <w:tcPr>
                  <w:tcW w:w="3822" w:type="dxa"/>
                  <w:noWrap w:val="0"/>
                  <w:vAlign w:val="center"/>
                </w:tcPr>
                <w:p w14:paraId="1DED7885">
                  <w:pPr>
                    <w:keepNext w:val="0"/>
                    <w:keepLines w:val="0"/>
                    <w:pageBreakBefore w:val="0"/>
                    <w:kinsoku/>
                    <w:wordWrap/>
                    <w:overflowPunct/>
                    <w:topLinePunct w:val="0"/>
                    <w:autoSpaceDE/>
                    <w:autoSpaceDN/>
                    <w:bidi w:val="0"/>
                    <w:adjustRightInd/>
                    <w:snapToGrid/>
                    <w:jc w:val="center"/>
                    <w:textAlignment w:val="auto"/>
                    <w:rPr>
                      <w:rFonts w:hint="eastAsia"/>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现设置有1个循环沉淀池，容积为80</w:t>
                  </w:r>
                  <w:r>
                    <w:rPr>
                      <w:rFonts w:hint="eastAsia"/>
                      <w:color w:val="000000" w:themeColor="text1"/>
                      <w:sz w:val="21"/>
                      <w:szCs w:val="21"/>
                      <w:lang w:val="en-US" w:eastAsia="zh-CN"/>
                      <w14:textFill>
                        <w14:solidFill>
                          <w14:schemeClr w14:val="tx1"/>
                        </w14:solidFill>
                      </w14:textFill>
                    </w:rPr>
                    <w:t>m</w:t>
                  </w:r>
                  <w:r>
                    <w:rPr>
                      <w:rFonts w:hint="eastAsia"/>
                      <w:color w:val="000000" w:themeColor="text1"/>
                      <w:sz w:val="21"/>
                      <w:szCs w:val="21"/>
                      <w:vertAlign w:val="superscript"/>
                      <w:lang w:val="en-US" w:eastAsia="zh-CN"/>
                      <w14:textFill>
                        <w14:solidFill>
                          <w14:schemeClr w14:val="tx1"/>
                        </w14:solidFill>
                      </w14:textFill>
                    </w:rPr>
                    <w:t>3</w:t>
                  </w:r>
                  <w:r>
                    <w:rPr>
                      <w:rFonts w:hint="eastAsia"/>
                      <w:color w:val="000000" w:themeColor="text1"/>
                      <w:sz w:val="21"/>
                      <w:szCs w:val="21"/>
                      <w:vertAlign w:val="baseline"/>
                      <w:lang w:val="en-US" w:eastAsia="zh-CN"/>
                      <w14:textFill>
                        <w14:solidFill>
                          <w14:schemeClr w14:val="tx1"/>
                        </w14:solidFill>
                      </w14:textFill>
                    </w:rPr>
                    <w:t>，产生的脱硫废水仅经沉淀后全部回用于搅拌用水，不外排。</w:t>
                  </w:r>
                </w:p>
                <w:p w14:paraId="7BD87F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default"/>
                      <w:b w:val="0"/>
                      <w:bCs w:val="0"/>
                      <w:color w:val="000000" w:themeColor="text1"/>
                      <w:sz w:val="21"/>
                      <w:szCs w:val="21"/>
                      <w:vertAlign w:val="baseline"/>
                      <w:lang w:val="en-US" w:eastAsia="zh-CN"/>
                      <w14:textFill>
                        <w14:solidFill>
                          <w14:schemeClr w14:val="tx1"/>
                        </w14:solidFill>
                      </w14:textFill>
                    </w:rPr>
                    <w:t>根据《石灰石/石灰－石膏湿法烟气脱硫工程通用技术规范》（HJ-2018）要求，脱硫废水宜纳入全厂废水统一规划管理；单独设置脱硫废水处理系统时一般采用中和、絮凝、沉降、氧化、澄清等工艺去除废水中的悬浮物、COD等污染物。</w:t>
                  </w:r>
                </w:p>
              </w:tc>
              <w:tc>
                <w:tcPr>
                  <w:tcW w:w="3952" w:type="dxa"/>
                  <w:noWrap w:val="0"/>
                  <w:vAlign w:val="center"/>
                </w:tcPr>
                <w:p w14:paraId="5F9073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lang w:val="en-US" w:eastAsia="zh-CN"/>
                      <w14:textFill>
                        <w14:solidFill>
                          <w14:schemeClr w14:val="tx1"/>
                        </w14:solidFill>
                      </w14:textFill>
                    </w:rPr>
                    <w:t>完善项目脱硫废水处理系统，产生的脱硫废水经中和絮凝沉淀处理</w:t>
                  </w:r>
                  <w:r>
                    <w:rPr>
                      <w:rFonts w:hint="eastAsia" w:cs="Times New Roman"/>
                      <w:b w:val="0"/>
                      <w:bCs/>
                      <w:color w:val="000000" w:themeColor="text1"/>
                      <w:sz w:val="21"/>
                      <w:szCs w:val="21"/>
                      <w:highlight w:val="none"/>
                      <w:vertAlign w:val="baseline"/>
                      <w:lang w:val="en-US" w:eastAsia="zh-CN"/>
                      <w14:textFill>
                        <w14:solidFill>
                          <w14:schemeClr w14:val="tx1"/>
                        </w14:solidFill>
                      </w14:textFill>
                    </w:rPr>
                    <w:t>后全部回用于搅拌用水，不外排。</w:t>
                  </w:r>
                </w:p>
              </w:tc>
            </w:tr>
            <w:tr w14:paraId="60B91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restart"/>
                  <w:noWrap w:val="0"/>
                  <w:vAlign w:val="center"/>
                </w:tcPr>
                <w:p w14:paraId="28448C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危险废物</w:t>
                  </w:r>
                </w:p>
              </w:tc>
              <w:tc>
                <w:tcPr>
                  <w:tcW w:w="3822" w:type="dxa"/>
                  <w:noWrap w:val="0"/>
                  <w:vAlign w:val="center"/>
                </w:tcPr>
                <w:p w14:paraId="42BF3F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未设置危险废物暂存间</w:t>
                  </w:r>
                </w:p>
              </w:tc>
              <w:tc>
                <w:tcPr>
                  <w:tcW w:w="3952" w:type="dxa"/>
                  <w:noWrap w:val="0"/>
                  <w:vAlign w:val="center"/>
                </w:tcPr>
                <w:p w14:paraId="5C6789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设置1间危</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险废物暂存间，</w:t>
                  </w: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按照《危险废物贮存污染控制标准》（GB18597-2023）要求进行建设。</w:t>
                  </w:r>
                </w:p>
              </w:tc>
            </w:tr>
            <w:tr w14:paraId="29CE1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continue"/>
                  <w:noWrap w:val="0"/>
                  <w:vAlign w:val="center"/>
                </w:tcPr>
                <w:p w14:paraId="655416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color w:val="000000" w:themeColor="text1"/>
                      <w:sz w:val="21"/>
                      <w:szCs w:val="21"/>
                      <w:vertAlign w:val="baseline"/>
                      <w:lang w:val="en-US" w:eastAsia="zh-CN"/>
                      <w14:textFill>
                        <w14:solidFill>
                          <w14:schemeClr w14:val="tx1"/>
                        </w14:solidFill>
                      </w14:textFill>
                    </w:rPr>
                  </w:pPr>
                </w:p>
              </w:tc>
              <w:tc>
                <w:tcPr>
                  <w:tcW w:w="3822" w:type="dxa"/>
                  <w:noWrap w:val="0"/>
                  <w:vAlign w:val="center"/>
                </w:tcPr>
                <w:p w14:paraId="5F1392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危险废物处置方式不规范</w:t>
                  </w:r>
                </w:p>
              </w:tc>
              <w:tc>
                <w:tcPr>
                  <w:tcW w:w="3952" w:type="dxa"/>
                  <w:noWrap w:val="0"/>
                  <w:vAlign w:val="center"/>
                </w:tcPr>
                <w:p w14:paraId="12DD89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委托有资质的单位处置，并建立完善的危险废物管理台账。</w:t>
                  </w:r>
                </w:p>
              </w:tc>
            </w:tr>
            <w:tr w14:paraId="3525E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noWrap w:val="0"/>
                  <w:vAlign w:val="center"/>
                </w:tcPr>
                <w:p w14:paraId="431D7E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固体废物</w:t>
                  </w:r>
                </w:p>
              </w:tc>
              <w:tc>
                <w:tcPr>
                  <w:tcW w:w="3822" w:type="dxa"/>
                  <w:noWrap w:val="0"/>
                  <w:vAlign w:val="center"/>
                </w:tcPr>
                <w:p w14:paraId="45E5F8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未设置一般固废暂存设施</w:t>
                  </w:r>
                </w:p>
              </w:tc>
              <w:tc>
                <w:tcPr>
                  <w:tcW w:w="3952" w:type="dxa"/>
                  <w:noWrap w:val="0"/>
                  <w:vAlign w:val="center"/>
                </w:tcPr>
                <w:p w14:paraId="310EFB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新增1间固体废物暂存间</w:t>
                  </w:r>
                </w:p>
              </w:tc>
            </w:tr>
            <w:tr w14:paraId="0200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noWrap w:val="0"/>
                  <w:vAlign w:val="center"/>
                </w:tcPr>
                <w:p w14:paraId="4C0067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排污许可管理</w:t>
                  </w:r>
                </w:p>
              </w:tc>
              <w:tc>
                <w:tcPr>
                  <w:tcW w:w="3822" w:type="dxa"/>
                  <w:noWrap w:val="0"/>
                  <w:vAlign w:val="center"/>
                </w:tcPr>
                <w:p w14:paraId="792520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highlight w:val="none"/>
                      <w:vertAlign w:val="baseline"/>
                      <w:lang w:val="en-US" w:eastAsia="zh-CN"/>
                      <w14:textFill>
                        <w14:solidFill>
                          <w14:schemeClr w14:val="tx1"/>
                        </w14:solidFill>
                      </w14:textFill>
                    </w:rPr>
                  </w:pPr>
                  <w:r>
                    <w:rPr>
                      <w:rFonts w:hint="eastAsia"/>
                      <w:b w:val="0"/>
                      <w:bCs w:val="0"/>
                      <w:color w:val="000000" w:themeColor="text1"/>
                      <w:sz w:val="21"/>
                      <w:szCs w:val="21"/>
                      <w:highlight w:val="none"/>
                      <w:vertAlign w:val="baseline"/>
                      <w:lang w:val="en-US" w:eastAsia="zh-CN"/>
                      <w14:textFill>
                        <w14:solidFill>
                          <w14:schemeClr w14:val="tx1"/>
                        </w14:solidFill>
                      </w14:textFill>
                    </w:rPr>
                    <w:t>未严格按照排污许可管理要求开展自行监测及环境台账记录工作</w:t>
                  </w:r>
                </w:p>
              </w:tc>
              <w:tc>
                <w:tcPr>
                  <w:tcW w:w="3952" w:type="dxa"/>
                  <w:noWrap w:val="0"/>
                  <w:vAlign w:val="center"/>
                </w:tcPr>
                <w:p w14:paraId="20045F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000000" w:themeColor="text1"/>
                      <w:sz w:val="21"/>
                      <w:szCs w:val="21"/>
                      <w:highlight w:val="none"/>
                      <w:vertAlign w:val="baseline"/>
                      <w:lang w:val="en-US" w:eastAsia="zh-CN"/>
                      <w14:textFill>
                        <w14:solidFill>
                          <w14:schemeClr w14:val="tx1"/>
                        </w14:solidFill>
                      </w14:textFill>
                    </w:rPr>
                  </w:pPr>
                  <w:r>
                    <w:rPr>
                      <w:rFonts w:hint="eastAsia"/>
                      <w:b w:val="0"/>
                      <w:bCs w:val="0"/>
                      <w:color w:val="000000" w:themeColor="text1"/>
                      <w:sz w:val="21"/>
                      <w:szCs w:val="21"/>
                      <w:highlight w:val="none"/>
                      <w:vertAlign w:val="baseline"/>
                      <w:lang w:val="en-US" w:eastAsia="zh-CN"/>
                      <w14:textFill>
                        <w14:solidFill>
                          <w14:schemeClr w14:val="tx1"/>
                        </w14:solidFill>
                      </w14:textFill>
                    </w:rPr>
                    <w:t>企业应在排污前重新申请排污许可证，并严格按照排污许可证管理要求开展自行监测及环境台账记录工作</w:t>
                  </w:r>
                </w:p>
              </w:tc>
            </w:tr>
          </w:tbl>
          <w:p w14:paraId="515FF1F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b/>
                <w:bCs/>
                <w:color w:val="000000" w:themeColor="text1"/>
                <w:sz w:val="24"/>
                <w:szCs w:val="24"/>
                <w:lang w:val="en-US" w:eastAsia="zh-CN"/>
                <w14:textFill>
                  <w14:solidFill>
                    <w14:schemeClr w14:val="tx1"/>
                  </w14:solidFill>
                </w14:textFill>
              </w:rPr>
              <w:t>（2）</w:t>
            </w: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相关环保投诉及整改完成情况</w:t>
            </w:r>
            <w:r>
              <w:rPr>
                <w:rFonts w:hint="eastAsia" w:ascii="Times New Roman" w:hAnsi="Times New Roman" w:cs="Times New Roman" w:eastAsiaTheme="minorEastAsia"/>
                <w:b/>
                <w:bCs/>
                <w:color w:val="000000" w:themeColor="text1"/>
                <w:sz w:val="24"/>
                <w:szCs w:val="24"/>
                <w:lang w:val="en-US" w:eastAsia="zh-CN"/>
                <w14:textFill>
                  <w14:solidFill>
                    <w14:schemeClr w14:val="tx1"/>
                  </w14:solidFill>
                </w14:textFill>
              </w:rPr>
              <w:t>：</w:t>
            </w:r>
          </w:p>
          <w:p w14:paraId="6555267B">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b/>
                <w:bCs/>
                <w:color w:val="000000" w:themeColor="text1"/>
                <w:sz w:val="24"/>
                <w:szCs w:val="24"/>
                <w:lang w:val="en-US" w:eastAsia="zh-CN"/>
                <w14:textFill>
                  <w14:solidFill>
                    <w14:schemeClr w14:val="tx1"/>
                  </w14:solidFill>
                </w14:textFill>
              </w:rPr>
              <w:t>1）投诉基本情况</w:t>
            </w:r>
          </w:p>
          <w:p w14:paraId="37EF947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根据</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《中共罗平县委办公室 罗平县人民政府办公室关于印发</w:t>
            </w:r>
            <w:r>
              <w:rPr>
                <w:rFonts w:hint="eastAsia" w:cs="Times New Roman" w:eastAsiaTheme="min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罗平县第三轮中央生态环境保护督察交办群众投诉举报问题整改方案</w:t>
            </w:r>
            <w:r>
              <w:rPr>
                <w:rFonts w:hint="eastAsia" w:cs="Times New Roman" w:eastAsiaTheme="minorEastAsia"/>
                <w:color w:val="000000" w:themeColor="text1"/>
                <w:sz w:val="24"/>
                <w:szCs w:val="24"/>
                <w:lang w:val="en-US" w:eastAsia="zh-CN"/>
                <w14:textFill>
                  <w14:solidFill>
                    <w14:schemeClr w14:val="tx1"/>
                  </w14:solidFill>
                </w14:textFill>
              </w:rPr>
              <w:t>〉的通知》</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（罗办通〔2024〕61号）</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，2024年第三轮中央生态环境保护督察交办群众投诉举报件“曲靖市罗平县阿岗镇小岗德村慧联青瓦厂，属于应淘汰的落后产能，均用燃煤进行烧制，生产时冒黑烟且有刺鼻气味。”</w:t>
            </w:r>
          </w:p>
          <w:p w14:paraId="4C04894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b/>
                <w:bCs/>
                <w:color w:val="000000" w:themeColor="text1"/>
                <w:sz w:val="24"/>
                <w:szCs w:val="24"/>
                <w:lang w:val="en-US" w:eastAsia="zh-CN"/>
                <w14:textFill>
                  <w14:solidFill>
                    <w14:schemeClr w14:val="tx1"/>
                  </w14:solidFill>
                </w14:textFill>
              </w:rPr>
              <w:t>2）问题整改落实情况</w:t>
            </w:r>
          </w:p>
          <w:p w14:paraId="70FF770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根据《罗平县工业信息化和商务科技局关于第三轮中央生态环境保护督察交办群众举报件编号为D3YN202406010009的问题整改完成情况公示》</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，投诉问题整改落实情况如下所示：</w:t>
            </w:r>
          </w:p>
          <w:p w14:paraId="53C14319">
            <w:pPr>
              <w:pStyle w:val="16"/>
              <w:keepNext w:val="0"/>
              <w:keepLines w:val="0"/>
              <w:pageBreakBefore w:val="0"/>
              <w:widowControl w:val="0"/>
              <w:numPr>
                <w:ilvl w:val="0"/>
                <w:numId w:val="0"/>
              </w:numPr>
              <w:kinsoku/>
              <w:wordWrap/>
              <w:overflowPunct/>
              <w:topLinePunct w:val="0"/>
              <w:autoSpaceDE/>
              <w:autoSpaceDN/>
              <w:bidi w:val="0"/>
              <w:spacing w:after="0" w:line="360" w:lineRule="auto"/>
              <w:ind w:leftChars="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①关于</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属于应淘汰的落后产能</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问题</w:t>
            </w:r>
          </w:p>
          <w:p w14:paraId="1F6C76C0">
            <w:pPr>
              <w:pStyle w:val="16"/>
              <w:keepNext w:val="0"/>
              <w:keepLines w:val="0"/>
              <w:pageBreakBefore w:val="0"/>
              <w:widowControl w:val="0"/>
              <w:numPr>
                <w:ilvl w:val="0"/>
                <w:numId w:val="0"/>
              </w:numPr>
              <w:kinsoku/>
              <w:wordWrap/>
              <w:overflowPunct/>
              <w:topLinePunct w:val="0"/>
              <w:autoSpaceDE/>
              <w:autoSpaceDN/>
              <w:bidi w:val="0"/>
              <w:spacing w:after="0" w:line="360" w:lineRule="auto"/>
              <w:ind w:leftChars="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2021年罗平县人民政府下发《关于公布第四批县级非物质文化遗产保护名录项目及传承人的通知》（罗政复〔2021〕62号），认定罗平县阿岗镇青瓦制作技艺为县级非遗项目；2021年12月10日，曲靖市人民政府下发《关于公布第六批市级非物质文化遗产代表性项目的通知》（〔2021〕—374），认定罗平阿岗镇青瓦制作技艺为市级非遗项目；2022年12月30日，曲靖市文化和旅游局下发《关于公布第五批市级非物质文化遗产代表性项目代表性传承人的通知》（曲文旅〔2022〕46号），认定</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为阿岗镇青瓦制作技艺为市级非遗代表性传承人。企业虽然使用的生产工艺设备属于“落后生产工艺装备”，但从非物质文化遗产项目整体性保护的角度，该设备属于传统手工艺的重要组成部分，应予以保护。另根据《国务院办公厅关于转发文化部等部门中国传统工艺振兴计划的通知》（国办发〔2017〕25号），第八条中</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鼓励研发绿色环保材料，改进有污染的工艺流程，加强生态环境保护</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，对传统工艺中</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落后生产工艺装备</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无明确淘汰要求。</w:t>
            </w:r>
          </w:p>
          <w:p w14:paraId="00B62869">
            <w:pPr>
              <w:pStyle w:val="16"/>
              <w:keepNext w:val="0"/>
              <w:keepLines w:val="0"/>
              <w:pageBreakBefore w:val="0"/>
              <w:widowControl w:val="0"/>
              <w:numPr>
                <w:ilvl w:val="0"/>
                <w:numId w:val="0"/>
              </w:numPr>
              <w:kinsoku/>
              <w:wordWrap/>
              <w:overflowPunct/>
              <w:topLinePunct w:val="0"/>
              <w:autoSpaceDE/>
              <w:autoSpaceDN/>
              <w:bidi w:val="0"/>
              <w:spacing w:after="0" w:line="360" w:lineRule="auto"/>
              <w:ind w:leftChars="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②关于</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用燃煤进行烧制</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问题</w:t>
            </w:r>
          </w:p>
          <w:p w14:paraId="7AFEEB2B">
            <w:pPr>
              <w:pStyle w:val="16"/>
              <w:keepNext w:val="0"/>
              <w:keepLines w:val="0"/>
              <w:pageBreakBefore w:val="0"/>
              <w:widowControl w:val="0"/>
              <w:numPr>
                <w:ilvl w:val="0"/>
                <w:numId w:val="0"/>
              </w:numPr>
              <w:kinsoku/>
              <w:wordWrap/>
              <w:overflowPunct/>
              <w:topLinePunct w:val="0"/>
              <w:autoSpaceDE/>
              <w:autoSpaceDN/>
              <w:bidi w:val="0"/>
              <w:spacing w:after="0" w:line="360" w:lineRule="auto"/>
              <w:ind w:leftChars="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经查，该问题不属实。该厂生产燃料为生物质颗粒燃料，现场无燃煤痕迹。</w:t>
            </w:r>
          </w:p>
          <w:p w14:paraId="5E4A8F9B">
            <w:pPr>
              <w:pStyle w:val="16"/>
              <w:keepNext w:val="0"/>
              <w:keepLines w:val="0"/>
              <w:pageBreakBefore w:val="0"/>
              <w:widowControl w:val="0"/>
              <w:numPr>
                <w:ilvl w:val="0"/>
                <w:numId w:val="0"/>
              </w:numPr>
              <w:kinsoku/>
              <w:wordWrap/>
              <w:overflowPunct/>
              <w:topLinePunct w:val="0"/>
              <w:autoSpaceDE/>
              <w:autoSpaceDN/>
              <w:bidi w:val="0"/>
              <w:spacing w:after="0" w:line="360" w:lineRule="auto"/>
              <w:ind w:leftChars="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③关于</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生产时冒黑烟且有刺鼻气味</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问题</w:t>
            </w:r>
          </w:p>
          <w:p w14:paraId="3ACF1376">
            <w:pPr>
              <w:keepNext w:val="0"/>
              <w:keepLines w:val="0"/>
              <w:pageBreakBefore w:val="0"/>
              <w:widowControl w:val="0"/>
              <w:kinsoku/>
              <w:wordWrap/>
              <w:overflowPunct/>
              <w:topLinePunct w:val="0"/>
              <w:autoSpaceDE/>
              <w:autoSpaceDN/>
              <w:bidi w:val="0"/>
              <w:adjustRightInd w:val="0"/>
              <w:snapToGrid w:val="0"/>
              <w:spacing w:line="360" w:lineRule="auto"/>
              <w:ind w:leftChars="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经查，该问题部分属实。</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生产时冒黑烟</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问题不属实，</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有刺鼻气味</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问题属实。经现场核查，未发现罗平县慧联青瓦厂生产烧制过程中冒黑烟现象。</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有刺鼻气味</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”整改情况：采取三面围挡、洒水抑尘、运输车辆篷布覆盖等措施，强化原料堆场、制瓦生产工序粉尘等无组织废气排放管理。</w:t>
            </w:r>
          </w:p>
          <w:p w14:paraId="68DD6A6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textAlignment w:val="auto"/>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3）后续环保措施保障</w:t>
            </w:r>
          </w:p>
          <w:p w14:paraId="5386F79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针对上述环保投诉，本次改扩建提出环保措施及管理措施有：</w:t>
            </w:r>
          </w:p>
          <w:p w14:paraId="5D80C239">
            <w:pPr>
              <w:pStyle w:val="1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①</w:t>
            </w: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烧制过程产生的废气通过烟气收集管道收集后经1套“高温脉冲</w:t>
            </w:r>
            <w:r>
              <w:rPr>
                <w:rFonts w:hint="eastAsia" w:cs="宋体"/>
                <w:color w:val="000000" w:themeColor="text1"/>
                <w:spacing w:val="0"/>
                <w:kern w:val="0"/>
                <w:sz w:val="24"/>
                <w:szCs w:val="24"/>
                <w:lang w:val="en-US" w:eastAsia="zh-CN"/>
                <w14:textFill>
                  <w14:solidFill>
                    <w14:schemeClr w14:val="tx1"/>
                  </w14:solidFill>
                </w14:textFill>
              </w:rPr>
              <w:t>袋式</w:t>
            </w: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除尘器+脱硫塔”处理后由1根15m高的排气筒（DA00</w:t>
            </w:r>
            <w:r>
              <w:rPr>
                <w:rFonts w:hint="eastAsia" w:cs="宋体"/>
                <w:color w:val="000000" w:themeColor="text1"/>
                <w:spacing w:val="0"/>
                <w:kern w:val="0"/>
                <w:sz w:val="24"/>
                <w:szCs w:val="24"/>
                <w:lang w:val="en-US" w:eastAsia="zh-CN"/>
                <w14:textFill>
                  <w14:solidFill>
                    <w14:schemeClr w14:val="tx1"/>
                  </w14:solidFill>
                </w14:textFill>
              </w:rPr>
              <w:t>1</w:t>
            </w: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）排放。</w:t>
            </w:r>
          </w:p>
          <w:p w14:paraId="00811017">
            <w:pPr>
              <w:pStyle w:val="1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②</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增设1间一般固体废物暂存间，规范贮存产生的脱硫石膏、炉渣等一般工业固体废物。</w:t>
            </w:r>
          </w:p>
          <w:p w14:paraId="3EE9CC09">
            <w:pPr>
              <w:pStyle w:val="1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③</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企业</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禁止使用燃煤进行烧制</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p>
          <w:p w14:paraId="72B7FA4E">
            <w:pPr>
              <w:pStyle w:val="1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④严格落实排污许可管理等环保要求，确保环保设施正常运行、达标排放</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p>
          <w:p w14:paraId="1BE99071">
            <w:pPr>
              <w:spacing w:line="360" w:lineRule="auto"/>
              <w:ind w:firstLine="482" w:firstLineChars="200"/>
              <w:rPr>
                <w:rFonts w:hint="eastAsia"/>
                <w:b/>
                <w:bCs/>
                <w:color w:val="000000" w:themeColor="text1"/>
                <w:sz w:val="24"/>
                <w:szCs w:val="22"/>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6、“</w:t>
            </w:r>
            <w:r>
              <w:rPr>
                <w:rFonts w:hint="eastAsia"/>
                <w:b/>
                <w:bCs/>
                <w:color w:val="000000" w:themeColor="text1"/>
                <w:sz w:val="24"/>
                <w:szCs w:val="22"/>
                <w14:textFill>
                  <w14:solidFill>
                    <w14:schemeClr w14:val="tx1"/>
                  </w14:solidFill>
                </w14:textFill>
              </w:rPr>
              <w:t>三本账</w:t>
            </w:r>
            <w:r>
              <w:rPr>
                <w:rFonts w:hint="eastAsia"/>
                <w:b/>
                <w:bCs/>
                <w:color w:val="000000" w:themeColor="text1"/>
                <w:sz w:val="24"/>
                <w:szCs w:val="24"/>
                <w:lang w:val="en-US" w:eastAsia="zh-CN"/>
                <w14:textFill>
                  <w14:solidFill>
                    <w14:schemeClr w14:val="tx1"/>
                  </w14:solidFill>
                </w14:textFill>
              </w:rPr>
              <w:t>”</w:t>
            </w:r>
            <w:r>
              <w:rPr>
                <w:rFonts w:hint="eastAsia"/>
                <w:b/>
                <w:bCs/>
                <w:color w:val="000000" w:themeColor="text1"/>
                <w:sz w:val="24"/>
                <w:szCs w:val="22"/>
                <w14:textFill>
                  <w14:solidFill>
                    <w14:schemeClr w14:val="tx1"/>
                  </w14:solidFill>
                </w14:textFill>
              </w:rPr>
              <w:t>分析</w:t>
            </w:r>
          </w:p>
          <w:p w14:paraId="25E80954">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项目建成前后污染物排放情况及变化情况汇总于表</w:t>
            </w:r>
            <w:r>
              <w:rPr>
                <w:rFonts w:hint="eastAsia"/>
                <w:color w:val="000000" w:themeColor="text1"/>
                <w:sz w:val="24"/>
                <w:lang w:val="en-US" w:eastAsia="zh-CN"/>
                <w14:textFill>
                  <w14:solidFill>
                    <w14:schemeClr w14:val="tx1"/>
                  </w14:solidFill>
                </w14:textFill>
              </w:rPr>
              <w:t>2-30</w:t>
            </w:r>
            <w:r>
              <w:rPr>
                <w:color w:val="000000" w:themeColor="text1"/>
                <w:sz w:val="24"/>
                <w14:textFill>
                  <w14:solidFill>
                    <w14:schemeClr w14:val="tx1"/>
                  </w14:solidFill>
                </w14:textFill>
              </w:rPr>
              <w:t>。</w:t>
            </w:r>
          </w:p>
          <w:p w14:paraId="6539D16D">
            <w:pPr>
              <w:keepNext w:val="0"/>
              <w:keepLines w:val="0"/>
              <w:pageBreakBefore w:val="0"/>
              <w:widowControl w:val="0"/>
              <w:kinsoku/>
              <w:wordWrap/>
              <w:overflowPunct/>
              <w:topLinePunct w:val="0"/>
              <w:autoSpaceDE/>
              <w:autoSpaceDN/>
              <w:bidi w:val="0"/>
              <w:adjustRightInd/>
              <w:snapToGrid/>
              <w:spacing w:line="276" w:lineRule="auto"/>
              <w:ind w:firstLine="0" w:firstLineChars="0"/>
              <w:jc w:val="center"/>
              <w:textAlignment w:val="auto"/>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表2-</w:t>
            </w:r>
            <w:r>
              <w:rPr>
                <w:rFonts w:hint="eastAsia" w:cs="Times New Roman"/>
                <w:b/>
                <w:bCs/>
                <w:color w:val="000000" w:themeColor="text1"/>
                <w:sz w:val="24"/>
                <w:szCs w:val="24"/>
                <w:lang w:val="en-US" w:eastAsia="zh-CN"/>
                <w14:textFill>
                  <w14:solidFill>
                    <w14:schemeClr w14:val="tx1"/>
                  </w14:solidFill>
                </w14:textFill>
              </w:rPr>
              <w:t>30</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 xml:space="preserve">  项目建成前后“三本账”汇总一览表</w:t>
            </w:r>
          </w:p>
          <w:tbl>
            <w:tblPr>
              <w:tblStyle w:val="28"/>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984"/>
              <w:gridCol w:w="1248"/>
              <w:gridCol w:w="1056"/>
              <w:gridCol w:w="864"/>
              <w:gridCol w:w="972"/>
              <w:gridCol w:w="1044"/>
              <w:gridCol w:w="886"/>
              <w:gridCol w:w="940"/>
            </w:tblGrid>
            <w:tr w14:paraId="35DC2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64" w:type="dxa"/>
                  <w:gridSpan w:val="2"/>
                  <w:vMerge w:val="restart"/>
                  <w:tcBorders>
                    <w:tl2br w:val="nil"/>
                    <w:tr2bl w:val="nil"/>
                  </w:tcBorders>
                  <w:noWrap w:val="0"/>
                  <w:vAlign w:val="center"/>
                </w:tcPr>
                <w:p w14:paraId="02A5D7F0">
                  <w:pPr>
                    <w:widowControl/>
                    <w:jc w:val="center"/>
                    <w:rPr>
                      <w:color w:val="000000" w:themeColor="text1"/>
                      <w:spacing w:val="0"/>
                      <w:kern w:val="0"/>
                      <w:sz w:val="21"/>
                      <w:szCs w:val="21"/>
                      <w:highlight w:val="none"/>
                      <w14:textFill>
                        <w14:solidFill>
                          <w14:schemeClr w14:val="tx1"/>
                        </w14:solidFill>
                      </w14:textFill>
                    </w:rPr>
                  </w:pPr>
                  <w:r>
                    <w:rPr>
                      <w:color w:val="000000" w:themeColor="text1"/>
                      <w:spacing w:val="0"/>
                      <w:kern w:val="0"/>
                      <w:sz w:val="21"/>
                      <w:szCs w:val="21"/>
                      <w:highlight w:val="none"/>
                      <w14:textFill>
                        <w14:solidFill>
                          <w14:schemeClr w14:val="tx1"/>
                        </w14:solidFill>
                      </w14:textFill>
                    </w:rPr>
                    <w:t>污染源</w:t>
                  </w:r>
                </w:p>
              </w:tc>
              <w:tc>
                <w:tcPr>
                  <w:tcW w:w="1248" w:type="dxa"/>
                  <w:vMerge w:val="restart"/>
                  <w:tcBorders>
                    <w:tl2br w:val="nil"/>
                    <w:tr2bl w:val="nil"/>
                  </w:tcBorders>
                  <w:noWrap w:val="0"/>
                  <w:vAlign w:val="center"/>
                </w:tcPr>
                <w:p w14:paraId="30414926">
                  <w:pPr>
                    <w:widowControl/>
                    <w:jc w:val="center"/>
                    <w:rPr>
                      <w:color w:val="000000" w:themeColor="text1"/>
                      <w:spacing w:val="0"/>
                      <w:kern w:val="0"/>
                      <w:sz w:val="21"/>
                      <w:szCs w:val="21"/>
                      <w:highlight w:val="none"/>
                      <w14:textFill>
                        <w14:solidFill>
                          <w14:schemeClr w14:val="tx1"/>
                        </w14:solidFill>
                      </w14:textFill>
                    </w:rPr>
                  </w:pPr>
                  <w:r>
                    <w:rPr>
                      <w:color w:val="000000" w:themeColor="text1"/>
                      <w:spacing w:val="0"/>
                      <w:kern w:val="0"/>
                      <w:sz w:val="21"/>
                      <w:szCs w:val="21"/>
                      <w:highlight w:val="none"/>
                      <w14:textFill>
                        <w14:solidFill>
                          <w14:schemeClr w14:val="tx1"/>
                        </w14:solidFill>
                      </w14:textFill>
                    </w:rPr>
                    <w:t>污染物</w:t>
                  </w:r>
                </w:p>
              </w:tc>
              <w:tc>
                <w:tcPr>
                  <w:tcW w:w="1056" w:type="dxa"/>
                  <w:tcBorders>
                    <w:tl2br w:val="nil"/>
                    <w:tr2bl w:val="nil"/>
                  </w:tcBorders>
                  <w:noWrap w:val="0"/>
                  <w:vAlign w:val="center"/>
                </w:tcPr>
                <w:p w14:paraId="19C3A3C0">
                  <w:pPr>
                    <w:widowControl/>
                    <w:jc w:val="center"/>
                    <w:rPr>
                      <w:color w:val="000000" w:themeColor="text1"/>
                      <w:spacing w:val="0"/>
                      <w:kern w:val="0"/>
                      <w:sz w:val="21"/>
                      <w:szCs w:val="21"/>
                      <w:highlight w:val="none"/>
                      <w14:textFill>
                        <w14:solidFill>
                          <w14:schemeClr w14:val="tx1"/>
                        </w14:solidFill>
                      </w14:textFill>
                    </w:rPr>
                  </w:pPr>
                  <w:r>
                    <w:rPr>
                      <w:color w:val="000000" w:themeColor="text1"/>
                      <w:spacing w:val="0"/>
                      <w:kern w:val="0"/>
                      <w:sz w:val="21"/>
                      <w:szCs w:val="21"/>
                      <w:highlight w:val="none"/>
                      <w14:textFill>
                        <w14:solidFill>
                          <w14:schemeClr w14:val="tx1"/>
                        </w14:solidFill>
                      </w14:textFill>
                    </w:rPr>
                    <w:t>现有工程</w:t>
                  </w:r>
                </w:p>
              </w:tc>
              <w:tc>
                <w:tcPr>
                  <w:tcW w:w="1836" w:type="dxa"/>
                  <w:gridSpan w:val="2"/>
                  <w:tcBorders>
                    <w:tl2br w:val="nil"/>
                    <w:tr2bl w:val="nil"/>
                  </w:tcBorders>
                  <w:noWrap w:val="0"/>
                  <w:vAlign w:val="center"/>
                </w:tcPr>
                <w:p w14:paraId="04BA2DBF">
                  <w:pPr>
                    <w:widowControl/>
                    <w:jc w:val="center"/>
                    <w:rPr>
                      <w:color w:val="000000" w:themeColor="text1"/>
                      <w:spacing w:val="0"/>
                      <w:kern w:val="0"/>
                      <w:sz w:val="21"/>
                      <w:szCs w:val="21"/>
                      <w:highlight w:val="none"/>
                      <w14:textFill>
                        <w14:solidFill>
                          <w14:schemeClr w14:val="tx1"/>
                        </w14:solidFill>
                      </w14:textFill>
                    </w:rPr>
                  </w:pPr>
                  <w:r>
                    <w:rPr>
                      <w:rFonts w:hint="eastAsia"/>
                      <w:color w:val="000000" w:themeColor="text1"/>
                      <w:spacing w:val="0"/>
                      <w:kern w:val="0"/>
                      <w:sz w:val="21"/>
                      <w:szCs w:val="21"/>
                      <w:highlight w:val="none"/>
                      <w:lang w:val="en-US" w:eastAsia="zh-CN"/>
                      <w14:textFill>
                        <w14:solidFill>
                          <w14:schemeClr w14:val="tx1"/>
                        </w14:solidFill>
                      </w14:textFill>
                    </w:rPr>
                    <w:t>改扩建</w:t>
                  </w:r>
                  <w:r>
                    <w:rPr>
                      <w:color w:val="000000" w:themeColor="text1"/>
                      <w:spacing w:val="0"/>
                      <w:kern w:val="0"/>
                      <w:sz w:val="21"/>
                      <w:szCs w:val="21"/>
                      <w:highlight w:val="none"/>
                      <w14:textFill>
                        <w14:solidFill>
                          <w14:schemeClr w14:val="tx1"/>
                        </w14:solidFill>
                      </w14:textFill>
                    </w:rPr>
                    <w:t>工程</w:t>
                  </w:r>
                </w:p>
              </w:tc>
              <w:tc>
                <w:tcPr>
                  <w:tcW w:w="1044" w:type="dxa"/>
                  <w:vMerge w:val="restart"/>
                  <w:tcBorders>
                    <w:tl2br w:val="nil"/>
                    <w:tr2bl w:val="nil"/>
                  </w:tcBorders>
                  <w:noWrap w:val="0"/>
                  <w:vAlign w:val="center"/>
                </w:tcPr>
                <w:p w14:paraId="42880DF5">
                  <w:pPr>
                    <w:widowControl/>
                    <w:jc w:val="center"/>
                    <w:rPr>
                      <w:color w:val="000000" w:themeColor="text1"/>
                      <w:spacing w:val="0"/>
                      <w:kern w:val="0"/>
                      <w:sz w:val="21"/>
                      <w:szCs w:val="21"/>
                      <w:highlight w:val="none"/>
                      <w14:textFill>
                        <w14:solidFill>
                          <w14:schemeClr w14:val="tx1"/>
                        </w14:solidFill>
                      </w14:textFill>
                    </w:rPr>
                  </w:pPr>
                  <w:r>
                    <w:rPr>
                      <w:color w:val="000000" w:themeColor="text1"/>
                      <w:spacing w:val="0"/>
                      <w:kern w:val="0"/>
                      <w:sz w:val="21"/>
                      <w:szCs w:val="21"/>
                      <w:highlight w:val="none"/>
                      <w14:textFill>
                        <w14:solidFill>
                          <w14:schemeClr w14:val="tx1"/>
                        </w14:solidFill>
                      </w14:textFill>
                    </w:rPr>
                    <w:t>以新带老削减量</w:t>
                  </w:r>
                </w:p>
              </w:tc>
              <w:tc>
                <w:tcPr>
                  <w:tcW w:w="886" w:type="dxa"/>
                  <w:vMerge w:val="restart"/>
                  <w:tcBorders>
                    <w:tl2br w:val="nil"/>
                    <w:tr2bl w:val="nil"/>
                  </w:tcBorders>
                  <w:noWrap w:val="0"/>
                  <w:vAlign w:val="center"/>
                </w:tcPr>
                <w:p w14:paraId="155BCE04">
                  <w:pPr>
                    <w:widowControl/>
                    <w:jc w:val="center"/>
                    <w:rPr>
                      <w:color w:val="000000" w:themeColor="text1"/>
                      <w:spacing w:val="0"/>
                      <w:kern w:val="0"/>
                      <w:sz w:val="21"/>
                      <w:szCs w:val="21"/>
                      <w:highlight w:val="none"/>
                      <w14:textFill>
                        <w14:solidFill>
                          <w14:schemeClr w14:val="tx1"/>
                        </w14:solidFill>
                      </w14:textFill>
                    </w:rPr>
                  </w:pPr>
                  <w:r>
                    <w:rPr>
                      <w:color w:val="000000" w:themeColor="text1"/>
                      <w:spacing w:val="0"/>
                      <w:kern w:val="0"/>
                      <w:sz w:val="21"/>
                      <w:szCs w:val="21"/>
                      <w:highlight w:val="none"/>
                      <w14:textFill>
                        <w14:solidFill>
                          <w14:schemeClr w14:val="tx1"/>
                        </w14:solidFill>
                      </w14:textFill>
                    </w:rPr>
                    <w:t>总排放量</w:t>
                  </w:r>
                </w:p>
              </w:tc>
              <w:tc>
                <w:tcPr>
                  <w:tcW w:w="940" w:type="dxa"/>
                  <w:vMerge w:val="restart"/>
                  <w:tcBorders>
                    <w:tl2br w:val="nil"/>
                    <w:tr2bl w:val="nil"/>
                  </w:tcBorders>
                  <w:noWrap w:val="0"/>
                  <w:vAlign w:val="center"/>
                </w:tcPr>
                <w:p w14:paraId="69075E54">
                  <w:pPr>
                    <w:widowControl/>
                    <w:jc w:val="center"/>
                    <w:rPr>
                      <w:color w:val="000000" w:themeColor="text1"/>
                      <w:spacing w:val="0"/>
                      <w:kern w:val="0"/>
                      <w:sz w:val="21"/>
                      <w:szCs w:val="21"/>
                      <w:highlight w:val="none"/>
                      <w14:textFill>
                        <w14:solidFill>
                          <w14:schemeClr w14:val="tx1"/>
                        </w14:solidFill>
                      </w14:textFill>
                    </w:rPr>
                  </w:pPr>
                  <w:r>
                    <w:rPr>
                      <w:color w:val="000000" w:themeColor="text1"/>
                      <w:spacing w:val="0"/>
                      <w:kern w:val="0"/>
                      <w:sz w:val="21"/>
                      <w:szCs w:val="21"/>
                      <w:highlight w:val="none"/>
                      <w14:textFill>
                        <w14:solidFill>
                          <w14:schemeClr w14:val="tx1"/>
                        </w14:solidFill>
                      </w14:textFill>
                    </w:rPr>
                    <w:t>排放增减量</w:t>
                  </w:r>
                </w:p>
              </w:tc>
            </w:tr>
            <w:tr w14:paraId="6A5E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64" w:type="dxa"/>
                  <w:gridSpan w:val="2"/>
                  <w:vMerge w:val="continue"/>
                  <w:tcBorders>
                    <w:tl2br w:val="nil"/>
                    <w:tr2bl w:val="nil"/>
                  </w:tcBorders>
                  <w:noWrap w:val="0"/>
                  <w:vAlign w:val="center"/>
                </w:tcPr>
                <w:p w14:paraId="4C6AE0EE">
                  <w:pPr>
                    <w:widowControl/>
                    <w:jc w:val="center"/>
                    <w:rPr>
                      <w:color w:val="000000" w:themeColor="text1"/>
                      <w:spacing w:val="0"/>
                      <w:kern w:val="0"/>
                      <w:sz w:val="21"/>
                      <w:szCs w:val="21"/>
                      <w:highlight w:val="none"/>
                      <w14:textFill>
                        <w14:solidFill>
                          <w14:schemeClr w14:val="tx1"/>
                        </w14:solidFill>
                      </w14:textFill>
                    </w:rPr>
                  </w:pPr>
                </w:p>
              </w:tc>
              <w:tc>
                <w:tcPr>
                  <w:tcW w:w="1248" w:type="dxa"/>
                  <w:vMerge w:val="continue"/>
                  <w:tcBorders>
                    <w:tl2br w:val="nil"/>
                    <w:tr2bl w:val="nil"/>
                  </w:tcBorders>
                  <w:noWrap w:val="0"/>
                  <w:vAlign w:val="center"/>
                </w:tcPr>
                <w:p w14:paraId="0D5DAB3F">
                  <w:pPr>
                    <w:widowControl/>
                    <w:jc w:val="center"/>
                    <w:rPr>
                      <w:color w:val="000000" w:themeColor="text1"/>
                      <w:spacing w:val="0"/>
                      <w:kern w:val="0"/>
                      <w:sz w:val="21"/>
                      <w:szCs w:val="21"/>
                      <w:highlight w:val="none"/>
                      <w14:textFill>
                        <w14:solidFill>
                          <w14:schemeClr w14:val="tx1"/>
                        </w14:solidFill>
                      </w14:textFill>
                    </w:rPr>
                  </w:pPr>
                </w:p>
              </w:tc>
              <w:tc>
                <w:tcPr>
                  <w:tcW w:w="1056" w:type="dxa"/>
                  <w:tcBorders>
                    <w:tl2br w:val="nil"/>
                    <w:tr2bl w:val="nil"/>
                  </w:tcBorders>
                  <w:noWrap w:val="0"/>
                  <w:vAlign w:val="center"/>
                </w:tcPr>
                <w:p w14:paraId="658CC3BD">
                  <w:pPr>
                    <w:widowControl/>
                    <w:jc w:val="center"/>
                    <w:rPr>
                      <w:rFonts w:hint="eastAsia" w:eastAsia="宋体"/>
                      <w:color w:val="000000" w:themeColor="text1"/>
                      <w:spacing w:val="0"/>
                      <w:kern w:val="0"/>
                      <w:sz w:val="21"/>
                      <w:szCs w:val="21"/>
                      <w:highlight w:val="none"/>
                      <w:lang w:eastAsia="zh-CN"/>
                      <w14:textFill>
                        <w14:solidFill>
                          <w14:schemeClr w14:val="tx1"/>
                        </w14:solidFill>
                      </w14:textFill>
                    </w:rPr>
                  </w:pPr>
                  <w:r>
                    <w:rPr>
                      <w:color w:val="000000" w:themeColor="text1"/>
                      <w:spacing w:val="0"/>
                      <w:kern w:val="0"/>
                      <w:sz w:val="21"/>
                      <w:szCs w:val="21"/>
                      <w:highlight w:val="none"/>
                      <w14:textFill>
                        <w14:solidFill>
                          <w14:schemeClr w14:val="tx1"/>
                        </w14:solidFill>
                      </w14:textFill>
                    </w:rPr>
                    <w:t>排放量</w:t>
                  </w:r>
                </w:p>
              </w:tc>
              <w:tc>
                <w:tcPr>
                  <w:tcW w:w="864" w:type="dxa"/>
                  <w:tcBorders>
                    <w:tl2br w:val="nil"/>
                    <w:tr2bl w:val="nil"/>
                  </w:tcBorders>
                  <w:noWrap w:val="0"/>
                  <w:vAlign w:val="center"/>
                </w:tcPr>
                <w:p w14:paraId="7212F025">
                  <w:pPr>
                    <w:widowControl/>
                    <w:jc w:val="center"/>
                    <w:rPr>
                      <w:color w:val="000000" w:themeColor="text1"/>
                      <w:spacing w:val="0"/>
                      <w:kern w:val="0"/>
                      <w:sz w:val="21"/>
                      <w:szCs w:val="21"/>
                      <w:highlight w:val="none"/>
                      <w14:textFill>
                        <w14:solidFill>
                          <w14:schemeClr w14:val="tx1"/>
                        </w14:solidFill>
                      </w14:textFill>
                    </w:rPr>
                  </w:pPr>
                  <w:r>
                    <w:rPr>
                      <w:color w:val="000000" w:themeColor="text1"/>
                      <w:spacing w:val="0"/>
                      <w:kern w:val="0"/>
                      <w:sz w:val="21"/>
                      <w:szCs w:val="21"/>
                      <w:highlight w:val="none"/>
                      <w14:textFill>
                        <w14:solidFill>
                          <w14:schemeClr w14:val="tx1"/>
                        </w14:solidFill>
                      </w14:textFill>
                    </w:rPr>
                    <w:t>产生量</w:t>
                  </w:r>
                </w:p>
              </w:tc>
              <w:tc>
                <w:tcPr>
                  <w:tcW w:w="972" w:type="dxa"/>
                  <w:tcBorders>
                    <w:tl2br w:val="nil"/>
                    <w:tr2bl w:val="nil"/>
                  </w:tcBorders>
                  <w:noWrap w:val="0"/>
                  <w:vAlign w:val="center"/>
                </w:tcPr>
                <w:p w14:paraId="768FB8F3">
                  <w:pPr>
                    <w:widowControl/>
                    <w:jc w:val="center"/>
                    <w:rPr>
                      <w:color w:val="000000" w:themeColor="text1"/>
                      <w:spacing w:val="0"/>
                      <w:kern w:val="0"/>
                      <w:sz w:val="21"/>
                      <w:szCs w:val="21"/>
                      <w:highlight w:val="none"/>
                      <w14:textFill>
                        <w14:solidFill>
                          <w14:schemeClr w14:val="tx1"/>
                        </w14:solidFill>
                      </w14:textFill>
                    </w:rPr>
                  </w:pPr>
                  <w:r>
                    <w:rPr>
                      <w:color w:val="000000" w:themeColor="text1"/>
                      <w:spacing w:val="0"/>
                      <w:kern w:val="0"/>
                      <w:sz w:val="21"/>
                      <w:szCs w:val="21"/>
                      <w:highlight w:val="none"/>
                      <w14:textFill>
                        <w14:solidFill>
                          <w14:schemeClr w14:val="tx1"/>
                        </w14:solidFill>
                      </w14:textFill>
                    </w:rPr>
                    <w:t>排放量</w:t>
                  </w:r>
                </w:p>
              </w:tc>
              <w:tc>
                <w:tcPr>
                  <w:tcW w:w="1044" w:type="dxa"/>
                  <w:vMerge w:val="continue"/>
                  <w:tcBorders>
                    <w:tl2br w:val="nil"/>
                    <w:tr2bl w:val="nil"/>
                  </w:tcBorders>
                  <w:noWrap w:val="0"/>
                  <w:vAlign w:val="center"/>
                </w:tcPr>
                <w:p w14:paraId="5E004C64">
                  <w:pPr>
                    <w:widowControl/>
                    <w:jc w:val="center"/>
                    <w:rPr>
                      <w:color w:val="000000" w:themeColor="text1"/>
                      <w:spacing w:val="0"/>
                      <w:kern w:val="0"/>
                      <w:sz w:val="21"/>
                      <w:szCs w:val="21"/>
                      <w:highlight w:val="none"/>
                      <w14:textFill>
                        <w14:solidFill>
                          <w14:schemeClr w14:val="tx1"/>
                        </w14:solidFill>
                      </w14:textFill>
                    </w:rPr>
                  </w:pPr>
                </w:p>
              </w:tc>
              <w:tc>
                <w:tcPr>
                  <w:tcW w:w="886" w:type="dxa"/>
                  <w:vMerge w:val="continue"/>
                  <w:tcBorders>
                    <w:tl2br w:val="nil"/>
                    <w:tr2bl w:val="nil"/>
                  </w:tcBorders>
                  <w:noWrap w:val="0"/>
                  <w:vAlign w:val="center"/>
                </w:tcPr>
                <w:p w14:paraId="29B648DF">
                  <w:pPr>
                    <w:widowControl/>
                    <w:jc w:val="center"/>
                    <w:rPr>
                      <w:color w:val="000000" w:themeColor="text1"/>
                      <w:spacing w:val="0"/>
                      <w:kern w:val="0"/>
                      <w:sz w:val="21"/>
                      <w:szCs w:val="21"/>
                      <w:highlight w:val="none"/>
                      <w14:textFill>
                        <w14:solidFill>
                          <w14:schemeClr w14:val="tx1"/>
                        </w14:solidFill>
                      </w14:textFill>
                    </w:rPr>
                  </w:pPr>
                </w:p>
              </w:tc>
              <w:tc>
                <w:tcPr>
                  <w:tcW w:w="940" w:type="dxa"/>
                  <w:vMerge w:val="continue"/>
                  <w:tcBorders>
                    <w:tl2br w:val="nil"/>
                    <w:tr2bl w:val="nil"/>
                  </w:tcBorders>
                  <w:noWrap w:val="0"/>
                  <w:vAlign w:val="center"/>
                </w:tcPr>
                <w:p w14:paraId="72056934">
                  <w:pPr>
                    <w:widowControl/>
                    <w:jc w:val="center"/>
                    <w:rPr>
                      <w:color w:val="000000" w:themeColor="text1"/>
                      <w:spacing w:val="0"/>
                      <w:kern w:val="0"/>
                      <w:sz w:val="21"/>
                      <w:szCs w:val="21"/>
                      <w:highlight w:val="none"/>
                      <w14:textFill>
                        <w14:solidFill>
                          <w14:schemeClr w14:val="tx1"/>
                        </w14:solidFill>
                      </w14:textFill>
                    </w:rPr>
                  </w:pPr>
                </w:p>
              </w:tc>
            </w:tr>
            <w:tr w14:paraId="04B5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0" w:type="dxa"/>
                  <w:vMerge w:val="restart"/>
                  <w:tcBorders>
                    <w:tl2br w:val="nil"/>
                    <w:tr2bl w:val="nil"/>
                  </w:tcBorders>
                  <w:noWrap w:val="0"/>
                  <w:vAlign w:val="center"/>
                </w:tcPr>
                <w:p w14:paraId="692DCC6F">
                  <w:pPr>
                    <w:widowControl/>
                    <w:jc w:val="center"/>
                    <w:rPr>
                      <w:color w:val="000000" w:themeColor="text1"/>
                      <w:spacing w:val="0"/>
                      <w:kern w:val="0"/>
                      <w:sz w:val="21"/>
                      <w:szCs w:val="21"/>
                      <w:highlight w:val="none"/>
                      <w14:textFill>
                        <w14:solidFill>
                          <w14:schemeClr w14:val="tx1"/>
                        </w14:solidFill>
                      </w14:textFill>
                    </w:rPr>
                  </w:pPr>
                  <w:r>
                    <w:rPr>
                      <w:color w:val="000000" w:themeColor="text1"/>
                      <w:spacing w:val="0"/>
                      <w:kern w:val="0"/>
                      <w:sz w:val="21"/>
                      <w:szCs w:val="21"/>
                      <w:highlight w:val="none"/>
                      <w14:textFill>
                        <w14:solidFill>
                          <w14:schemeClr w14:val="tx1"/>
                        </w14:solidFill>
                      </w14:textFill>
                    </w:rPr>
                    <w:t>废气</w:t>
                  </w:r>
                </w:p>
              </w:tc>
              <w:tc>
                <w:tcPr>
                  <w:tcW w:w="984" w:type="dxa"/>
                  <w:vMerge w:val="restart"/>
                  <w:tcBorders>
                    <w:tl2br w:val="nil"/>
                    <w:tr2bl w:val="nil"/>
                  </w:tcBorders>
                  <w:noWrap w:val="0"/>
                  <w:vAlign w:val="center"/>
                </w:tcPr>
                <w:p w14:paraId="39A320F1">
                  <w:pPr>
                    <w:widowControl/>
                    <w:jc w:val="center"/>
                    <w:rPr>
                      <w:rFonts w:hint="eastAsia"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kern w:val="0"/>
                      <w:sz w:val="21"/>
                      <w:szCs w:val="21"/>
                      <w:highlight w:val="none"/>
                      <w:lang w:val="en-US" w:eastAsia="zh-CN"/>
                      <w14:textFill>
                        <w14:solidFill>
                          <w14:schemeClr w14:val="tx1"/>
                        </w14:solidFill>
                      </w14:textFill>
                    </w:rPr>
                    <w:t>有组织（t/a）</w:t>
                  </w:r>
                </w:p>
              </w:tc>
              <w:tc>
                <w:tcPr>
                  <w:tcW w:w="1248" w:type="dxa"/>
                  <w:tcBorders>
                    <w:tl2br w:val="nil"/>
                    <w:tr2bl w:val="nil"/>
                  </w:tcBorders>
                  <w:noWrap w:val="0"/>
                  <w:vAlign w:val="center"/>
                </w:tcPr>
                <w:p w14:paraId="4FB70543">
                  <w:pPr>
                    <w:widowControl/>
                    <w:jc w:val="center"/>
                    <w:rPr>
                      <w:rFonts w:hint="eastAsia"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kern w:val="0"/>
                      <w:sz w:val="21"/>
                      <w:szCs w:val="21"/>
                      <w:highlight w:val="none"/>
                      <w:lang w:val="en-US" w:eastAsia="zh-CN"/>
                      <w14:textFill>
                        <w14:solidFill>
                          <w14:schemeClr w14:val="tx1"/>
                        </w14:solidFill>
                      </w14:textFill>
                    </w:rPr>
                    <w:t>颗粒物</w:t>
                  </w:r>
                </w:p>
              </w:tc>
              <w:tc>
                <w:tcPr>
                  <w:tcW w:w="1056" w:type="dxa"/>
                  <w:tcBorders>
                    <w:tl2br w:val="nil"/>
                    <w:tr2bl w:val="nil"/>
                  </w:tcBorders>
                  <w:noWrap/>
                  <w:vAlign w:val="center"/>
                </w:tcPr>
                <w:p w14:paraId="11A3FE30">
                  <w:pPr>
                    <w:jc w:val="center"/>
                    <w:rPr>
                      <w:rFonts w:hint="default" w:eastAsia="宋体"/>
                      <w:color w:val="000000" w:themeColor="text1"/>
                      <w:spacing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5.41</w:t>
                  </w:r>
                </w:p>
              </w:tc>
              <w:tc>
                <w:tcPr>
                  <w:tcW w:w="864" w:type="dxa"/>
                  <w:tcBorders>
                    <w:tl2br w:val="nil"/>
                    <w:tr2bl w:val="nil"/>
                  </w:tcBorders>
                  <w:noWrap/>
                  <w:vAlign w:val="center"/>
                </w:tcPr>
                <w:p w14:paraId="602722A3">
                  <w:pPr>
                    <w:jc w:val="center"/>
                    <w:rPr>
                      <w:rFonts w:hint="default"/>
                      <w:color w:val="000000" w:themeColor="text1"/>
                      <w:spacing w:val="0"/>
                      <w:kern w:val="0"/>
                      <w:sz w:val="21"/>
                      <w:szCs w:val="21"/>
                      <w:highlight w:val="none"/>
                      <w:lang w:val="en-US" w:eastAsia="zh-CN" w:bidi="ar"/>
                      <w14:textFill>
                        <w14:solidFill>
                          <w14:schemeClr w14:val="tx1"/>
                        </w14:solidFill>
                      </w14:textFill>
                    </w:rPr>
                  </w:pPr>
                  <w:r>
                    <w:rPr>
                      <w:rFonts w:hint="eastAsia"/>
                      <w:color w:val="000000" w:themeColor="text1"/>
                      <w:spacing w:val="0"/>
                      <w:kern w:val="0"/>
                      <w:sz w:val="21"/>
                      <w:szCs w:val="21"/>
                      <w:highlight w:val="none"/>
                      <w:lang w:val="en-US" w:eastAsia="zh-CN" w:bidi="ar"/>
                      <w14:textFill>
                        <w14:solidFill>
                          <w14:schemeClr w14:val="tx1"/>
                        </w14:solidFill>
                      </w14:textFill>
                    </w:rPr>
                    <w:t>31.72</w:t>
                  </w:r>
                </w:p>
              </w:tc>
              <w:tc>
                <w:tcPr>
                  <w:tcW w:w="972" w:type="dxa"/>
                  <w:tcBorders>
                    <w:tl2br w:val="nil"/>
                    <w:tr2bl w:val="nil"/>
                  </w:tcBorders>
                  <w:noWrap w:val="0"/>
                  <w:vAlign w:val="center"/>
                </w:tcPr>
                <w:p w14:paraId="1C1C75B2">
                  <w:pPr>
                    <w:jc w:val="center"/>
                    <w:rPr>
                      <w:rFonts w:hint="default"/>
                      <w:color w:val="000000" w:themeColor="text1"/>
                      <w:spacing w:val="0"/>
                      <w:kern w:val="0"/>
                      <w:sz w:val="21"/>
                      <w:szCs w:val="21"/>
                      <w:highlight w:val="none"/>
                      <w:lang w:val="en-US" w:eastAsia="zh-CN" w:bidi="ar"/>
                      <w14:textFill>
                        <w14:solidFill>
                          <w14:schemeClr w14:val="tx1"/>
                        </w14:solidFill>
                      </w14:textFill>
                    </w:rPr>
                  </w:pPr>
                  <w:r>
                    <w:rPr>
                      <w:rFonts w:hint="eastAsia"/>
                      <w:color w:val="000000" w:themeColor="text1"/>
                      <w:spacing w:val="0"/>
                      <w:kern w:val="0"/>
                      <w:sz w:val="21"/>
                      <w:szCs w:val="21"/>
                      <w:highlight w:val="none"/>
                      <w:lang w:val="en-US" w:eastAsia="zh-CN" w:bidi="ar"/>
                      <w14:textFill>
                        <w14:solidFill>
                          <w14:schemeClr w14:val="tx1"/>
                        </w14:solidFill>
                      </w14:textFill>
                    </w:rPr>
                    <w:t>2.96</w:t>
                  </w:r>
                </w:p>
              </w:tc>
              <w:tc>
                <w:tcPr>
                  <w:tcW w:w="1044" w:type="dxa"/>
                  <w:tcBorders>
                    <w:tl2br w:val="nil"/>
                    <w:tr2bl w:val="nil"/>
                  </w:tcBorders>
                  <w:noWrap w:val="0"/>
                  <w:vAlign w:val="center"/>
                </w:tcPr>
                <w:p w14:paraId="65C7D7B8">
                  <w:pPr>
                    <w:jc w:val="center"/>
                    <w:rPr>
                      <w:rFonts w:hint="default" w:eastAsia="宋体"/>
                      <w:color w:val="000000" w:themeColor="text1"/>
                      <w:spacing w:val="0"/>
                      <w:kern w:val="0"/>
                      <w:sz w:val="21"/>
                      <w:szCs w:val="21"/>
                      <w:highlight w:val="none"/>
                      <w:lang w:val="en-US" w:eastAsia="zh-CN" w:bidi="ar"/>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5.41</w:t>
                  </w:r>
                </w:p>
              </w:tc>
              <w:tc>
                <w:tcPr>
                  <w:tcW w:w="886" w:type="dxa"/>
                  <w:tcBorders>
                    <w:tl2br w:val="nil"/>
                    <w:tr2bl w:val="nil"/>
                  </w:tcBorders>
                  <w:noWrap/>
                  <w:vAlign w:val="center"/>
                </w:tcPr>
                <w:p w14:paraId="4E21D323">
                  <w:pPr>
                    <w:jc w:val="center"/>
                    <w:rPr>
                      <w:rFonts w:hint="default"/>
                      <w:color w:val="000000" w:themeColor="text1"/>
                      <w:spacing w:val="0"/>
                      <w:kern w:val="0"/>
                      <w:sz w:val="21"/>
                      <w:szCs w:val="21"/>
                      <w:highlight w:val="none"/>
                      <w:lang w:val="en-US" w:eastAsia="zh-CN" w:bidi="ar"/>
                      <w14:textFill>
                        <w14:solidFill>
                          <w14:schemeClr w14:val="tx1"/>
                        </w14:solidFill>
                      </w14:textFill>
                    </w:rPr>
                  </w:pPr>
                  <w:r>
                    <w:rPr>
                      <w:rFonts w:hint="eastAsia"/>
                      <w:color w:val="000000" w:themeColor="text1"/>
                      <w:spacing w:val="0"/>
                      <w:kern w:val="0"/>
                      <w:sz w:val="21"/>
                      <w:szCs w:val="21"/>
                      <w:highlight w:val="none"/>
                      <w:lang w:val="en-US" w:eastAsia="zh-CN" w:bidi="ar"/>
                      <w14:textFill>
                        <w14:solidFill>
                          <w14:schemeClr w14:val="tx1"/>
                        </w14:solidFill>
                      </w14:textFill>
                    </w:rPr>
                    <w:t>2.96</w:t>
                  </w:r>
                </w:p>
              </w:tc>
              <w:tc>
                <w:tcPr>
                  <w:tcW w:w="940" w:type="dxa"/>
                  <w:tcBorders>
                    <w:tl2br w:val="nil"/>
                    <w:tr2bl w:val="nil"/>
                  </w:tcBorders>
                  <w:noWrap w:val="0"/>
                  <w:vAlign w:val="center"/>
                </w:tcPr>
                <w:p w14:paraId="214BDC97">
                  <w:pPr>
                    <w:keepNext w:val="0"/>
                    <w:keepLines w:val="0"/>
                    <w:widowControl/>
                    <w:suppressLineNumbers w:val="0"/>
                    <w:jc w:val="center"/>
                    <w:textAlignment w:val="center"/>
                    <w:rPr>
                      <w:rFonts w:hint="default"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kern w:val="0"/>
                      <w:sz w:val="21"/>
                      <w:szCs w:val="21"/>
                      <w:highlight w:val="none"/>
                      <w:lang w:val="en-US" w:eastAsia="zh-CN"/>
                      <w14:textFill>
                        <w14:solidFill>
                          <w14:schemeClr w14:val="tx1"/>
                        </w14:solidFill>
                      </w14:textFill>
                    </w:rPr>
                    <w:t>-2.45</w:t>
                  </w:r>
                </w:p>
              </w:tc>
            </w:tr>
            <w:tr w14:paraId="5FE6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0" w:type="dxa"/>
                  <w:vMerge w:val="continue"/>
                  <w:tcBorders>
                    <w:tl2br w:val="nil"/>
                    <w:tr2bl w:val="nil"/>
                  </w:tcBorders>
                  <w:noWrap w:val="0"/>
                  <w:vAlign w:val="center"/>
                </w:tcPr>
                <w:p w14:paraId="66CFD177">
                  <w:pPr>
                    <w:widowControl/>
                    <w:jc w:val="center"/>
                    <w:rPr>
                      <w:color w:val="000000" w:themeColor="text1"/>
                      <w:spacing w:val="0"/>
                      <w:kern w:val="0"/>
                      <w:sz w:val="21"/>
                      <w:szCs w:val="21"/>
                      <w:highlight w:val="none"/>
                      <w14:textFill>
                        <w14:solidFill>
                          <w14:schemeClr w14:val="tx1"/>
                        </w14:solidFill>
                      </w14:textFill>
                    </w:rPr>
                  </w:pPr>
                </w:p>
              </w:tc>
              <w:tc>
                <w:tcPr>
                  <w:tcW w:w="984" w:type="dxa"/>
                  <w:vMerge w:val="continue"/>
                  <w:tcBorders>
                    <w:tl2br w:val="nil"/>
                    <w:tr2bl w:val="nil"/>
                  </w:tcBorders>
                  <w:noWrap w:val="0"/>
                  <w:vAlign w:val="center"/>
                </w:tcPr>
                <w:p w14:paraId="6A6A523E">
                  <w:pPr>
                    <w:widowControl/>
                    <w:jc w:val="center"/>
                    <w:rPr>
                      <w:color w:val="000000" w:themeColor="text1"/>
                      <w:spacing w:val="0"/>
                      <w:kern w:val="0"/>
                      <w:sz w:val="21"/>
                      <w:szCs w:val="21"/>
                      <w:highlight w:val="none"/>
                      <w14:textFill>
                        <w14:solidFill>
                          <w14:schemeClr w14:val="tx1"/>
                        </w14:solidFill>
                      </w14:textFill>
                    </w:rPr>
                  </w:pPr>
                </w:p>
              </w:tc>
              <w:tc>
                <w:tcPr>
                  <w:tcW w:w="1248" w:type="dxa"/>
                  <w:tcBorders>
                    <w:tl2br w:val="nil"/>
                    <w:tr2bl w:val="nil"/>
                  </w:tcBorders>
                  <w:noWrap w:val="0"/>
                  <w:vAlign w:val="center"/>
                </w:tcPr>
                <w:p w14:paraId="05506B82">
                  <w:pPr>
                    <w:widowControl/>
                    <w:jc w:val="center"/>
                    <w:rPr>
                      <w:rFonts w:hint="eastAsia"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kern w:val="0"/>
                      <w:sz w:val="21"/>
                      <w:szCs w:val="21"/>
                      <w:highlight w:val="none"/>
                      <w:lang w:val="en-US" w:eastAsia="zh-CN"/>
                      <w14:textFill>
                        <w14:solidFill>
                          <w14:schemeClr w14:val="tx1"/>
                        </w14:solidFill>
                      </w14:textFill>
                    </w:rPr>
                    <w:t>二氧化硫</w:t>
                  </w:r>
                </w:p>
              </w:tc>
              <w:tc>
                <w:tcPr>
                  <w:tcW w:w="1056" w:type="dxa"/>
                  <w:tcBorders>
                    <w:tl2br w:val="nil"/>
                    <w:tr2bl w:val="nil"/>
                  </w:tcBorders>
                  <w:noWrap/>
                  <w:vAlign w:val="center"/>
                </w:tcPr>
                <w:p w14:paraId="0EBA9F5B">
                  <w:pPr>
                    <w:jc w:val="center"/>
                    <w:rPr>
                      <w:rFonts w:hint="default" w:eastAsia="宋体"/>
                      <w:color w:val="000000" w:themeColor="text1"/>
                      <w:spacing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4.27</w:t>
                  </w:r>
                </w:p>
              </w:tc>
              <w:tc>
                <w:tcPr>
                  <w:tcW w:w="864" w:type="dxa"/>
                  <w:tcBorders>
                    <w:tl2br w:val="nil"/>
                    <w:tr2bl w:val="nil"/>
                  </w:tcBorders>
                  <w:noWrap/>
                  <w:vAlign w:val="center"/>
                </w:tcPr>
                <w:p w14:paraId="2F029A0C">
                  <w:pPr>
                    <w:jc w:val="center"/>
                    <w:rPr>
                      <w:rFonts w:hint="default"/>
                      <w:color w:val="000000" w:themeColor="text1"/>
                      <w:spacing w:val="0"/>
                      <w:kern w:val="0"/>
                      <w:sz w:val="21"/>
                      <w:szCs w:val="21"/>
                      <w:highlight w:val="none"/>
                      <w:lang w:val="en-US" w:eastAsia="zh-CN" w:bidi="ar"/>
                      <w14:textFill>
                        <w14:solidFill>
                          <w14:schemeClr w14:val="tx1"/>
                        </w14:solidFill>
                      </w14:textFill>
                    </w:rPr>
                  </w:pPr>
                  <w:r>
                    <w:rPr>
                      <w:rFonts w:hint="eastAsia"/>
                      <w:color w:val="000000" w:themeColor="text1"/>
                      <w:spacing w:val="0"/>
                      <w:kern w:val="0"/>
                      <w:sz w:val="21"/>
                      <w:szCs w:val="21"/>
                      <w:highlight w:val="none"/>
                      <w:lang w:val="en-US" w:eastAsia="zh-CN" w:bidi="ar"/>
                      <w14:textFill>
                        <w14:solidFill>
                          <w14:schemeClr w14:val="tx1"/>
                        </w14:solidFill>
                      </w14:textFill>
                    </w:rPr>
                    <w:t>72.9</w:t>
                  </w:r>
                </w:p>
              </w:tc>
              <w:tc>
                <w:tcPr>
                  <w:tcW w:w="972" w:type="dxa"/>
                  <w:tcBorders>
                    <w:tl2br w:val="nil"/>
                    <w:tr2bl w:val="nil"/>
                  </w:tcBorders>
                  <w:noWrap w:val="0"/>
                  <w:vAlign w:val="center"/>
                </w:tcPr>
                <w:p w14:paraId="2D7531C4">
                  <w:pPr>
                    <w:jc w:val="center"/>
                    <w:rPr>
                      <w:rFonts w:hint="default"/>
                      <w:color w:val="000000" w:themeColor="text1"/>
                      <w:spacing w:val="0"/>
                      <w:kern w:val="0"/>
                      <w:sz w:val="21"/>
                      <w:szCs w:val="21"/>
                      <w:highlight w:val="none"/>
                      <w:lang w:val="en-US" w:eastAsia="zh-CN" w:bidi="ar"/>
                      <w14:textFill>
                        <w14:solidFill>
                          <w14:schemeClr w14:val="tx1"/>
                        </w14:solidFill>
                      </w14:textFill>
                    </w:rPr>
                  </w:pPr>
                  <w:r>
                    <w:rPr>
                      <w:rFonts w:hint="eastAsia"/>
                      <w:color w:val="000000" w:themeColor="text1"/>
                      <w:spacing w:val="0"/>
                      <w:kern w:val="0"/>
                      <w:sz w:val="21"/>
                      <w:szCs w:val="21"/>
                      <w:highlight w:val="none"/>
                      <w:lang w:val="en-US" w:eastAsia="zh-CN" w:bidi="ar"/>
                      <w14:textFill>
                        <w14:solidFill>
                          <w14:schemeClr w14:val="tx1"/>
                        </w14:solidFill>
                      </w14:textFill>
                    </w:rPr>
                    <w:t>14.58</w:t>
                  </w:r>
                </w:p>
              </w:tc>
              <w:tc>
                <w:tcPr>
                  <w:tcW w:w="1044" w:type="dxa"/>
                  <w:tcBorders>
                    <w:tl2br w:val="nil"/>
                    <w:tr2bl w:val="nil"/>
                  </w:tcBorders>
                  <w:noWrap w:val="0"/>
                  <w:vAlign w:val="center"/>
                </w:tcPr>
                <w:p w14:paraId="6F3E4597">
                  <w:pPr>
                    <w:jc w:val="center"/>
                    <w:rPr>
                      <w:rFonts w:hint="default" w:eastAsia="宋体"/>
                      <w:color w:val="000000" w:themeColor="text1"/>
                      <w:spacing w:val="0"/>
                      <w:kern w:val="0"/>
                      <w:sz w:val="21"/>
                      <w:szCs w:val="21"/>
                      <w:highlight w:val="none"/>
                      <w:lang w:val="en-US" w:eastAsia="zh-CN" w:bidi="ar"/>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4.27</w:t>
                  </w:r>
                </w:p>
              </w:tc>
              <w:tc>
                <w:tcPr>
                  <w:tcW w:w="886" w:type="dxa"/>
                  <w:tcBorders>
                    <w:tl2br w:val="nil"/>
                    <w:tr2bl w:val="nil"/>
                  </w:tcBorders>
                  <w:noWrap/>
                  <w:vAlign w:val="center"/>
                </w:tcPr>
                <w:p w14:paraId="3606DF49">
                  <w:pPr>
                    <w:jc w:val="center"/>
                    <w:rPr>
                      <w:rFonts w:hint="eastAsia"/>
                      <w:color w:val="000000" w:themeColor="text1"/>
                      <w:spacing w:val="0"/>
                      <w:kern w:val="0"/>
                      <w:sz w:val="21"/>
                      <w:szCs w:val="21"/>
                      <w:highlight w:val="none"/>
                      <w:lang w:eastAsia="zh-CN" w:bidi="ar"/>
                      <w14:textFill>
                        <w14:solidFill>
                          <w14:schemeClr w14:val="tx1"/>
                        </w14:solidFill>
                      </w14:textFill>
                    </w:rPr>
                  </w:pPr>
                  <w:r>
                    <w:rPr>
                      <w:rFonts w:hint="eastAsia"/>
                      <w:color w:val="000000" w:themeColor="text1"/>
                      <w:spacing w:val="0"/>
                      <w:kern w:val="0"/>
                      <w:sz w:val="21"/>
                      <w:szCs w:val="21"/>
                      <w:highlight w:val="none"/>
                      <w:lang w:val="en-US" w:eastAsia="zh-CN" w:bidi="ar"/>
                      <w14:textFill>
                        <w14:solidFill>
                          <w14:schemeClr w14:val="tx1"/>
                        </w14:solidFill>
                      </w14:textFill>
                    </w:rPr>
                    <w:t>14.58</w:t>
                  </w:r>
                </w:p>
              </w:tc>
              <w:tc>
                <w:tcPr>
                  <w:tcW w:w="940" w:type="dxa"/>
                  <w:tcBorders>
                    <w:tl2br w:val="nil"/>
                    <w:tr2bl w:val="nil"/>
                  </w:tcBorders>
                  <w:noWrap w:val="0"/>
                  <w:vAlign w:val="center"/>
                </w:tcPr>
                <w:p w14:paraId="294CE2A0">
                  <w:pPr>
                    <w:keepNext w:val="0"/>
                    <w:keepLines w:val="0"/>
                    <w:widowControl/>
                    <w:suppressLineNumbers w:val="0"/>
                    <w:jc w:val="center"/>
                    <w:textAlignment w:val="center"/>
                    <w:rPr>
                      <w:rFonts w:hint="default"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kern w:val="0"/>
                      <w:sz w:val="21"/>
                      <w:szCs w:val="21"/>
                      <w:highlight w:val="none"/>
                      <w:lang w:val="en-US" w:eastAsia="zh-CN"/>
                      <w14:textFill>
                        <w14:solidFill>
                          <w14:schemeClr w14:val="tx1"/>
                        </w14:solidFill>
                      </w14:textFill>
                    </w:rPr>
                    <w:t>+10.31</w:t>
                  </w:r>
                </w:p>
              </w:tc>
            </w:tr>
            <w:tr w14:paraId="1022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0" w:type="dxa"/>
                  <w:vMerge w:val="continue"/>
                  <w:tcBorders>
                    <w:tl2br w:val="nil"/>
                    <w:tr2bl w:val="nil"/>
                  </w:tcBorders>
                  <w:noWrap w:val="0"/>
                  <w:vAlign w:val="center"/>
                </w:tcPr>
                <w:p w14:paraId="74F0B93B">
                  <w:pPr>
                    <w:widowControl/>
                    <w:jc w:val="center"/>
                    <w:rPr>
                      <w:color w:val="000000" w:themeColor="text1"/>
                      <w:spacing w:val="0"/>
                      <w:kern w:val="0"/>
                      <w:sz w:val="21"/>
                      <w:szCs w:val="21"/>
                      <w:highlight w:val="none"/>
                      <w14:textFill>
                        <w14:solidFill>
                          <w14:schemeClr w14:val="tx1"/>
                        </w14:solidFill>
                      </w14:textFill>
                    </w:rPr>
                  </w:pPr>
                </w:p>
              </w:tc>
              <w:tc>
                <w:tcPr>
                  <w:tcW w:w="984" w:type="dxa"/>
                  <w:vMerge w:val="continue"/>
                  <w:tcBorders>
                    <w:tl2br w:val="nil"/>
                    <w:tr2bl w:val="nil"/>
                  </w:tcBorders>
                  <w:noWrap w:val="0"/>
                  <w:vAlign w:val="center"/>
                </w:tcPr>
                <w:p w14:paraId="1EC0BF64">
                  <w:pPr>
                    <w:widowControl/>
                    <w:jc w:val="center"/>
                    <w:rPr>
                      <w:color w:val="000000" w:themeColor="text1"/>
                      <w:spacing w:val="0"/>
                      <w:kern w:val="0"/>
                      <w:sz w:val="21"/>
                      <w:szCs w:val="21"/>
                      <w:highlight w:val="none"/>
                      <w14:textFill>
                        <w14:solidFill>
                          <w14:schemeClr w14:val="tx1"/>
                        </w14:solidFill>
                      </w14:textFill>
                    </w:rPr>
                  </w:pPr>
                </w:p>
              </w:tc>
              <w:tc>
                <w:tcPr>
                  <w:tcW w:w="1248" w:type="dxa"/>
                  <w:tcBorders>
                    <w:tl2br w:val="nil"/>
                    <w:tr2bl w:val="nil"/>
                  </w:tcBorders>
                  <w:noWrap w:val="0"/>
                  <w:vAlign w:val="center"/>
                </w:tcPr>
                <w:p w14:paraId="1097860E">
                  <w:pPr>
                    <w:widowControl/>
                    <w:jc w:val="center"/>
                    <w:rPr>
                      <w:rFonts w:hint="eastAsia"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kern w:val="0"/>
                      <w:sz w:val="21"/>
                      <w:szCs w:val="21"/>
                      <w:highlight w:val="none"/>
                      <w:lang w:val="en-US" w:eastAsia="zh-CN"/>
                      <w14:textFill>
                        <w14:solidFill>
                          <w14:schemeClr w14:val="tx1"/>
                        </w14:solidFill>
                      </w14:textFill>
                    </w:rPr>
                    <w:t>氮氧化物</w:t>
                  </w:r>
                </w:p>
              </w:tc>
              <w:tc>
                <w:tcPr>
                  <w:tcW w:w="1056" w:type="dxa"/>
                  <w:tcBorders>
                    <w:tl2br w:val="nil"/>
                    <w:tr2bl w:val="nil"/>
                  </w:tcBorders>
                  <w:noWrap/>
                  <w:vAlign w:val="center"/>
                </w:tcPr>
                <w:p w14:paraId="61323468">
                  <w:pPr>
                    <w:jc w:val="center"/>
                    <w:rPr>
                      <w:rFonts w:hint="default" w:eastAsia="宋体"/>
                      <w:color w:val="000000" w:themeColor="text1"/>
                      <w:spacing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4.14</w:t>
                  </w:r>
                </w:p>
              </w:tc>
              <w:tc>
                <w:tcPr>
                  <w:tcW w:w="864" w:type="dxa"/>
                  <w:tcBorders>
                    <w:tl2br w:val="nil"/>
                    <w:tr2bl w:val="nil"/>
                  </w:tcBorders>
                  <w:noWrap/>
                  <w:vAlign w:val="center"/>
                </w:tcPr>
                <w:p w14:paraId="728397FC">
                  <w:pPr>
                    <w:jc w:val="center"/>
                    <w:rPr>
                      <w:rFonts w:hint="default"/>
                      <w:color w:val="000000" w:themeColor="text1"/>
                      <w:spacing w:val="0"/>
                      <w:kern w:val="0"/>
                      <w:sz w:val="21"/>
                      <w:szCs w:val="21"/>
                      <w:highlight w:val="none"/>
                      <w:lang w:val="en-US" w:eastAsia="zh-CN" w:bidi="ar"/>
                      <w14:textFill>
                        <w14:solidFill>
                          <w14:schemeClr w14:val="tx1"/>
                        </w14:solidFill>
                      </w14:textFill>
                    </w:rPr>
                  </w:pPr>
                  <w:r>
                    <w:rPr>
                      <w:rFonts w:hint="eastAsia"/>
                      <w:color w:val="000000" w:themeColor="text1"/>
                      <w:spacing w:val="0"/>
                      <w:kern w:val="0"/>
                      <w:sz w:val="21"/>
                      <w:szCs w:val="21"/>
                      <w:highlight w:val="none"/>
                      <w:lang w:val="en-US" w:eastAsia="zh-CN" w:bidi="ar"/>
                      <w14:textFill>
                        <w14:solidFill>
                          <w14:schemeClr w14:val="tx1"/>
                        </w14:solidFill>
                      </w14:textFill>
                    </w:rPr>
                    <w:t>14.14</w:t>
                  </w:r>
                </w:p>
              </w:tc>
              <w:tc>
                <w:tcPr>
                  <w:tcW w:w="972" w:type="dxa"/>
                  <w:tcBorders>
                    <w:tl2br w:val="nil"/>
                    <w:tr2bl w:val="nil"/>
                  </w:tcBorders>
                  <w:noWrap w:val="0"/>
                  <w:vAlign w:val="center"/>
                </w:tcPr>
                <w:p w14:paraId="310207E5">
                  <w:pPr>
                    <w:jc w:val="center"/>
                    <w:rPr>
                      <w:rFonts w:hint="default"/>
                      <w:color w:val="000000" w:themeColor="text1"/>
                      <w:spacing w:val="0"/>
                      <w:kern w:val="0"/>
                      <w:sz w:val="21"/>
                      <w:szCs w:val="21"/>
                      <w:highlight w:val="none"/>
                      <w:lang w:val="en-US" w:eastAsia="zh-CN" w:bidi="ar"/>
                      <w14:textFill>
                        <w14:solidFill>
                          <w14:schemeClr w14:val="tx1"/>
                        </w14:solidFill>
                      </w14:textFill>
                    </w:rPr>
                  </w:pPr>
                  <w:r>
                    <w:rPr>
                      <w:rFonts w:hint="eastAsia"/>
                      <w:color w:val="000000" w:themeColor="text1"/>
                      <w:spacing w:val="0"/>
                      <w:kern w:val="0"/>
                      <w:sz w:val="21"/>
                      <w:szCs w:val="21"/>
                      <w:highlight w:val="none"/>
                      <w:lang w:val="en-US" w:eastAsia="zh-CN" w:bidi="ar"/>
                      <w14:textFill>
                        <w14:solidFill>
                          <w14:schemeClr w14:val="tx1"/>
                        </w14:solidFill>
                      </w14:textFill>
                    </w:rPr>
                    <w:t>14.14</w:t>
                  </w:r>
                </w:p>
              </w:tc>
              <w:tc>
                <w:tcPr>
                  <w:tcW w:w="1044" w:type="dxa"/>
                  <w:tcBorders>
                    <w:tl2br w:val="nil"/>
                    <w:tr2bl w:val="nil"/>
                  </w:tcBorders>
                  <w:noWrap w:val="0"/>
                  <w:vAlign w:val="center"/>
                </w:tcPr>
                <w:p w14:paraId="3B02736C">
                  <w:pPr>
                    <w:jc w:val="center"/>
                    <w:rPr>
                      <w:rFonts w:hint="default" w:eastAsia="宋体"/>
                      <w:color w:val="000000" w:themeColor="text1"/>
                      <w:spacing w:val="0"/>
                      <w:kern w:val="0"/>
                      <w:sz w:val="21"/>
                      <w:szCs w:val="21"/>
                      <w:highlight w:val="none"/>
                      <w:lang w:val="en-US" w:eastAsia="zh-CN" w:bidi="ar"/>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4.14</w:t>
                  </w:r>
                </w:p>
              </w:tc>
              <w:tc>
                <w:tcPr>
                  <w:tcW w:w="886" w:type="dxa"/>
                  <w:tcBorders>
                    <w:tl2br w:val="nil"/>
                    <w:tr2bl w:val="nil"/>
                  </w:tcBorders>
                  <w:noWrap/>
                  <w:vAlign w:val="center"/>
                </w:tcPr>
                <w:p w14:paraId="2B1E0381">
                  <w:pPr>
                    <w:jc w:val="center"/>
                    <w:rPr>
                      <w:rFonts w:hint="eastAsia"/>
                      <w:color w:val="000000" w:themeColor="text1"/>
                      <w:spacing w:val="0"/>
                      <w:kern w:val="0"/>
                      <w:sz w:val="21"/>
                      <w:szCs w:val="21"/>
                      <w:highlight w:val="none"/>
                      <w:lang w:eastAsia="zh-CN" w:bidi="ar"/>
                      <w14:textFill>
                        <w14:solidFill>
                          <w14:schemeClr w14:val="tx1"/>
                        </w14:solidFill>
                      </w14:textFill>
                    </w:rPr>
                  </w:pPr>
                  <w:r>
                    <w:rPr>
                      <w:rFonts w:hint="eastAsia"/>
                      <w:color w:val="000000" w:themeColor="text1"/>
                      <w:spacing w:val="0"/>
                      <w:kern w:val="0"/>
                      <w:sz w:val="21"/>
                      <w:szCs w:val="21"/>
                      <w:highlight w:val="none"/>
                      <w:lang w:val="en-US" w:eastAsia="zh-CN" w:bidi="ar"/>
                      <w14:textFill>
                        <w14:solidFill>
                          <w14:schemeClr w14:val="tx1"/>
                        </w14:solidFill>
                      </w14:textFill>
                    </w:rPr>
                    <w:t>14.14</w:t>
                  </w:r>
                </w:p>
              </w:tc>
              <w:tc>
                <w:tcPr>
                  <w:tcW w:w="940" w:type="dxa"/>
                  <w:tcBorders>
                    <w:tl2br w:val="nil"/>
                    <w:tr2bl w:val="nil"/>
                  </w:tcBorders>
                  <w:noWrap w:val="0"/>
                  <w:vAlign w:val="center"/>
                </w:tcPr>
                <w:p w14:paraId="5EB38801">
                  <w:pPr>
                    <w:keepNext w:val="0"/>
                    <w:keepLines w:val="0"/>
                    <w:widowControl/>
                    <w:suppressLineNumbers w:val="0"/>
                    <w:jc w:val="center"/>
                    <w:textAlignment w:val="center"/>
                    <w:rPr>
                      <w:rFonts w:hint="default"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kern w:val="0"/>
                      <w:sz w:val="21"/>
                      <w:szCs w:val="21"/>
                      <w:highlight w:val="none"/>
                      <w:lang w:val="en-US" w:eastAsia="zh-CN"/>
                      <w14:textFill>
                        <w14:solidFill>
                          <w14:schemeClr w14:val="tx1"/>
                        </w14:solidFill>
                      </w14:textFill>
                    </w:rPr>
                    <w:t>+10</w:t>
                  </w:r>
                </w:p>
              </w:tc>
            </w:tr>
            <w:tr w14:paraId="18A07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0" w:type="dxa"/>
                  <w:vMerge w:val="continue"/>
                  <w:tcBorders>
                    <w:tl2br w:val="nil"/>
                    <w:tr2bl w:val="nil"/>
                  </w:tcBorders>
                  <w:noWrap w:val="0"/>
                  <w:vAlign w:val="center"/>
                </w:tcPr>
                <w:p w14:paraId="0FA0FC46">
                  <w:pPr>
                    <w:widowControl/>
                    <w:jc w:val="center"/>
                    <w:rPr>
                      <w:color w:val="000000" w:themeColor="text1"/>
                      <w:spacing w:val="0"/>
                      <w:kern w:val="0"/>
                      <w:sz w:val="21"/>
                      <w:szCs w:val="21"/>
                      <w:highlight w:val="none"/>
                      <w14:textFill>
                        <w14:solidFill>
                          <w14:schemeClr w14:val="tx1"/>
                        </w14:solidFill>
                      </w14:textFill>
                    </w:rPr>
                  </w:pPr>
                </w:p>
              </w:tc>
              <w:tc>
                <w:tcPr>
                  <w:tcW w:w="984" w:type="dxa"/>
                  <w:vMerge w:val="continue"/>
                  <w:tcBorders>
                    <w:tl2br w:val="nil"/>
                    <w:tr2bl w:val="nil"/>
                  </w:tcBorders>
                  <w:noWrap w:val="0"/>
                  <w:vAlign w:val="center"/>
                </w:tcPr>
                <w:p w14:paraId="3C3B6102">
                  <w:pPr>
                    <w:widowControl/>
                    <w:jc w:val="center"/>
                    <w:rPr>
                      <w:color w:val="000000" w:themeColor="text1"/>
                      <w:spacing w:val="0"/>
                      <w:kern w:val="0"/>
                      <w:sz w:val="21"/>
                      <w:szCs w:val="21"/>
                      <w:highlight w:val="none"/>
                      <w14:textFill>
                        <w14:solidFill>
                          <w14:schemeClr w14:val="tx1"/>
                        </w14:solidFill>
                      </w14:textFill>
                    </w:rPr>
                  </w:pPr>
                </w:p>
              </w:tc>
              <w:tc>
                <w:tcPr>
                  <w:tcW w:w="1248" w:type="dxa"/>
                  <w:tcBorders>
                    <w:tl2br w:val="nil"/>
                    <w:tr2bl w:val="nil"/>
                  </w:tcBorders>
                  <w:noWrap w:val="0"/>
                  <w:vAlign w:val="center"/>
                </w:tcPr>
                <w:p w14:paraId="401DC120">
                  <w:pPr>
                    <w:widowControl/>
                    <w:jc w:val="center"/>
                    <w:rPr>
                      <w:rFonts w:hint="eastAsia"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kern w:val="0"/>
                      <w:sz w:val="21"/>
                      <w:szCs w:val="21"/>
                      <w:highlight w:val="none"/>
                      <w:lang w:val="en-US" w:eastAsia="zh-CN"/>
                      <w14:textFill>
                        <w14:solidFill>
                          <w14:schemeClr w14:val="tx1"/>
                        </w14:solidFill>
                      </w14:textFill>
                    </w:rPr>
                    <w:t>氟化物</w:t>
                  </w:r>
                </w:p>
              </w:tc>
              <w:tc>
                <w:tcPr>
                  <w:tcW w:w="1056" w:type="dxa"/>
                  <w:tcBorders>
                    <w:tl2br w:val="nil"/>
                    <w:tr2bl w:val="nil"/>
                  </w:tcBorders>
                  <w:noWrap/>
                  <w:vAlign w:val="center"/>
                </w:tcPr>
                <w:p w14:paraId="00BAD29F">
                  <w:pPr>
                    <w:jc w:val="center"/>
                    <w:rPr>
                      <w:rFonts w:hint="default" w:eastAsia="宋体"/>
                      <w:color w:val="000000" w:themeColor="text1"/>
                      <w:spacing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0.072</w:t>
                  </w:r>
                </w:p>
              </w:tc>
              <w:tc>
                <w:tcPr>
                  <w:tcW w:w="864" w:type="dxa"/>
                  <w:tcBorders>
                    <w:tl2br w:val="nil"/>
                    <w:tr2bl w:val="nil"/>
                  </w:tcBorders>
                  <w:noWrap/>
                  <w:vAlign w:val="center"/>
                </w:tcPr>
                <w:p w14:paraId="5A243A92">
                  <w:pPr>
                    <w:jc w:val="center"/>
                    <w:rPr>
                      <w:rFonts w:hint="default"/>
                      <w:color w:val="000000" w:themeColor="text1"/>
                      <w:spacing w:val="0"/>
                      <w:kern w:val="0"/>
                      <w:sz w:val="21"/>
                      <w:szCs w:val="21"/>
                      <w:highlight w:val="none"/>
                      <w:lang w:val="en-US" w:eastAsia="zh-CN" w:bidi="ar"/>
                      <w14:textFill>
                        <w14:solidFill>
                          <w14:schemeClr w14:val="tx1"/>
                        </w14:solidFill>
                      </w14:textFill>
                    </w:rPr>
                  </w:pPr>
                  <w:r>
                    <w:rPr>
                      <w:rFonts w:hint="eastAsia"/>
                      <w:color w:val="000000" w:themeColor="text1"/>
                      <w:spacing w:val="0"/>
                      <w:kern w:val="0"/>
                      <w:sz w:val="21"/>
                      <w:szCs w:val="21"/>
                      <w:highlight w:val="none"/>
                      <w:lang w:val="en-US" w:eastAsia="zh-CN" w:bidi="ar"/>
                      <w14:textFill>
                        <w14:solidFill>
                          <w14:schemeClr w14:val="tx1"/>
                        </w14:solidFill>
                      </w14:textFill>
                    </w:rPr>
                    <w:t>1.24</w:t>
                  </w:r>
                </w:p>
              </w:tc>
              <w:tc>
                <w:tcPr>
                  <w:tcW w:w="972" w:type="dxa"/>
                  <w:tcBorders>
                    <w:tl2br w:val="nil"/>
                    <w:tr2bl w:val="nil"/>
                  </w:tcBorders>
                  <w:noWrap w:val="0"/>
                  <w:vAlign w:val="center"/>
                </w:tcPr>
                <w:p w14:paraId="3E47C558">
                  <w:pPr>
                    <w:jc w:val="center"/>
                    <w:rPr>
                      <w:rFonts w:hint="default"/>
                      <w:color w:val="000000" w:themeColor="text1"/>
                      <w:spacing w:val="0"/>
                      <w:kern w:val="0"/>
                      <w:sz w:val="21"/>
                      <w:szCs w:val="21"/>
                      <w:highlight w:val="none"/>
                      <w:lang w:val="en-US" w:eastAsia="zh-CN" w:bidi="ar"/>
                      <w14:textFill>
                        <w14:solidFill>
                          <w14:schemeClr w14:val="tx1"/>
                        </w14:solidFill>
                      </w14:textFill>
                    </w:rPr>
                  </w:pPr>
                  <w:r>
                    <w:rPr>
                      <w:rFonts w:hint="eastAsia"/>
                      <w:color w:val="000000" w:themeColor="text1"/>
                      <w:spacing w:val="0"/>
                      <w:kern w:val="0"/>
                      <w:sz w:val="21"/>
                      <w:szCs w:val="21"/>
                      <w:highlight w:val="none"/>
                      <w:lang w:val="en-US" w:eastAsia="zh-CN" w:bidi="ar"/>
                      <w14:textFill>
                        <w14:solidFill>
                          <w14:schemeClr w14:val="tx1"/>
                        </w14:solidFill>
                      </w14:textFill>
                    </w:rPr>
                    <w:t>0.248</w:t>
                  </w:r>
                </w:p>
              </w:tc>
              <w:tc>
                <w:tcPr>
                  <w:tcW w:w="1044" w:type="dxa"/>
                  <w:tcBorders>
                    <w:tl2br w:val="nil"/>
                    <w:tr2bl w:val="nil"/>
                  </w:tcBorders>
                  <w:noWrap w:val="0"/>
                  <w:vAlign w:val="center"/>
                </w:tcPr>
                <w:p w14:paraId="66CFB1D1">
                  <w:pPr>
                    <w:jc w:val="center"/>
                    <w:rPr>
                      <w:rFonts w:hint="default" w:eastAsia="宋体"/>
                      <w:color w:val="000000" w:themeColor="text1"/>
                      <w:spacing w:val="0"/>
                      <w:kern w:val="0"/>
                      <w:sz w:val="21"/>
                      <w:szCs w:val="21"/>
                      <w:highlight w:val="none"/>
                      <w:lang w:val="en-US" w:eastAsia="zh-CN" w:bidi="ar"/>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0.072</w:t>
                  </w:r>
                </w:p>
              </w:tc>
              <w:tc>
                <w:tcPr>
                  <w:tcW w:w="886" w:type="dxa"/>
                  <w:tcBorders>
                    <w:tl2br w:val="nil"/>
                    <w:tr2bl w:val="nil"/>
                  </w:tcBorders>
                  <w:noWrap/>
                  <w:vAlign w:val="center"/>
                </w:tcPr>
                <w:p w14:paraId="121401F9">
                  <w:pPr>
                    <w:jc w:val="center"/>
                    <w:rPr>
                      <w:rFonts w:hint="eastAsia"/>
                      <w:color w:val="000000" w:themeColor="text1"/>
                      <w:spacing w:val="0"/>
                      <w:kern w:val="0"/>
                      <w:sz w:val="21"/>
                      <w:szCs w:val="21"/>
                      <w:highlight w:val="none"/>
                      <w:lang w:eastAsia="zh-CN" w:bidi="ar"/>
                      <w14:textFill>
                        <w14:solidFill>
                          <w14:schemeClr w14:val="tx1"/>
                        </w14:solidFill>
                      </w14:textFill>
                    </w:rPr>
                  </w:pPr>
                  <w:r>
                    <w:rPr>
                      <w:rFonts w:hint="eastAsia"/>
                      <w:color w:val="000000" w:themeColor="text1"/>
                      <w:spacing w:val="0"/>
                      <w:kern w:val="0"/>
                      <w:sz w:val="21"/>
                      <w:szCs w:val="21"/>
                      <w:highlight w:val="none"/>
                      <w:lang w:val="en-US" w:eastAsia="zh-CN" w:bidi="ar"/>
                      <w14:textFill>
                        <w14:solidFill>
                          <w14:schemeClr w14:val="tx1"/>
                        </w14:solidFill>
                      </w14:textFill>
                    </w:rPr>
                    <w:t>0.248</w:t>
                  </w:r>
                </w:p>
              </w:tc>
              <w:tc>
                <w:tcPr>
                  <w:tcW w:w="940" w:type="dxa"/>
                  <w:tcBorders>
                    <w:tl2br w:val="nil"/>
                    <w:tr2bl w:val="nil"/>
                  </w:tcBorders>
                  <w:noWrap w:val="0"/>
                  <w:vAlign w:val="center"/>
                </w:tcPr>
                <w:p w14:paraId="4A020FC2">
                  <w:pPr>
                    <w:keepNext w:val="0"/>
                    <w:keepLines w:val="0"/>
                    <w:widowControl/>
                    <w:suppressLineNumbers w:val="0"/>
                    <w:jc w:val="center"/>
                    <w:textAlignment w:val="center"/>
                    <w:rPr>
                      <w:rFonts w:hint="default"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kern w:val="0"/>
                      <w:sz w:val="21"/>
                      <w:szCs w:val="21"/>
                      <w:highlight w:val="none"/>
                      <w:lang w:val="en-US" w:eastAsia="zh-CN"/>
                      <w14:textFill>
                        <w14:solidFill>
                          <w14:schemeClr w14:val="tx1"/>
                        </w14:solidFill>
                      </w14:textFill>
                    </w:rPr>
                    <w:t>+0.176</w:t>
                  </w:r>
                </w:p>
              </w:tc>
            </w:tr>
            <w:tr w14:paraId="5CB8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0" w:type="dxa"/>
                  <w:vMerge w:val="continue"/>
                  <w:tcBorders>
                    <w:tl2br w:val="nil"/>
                    <w:tr2bl w:val="nil"/>
                  </w:tcBorders>
                  <w:noWrap w:val="0"/>
                  <w:vAlign w:val="center"/>
                </w:tcPr>
                <w:p w14:paraId="37ED6CB2">
                  <w:pPr>
                    <w:widowControl/>
                    <w:jc w:val="center"/>
                    <w:rPr>
                      <w:color w:val="000000" w:themeColor="text1"/>
                      <w:spacing w:val="0"/>
                      <w:kern w:val="0"/>
                      <w:sz w:val="21"/>
                      <w:szCs w:val="21"/>
                      <w:highlight w:val="none"/>
                      <w14:textFill>
                        <w14:solidFill>
                          <w14:schemeClr w14:val="tx1"/>
                        </w14:solidFill>
                      </w14:textFill>
                    </w:rPr>
                  </w:pPr>
                </w:p>
              </w:tc>
              <w:tc>
                <w:tcPr>
                  <w:tcW w:w="984" w:type="dxa"/>
                  <w:tcBorders>
                    <w:tl2br w:val="nil"/>
                    <w:tr2bl w:val="nil"/>
                  </w:tcBorders>
                  <w:noWrap w:val="0"/>
                  <w:vAlign w:val="center"/>
                </w:tcPr>
                <w:p w14:paraId="1AAF1EA6">
                  <w:pPr>
                    <w:widowControl/>
                    <w:jc w:val="center"/>
                    <w:rPr>
                      <w:color w:val="000000" w:themeColor="text1"/>
                      <w:spacing w:val="0"/>
                      <w:kern w:val="0"/>
                      <w:sz w:val="21"/>
                      <w:szCs w:val="21"/>
                      <w:highlight w:val="none"/>
                      <w14:textFill>
                        <w14:solidFill>
                          <w14:schemeClr w14:val="tx1"/>
                        </w14:solidFill>
                      </w14:textFill>
                    </w:rPr>
                  </w:pPr>
                  <w:r>
                    <w:rPr>
                      <w:rFonts w:hint="eastAsia"/>
                      <w:color w:val="000000" w:themeColor="text1"/>
                      <w:spacing w:val="0"/>
                      <w:kern w:val="0"/>
                      <w:sz w:val="21"/>
                      <w:szCs w:val="21"/>
                      <w:highlight w:val="none"/>
                      <w:lang w:val="en-US" w:eastAsia="zh-CN"/>
                      <w14:textFill>
                        <w14:solidFill>
                          <w14:schemeClr w14:val="tx1"/>
                        </w14:solidFill>
                      </w14:textFill>
                    </w:rPr>
                    <w:t>无组织</w:t>
                  </w:r>
                  <w:r>
                    <w:rPr>
                      <w:color w:val="000000" w:themeColor="text1"/>
                      <w:spacing w:val="0"/>
                      <w:kern w:val="0"/>
                      <w:sz w:val="21"/>
                      <w:szCs w:val="21"/>
                      <w:highlight w:val="none"/>
                      <w14:textFill>
                        <w14:solidFill>
                          <w14:schemeClr w14:val="tx1"/>
                        </w14:solidFill>
                      </w14:textFill>
                    </w:rPr>
                    <w:t>（</w:t>
                  </w:r>
                  <w:r>
                    <w:rPr>
                      <w:color w:val="000000" w:themeColor="text1"/>
                      <w:spacing w:val="0"/>
                      <w:sz w:val="21"/>
                      <w:szCs w:val="21"/>
                      <w:highlight w:val="none"/>
                      <w14:textFill>
                        <w14:solidFill>
                          <w14:schemeClr w14:val="tx1"/>
                        </w14:solidFill>
                      </w14:textFill>
                    </w:rPr>
                    <w:t>t/a）</w:t>
                  </w:r>
                </w:p>
              </w:tc>
              <w:tc>
                <w:tcPr>
                  <w:tcW w:w="1248" w:type="dxa"/>
                  <w:tcBorders>
                    <w:tl2br w:val="nil"/>
                    <w:tr2bl w:val="nil"/>
                  </w:tcBorders>
                  <w:noWrap w:val="0"/>
                  <w:vAlign w:val="center"/>
                </w:tcPr>
                <w:p w14:paraId="0ADEE2EC">
                  <w:pPr>
                    <w:widowControl/>
                    <w:jc w:val="center"/>
                    <w:rPr>
                      <w:rFonts w:hint="eastAsia" w:eastAsia="宋体"/>
                      <w:color w:val="000000" w:themeColor="text1"/>
                      <w:spacing w:val="0"/>
                      <w:kern w:val="0"/>
                      <w:sz w:val="21"/>
                      <w:szCs w:val="21"/>
                      <w:highlight w:val="none"/>
                      <w:lang w:eastAsia="zh-CN"/>
                      <w14:textFill>
                        <w14:solidFill>
                          <w14:schemeClr w14:val="tx1"/>
                        </w14:solidFill>
                      </w14:textFill>
                    </w:rPr>
                  </w:pPr>
                  <w:r>
                    <w:rPr>
                      <w:rFonts w:hint="eastAsia"/>
                      <w:color w:val="000000" w:themeColor="text1"/>
                      <w:spacing w:val="0"/>
                      <w:kern w:val="0"/>
                      <w:sz w:val="21"/>
                      <w:szCs w:val="21"/>
                      <w:highlight w:val="none"/>
                      <w:lang w:val="en-US" w:eastAsia="zh-CN"/>
                      <w14:textFill>
                        <w14:solidFill>
                          <w14:schemeClr w14:val="tx1"/>
                        </w14:solidFill>
                      </w14:textFill>
                    </w:rPr>
                    <w:t>颗粒物</w:t>
                  </w:r>
                </w:p>
              </w:tc>
              <w:tc>
                <w:tcPr>
                  <w:tcW w:w="1056" w:type="dxa"/>
                  <w:tcBorders>
                    <w:tl2br w:val="nil"/>
                    <w:tr2bl w:val="nil"/>
                  </w:tcBorders>
                  <w:noWrap/>
                  <w:vAlign w:val="center"/>
                </w:tcPr>
                <w:p w14:paraId="3C53C8B7">
                  <w:pPr>
                    <w:jc w:val="center"/>
                    <w:rPr>
                      <w:rFonts w:hint="default" w:eastAsia="宋体"/>
                      <w:color w:val="000000" w:themeColor="text1"/>
                      <w:spacing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3.633</w:t>
                  </w:r>
                </w:p>
              </w:tc>
              <w:tc>
                <w:tcPr>
                  <w:tcW w:w="864" w:type="dxa"/>
                  <w:tcBorders>
                    <w:tl2br w:val="nil"/>
                    <w:tr2bl w:val="nil"/>
                  </w:tcBorders>
                  <w:noWrap/>
                  <w:vAlign w:val="center"/>
                </w:tcPr>
                <w:p w14:paraId="43AEA4D0">
                  <w:pPr>
                    <w:jc w:val="center"/>
                    <w:rPr>
                      <w:rFonts w:hint="default" w:eastAsia="宋体"/>
                      <w:color w:val="000000" w:themeColor="text1"/>
                      <w:spacing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71.22</w:t>
                  </w:r>
                </w:p>
              </w:tc>
              <w:tc>
                <w:tcPr>
                  <w:tcW w:w="972" w:type="dxa"/>
                  <w:tcBorders>
                    <w:tl2br w:val="nil"/>
                    <w:tr2bl w:val="nil"/>
                  </w:tcBorders>
                  <w:noWrap w:val="0"/>
                  <w:vAlign w:val="center"/>
                </w:tcPr>
                <w:p w14:paraId="6194F55B">
                  <w:pPr>
                    <w:jc w:val="center"/>
                    <w:rPr>
                      <w:rFonts w:hint="default" w:eastAsia="宋体"/>
                      <w:color w:val="000000" w:themeColor="text1"/>
                      <w:spacing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8.084</w:t>
                  </w:r>
                </w:p>
              </w:tc>
              <w:tc>
                <w:tcPr>
                  <w:tcW w:w="1044" w:type="dxa"/>
                  <w:tcBorders>
                    <w:tl2br w:val="nil"/>
                    <w:tr2bl w:val="nil"/>
                  </w:tcBorders>
                  <w:noWrap w:val="0"/>
                  <w:vAlign w:val="center"/>
                </w:tcPr>
                <w:p w14:paraId="4B92EDBB">
                  <w:pPr>
                    <w:jc w:val="center"/>
                    <w:rPr>
                      <w:rFonts w:hint="default"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3.633</w:t>
                  </w:r>
                </w:p>
              </w:tc>
              <w:tc>
                <w:tcPr>
                  <w:tcW w:w="886" w:type="dxa"/>
                  <w:tcBorders>
                    <w:tl2br w:val="nil"/>
                    <w:tr2bl w:val="nil"/>
                  </w:tcBorders>
                  <w:noWrap/>
                  <w:vAlign w:val="center"/>
                </w:tcPr>
                <w:p w14:paraId="512BECB4">
                  <w:pPr>
                    <w:jc w:val="center"/>
                    <w:rPr>
                      <w:rFonts w:hint="default"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8.084</w:t>
                  </w:r>
                </w:p>
              </w:tc>
              <w:tc>
                <w:tcPr>
                  <w:tcW w:w="940" w:type="dxa"/>
                  <w:tcBorders>
                    <w:tl2br w:val="nil"/>
                    <w:tr2bl w:val="nil"/>
                  </w:tcBorders>
                  <w:noWrap w:val="0"/>
                  <w:vAlign w:val="center"/>
                </w:tcPr>
                <w:p w14:paraId="7055BE21">
                  <w:pPr>
                    <w:keepNext w:val="0"/>
                    <w:keepLines w:val="0"/>
                    <w:widowControl/>
                    <w:suppressLineNumbers w:val="0"/>
                    <w:jc w:val="center"/>
                    <w:textAlignment w:val="center"/>
                    <w:rPr>
                      <w:rFonts w:hint="default"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kern w:val="0"/>
                      <w:sz w:val="21"/>
                      <w:szCs w:val="21"/>
                      <w:highlight w:val="none"/>
                      <w:lang w:val="en-US" w:eastAsia="zh-CN"/>
                      <w14:textFill>
                        <w14:solidFill>
                          <w14:schemeClr w14:val="tx1"/>
                        </w14:solidFill>
                      </w14:textFill>
                    </w:rPr>
                    <w:t>+4.451</w:t>
                  </w:r>
                </w:p>
              </w:tc>
            </w:tr>
            <w:tr w14:paraId="4722C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0" w:type="dxa"/>
                  <w:vMerge w:val="restart"/>
                  <w:tcBorders>
                    <w:tl2br w:val="nil"/>
                    <w:tr2bl w:val="nil"/>
                  </w:tcBorders>
                  <w:noWrap/>
                  <w:vAlign w:val="center"/>
                </w:tcPr>
                <w:p w14:paraId="46B8BC02">
                  <w:pPr>
                    <w:widowControl/>
                    <w:jc w:val="center"/>
                    <w:rPr>
                      <w:color w:val="000000" w:themeColor="text1"/>
                      <w:spacing w:val="0"/>
                      <w:kern w:val="0"/>
                      <w:sz w:val="21"/>
                      <w:szCs w:val="21"/>
                      <w:highlight w:val="none"/>
                      <w14:textFill>
                        <w14:solidFill>
                          <w14:schemeClr w14:val="tx1"/>
                        </w14:solidFill>
                      </w14:textFill>
                    </w:rPr>
                  </w:pPr>
                  <w:r>
                    <w:rPr>
                      <w:color w:val="000000" w:themeColor="text1"/>
                      <w:spacing w:val="0"/>
                      <w:kern w:val="0"/>
                      <w:sz w:val="21"/>
                      <w:szCs w:val="21"/>
                      <w:highlight w:val="none"/>
                      <w14:textFill>
                        <w14:solidFill>
                          <w14:schemeClr w14:val="tx1"/>
                        </w14:solidFill>
                      </w14:textFill>
                    </w:rPr>
                    <w:t>固体废物</w:t>
                  </w:r>
                  <w:r>
                    <w:rPr>
                      <w:rFonts w:hint="eastAsia"/>
                      <w:color w:val="000000" w:themeColor="text1"/>
                      <w:spacing w:val="0"/>
                      <w:sz w:val="21"/>
                      <w:szCs w:val="21"/>
                      <w:highlight w:val="none"/>
                      <w:vertAlign w:val="superscript"/>
                      <w:lang w:val="en-US" w:eastAsia="zh-CN"/>
                      <w14:textFill>
                        <w14:solidFill>
                          <w14:schemeClr w14:val="tx1"/>
                        </w14:solidFill>
                      </w14:textFill>
                    </w:rPr>
                    <w:t>①</w:t>
                  </w:r>
                </w:p>
              </w:tc>
              <w:tc>
                <w:tcPr>
                  <w:tcW w:w="984" w:type="dxa"/>
                  <w:vMerge w:val="restart"/>
                  <w:tcBorders>
                    <w:tl2br w:val="nil"/>
                    <w:tr2bl w:val="nil"/>
                  </w:tcBorders>
                  <w:noWrap/>
                  <w:vAlign w:val="center"/>
                </w:tcPr>
                <w:p w14:paraId="54828108">
                  <w:pPr>
                    <w:widowControl/>
                    <w:jc w:val="center"/>
                    <w:rPr>
                      <w:rFonts w:hint="default"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kern w:val="0"/>
                      <w:sz w:val="21"/>
                      <w:szCs w:val="21"/>
                      <w:highlight w:val="none"/>
                      <w:lang w:val="en-US" w:eastAsia="zh-CN"/>
                      <w14:textFill>
                        <w14:solidFill>
                          <w14:schemeClr w14:val="tx1"/>
                        </w14:solidFill>
                      </w14:textFill>
                    </w:rPr>
                    <w:t>一般工业固体废物（t/a）</w:t>
                  </w:r>
                </w:p>
              </w:tc>
              <w:tc>
                <w:tcPr>
                  <w:tcW w:w="1248" w:type="dxa"/>
                  <w:tcBorders>
                    <w:tl2br w:val="nil"/>
                    <w:tr2bl w:val="nil"/>
                  </w:tcBorders>
                  <w:noWrap/>
                  <w:vAlign w:val="center"/>
                </w:tcPr>
                <w:p w14:paraId="7E3AA3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000000" w:themeColor="text1"/>
                      <w:spacing w:val="0"/>
                      <w:kern w:val="0"/>
                      <w:sz w:val="21"/>
                      <w:szCs w:val="21"/>
                      <w:highlight w:val="none"/>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布袋收尘器粉尘</w:t>
                  </w:r>
                </w:p>
              </w:tc>
              <w:tc>
                <w:tcPr>
                  <w:tcW w:w="1056" w:type="dxa"/>
                  <w:tcBorders>
                    <w:tl2br w:val="nil"/>
                    <w:tr2bl w:val="nil"/>
                  </w:tcBorders>
                  <w:noWrap/>
                  <w:vAlign w:val="center"/>
                </w:tcPr>
                <w:p w14:paraId="3368FD82">
                  <w:pPr>
                    <w:jc w:val="center"/>
                    <w:rPr>
                      <w:rFonts w:hint="default" w:eastAsia="宋体"/>
                      <w:color w:val="000000" w:themeColor="text1"/>
                      <w:spacing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0.56</w:t>
                  </w:r>
                </w:p>
              </w:tc>
              <w:tc>
                <w:tcPr>
                  <w:tcW w:w="864" w:type="dxa"/>
                  <w:tcBorders>
                    <w:tl2br w:val="nil"/>
                    <w:tr2bl w:val="nil"/>
                  </w:tcBorders>
                  <w:noWrap/>
                  <w:vAlign w:val="center"/>
                </w:tcPr>
                <w:p w14:paraId="5FCB8751">
                  <w:pPr>
                    <w:jc w:val="center"/>
                    <w:rPr>
                      <w:rFonts w:hint="default" w:eastAsia="宋体"/>
                      <w:color w:val="000000" w:themeColor="text1"/>
                      <w:spacing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26.624</w:t>
                  </w:r>
                </w:p>
              </w:tc>
              <w:tc>
                <w:tcPr>
                  <w:tcW w:w="972" w:type="dxa"/>
                  <w:tcBorders>
                    <w:tl2br w:val="nil"/>
                    <w:tr2bl w:val="nil"/>
                  </w:tcBorders>
                  <w:noWrap w:val="0"/>
                  <w:vAlign w:val="center"/>
                </w:tcPr>
                <w:p w14:paraId="2EEC8F3F">
                  <w:pPr>
                    <w:jc w:val="center"/>
                    <w:rPr>
                      <w:rFonts w:hint="default" w:eastAsia="宋体"/>
                      <w:color w:val="000000" w:themeColor="text1"/>
                      <w:spacing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26.624</w:t>
                  </w:r>
                </w:p>
              </w:tc>
              <w:tc>
                <w:tcPr>
                  <w:tcW w:w="1044" w:type="dxa"/>
                  <w:tcBorders>
                    <w:tl2br w:val="nil"/>
                    <w:tr2bl w:val="nil"/>
                  </w:tcBorders>
                  <w:noWrap/>
                  <w:vAlign w:val="center"/>
                </w:tcPr>
                <w:p w14:paraId="362FDBFB">
                  <w:pPr>
                    <w:jc w:val="center"/>
                    <w:rPr>
                      <w:rFonts w:hint="default"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0.56</w:t>
                  </w:r>
                </w:p>
              </w:tc>
              <w:tc>
                <w:tcPr>
                  <w:tcW w:w="886" w:type="dxa"/>
                  <w:tcBorders>
                    <w:tl2br w:val="nil"/>
                    <w:tr2bl w:val="nil"/>
                  </w:tcBorders>
                  <w:noWrap w:val="0"/>
                  <w:vAlign w:val="center"/>
                </w:tcPr>
                <w:p w14:paraId="1247A7DF">
                  <w:pPr>
                    <w:jc w:val="center"/>
                    <w:rPr>
                      <w:rFonts w:hint="default"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26.624</w:t>
                  </w:r>
                </w:p>
              </w:tc>
              <w:tc>
                <w:tcPr>
                  <w:tcW w:w="940" w:type="dxa"/>
                  <w:tcBorders>
                    <w:tl2br w:val="nil"/>
                    <w:tr2bl w:val="nil"/>
                  </w:tcBorders>
                  <w:noWrap w:val="0"/>
                  <w:vAlign w:val="center"/>
                </w:tcPr>
                <w:p w14:paraId="3E1AFF81">
                  <w:pPr>
                    <w:keepNext w:val="0"/>
                    <w:keepLines w:val="0"/>
                    <w:widowControl/>
                    <w:suppressLineNumbers w:val="0"/>
                    <w:jc w:val="center"/>
                    <w:textAlignment w:val="center"/>
                    <w:rPr>
                      <w:rFonts w:hint="default"/>
                      <w:color w:val="000000" w:themeColor="text1"/>
                      <w:spacing w:val="0"/>
                      <w:kern w:val="0"/>
                      <w:sz w:val="21"/>
                      <w:szCs w:val="21"/>
                      <w:highlight w:val="none"/>
                      <w:lang w:val="en-US"/>
                      <w14:textFill>
                        <w14:solidFill>
                          <w14:schemeClr w14:val="tx1"/>
                        </w14:solidFill>
                      </w14:textFill>
                    </w:rPr>
                  </w:pPr>
                  <w:r>
                    <w:rPr>
                      <w:rFonts w:hint="eastAsia"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w:t>
                  </w:r>
                  <w:r>
                    <w:rPr>
                      <w:rFonts w:hint="eastAsia" w:eastAsia="等线" w:cs="Times New Roman"/>
                      <w:i w:val="0"/>
                      <w:iCs w:val="0"/>
                      <w:color w:val="000000" w:themeColor="text1"/>
                      <w:kern w:val="0"/>
                      <w:sz w:val="21"/>
                      <w:szCs w:val="21"/>
                      <w:u w:val="none"/>
                      <w:lang w:val="en-US" w:eastAsia="zh-CN" w:bidi="ar"/>
                      <w14:textFill>
                        <w14:solidFill>
                          <w14:schemeClr w14:val="tx1"/>
                        </w14:solidFill>
                      </w14:textFill>
                    </w:rPr>
                    <w:t>26.064</w:t>
                  </w:r>
                </w:p>
              </w:tc>
            </w:tr>
            <w:tr w14:paraId="5F2D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0" w:type="dxa"/>
                  <w:vMerge w:val="continue"/>
                  <w:tcBorders>
                    <w:tl2br w:val="nil"/>
                    <w:tr2bl w:val="nil"/>
                  </w:tcBorders>
                  <w:noWrap/>
                  <w:vAlign w:val="center"/>
                </w:tcPr>
                <w:p w14:paraId="5E32B605">
                  <w:pPr>
                    <w:widowControl/>
                    <w:jc w:val="center"/>
                    <w:rPr>
                      <w:color w:val="000000" w:themeColor="text1"/>
                      <w:spacing w:val="0"/>
                      <w:kern w:val="0"/>
                      <w:sz w:val="21"/>
                      <w:szCs w:val="21"/>
                      <w:highlight w:val="none"/>
                      <w14:textFill>
                        <w14:solidFill>
                          <w14:schemeClr w14:val="tx1"/>
                        </w14:solidFill>
                      </w14:textFill>
                    </w:rPr>
                  </w:pPr>
                </w:p>
              </w:tc>
              <w:tc>
                <w:tcPr>
                  <w:tcW w:w="984" w:type="dxa"/>
                  <w:vMerge w:val="continue"/>
                  <w:tcBorders>
                    <w:tl2br w:val="nil"/>
                    <w:tr2bl w:val="nil"/>
                  </w:tcBorders>
                  <w:noWrap/>
                  <w:vAlign w:val="center"/>
                </w:tcPr>
                <w:p w14:paraId="41B0A846">
                  <w:pPr>
                    <w:widowControl/>
                    <w:jc w:val="center"/>
                    <w:rPr>
                      <w:color w:val="000000" w:themeColor="text1"/>
                      <w:spacing w:val="0"/>
                      <w:kern w:val="0"/>
                      <w:sz w:val="21"/>
                      <w:szCs w:val="21"/>
                      <w:highlight w:val="none"/>
                      <w14:textFill>
                        <w14:solidFill>
                          <w14:schemeClr w14:val="tx1"/>
                        </w14:solidFill>
                      </w14:textFill>
                    </w:rPr>
                  </w:pPr>
                </w:p>
              </w:tc>
              <w:tc>
                <w:tcPr>
                  <w:tcW w:w="1248" w:type="dxa"/>
                  <w:tcBorders>
                    <w:tl2br w:val="nil"/>
                    <w:tr2bl w:val="nil"/>
                  </w:tcBorders>
                  <w:noWrap/>
                  <w:vAlign w:val="center"/>
                </w:tcPr>
                <w:p w14:paraId="3B5426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000000" w:themeColor="text1"/>
                      <w:spacing w:val="0"/>
                      <w:kern w:val="0"/>
                      <w:sz w:val="21"/>
                      <w:szCs w:val="21"/>
                      <w:highlight w:val="none"/>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不合格产品及边角料</w:t>
                  </w:r>
                </w:p>
              </w:tc>
              <w:tc>
                <w:tcPr>
                  <w:tcW w:w="1056" w:type="dxa"/>
                  <w:tcBorders>
                    <w:tl2br w:val="nil"/>
                    <w:tr2bl w:val="nil"/>
                  </w:tcBorders>
                  <w:noWrap/>
                  <w:vAlign w:val="center"/>
                </w:tcPr>
                <w:p w14:paraId="56547982">
                  <w:pPr>
                    <w:jc w:val="center"/>
                    <w:rPr>
                      <w:rFonts w:hint="default" w:eastAsia="宋体"/>
                      <w:color w:val="000000" w:themeColor="text1"/>
                      <w:spacing w:val="0"/>
                      <w:sz w:val="21"/>
                      <w:szCs w:val="21"/>
                      <w:highlight w:val="none"/>
                      <w:lang w:val="en-US" w:eastAsia="zh-CN"/>
                      <w14:textFill>
                        <w14:solidFill>
                          <w14:schemeClr w14:val="tx1"/>
                        </w14:solidFill>
                      </w14:textFill>
                    </w:rPr>
                  </w:pPr>
                  <w:r>
                    <w:rPr>
                      <w:rFonts w:hint="eastAsia" w:eastAsia="宋体"/>
                      <w:color w:val="000000" w:themeColor="text1"/>
                      <w:spacing w:val="0"/>
                      <w:sz w:val="21"/>
                      <w:szCs w:val="21"/>
                      <w:highlight w:val="none"/>
                      <w:lang w:val="en-US" w:eastAsia="zh-CN"/>
                      <w14:textFill>
                        <w14:solidFill>
                          <w14:schemeClr w14:val="tx1"/>
                        </w14:solidFill>
                      </w14:textFill>
                    </w:rPr>
                    <w:t>2.7</w:t>
                  </w:r>
                </w:p>
              </w:tc>
              <w:tc>
                <w:tcPr>
                  <w:tcW w:w="864" w:type="dxa"/>
                  <w:tcBorders>
                    <w:tl2br w:val="nil"/>
                    <w:tr2bl w:val="nil"/>
                  </w:tcBorders>
                  <w:noWrap/>
                  <w:vAlign w:val="center"/>
                </w:tcPr>
                <w:p w14:paraId="6471FA1C">
                  <w:pPr>
                    <w:jc w:val="center"/>
                    <w:rPr>
                      <w:rFonts w:hint="default" w:eastAsia="宋体"/>
                      <w:color w:val="000000" w:themeColor="text1"/>
                      <w:spacing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20.1</w:t>
                  </w:r>
                </w:p>
              </w:tc>
              <w:tc>
                <w:tcPr>
                  <w:tcW w:w="972" w:type="dxa"/>
                  <w:tcBorders>
                    <w:tl2br w:val="nil"/>
                    <w:tr2bl w:val="nil"/>
                  </w:tcBorders>
                  <w:noWrap w:val="0"/>
                  <w:vAlign w:val="center"/>
                </w:tcPr>
                <w:p w14:paraId="7F90E323">
                  <w:pPr>
                    <w:jc w:val="center"/>
                    <w:rPr>
                      <w:rFonts w:hint="default" w:eastAsia="宋体"/>
                      <w:color w:val="000000" w:themeColor="text1"/>
                      <w:spacing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20.1</w:t>
                  </w:r>
                </w:p>
              </w:tc>
              <w:tc>
                <w:tcPr>
                  <w:tcW w:w="1044" w:type="dxa"/>
                  <w:tcBorders>
                    <w:tl2br w:val="nil"/>
                    <w:tr2bl w:val="nil"/>
                  </w:tcBorders>
                  <w:noWrap/>
                  <w:vAlign w:val="center"/>
                </w:tcPr>
                <w:p w14:paraId="26887C84">
                  <w:pPr>
                    <w:jc w:val="center"/>
                    <w:rPr>
                      <w:rFonts w:hint="default"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0</w:t>
                  </w:r>
                </w:p>
              </w:tc>
              <w:tc>
                <w:tcPr>
                  <w:tcW w:w="886" w:type="dxa"/>
                  <w:tcBorders>
                    <w:tl2br w:val="nil"/>
                    <w:tr2bl w:val="nil"/>
                  </w:tcBorders>
                  <w:noWrap w:val="0"/>
                  <w:vAlign w:val="center"/>
                </w:tcPr>
                <w:p w14:paraId="1DAB6D44">
                  <w:pPr>
                    <w:jc w:val="center"/>
                    <w:rPr>
                      <w:rFonts w:hint="default"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22.8</w:t>
                  </w:r>
                </w:p>
              </w:tc>
              <w:tc>
                <w:tcPr>
                  <w:tcW w:w="940" w:type="dxa"/>
                  <w:tcBorders>
                    <w:tl2br w:val="nil"/>
                    <w:tr2bl w:val="nil"/>
                  </w:tcBorders>
                  <w:noWrap w:val="0"/>
                  <w:vAlign w:val="center"/>
                </w:tcPr>
                <w:p w14:paraId="77DBC7CD">
                  <w:pPr>
                    <w:keepNext w:val="0"/>
                    <w:keepLines w:val="0"/>
                    <w:widowControl/>
                    <w:suppressLineNumbers w:val="0"/>
                    <w:jc w:val="center"/>
                    <w:textAlignment w:val="center"/>
                    <w:rPr>
                      <w:rFonts w:hint="default" w:eastAsia="宋体"/>
                      <w:color w:val="000000" w:themeColor="text1"/>
                      <w:spacing w:val="0"/>
                      <w:kern w:val="0"/>
                      <w:sz w:val="21"/>
                      <w:szCs w:val="21"/>
                      <w:highlight w:val="none"/>
                      <w:lang w:val="en-US" w:eastAsia="zh-CN"/>
                      <w14:textFill>
                        <w14:solidFill>
                          <w14:schemeClr w14:val="tx1"/>
                        </w14:solidFill>
                      </w14:textFill>
                    </w:rPr>
                  </w:pPr>
                  <w:r>
                    <w:rPr>
                      <w:rFonts w:hint="eastAsia"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20.1</w:t>
                  </w:r>
                </w:p>
              </w:tc>
            </w:tr>
            <w:tr w14:paraId="1EAA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0" w:type="dxa"/>
                  <w:vMerge w:val="continue"/>
                  <w:tcBorders>
                    <w:tl2br w:val="nil"/>
                    <w:tr2bl w:val="nil"/>
                  </w:tcBorders>
                  <w:noWrap/>
                  <w:vAlign w:val="center"/>
                </w:tcPr>
                <w:p w14:paraId="452A2B6E">
                  <w:pPr>
                    <w:widowControl/>
                    <w:jc w:val="center"/>
                    <w:rPr>
                      <w:color w:val="000000" w:themeColor="text1"/>
                      <w:spacing w:val="0"/>
                      <w:kern w:val="0"/>
                      <w:sz w:val="21"/>
                      <w:szCs w:val="21"/>
                      <w:highlight w:val="none"/>
                      <w14:textFill>
                        <w14:solidFill>
                          <w14:schemeClr w14:val="tx1"/>
                        </w14:solidFill>
                      </w14:textFill>
                    </w:rPr>
                  </w:pPr>
                </w:p>
              </w:tc>
              <w:tc>
                <w:tcPr>
                  <w:tcW w:w="984" w:type="dxa"/>
                  <w:vMerge w:val="continue"/>
                  <w:tcBorders>
                    <w:tl2br w:val="nil"/>
                    <w:tr2bl w:val="nil"/>
                  </w:tcBorders>
                  <w:noWrap/>
                  <w:vAlign w:val="center"/>
                </w:tcPr>
                <w:p w14:paraId="62FE6BC3">
                  <w:pPr>
                    <w:widowControl/>
                    <w:jc w:val="center"/>
                    <w:rPr>
                      <w:color w:val="000000" w:themeColor="text1"/>
                      <w:spacing w:val="0"/>
                      <w:kern w:val="0"/>
                      <w:sz w:val="21"/>
                      <w:szCs w:val="21"/>
                      <w:highlight w:val="none"/>
                      <w14:textFill>
                        <w14:solidFill>
                          <w14:schemeClr w14:val="tx1"/>
                        </w14:solidFill>
                      </w14:textFill>
                    </w:rPr>
                  </w:pPr>
                </w:p>
              </w:tc>
              <w:tc>
                <w:tcPr>
                  <w:tcW w:w="1248" w:type="dxa"/>
                  <w:tcBorders>
                    <w:tl2br w:val="nil"/>
                    <w:tr2bl w:val="nil"/>
                  </w:tcBorders>
                  <w:noWrap/>
                  <w:vAlign w:val="center"/>
                </w:tcPr>
                <w:p w14:paraId="71774F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000000" w:themeColor="text1"/>
                      <w:spacing w:val="0"/>
                      <w:kern w:val="0"/>
                      <w:sz w:val="21"/>
                      <w:szCs w:val="21"/>
                      <w:highlight w:val="none"/>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炉渣</w:t>
                  </w:r>
                </w:p>
              </w:tc>
              <w:tc>
                <w:tcPr>
                  <w:tcW w:w="1056" w:type="dxa"/>
                  <w:tcBorders>
                    <w:tl2br w:val="nil"/>
                    <w:tr2bl w:val="nil"/>
                  </w:tcBorders>
                  <w:noWrap/>
                  <w:vAlign w:val="center"/>
                </w:tcPr>
                <w:p w14:paraId="7B0E5BB3">
                  <w:pPr>
                    <w:jc w:val="center"/>
                    <w:rPr>
                      <w:rFonts w:hint="default" w:eastAsia="宋体"/>
                      <w:color w:val="000000" w:themeColor="text1"/>
                      <w:spacing w:val="0"/>
                      <w:sz w:val="21"/>
                      <w:szCs w:val="21"/>
                      <w:highlight w:val="none"/>
                      <w:lang w:val="en-US" w:eastAsia="zh-CN"/>
                      <w14:textFill>
                        <w14:solidFill>
                          <w14:schemeClr w14:val="tx1"/>
                        </w14:solidFill>
                      </w14:textFill>
                    </w:rPr>
                  </w:pPr>
                  <w:r>
                    <w:rPr>
                      <w:rFonts w:hint="eastAsia" w:eastAsia="宋体"/>
                      <w:color w:val="000000" w:themeColor="text1"/>
                      <w:spacing w:val="0"/>
                      <w:kern w:val="0"/>
                      <w:sz w:val="21"/>
                      <w:szCs w:val="21"/>
                      <w:highlight w:val="none"/>
                      <w:lang w:val="en-US" w:eastAsia="zh-CN"/>
                      <w14:textFill>
                        <w14:solidFill>
                          <w14:schemeClr w14:val="tx1"/>
                        </w14:solidFill>
                      </w14:textFill>
                    </w:rPr>
                    <w:t>130</w:t>
                  </w:r>
                </w:p>
              </w:tc>
              <w:tc>
                <w:tcPr>
                  <w:tcW w:w="864" w:type="dxa"/>
                  <w:tcBorders>
                    <w:tl2br w:val="nil"/>
                    <w:tr2bl w:val="nil"/>
                  </w:tcBorders>
                  <w:noWrap/>
                  <w:vAlign w:val="center"/>
                </w:tcPr>
                <w:p w14:paraId="7F47EE18">
                  <w:pPr>
                    <w:jc w:val="center"/>
                    <w:rPr>
                      <w:rFonts w:hint="default" w:eastAsia="宋体"/>
                      <w:color w:val="000000" w:themeColor="text1"/>
                      <w:spacing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170</w:t>
                  </w:r>
                </w:p>
              </w:tc>
              <w:tc>
                <w:tcPr>
                  <w:tcW w:w="972" w:type="dxa"/>
                  <w:tcBorders>
                    <w:tl2br w:val="nil"/>
                    <w:tr2bl w:val="nil"/>
                  </w:tcBorders>
                  <w:noWrap w:val="0"/>
                  <w:vAlign w:val="center"/>
                </w:tcPr>
                <w:p w14:paraId="6346581C">
                  <w:pPr>
                    <w:jc w:val="center"/>
                    <w:rPr>
                      <w:color w:val="000000" w:themeColor="text1"/>
                      <w:spacing w:val="0"/>
                      <w:sz w:val="21"/>
                      <w:szCs w:val="21"/>
                      <w:highlight w:val="none"/>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170</w:t>
                  </w:r>
                </w:p>
              </w:tc>
              <w:tc>
                <w:tcPr>
                  <w:tcW w:w="1044" w:type="dxa"/>
                  <w:tcBorders>
                    <w:tl2br w:val="nil"/>
                    <w:tr2bl w:val="nil"/>
                  </w:tcBorders>
                  <w:noWrap/>
                  <w:vAlign w:val="center"/>
                </w:tcPr>
                <w:p w14:paraId="498BC6CB">
                  <w:pPr>
                    <w:jc w:val="center"/>
                    <w:rPr>
                      <w:rFonts w:hint="default"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kern w:val="0"/>
                      <w:sz w:val="21"/>
                      <w:szCs w:val="21"/>
                      <w:highlight w:val="none"/>
                      <w:lang w:val="en-US" w:eastAsia="zh-CN"/>
                      <w14:textFill>
                        <w14:solidFill>
                          <w14:schemeClr w14:val="tx1"/>
                        </w14:solidFill>
                      </w14:textFill>
                    </w:rPr>
                    <w:t>0</w:t>
                  </w:r>
                </w:p>
              </w:tc>
              <w:tc>
                <w:tcPr>
                  <w:tcW w:w="886" w:type="dxa"/>
                  <w:tcBorders>
                    <w:tl2br w:val="nil"/>
                    <w:tr2bl w:val="nil"/>
                  </w:tcBorders>
                  <w:noWrap w:val="0"/>
                  <w:vAlign w:val="center"/>
                </w:tcPr>
                <w:p w14:paraId="06C4E084">
                  <w:pPr>
                    <w:jc w:val="center"/>
                    <w:rPr>
                      <w:rFonts w:hint="default"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300</w:t>
                  </w:r>
                </w:p>
              </w:tc>
              <w:tc>
                <w:tcPr>
                  <w:tcW w:w="940" w:type="dxa"/>
                  <w:tcBorders>
                    <w:tl2br w:val="nil"/>
                    <w:tr2bl w:val="nil"/>
                  </w:tcBorders>
                  <w:noWrap w:val="0"/>
                  <w:vAlign w:val="center"/>
                </w:tcPr>
                <w:p w14:paraId="4D27514D">
                  <w:pPr>
                    <w:keepNext w:val="0"/>
                    <w:keepLines w:val="0"/>
                    <w:widowControl/>
                    <w:suppressLineNumbers w:val="0"/>
                    <w:jc w:val="center"/>
                    <w:textAlignment w:val="center"/>
                    <w:rPr>
                      <w:rFonts w:hint="default"/>
                      <w:color w:val="000000" w:themeColor="text1"/>
                      <w:spacing w:val="0"/>
                      <w:kern w:val="0"/>
                      <w:sz w:val="21"/>
                      <w:szCs w:val="21"/>
                      <w:highlight w:val="none"/>
                      <w:lang w:val="en-US"/>
                      <w14:textFill>
                        <w14:solidFill>
                          <w14:schemeClr w14:val="tx1"/>
                        </w14:solidFill>
                      </w14:textFill>
                    </w:rPr>
                  </w:pPr>
                  <w:r>
                    <w:rPr>
                      <w:rFonts w:hint="eastAsia"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170</w:t>
                  </w:r>
                </w:p>
              </w:tc>
            </w:tr>
            <w:tr w14:paraId="73D4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0" w:type="dxa"/>
                  <w:vMerge w:val="continue"/>
                  <w:tcBorders>
                    <w:tl2br w:val="nil"/>
                    <w:tr2bl w:val="nil"/>
                  </w:tcBorders>
                  <w:noWrap/>
                  <w:vAlign w:val="center"/>
                </w:tcPr>
                <w:p w14:paraId="360F3F8A">
                  <w:pPr>
                    <w:widowControl/>
                    <w:jc w:val="center"/>
                    <w:rPr>
                      <w:color w:val="000000" w:themeColor="text1"/>
                      <w:spacing w:val="0"/>
                      <w:kern w:val="0"/>
                      <w:sz w:val="21"/>
                      <w:szCs w:val="21"/>
                      <w:highlight w:val="none"/>
                      <w14:textFill>
                        <w14:solidFill>
                          <w14:schemeClr w14:val="tx1"/>
                        </w14:solidFill>
                      </w14:textFill>
                    </w:rPr>
                  </w:pPr>
                </w:p>
              </w:tc>
              <w:tc>
                <w:tcPr>
                  <w:tcW w:w="984" w:type="dxa"/>
                  <w:vMerge w:val="continue"/>
                  <w:tcBorders>
                    <w:tl2br w:val="nil"/>
                    <w:tr2bl w:val="nil"/>
                  </w:tcBorders>
                  <w:noWrap/>
                  <w:vAlign w:val="center"/>
                </w:tcPr>
                <w:p w14:paraId="3E5AA9AA">
                  <w:pPr>
                    <w:widowControl/>
                    <w:jc w:val="center"/>
                    <w:rPr>
                      <w:color w:val="000000" w:themeColor="text1"/>
                      <w:spacing w:val="0"/>
                      <w:kern w:val="0"/>
                      <w:sz w:val="21"/>
                      <w:szCs w:val="21"/>
                      <w:highlight w:val="none"/>
                      <w14:textFill>
                        <w14:solidFill>
                          <w14:schemeClr w14:val="tx1"/>
                        </w14:solidFill>
                      </w14:textFill>
                    </w:rPr>
                  </w:pPr>
                </w:p>
              </w:tc>
              <w:tc>
                <w:tcPr>
                  <w:tcW w:w="1248" w:type="dxa"/>
                  <w:tcBorders>
                    <w:tl2br w:val="nil"/>
                    <w:tr2bl w:val="nil"/>
                  </w:tcBorders>
                  <w:noWrap/>
                  <w:vAlign w:val="center"/>
                </w:tcPr>
                <w:p w14:paraId="2771FB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000000" w:themeColor="text1"/>
                      <w:spacing w:val="0"/>
                      <w:kern w:val="0"/>
                      <w:sz w:val="21"/>
                      <w:szCs w:val="21"/>
                      <w:highlight w:val="none"/>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脱硫沉渣</w:t>
                  </w:r>
                </w:p>
              </w:tc>
              <w:tc>
                <w:tcPr>
                  <w:tcW w:w="1056" w:type="dxa"/>
                  <w:tcBorders>
                    <w:tl2br w:val="nil"/>
                    <w:tr2bl w:val="nil"/>
                  </w:tcBorders>
                  <w:noWrap/>
                  <w:vAlign w:val="center"/>
                </w:tcPr>
                <w:p w14:paraId="52D63988">
                  <w:pPr>
                    <w:jc w:val="center"/>
                    <w:rPr>
                      <w:rFonts w:hint="default" w:eastAsia="宋体"/>
                      <w:color w:val="000000" w:themeColor="text1"/>
                      <w:spacing w:val="0"/>
                      <w:sz w:val="21"/>
                      <w:szCs w:val="21"/>
                      <w:highlight w:val="none"/>
                      <w:lang w:val="en-US" w:eastAsia="zh-CN"/>
                      <w14:textFill>
                        <w14:solidFill>
                          <w14:schemeClr w14:val="tx1"/>
                        </w14:solidFill>
                      </w14:textFill>
                    </w:rPr>
                  </w:pPr>
                  <w:r>
                    <w:rPr>
                      <w:rFonts w:hint="eastAsia"/>
                      <w:color w:val="000000" w:themeColor="text1"/>
                      <w:spacing w:val="0"/>
                      <w:kern w:val="0"/>
                      <w:sz w:val="21"/>
                      <w:szCs w:val="21"/>
                      <w:highlight w:val="none"/>
                      <w:lang w:val="en-US" w:eastAsia="zh-CN"/>
                      <w14:textFill>
                        <w14:solidFill>
                          <w14:schemeClr w14:val="tx1"/>
                        </w14:solidFill>
                      </w14:textFill>
                    </w:rPr>
                    <w:t>45.8</w:t>
                  </w:r>
                </w:p>
              </w:tc>
              <w:tc>
                <w:tcPr>
                  <w:tcW w:w="864" w:type="dxa"/>
                  <w:tcBorders>
                    <w:tl2br w:val="nil"/>
                    <w:tr2bl w:val="nil"/>
                  </w:tcBorders>
                  <w:noWrap/>
                  <w:vAlign w:val="center"/>
                </w:tcPr>
                <w:p w14:paraId="41AD9DFA">
                  <w:pPr>
                    <w:jc w:val="center"/>
                    <w:rPr>
                      <w:rFonts w:hint="default" w:eastAsia="宋体"/>
                      <w:color w:val="000000" w:themeColor="text1"/>
                      <w:spacing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156.74</w:t>
                  </w:r>
                </w:p>
              </w:tc>
              <w:tc>
                <w:tcPr>
                  <w:tcW w:w="972" w:type="dxa"/>
                  <w:tcBorders>
                    <w:tl2br w:val="nil"/>
                    <w:tr2bl w:val="nil"/>
                  </w:tcBorders>
                  <w:noWrap w:val="0"/>
                  <w:vAlign w:val="center"/>
                </w:tcPr>
                <w:p w14:paraId="08C84FFE">
                  <w:pPr>
                    <w:jc w:val="center"/>
                    <w:rPr>
                      <w:rFonts w:hint="default"/>
                      <w:color w:val="000000" w:themeColor="text1"/>
                      <w:spacing w:val="0"/>
                      <w:sz w:val="21"/>
                      <w:szCs w:val="21"/>
                      <w:highlight w:val="none"/>
                      <w:lang w:val="en-US"/>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156.74</w:t>
                  </w:r>
                </w:p>
              </w:tc>
              <w:tc>
                <w:tcPr>
                  <w:tcW w:w="1044" w:type="dxa"/>
                  <w:tcBorders>
                    <w:tl2br w:val="nil"/>
                    <w:tr2bl w:val="nil"/>
                  </w:tcBorders>
                  <w:noWrap/>
                  <w:vAlign w:val="center"/>
                </w:tcPr>
                <w:p w14:paraId="7D4FAA8E">
                  <w:pPr>
                    <w:jc w:val="center"/>
                    <w:rPr>
                      <w:rFonts w:hint="default"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kern w:val="0"/>
                      <w:sz w:val="21"/>
                      <w:szCs w:val="21"/>
                      <w:highlight w:val="none"/>
                      <w:lang w:val="en-US" w:eastAsia="zh-CN"/>
                      <w14:textFill>
                        <w14:solidFill>
                          <w14:schemeClr w14:val="tx1"/>
                        </w14:solidFill>
                      </w14:textFill>
                    </w:rPr>
                    <w:t>0</w:t>
                  </w:r>
                </w:p>
              </w:tc>
              <w:tc>
                <w:tcPr>
                  <w:tcW w:w="886" w:type="dxa"/>
                  <w:tcBorders>
                    <w:tl2br w:val="nil"/>
                    <w:tr2bl w:val="nil"/>
                  </w:tcBorders>
                  <w:noWrap w:val="0"/>
                  <w:vAlign w:val="center"/>
                </w:tcPr>
                <w:p w14:paraId="6BFA1F0C">
                  <w:pPr>
                    <w:jc w:val="center"/>
                    <w:rPr>
                      <w:rFonts w:hint="default"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156.74</w:t>
                  </w:r>
                </w:p>
              </w:tc>
              <w:tc>
                <w:tcPr>
                  <w:tcW w:w="940" w:type="dxa"/>
                  <w:tcBorders>
                    <w:tl2br w:val="nil"/>
                    <w:tr2bl w:val="nil"/>
                  </w:tcBorders>
                  <w:noWrap w:val="0"/>
                  <w:vAlign w:val="center"/>
                </w:tcPr>
                <w:p w14:paraId="685033D4">
                  <w:pPr>
                    <w:keepNext w:val="0"/>
                    <w:keepLines w:val="0"/>
                    <w:widowControl/>
                    <w:suppressLineNumbers w:val="0"/>
                    <w:jc w:val="center"/>
                    <w:textAlignment w:val="center"/>
                    <w:rPr>
                      <w:rFonts w:hint="default"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kern w:val="0"/>
                      <w:sz w:val="21"/>
                      <w:szCs w:val="21"/>
                      <w:highlight w:val="none"/>
                      <w:lang w:val="en-US" w:eastAsia="zh-CN"/>
                      <w14:textFill>
                        <w14:solidFill>
                          <w14:schemeClr w14:val="tx1"/>
                        </w14:solidFill>
                      </w14:textFill>
                    </w:rPr>
                    <w:t>+110.94</w:t>
                  </w:r>
                </w:p>
              </w:tc>
            </w:tr>
            <w:tr w14:paraId="6737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0" w:type="dxa"/>
                  <w:vMerge w:val="continue"/>
                  <w:tcBorders>
                    <w:tl2br w:val="nil"/>
                    <w:tr2bl w:val="nil"/>
                  </w:tcBorders>
                  <w:noWrap w:val="0"/>
                  <w:vAlign w:val="center"/>
                </w:tcPr>
                <w:p w14:paraId="3AFBCF0F">
                  <w:pPr>
                    <w:widowControl/>
                    <w:jc w:val="center"/>
                    <w:rPr>
                      <w:color w:val="000000" w:themeColor="text1"/>
                      <w:spacing w:val="0"/>
                      <w:kern w:val="0"/>
                      <w:sz w:val="21"/>
                      <w:szCs w:val="21"/>
                      <w:highlight w:val="none"/>
                      <w14:textFill>
                        <w14:solidFill>
                          <w14:schemeClr w14:val="tx1"/>
                        </w14:solidFill>
                      </w14:textFill>
                    </w:rPr>
                  </w:pPr>
                </w:p>
              </w:tc>
              <w:tc>
                <w:tcPr>
                  <w:tcW w:w="984" w:type="dxa"/>
                  <w:tcBorders>
                    <w:tl2br w:val="nil"/>
                    <w:tr2bl w:val="nil"/>
                  </w:tcBorders>
                  <w:noWrap w:val="0"/>
                  <w:vAlign w:val="center"/>
                </w:tcPr>
                <w:p w14:paraId="0D48B8C5">
                  <w:pPr>
                    <w:widowControl/>
                    <w:jc w:val="center"/>
                    <w:rPr>
                      <w:color w:val="000000" w:themeColor="text1"/>
                      <w:spacing w:val="0"/>
                      <w:kern w:val="0"/>
                      <w:sz w:val="21"/>
                      <w:szCs w:val="21"/>
                      <w:highlight w:val="none"/>
                      <w14:textFill>
                        <w14:solidFill>
                          <w14:schemeClr w14:val="tx1"/>
                        </w14:solidFill>
                      </w14:textFill>
                    </w:rPr>
                  </w:pPr>
                  <w:r>
                    <w:rPr>
                      <w:color w:val="000000" w:themeColor="text1"/>
                      <w:spacing w:val="0"/>
                      <w:kern w:val="0"/>
                      <w:sz w:val="21"/>
                      <w:szCs w:val="21"/>
                      <w:highlight w:val="none"/>
                      <w14:textFill>
                        <w14:solidFill>
                          <w14:schemeClr w14:val="tx1"/>
                        </w14:solidFill>
                      </w14:textFill>
                    </w:rPr>
                    <w:t>危险废物（</w:t>
                  </w:r>
                  <w:r>
                    <w:rPr>
                      <w:color w:val="000000" w:themeColor="text1"/>
                      <w:spacing w:val="0"/>
                      <w:sz w:val="21"/>
                      <w:szCs w:val="21"/>
                      <w:highlight w:val="none"/>
                      <w14:textFill>
                        <w14:solidFill>
                          <w14:schemeClr w14:val="tx1"/>
                        </w14:solidFill>
                      </w14:textFill>
                    </w:rPr>
                    <w:t>t/a）</w:t>
                  </w:r>
                </w:p>
              </w:tc>
              <w:tc>
                <w:tcPr>
                  <w:tcW w:w="1248" w:type="dxa"/>
                  <w:tcBorders>
                    <w:tl2br w:val="nil"/>
                    <w:tr2bl w:val="nil"/>
                  </w:tcBorders>
                  <w:noWrap/>
                  <w:vAlign w:val="center"/>
                </w:tcPr>
                <w:p w14:paraId="02241FEB">
                  <w:pPr>
                    <w:widowControl/>
                    <w:jc w:val="center"/>
                    <w:rPr>
                      <w:rFonts w:hint="default" w:eastAsia="宋体"/>
                      <w:color w:val="000000" w:themeColor="text1"/>
                      <w:spacing w:val="0"/>
                      <w:kern w:val="0"/>
                      <w:sz w:val="21"/>
                      <w:szCs w:val="21"/>
                      <w:highlight w:val="none"/>
                      <w:lang w:val="en-US" w:eastAsia="zh-CN"/>
                      <w14:textFill>
                        <w14:solidFill>
                          <w14:schemeClr w14:val="tx1"/>
                        </w14:solidFill>
                      </w14:textFill>
                    </w:rPr>
                  </w:pPr>
                  <w:r>
                    <w:rPr>
                      <w:rFonts w:hint="eastAsia"/>
                      <w:color w:val="000000" w:themeColor="text1"/>
                      <w:spacing w:val="0"/>
                      <w:kern w:val="0"/>
                      <w:sz w:val="21"/>
                      <w:szCs w:val="21"/>
                      <w:highlight w:val="none"/>
                      <w:lang w:val="en-US" w:eastAsia="zh-CN"/>
                      <w14:textFill>
                        <w14:solidFill>
                          <w14:schemeClr w14:val="tx1"/>
                        </w14:solidFill>
                      </w14:textFill>
                    </w:rPr>
                    <w:t>废机油、废润滑油</w:t>
                  </w:r>
                </w:p>
              </w:tc>
              <w:tc>
                <w:tcPr>
                  <w:tcW w:w="1056" w:type="dxa"/>
                  <w:tcBorders>
                    <w:tl2br w:val="nil"/>
                    <w:tr2bl w:val="nil"/>
                  </w:tcBorders>
                  <w:noWrap/>
                  <w:vAlign w:val="center"/>
                </w:tcPr>
                <w:p w14:paraId="0F909134">
                  <w:pPr>
                    <w:jc w:val="center"/>
                    <w:rPr>
                      <w:rFonts w:hint="default" w:eastAsia="宋体"/>
                      <w:color w:val="000000" w:themeColor="text1"/>
                      <w:spacing w:val="0"/>
                      <w:sz w:val="21"/>
                      <w:szCs w:val="21"/>
                      <w:highlight w:val="none"/>
                      <w:lang w:val="en-US" w:eastAsia="zh-CN"/>
                      <w14:textFill>
                        <w14:solidFill>
                          <w14:schemeClr w14:val="tx1"/>
                        </w14:solidFill>
                      </w14:textFill>
                    </w:rPr>
                  </w:pPr>
                  <w:r>
                    <w:rPr>
                      <w:rFonts w:hint="eastAsia" w:eastAsia="宋体"/>
                      <w:color w:val="000000" w:themeColor="text1"/>
                      <w:spacing w:val="0"/>
                      <w:kern w:val="0"/>
                      <w:sz w:val="21"/>
                      <w:szCs w:val="21"/>
                      <w:highlight w:val="none"/>
                      <w:lang w:val="en-US" w:eastAsia="zh-CN"/>
                      <w14:textFill>
                        <w14:solidFill>
                          <w14:schemeClr w14:val="tx1"/>
                        </w14:solidFill>
                      </w14:textFill>
                    </w:rPr>
                    <w:t>0.1</w:t>
                  </w:r>
                </w:p>
              </w:tc>
              <w:tc>
                <w:tcPr>
                  <w:tcW w:w="864" w:type="dxa"/>
                  <w:tcBorders>
                    <w:tl2br w:val="nil"/>
                    <w:tr2bl w:val="nil"/>
                  </w:tcBorders>
                  <w:noWrap/>
                  <w:vAlign w:val="center"/>
                </w:tcPr>
                <w:p w14:paraId="3E854BD5">
                  <w:pPr>
                    <w:jc w:val="center"/>
                    <w:rPr>
                      <w:rFonts w:hint="eastAsia" w:eastAsia="宋体"/>
                      <w:color w:val="000000" w:themeColor="text1"/>
                      <w:spacing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0</w:t>
                  </w:r>
                </w:p>
              </w:tc>
              <w:tc>
                <w:tcPr>
                  <w:tcW w:w="972" w:type="dxa"/>
                  <w:tcBorders>
                    <w:tl2br w:val="nil"/>
                    <w:tr2bl w:val="nil"/>
                  </w:tcBorders>
                  <w:noWrap w:val="0"/>
                  <w:vAlign w:val="center"/>
                </w:tcPr>
                <w:p w14:paraId="2BC9F3C0">
                  <w:pPr>
                    <w:jc w:val="center"/>
                    <w:rPr>
                      <w:color w:val="000000" w:themeColor="text1"/>
                      <w:spacing w:val="0"/>
                      <w:sz w:val="21"/>
                      <w:szCs w:val="21"/>
                      <w:highlight w:val="none"/>
                      <w14:textFill>
                        <w14:solidFill>
                          <w14:schemeClr w14:val="tx1"/>
                        </w14:solidFill>
                      </w14:textFill>
                    </w:rPr>
                  </w:pPr>
                  <w:r>
                    <w:rPr>
                      <w:rFonts w:hint="eastAsia" w:eastAsia="宋体"/>
                      <w:color w:val="000000" w:themeColor="text1"/>
                      <w:spacing w:val="0"/>
                      <w:kern w:val="0"/>
                      <w:sz w:val="21"/>
                      <w:szCs w:val="21"/>
                      <w:highlight w:val="none"/>
                      <w:lang w:val="en-US" w:eastAsia="zh-CN"/>
                      <w14:textFill>
                        <w14:solidFill>
                          <w14:schemeClr w14:val="tx1"/>
                        </w14:solidFill>
                      </w14:textFill>
                    </w:rPr>
                    <w:t>0</w:t>
                  </w:r>
                </w:p>
              </w:tc>
              <w:tc>
                <w:tcPr>
                  <w:tcW w:w="1044" w:type="dxa"/>
                  <w:tcBorders>
                    <w:tl2br w:val="nil"/>
                    <w:tr2bl w:val="nil"/>
                  </w:tcBorders>
                  <w:noWrap/>
                  <w:vAlign w:val="center"/>
                </w:tcPr>
                <w:p w14:paraId="0191CCB2">
                  <w:pPr>
                    <w:jc w:val="center"/>
                    <w:rPr>
                      <w:rFonts w:hint="default" w:eastAsia="宋体"/>
                      <w:color w:val="000000" w:themeColor="text1"/>
                      <w:spacing w:val="0"/>
                      <w:sz w:val="21"/>
                      <w:szCs w:val="21"/>
                      <w:highlight w:val="none"/>
                      <w:lang w:val="en-US" w:eastAsia="zh-CN"/>
                      <w14:textFill>
                        <w14:solidFill>
                          <w14:schemeClr w14:val="tx1"/>
                        </w14:solidFill>
                      </w14:textFill>
                    </w:rPr>
                  </w:pPr>
                  <w:r>
                    <w:rPr>
                      <w:rFonts w:hint="eastAsia" w:eastAsia="宋体"/>
                      <w:color w:val="000000" w:themeColor="text1"/>
                      <w:spacing w:val="0"/>
                      <w:kern w:val="0"/>
                      <w:sz w:val="21"/>
                      <w:szCs w:val="21"/>
                      <w:highlight w:val="none"/>
                      <w:lang w:val="en-US" w:eastAsia="zh-CN"/>
                      <w14:textFill>
                        <w14:solidFill>
                          <w14:schemeClr w14:val="tx1"/>
                        </w14:solidFill>
                      </w14:textFill>
                    </w:rPr>
                    <w:t>0</w:t>
                  </w:r>
                </w:p>
              </w:tc>
              <w:tc>
                <w:tcPr>
                  <w:tcW w:w="886" w:type="dxa"/>
                  <w:tcBorders>
                    <w:tl2br w:val="nil"/>
                    <w:tr2bl w:val="nil"/>
                  </w:tcBorders>
                  <w:noWrap w:val="0"/>
                  <w:vAlign w:val="center"/>
                </w:tcPr>
                <w:p w14:paraId="77FB9404">
                  <w:pPr>
                    <w:jc w:val="center"/>
                    <w:rPr>
                      <w:rFonts w:hint="default" w:eastAsia="宋体"/>
                      <w:color w:val="000000" w:themeColor="text1"/>
                      <w:spacing w:val="0"/>
                      <w:sz w:val="21"/>
                      <w:szCs w:val="21"/>
                      <w:highlight w:val="none"/>
                      <w:lang w:val="en-US" w:eastAsia="zh-CN"/>
                      <w14:textFill>
                        <w14:solidFill>
                          <w14:schemeClr w14:val="tx1"/>
                        </w14:solidFill>
                      </w14:textFill>
                    </w:rPr>
                  </w:pPr>
                  <w:r>
                    <w:rPr>
                      <w:rFonts w:hint="eastAsia" w:eastAsia="宋体"/>
                      <w:color w:val="000000" w:themeColor="text1"/>
                      <w:spacing w:val="0"/>
                      <w:sz w:val="21"/>
                      <w:szCs w:val="21"/>
                      <w:highlight w:val="none"/>
                      <w:lang w:val="en-US" w:eastAsia="zh-CN"/>
                      <w14:textFill>
                        <w14:solidFill>
                          <w14:schemeClr w14:val="tx1"/>
                        </w14:solidFill>
                      </w14:textFill>
                    </w:rPr>
                    <w:t>0.1</w:t>
                  </w:r>
                </w:p>
              </w:tc>
              <w:tc>
                <w:tcPr>
                  <w:tcW w:w="940" w:type="dxa"/>
                  <w:tcBorders>
                    <w:tl2br w:val="nil"/>
                    <w:tr2bl w:val="nil"/>
                  </w:tcBorders>
                  <w:noWrap/>
                  <w:vAlign w:val="center"/>
                </w:tcPr>
                <w:p w14:paraId="6AB66D84">
                  <w:pPr>
                    <w:keepNext w:val="0"/>
                    <w:keepLines w:val="0"/>
                    <w:widowControl/>
                    <w:suppressLineNumbers w:val="0"/>
                    <w:jc w:val="center"/>
                    <w:textAlignment w:val="center"/>
                    <w:rPr>
                      <w:color w:val="000000" w:themeColor="text1"/>
                      <w:spacing w:val="0"/>
                      <w:sz w:val="21"/>
                      <w:szCs w:val="21"/>
                      <w:highlight w:val="none"/>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0</w:t>
                  </w:r>
                </w:p>
              </w:tc>
            </w:tr>
            <w:tr w14:paraId="6AAF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674" w:type="dxa"/>
                  <w:gridSpan w:val="9"/>
                  <w:tcBorders>
                    <w:tl2br w:val="nil"/>
                    <w:tr2bl w:val="nil"/>
                  </w:tcBorders>
                  <w:noWrap w:val="0"/>
                  <w:vAlign w:val="center"/>
                </w:tcPr>
                <w:p w14:paraId="1090F2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000000" w:themeColor="text1"/>
                      <w:spacing w:val="0"/>
                      <w:sz w:val="21"/>
                      <w:szCs w:val="21"/>
                      <w:highlight w:val="none"/>
                      <w:lang w:val="en-US" w:eastAsia="zh-CN"/>
                      <w14:textFill>
                        <w14:solidFill>
                          <w14:schemeClr w14:val="tx1"/>
                        </w14:solidFill>
                      </w14:textFill>
                    </w:rPr>
                  </w:pPr>
                  <w:r>
                    <w:rPr>
                      <w:rFonts w:hint="eastAsia"/>
                      <w:color w:val="000000" w:themeColor="text1"/>
                      <w:spacing w:val="0"/>
                      <w:sz w:val="21"/>
                      <w:szCs w:val="21"/>
                      <w:highlight w:val="none"/>
                      <w:lang w:val="en-US" w:eastAsia="zh-CN"/>
                      <w14:textFill>
                        <w14:solidFill>
                          <w14:schemeClr w14:val="tx1"/>
                        </w14:solidFill>
                      </w14:textFill>
                    </w:rPr>
                    <w:t>备注：“+”代表增加，“-”代表减少</w:t>
                  </w:r>
                </w:p>
                <w:p w14:paraId="3D57D592">
                  <w:pPr>
                    <w:keepNext w:val="0"/>
                    <w:keepLines w:val="0"/>
                    <w:pageBreakBefore w:val="0"/>
                    <w:widowControl w:val="0"/>
                    <w:kinsoku/>
                    <w:wordWrap/>
                    <w:overflowPunct/>
                    <w:topLinePunct w:val="0"/>
                    <w:autoSpaceDE/>
                    <w:autoSpaceDN/>
                    <w:bidi w:val="0"/>
                    <w:adjustRightInd w:val="0"/>
                    <w:snapToGrid w:val="0"/>
                    <w:spacing w:line="240" w:lineRule="auto"/>
                    <w:ind w:firstLine="630" w:firstLineChars="300"/>
                    <w:jc w:val="left"/>
                    <w:textAlignment w:val="auto"/>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①</w:t>
                  </w:r>
                  <w:r>
                    <w:rPr>
                      <w:rFonts w:hint="eastAsia"/>
                      <w:color w:val="000000" w:themeColor="text1"/>
                      <w:sz w:val="21"/>
                      <w:szCs w:val="21"/>
                      <w:highlight w:val="none"/>
                      <w:lang w:val="en-US" w:eastAsia="zh-CN"/>
                      <w14:textFill>
                        <w14:solidFill>
                          <w14:schemeClr w14:val="tx1"/>
                        </w14:solidFill>
                      </w14:textFill>
                    </w:rPr>
                    <w:t>固体废物：固体废物填产生量。</w:t>
                  </w:r>
                </w:p>
                <w:p w14:paraId="48FCE1AD">
                  <w:pPr>
                    <w:keepNext w:val="0"/>
                    <w:keepLines w:val="0"/>
                    <w:pageBreakBefore w:val="0"/>
                    <w:widowControl w:val="0"/>
                    <w:kinsoku/>
                    <w:wordWrap/>
                    <w:overflowPunct/>
                    <w:topLinePunct w:val="0"/>
                    <w:autoSpaceDE/>
                    <w:autoSpaceDN/>
                    <w:bidi w:val="0"/>
                    <w:adjustRightInd w:val="0"/>
                    <w:snapToGrid w:val="0"/>
                    <w:spacing w:line="240" w:lineRule="auto"/>
                    <w:ind w:firstLine="630" w:firstLineChars="300"/>
                    <w:jc w:val="left"/>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②原有项目产生的废水综合利用，无废水外排，改扩建完成后，项目废水全部综合利用，不外排。废水排放量为0。</w:t>
                  </w:r>
                </w:p>
              </w:tc>
            </w:tr>
          </w:tbl>
          <w:p w14:paraId="0E0A88A4">
            <w:pPr>
              <w:pStyle w:val="16"/>
              <w:ind w:left="0" w:leftChars="0" w:firstLine="0" w:firstLineChars="0"/>
              <w:rPr>
                <w:rFonts w:hint="default"/>
                <w:color w:val="000000" w:themeColor="text1"/>
                <w:lang w:val="en-US" w:eastAsia="zh-CN"/>
                <w14:textFill>
                  <w14:solidFill>
                    <w14:schemeClr w14:val="tx1"/>
                  </w14:solidFill>
                </w14:textFill>
              </w:rPr>
            </w:pPr>
          </w:p>
          <w:p w14:paraId="5D605B36">
            <w:pPr>
              <w:pStyle w:val="16"/>
              <w:ind w:left="0" w:leftChars="0" w:firstLine="0" w:firstLineChars="0"/>
              <w:rPr>
                <w:rFonts w:hint="default"/>
                <w:color w:val="000000" w:themeColor="text1"/>
                <w:lang w:val="en-US" w:eastAsia="zh-CN"/>
                <w14:textFill>
                  <w14:solidFill>
                    <w14:schemeClr w14:val="tx1"/>
                  </w14:solidFill>
                </w14:textFill>
              </w:rPr>
            </w:pPr>
          </w:p>
          <w:p w14:paraId="379BBE44">
            <w:pPr>
              <w:pStyle w:val="16"/>
              <w:ind w:left="0" w:leftChars="0" w:firstLine="0" w:firstLineChars="0"/>
              <w:rPr>
                <w:rFonts w:hint="default"/>
                <w:color w:val="000000" w:themeColor="text1"/>
                <w:lang w:val="en-US" w:eastAsia="zh-CN"/>
                <w14:textFill>
                  <w14:solidFill>
                    <w14:schemeClr w14:val="tx1"/>
                  </w14:solidFill>
                </w14:textFill>
              </w:rPr>
            </w:pPr>
          </w:p>
          <w:p w14:paraId="30542B00">
            <w:pPr>
              <w:pStyle w:val="16"/>
              <w:ind w:left="0" w:leftChars="0" w:firstLine="0" w:firstLineChars="0"/>
              <w:rPr>
                <w:rFonts w:hint="default"/>
                <w:color w:val="000000" w:themeColor="text1"/>
                <w:lang w:val="en-US" w:eastAsia="zh-CN"/>
                <w14:textFill>
                  <w14:solidFill>
                    <w14:schemeClr w14:val="tx1"/>
                  </w14:solidFill>
                </w14:textFill>
              </w:rPr>
            </w:pPr>
          </w:p>
          <w:p w14:paraId="4B4FABCD">
            <w:pPr>
              <w:pStyle w:val="16"/>
              <w:ind w:left="0" w:leftChars="0" w:firstLine="0" w:firstLineChars="0"/>
              <w:rPr>
                <w:rFonts w:hint="default"/>
                <w:color w:val="000000" w:themeColor="text1"/>
                <w:lang w:val="en-US" w:eastAsia="zh-CN"/>
                <w14:textFill>
                  <w14:solidFill>
                    <w14:schemeClr w14:val="tx1"/>
                  </w14:solidFill>
                </w14:textFill>
              </w:rPr>
            </w:pPr>
          </w:p>
          <w:p w14:paraId="16D83EBD">
            <w:pPr>
              <w:pStyle w:val="16"/>
              <w:ind w:left="0" w:leftChars="0" w:firstLine="0" w:firstLineChars="0"/>
              <w:rPr>
                <w:rFonts w:hint="default"/>
                <w:color w:val="000000" w:themeColor="text1"/>
                <w:lang w:val="en-US" w:eastAsia="zh-CN"/>
                <w14:textFill>
                  <w14:solidFill>
                    <w14:schemeClr w14:val="tx1"/>
                  </w14:solidFill>
                </w14:textFill>
              </w:rPr>
            </w:pPr>
          </w:p>
          <w:p w14:paraId="374E7A47">
            <w:pPr>
              <w:pStyle w:val="16"/>
              <w:ind w:left="0" w:leftChars="0" w:firstLine="0" w:firstLineChars="0"/>
              <w:rPr>
                <w:rFonts w:hint="default"/>
                <w:color w:val="000000" w:themeColor="text1"/>
                <w:lang w:val="en-US" w:eastAsia="zh-CN"/>
                <w14:textFill>
                  <w14:solidFill>
                    <w14:schemeClr w14:val="tx1"/>
                  </w14:solidFill>
                </w14:textFill>
              </w:rPr>
            </w:pPr>
          </w:p>
          <w:p w14:paraId="5414EE38">
            <w:pPr>
              <w:pStyle w:val="16"/>
              <w:ind w:left="0" w:leftChars="0" w:firstLine="0" w:firstLineChars="0"/>
              <w:rPr>
                <w:rFonts w:hint="default"/>
                <w:color w:val="000000" w:themeColor="text1"/>
                <w:lang w:val="en-US" w:eastAsia="zh-CN"/>
                <w14:textFill>
                  <w14:solidFill>
                    <w14:schemeClr w14:val="tx1"/>
                  </w14:solidFill>
                </w14:textFill>
              </w:rPr>
            </w:pPr>
          </w:p>
        </w:tc>
      </w:tr>
    </w:tbl>
    <w:p w14:paraId="5227E025">
      <w:pPr>
        <w:pStyle w:val="24"/>
        <w:jc w:val="center"/>
        <w:rPr>
          <w:rFonts w:ascii="黑体" w:hAnsi="黑体" w:eastAsia="黑体"/>
          <w:snapToGrid w:val="0"/>
          <w:color w:val="000000" w:themeColor="text1"/>
          <w:sz w:val="36"/>
          <w:szCs w:val="36"/>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18DC7076">
      <w:pPr>
        <w:pStyle w:val="2"/>
        <w:keepNext/>
        <w:keepLines w:val="0"/>
        <w:pageBreakBefore w:val="0"/>
        <w:widowControl w:val="0"/>
        <w:kinsoku/>
        <w:wordWrap/>
        <w:overflowPunct w:val="0"/>
        <w:topLinePunct w:val="0"/>
        <w:autoSpaceDE/>
        <w:autoSpaceDN/>
        <w:bidi w:val="0"/>
        <w:adjustRightInd w:val="0"/>
        <w:snapToGrid w:val="0"/>
        <w:spacing w:line="260" w:lineRule="auto"/>
        <w:ind w:left="0" w:firstLine="0"/>
        <w:jc w:val="center"/>
        <w:textAlignment w:val="auto"/>
        <w:rPr>
          <w:rFonts w:hint="eastAsia" w:ascii="Times New Roman" w:hAnsi="Times New Roman" w:eastAsia="宋体" w:cs="Times New Roman"/>
          <w:color w:val="000000" w:themeColor="text1"/>
          <w14:textFill>
            <w14:solidFill>
              <w14:schemeClr w14:val="tx1"/>
            </w14:solidFill>
          </w14:textFill>
        </w:rPr>
      </w:pPr>
      <w:bookmarkStart w:id="6" w:name="_Toc8951"/>
      <w:r>
        <w:rPr>
          <w:rFonts w:hint="eastAsia" w:ascii="Times New Roman" w:hAnsi="Times New Roman" w:eastAsia="宋体" w:cs="Times New Roman"/>
          <w:color w:val="000000" w:themeColor="text1"/>
          <w14:textFill>
            <w14:solidFill>
              <w14:schemeClr w14:val="tx1"/>
            </w14:solidFill>
          </w14:textFill>
        </w:rPr>
        <w:t>三、区域环境质量现状、环境保护目标及评价标准</w:t>
      </w:r>
      <w:bookmarkEnd w:id="6"/>
    </w:p>
    <w:tbl>
      <w:tblPr>
        <w:tblStyle w:val="28"/>
        <w:tblW w:w="92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910"/>
      </w:tblGrid>
      <w:tr w14:paraId="67DF82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800" w:type="dxa"/>
            <w:noWrap w:val="0"/>
            <w:vAlign w:val="center"/>
          </w:tcPr>
          <w:p w14:paraId="39ACD2C8">
            <w:pPr>
              <w:keepNext w:val="0"/>
              <w:keepLines w:val="0"/>
              <w:pageBreakBefore w:val="0"/>
              <w:kinsoku/>
              <w:wordWrap/>
              <w:overflowPunct/>
              <w:topLinePunct w:val="0"/>
              <w:bidi w:val="0"/>
              <w:adjustRightInd w:val="0"/>
              <w:snapToGrid w:val="0"/>
              <w:jc w:val="center"/>
              <w:textAlignment w:val="auto"/>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区域</w:t>
            </w:r>
          </w:p>
          <w:p w14:paraId="18B9E73F">
            <w:pPr>
              <w:keepNext w:val="0"/>
              <w:keepLines w:val="0"/>
              <w:pageBreakBefore w:val="0"/>
              <w:kinsoku/>
              <w:wordWrap/>
              <w:overflowPunct/>
              <w:topLinePunct w:val="0"/>
              <w:bidi w:val="0"/>
              <w:adjustRightInd w:val="0"/>
              <w:snapToGrid w:val="0"/>
              <w:jc w:val="center"/>
              <w:textAlignment w:val="auto"/>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环境</w:t>
            </w:r>
          </w:p>
          <w:p w14:paraId="48F12AE8">
            <w:pPr>
              <w:keepNext w:val="0"/>
              <w:keepLines w:val="0"/>
              <w:pageBreakBefore w:val="0"/>
              <w:kinsoku/>
              <w:wordWrap/>
              <w:overflowPunct/>
              <w:topLinePunct w:val="0"/>
              <w:bidi w:val="0"/>
              <w:adjustRightInd w:val="0"/>
              <w:snapToGrid w:val="0"/>
              <w:jc w:val="center"/>
              <w:textAlignment w:val="auto"/>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质量</w:t>
            </w:r>
          </w:p>
          <w:p w14:paraId="5B5FC4CF">
            <w:pPr>
              <w:keepNext w:val="0"/>
              <w:keepLines w:val="0"/>
              <w:pageBreakBefore w:val="0"/>
              <w:kinsoku/>
              <w:wordWrap/>
              <w:overflowPunct/>
              <w:topLinePunct w:val="0"/>
              <w:bidi w:val="0"/>
              <w:adjustRightInd w:val="0"/>
              <w:snapToGrid w:val="0"/>
              <w:jc w:val="center"/>
              <w:textAlignment w:val="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现状</w:t>
            </w:r>
          </w:p>
        </w:tc>
        <w:tc>
          <w:tcPr>
            <w:tcW w:w="8190" w:type="dxa"/>
            <w:noWrap w:val="0"/>
            <w:vAlign w:val="center"/>
          </w:tcPr>
          <w:p w14:paraId="19307B3D">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outlineLvl w:val="1"/>
              <w:rPr>
                <w:rFonts w:hint="eastAsia" w:cs="宋体"/>
                <w:b/>
                <w:bCs/>
                <w:color w:val="000000" w:themeColor="text1"/>
                <w:kern w:val="0"/>
                <w:sz w:val="24"/>
                <w:szCs w:val="24"/>
                <w:lang w:val="en-US" w:eastAsia="zh-CN"/>
                <w14:textFill>
                  <w14:solidFill>
                    <w14:schemeClr w14:val="tx1"/>
                  </w14:solidFill>
                </w14:textFill>
              </w:rPr>
            </w:pPr>
            <w:r>
              <w:rPr>
                <w:rFonts w:hint="eastAsia" w:cs="宋体"/>
                <w:b/>
                <w:bCs/>
                <w:color w:val="000000" w:themeColor="text1"/>
                <w:kern w:val="0"/>
                <w:sz w:val="24"/>
                <w:szCs w:val="24"/>
                <w:lang w:val="en-US" w:eastAsia="zh-CN"/>
                <w14:textFill>
                  <w14:solidFill>
                    <w14:schemeClr w14:val="tx1"/>
                  </w14:solidFill>
                </w14:textFill>
              </w:rPr>
              <w:t>1、环境空气质量状况</w:t>
            </w:r>
          </w:p>
          <w:p w14:paraId="21276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eastAsia="宋体" w:cs="宋体"/>
                <w:color w:val="000000" w:themeColor="text1"/>
                <w:kern w:val="0"/>
                <w:sz w:val="24"/>
                <w:szCs w:val="24"/>
                <w14:textFill>
                  <w14:solidFill>
                    <w14:schemeClr w14:val="tx1"/>
                  </w14:solidFill>
                </w14:textFill>
              </w:rPr>
            </w:pPr>
            <w:r>
              <w:rPr>
                <w:rFonts w:hint="eastAsia" w:eastAsia="宋体" w:cs="宋体"/>
                <w:color w:val="000000" w:themeColor="text1"/>
                <w:kern w:val="0"/>
                <w:sz w:val="24"/>
                <w:szCs w:val="24"/>
                <w14:textFill>
                  <w14:solidFill>
                    <w14:schemeClr w14:val="tx1"/>
                  </w14:solidFill>
                </w14:textFill>
              </w:rPr>
              <w:t>项目所在地为</w:t>
            </w:r>
            <w:r>
              <w:rPr>
                <w:rFonts w:hint="eastAsia" w:eastAsia="宋体" w:cs="宋体"/>
                <w:color w:val="000000" w:themeColor="text1"/>
                <w:kern w:val="0"/>
                <w:sz w:val="24"/>
                <w:szCs w:val="24"/>
                <w:lang w:val="en-US" w:eastAsia="zh-CN"/>
                <w14:textFill>
                  <w14:solidFill>
                    <w14:schemeClr w14:val="tx1"/>
                  </w14:solidFill>
                </w14:textFill>
              </w:rPr>
              <w:t>云南省罗平县阿岗镇岗德村委会小岗德村</w:t>
            </w:r>
            <w:r>
              <w:rPr>
                <w:rFonts w:hint="eastAsia" w:eastAsia="宋体" w:cs="宋体"/>
                <w:color w:val="000000" w:themeColor="text1"/>
                <w:kern w:val="0"/>
                <w:sz w:val="24"/>
                <w:szCs w:val="24"/>
                <w14:textFill>
                  <w14:solidFill>
                    <w14:schemeClr w14:val="tx1"/>
                  </w14:solidFill>
                </w14:textFill>
              </w:rPr>
              <w:t>，</w:t>
            </w:r>
            <w:r>
              <w:rPr>
                <w:color w:val="000000" w:themeColor="text1"/>
                <w:sz w:val="24"/>
                <w14:textFill>
                  <w14:solidFill>
                    <w14:schemeClr w14:val="tx1"/>
                  </w14:solidFill>
                </w14:textFill>
              </w:rPr>
              <w:t>评价区域环境空气质量为二类区，执行《环境空气质量标准》（GB3095-</w:t>
            </w:r>
            <w:r>
              <w:rPr>
                <w:rFonts w:hint="eastAsia"/>
                <w:color w:val="000000" w:themeColor="text1"/>
                <w:sz w:val="24"/>
                <w:lang w:val="en-US" w:eastAsia="zh-CN"/>
                <w14:textFill>
                  <w14:solidFill>
                    <w14:schemeClr w14:val="tx1"/>
                  </w14:solidFill>
                </w14:textFill>
              </w:rPr>
              <w:t>2026</w:t>
            </w:r>
            <w:r>
              <w:rPr>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过渡阶段</w:t>
            </w:r>
            <w:r>
              <w:rPr>
                <w:color w:val="000000" w:themeColor="text1"/>
                <w:sz w:val="24"/>
                <w14:textFill>
                  <w14:solidFill>
                    <w14:schemeClr w14:val="tx1"/>
                  </w14:solidFill>
                </w14:textFill>
              </w:rPr>
              <w:t>二级标准。</w:t>
            </w:r>
          </w:p>
          <w:p w14:paraId="57A90902">
            <w:pPr>
              <w:keepNext w:val="0"/>
              <w:keepLines w:val="0"/>
              <w:pageBreakBefore w:val="0"/>
              <w:kinsoku/>
              <w:wordWrap/>
              <w:overflowPunct/>
              <w:topLinePunct w:val="0"/>
              <w:bidi w:val="0"/>
              <w:adjustRightInd w:val="0"/>
              <w:snapToGrid w:val="0"/>
              <w:spacing w:line="360" w:lineRule="auto"/>
              <w:ind w:firstLine="482" w:firstLineChars="200"/>
              <w:textAlignment w:val="auto"/>
              <w:rPr>
                <w:rFonts w:hint="eastAsia"/>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（1）达标区判断</w:t>
            </w:r>
          </w:p>
          <w:p w14:paraId="73C93253">
            <w:pPr>
              <w:keepNext w:val="0"/>
              <w:keepLines w:val="0"/>
              <w:pageBreakBefore w:val="0"/>
              <w:widowControl/>
              <w:kinsoku/>
              <w:wordWrap/>
              <w:overflowPunct/>
              <w:topLinePunct w:val="0"/>
              <w:bidi w:val="0"/>
              <w:adjustRightInd w:val="0"/>
              <w:snapToGrid w:val="0"/>
              <w:spacing w:line="360" w:lineRule="auto"/>
              <w:ind w:firstLine="480" w:firstLineChars="200"/>
              <w:textAlignment w:val="auto"/>
              <w:rPr>
                <w:rFonts w:hint="eastAsia"/>
                <w:color w:val="000000" w:themeColor="text1"/>
                <w:sz w:val="24"/>
                <w:lang w:eastAsia="zh-CN"/>
                <w14:textFill>
                  <w14:solidFill>
                    <w14:schemeClr w14:val="tx1"/>
                  </w14:solidFill>
                </w14:textFill>
              </w:rPr>
            </w:pPr>
            <w:r>
              <w:rPr>
                <w:rFonts w:hint="eastAsia"/>
                <w:color w:val="000000" w:themeColor="text1"/>
                <w:sz w:val="24"/>
                <w14:textFill>
                  <w14:solidFill>
                    <w14:schemeClr w14:val="tx1"/>
                  </w14:solidFill>
                </w14:textFill>
              </w:rPr>
              <w:t>根据《建设项目环境影响报告表</w:t>
            </w:r>
            <w:r>
              <w:rPr>
                <w:rFonts w:hint="eastAsia"/>
                <w:color w:val="000000" w:themeColor="text1"/>
                <w:sz w:val="24"/>
                <w:lang w:val="en-US" w:eastAsia="zh-CN"/>
                <w14:textFill>
                  <w14:solidFill>
                    <w14:schemeClr w14:val="tx1"/>
                  </w14:solidFill>
                </w14:textFill>
              </w:rPr>
              <w:t>编制</w:t>
            </w:r>
            <w:r>
              <w:rPr>
                <w:rFonts w:hint="eastAsia"/>
                <w:color w:val="000000" w:themeColor="text1"/>
                <w:sz w:val="24"/>
                <w14:textFill>
                  <w14:solidFill>
                    <w14:schemeClr w14:val="tx1"/>
                  </w14:solidFill>
                </w14:textFill>
              </w:rPr>
              <w:t>技术指南（污染影响类）</w:t>
            </w:r>
            <w:r>
              <w:rPr>
                <w:rFonts w:hint="eastAsia"/>
                <w:color w:val="000000" w:themeColor="text1"/>
                <w:sz w:val="24"/>
                <w:lang w:eastAsia="zh-CN"/>
                <w14:textFill>
                  <w14:solidFill>
                    <w14:schemeClr w14:val="tx1"/>
                  </w14:solidFill>
                </w14:textFill>
              </w:rPr>
              <w:t>（试行）》</w:t>
            </w:r>
            <w:r>
              <w:rPr>
                <w:rFonts w:hint="eastAsia"/>
                <w:color w:val="000000" w:themeColor="text1"/>
                <w:sz w:val="24"/>
                <w14:textFill>
                  <w14:solidFill>
                    <w14:schemeClr w14:val="tx1"/>
                  </w14:solidFill>
                </w14:textFill>
              </w:rPr>
              <w:t>编制要求</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常规污染物引用与建设项目距离近的有效数据包括近 3 年的规划环境影响评价的监测数据，国家、地方环境空气质量监测网数据或生态环境主管部门公开发布的质量数据等。</w:t>
            </w:r>
            <w:r>
              <w:rPr>
                <w:rFonts w:hint="eastAsia"/>
                <w:color w:val="000000" w:themeColor="text1"/>
                <w:sz w:val="24"/>
                <w:lang w:eastAsia="zh-CN"/>
                <w14:textFill>
                  <w14:solidFill>
                    <w14:schemeClr w14:val="tx1"/>
                  </w14:solidFill>
                </w14:textFill>
              </w:rPr>
              <w:t>”</w:t>
            </w:r>
          </w:p>
          <w:p w14:paraId="7EC25D02">
            <w:pPr>
              <w:keepNext w:val="0"/>
              <w:keepLines w:val="0"/>
              <w:pageBreakBefore w:val="0"/>
              <w:widowControl/>
              <w:kinsoku/>
              <w:wordWrap/>
              <w:overflowPunct/>
              <w:topLinePunct w:val="0"/>
              <w:bidi w:val="0"/>
              <w:adjustRightInd w:val="0"/>
              <w:snapToGrid w:val="0"/>
              <w:spacing w:line="360" w:lineRule="auto"/>
              <w:ind w:firstLine="480" w:firstLineChars="200"/>
              <w:textAlignment w:val="auto"/>
              <w:rPr>
                <w:rFonts w:hint="eastAsia" w:ascii="Times New Roman" w:hAnsi="Times New Roman" w:eastAsia="宋体" w:cs="Times New Roman"/>
                <w:color w:val="000000" w:themeColor="text1"/>
                <w:sz w:val="24"/>
                <w:lang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本次引用</w:t>
            </w:r>
            <w:r>
              <w:rPr>
                <w:rFonts w:hint="eastAsia" w:ascii="Times New Roman" w:hAnsi="Times New Roman" w:eastAsia="宋体" w:cs="Times New Roman"/>
                <w:color w:val="000000" w:themeColor="text1"/>
                <w:sz w:val="24"/>
                <w14:textFill>
                  <w14:solidFill>
                    <w14:schemeClr w14:val="tx1"/>
                  </w14:solidFill>
                </w14:textFill>
              </w:rPr>
              <w:t>云南省生态环境厅驻曲靖市生态环境监测站公布的《曲靖市环境质量年报（</w:t>
            </w:r>
            <w:r>
              <w:rPr>
                <w:rFonts w:hint="eastAsia" w:cs="Times New Roman"/>
                <w:color w:val="000000" w:themeColor="text1"/>
                <w:sz w:val="24"/>
                <w:lang w:eastAsia="zh-CN"/>
                <w14:textFill>
                  <w14:solidFill>
                    <w14:schemeClr w14:val="tx1"/>
                  </w14:solidFill>
                </w14:textFill>
              </w:rPr>
              <w:t>二〇二五</w:t>
            </w:r>
            <w:r>
              <w:rPr>
                <w:rFonts w:hint="eastAsia" w:ascii="Times New Roman" w:hAnsi="Times New Roman" w:eastAsia="宋体" w:cs="Times New Roman"/>
                <w:color w:val="000000" w:themeColor="text1"/>
                <w:sz w:val="24"/>
                <w14:textFill>
                  <w14:solidFill>
                    <w14:schemeClr w14:val="tx1"/>
                  </w14:solidFill>
                </w14:textFill>
              </w:rPr>
              <w:t>年）》，</w:t>
            </w:r>
            <w:r>
              <w:rPr>
                <w:rFonts w:hint="eastAsia" w:ascii="Times New Roman" w:hAnsi="Times New Roman" w:eastAsia="宋体" w:cs="Times New Roman"/>
                <w:color w:val="000000" w:themeColor="text1"/>
                <w:sz w:val="24"/>
                <w:lang w:val="en-US" w:eastAsia="zh-CN"/>
                <w14:textFill>
                  <w14:solidFill>
                    <w14:schemeClr w14:val="tx1"/>
                  </w14:solidFill>
                </w14:textFill>
              </w:rPr>
              <w:t>根据</w:t>
            </w:r>
            <w:r>
              <w:rPr>
                <w:rFonts w:hint="eastAsia" w:ascii="Times New Roman" w:hAnsi="Times New Roman" w:eastAsia="宋体" w:cs="Times New Roman"/>
                <w:color w:val="000000" w:themeColor="text1"/>
                <w:sz w:val="24"/>
                <w14:textFill>
                  <w14:solidFill>
                    <w14:schemeClr w14:val="tx1"/>
                  </w14:solidFill>
                </w14:textFill>
              </w:rPr>
              <w:t>《曲靖市环境质量年报（</w:t>
            </w:r>
            <w:r>
              <w:rPr>
                <w:rFonts w:hint="eastAsia" w:cs="Times New Roman"/>
                <w:color w:val="000000" w:themeColor="text1"/>
                <w:sz w:val="24"/>
                <w:lang w:eastAsia="zh-CN"/>
                <w14:textFill>
                  <w14:solidFill>
                    <w14:schemeClr w14:val="tx1"/>
                  </w14:solidFill>
                </w14:textFill>
              </w:rPr>
              <w:t>二〇二五</w:t>
            </w:r>
            <w:r>
              <w:rPr>
                <w:rFonts w:hint="eastAsia" w:ascii="Times New Roman" w:hAnsi="Times New Roman" w:eastAsia="宋体" w:cs="Times New Roman"/>
                <w:color w:val="000000" w:themeColor="text1"/>
                <w:sz w:val="24"/>
                <w14:textFill>
                  <w14:solidFill>
                    <w14:schemeClr w14:val="tx1"/>
                  </w14:solidFill>
                </w14:textFill>
              </w:rPr>
              <w:t>年）》</w:t>
            </w:r>
            <w:r>
              <w:rPr>
                <w:rFonts w:hint="eastAsia" w:ascii="Times New Roman" w:hAnsi="Times New Roman" w:eastAsia="宋体" w:cs="Times New Roman"/>
                <w:color w:val="000000" w:themeColor="text1"/>
                <w:sz w:val="24"/>
                <w:lang w:val="en-US" w:eastAsia="zh-CN"/>
                <w14:textFill>
                  <w14:solidFill>
                    <w14:schemeClr w14:val="tx1"/>
                  </w14:solidFill>
                </w14:textFill>
              </w:rPr>
              <w:t>曲靖市中心城区环境空气六项污染物浓度如下表所示</w:t>
            </w:r>
            <w:r>
              <w:rPr>
                <w:rFonts w:hint="eastAsia" w:cs="Times New Roman"/>
                <w:color w:val="000000" w:themeColor="text1"/>
                <w:sz w:val="24"/>
                <w:lang w:val="en-US" w:eastAsia="zh-CN"/>
                <w14:textFill>
                  <w14:solidFill>
                    <w14:schemeClr w14:val="tx1"/>
                  </w14:solidFill>
                </w14:textFill>
              </w:rPr>
              <w:t>，经对照《环境空气质量标准》（GB3095-2026）中过渡阶段二级标准，曲靖市中心城区环境空气主要污染物浓度达标情况如下：</w:t>
            </w:r>
          </w:p>
          <w:p w14:paraId="14A0C1D2">
            <w:pPr>
              <w:pStyle w:val="7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76" w:lineRule="auto"/>
              <w:ind w:left="0" w:right="0"/>
              <w:textAlignment w:val="auto"/>
              <w:rPr>
                <w:rFonts w:hint="default" w:ascii="Times New Roman" w:hAnsi="Times New Roman" w:eastAsia="宋体" w:cs="Times New Roman"/>
                <w:color w:val="000000" w:themeColor="text1"/>
                <w:szCs w:val="20"/>
                <w:lang w:val="en-US" w:eastAsia="zh-CN"/>
                <w14:textFill>
                  <w14:solidFill>
                    <w14:schemeClr w14:val="tx1"/>
                  </w14:solidFill>
                </w14:textFill>
              </w:rPr>
            </w:pPr>
            <w:r>
              <w:rPr>
                <w:rFonts w:hint="default" w:ascii="Times New Roman" w:hAnsi="Times New Roman" w:eastAsia="宋体" w:cs="Times New Roman"/>
                <w:color w:val="000000" w:themeColor="text1"/>
                <w:szCs w:val="20"/>
                <w:lang w:val="en-US" w:eastAsia="zh-CN"/>
                <w14:textFill>
                  <w14:solidFill>
                    <w14:schemeClr w14:val="tx1"/>
                  </w14:solidFill>
                </w14:textFill>
              </w:rPr>
              <w:t>表</w:t>
            </w:r>
            <w:r>
              <w:rPr>
                <w:rFonts w:hint="eastAsia" w:ascii="Times New Roman" w:hAnsi="Times New Roman" w:eastAsia="宋体" w:cs="Times New Roman"/>
                <w:color w:val="000000" w:themeColor="text1"/>
                <w:szCs w:val="20"/>
                <w:lang w:val="en-US" w:eastAsia="zh-CN"/>
                <w14:textFill>
                  <w14:solidFill>
                    <w14:schemeClr w14:val="tx1"/>
                  </w14:solidFill>
                </w14:textFill>
              </w:rPr>
              <w:t>3-1  曲靖市中心城区环境空气主要污染物浓度达标情况</w:t>
            </w:r>
          </w:p>
          <w:tbl>
            <w:tblPr>
              <w:tblStyle w:val="28"/>
              <w:tblW w:w="85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2465"/>
              <w:gridCol w:w="1180"/>
              <w:gridCol w:w="1273"/>
              <w:gridCol w:w="980"/>
              <w:gridCol w:w="781"/>
              <w:gridCol w:w="774"/>
            </w:tblGrid>
            <w:tr w14:paraId="01F02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7" w:type="pct"/>
                  <w:tcBorders>
                    <w:top w:val="single" w:color="auto" w:sz="4" w:space="0"/>
                    <w:left w:val="single" w:color="auto" w:sz="4" w:space="0"/>
                    <w:bottom w:val="single" w:color="auto" w:sz="4" w:space="0"/>
                    <w:right w:val="single" w:color="auto" w:sz="4" w:space="0"/>
                  </w:tcBorders>
                  <w:noWrap w:val="0"/>
                  <w:vAlign w:val="center"/>
                </w:tcPr>
                <w:p w14:paraId="41EB70AC">
                  <w:pPr>
                    <w:pStyle w:val="71"/>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污染物</w:t>
                  </w:r>
                </w:p>
              </w:tc>
              <w:tc>
                <w:tcPr>
                  <w:tcW w:w="1439" w:type="pct"/>
                  <w:tcBorders>
                    <w:top w:val="single" w:color="auto" w:sz="4" w:space="0"/>
                    <w:left w:val="single" w:color="auto" w:sz="4" w:space="0"/>
                    <w:bottom w:val="single" w:color="auto" w:sz="4" w:space="0"/>
                    <w:right w:val="single" w:color="auto" w:sz="4" w:space="0"/>
                  </w:tcBorders>
                  <w:noWrap w:val="0"/>
                  <w:vAlign w:val="center"/>
                </w:tcPr>
                <w:p w14:paraId="08C9890F">
                  <w:pPr>
                    <w:pStyle w:val="71"/>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年评价指标</w:t>
                  </w:r>
                </w:p>
              </w:tc>
              <w:tc>
                <w:tcPr>
                  <w:tcW w:w="689" w:type="pct"/>
                  <w:tcBorders>
                    <w:top w:val="single" w:color="auto" w:sz="4" w:space="0"/>
                    <w:left w:val="single" w:color="auto" w:sz="4" w:space="0"/>
                    <w:bottom w:val="single" w:color="auto" w:sz="4" w:space="0"/>
                    <w:right w:val="single" w:color="auto" w:sz="4" w:space="0"/>
                  </w:tcBorders>
                  <w:noWrap w:val="0"/>
                  <w:vAlign w:val="center"/>
                </w:tcPr>
                <w:p w14:paraId="590463C7">
                  <w:pPr>
                    <w:pStyle w:val="71"/>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浓度值</w:t>
                  </w:r>
                </w:p>
              </w:tc>
              <w:tc>
                <w:tcPr>
                  <w:tcW w:w="743" w:type="pct"/>
                  <w:tcBorders>
                    <w:top w:val="single" w:color="auto" w:sz="4" w:space="0"/>
                    <w:left w:val="single" w:color="auto" w:sz="4" w:space="0"/>
                    <w:bottom w:val="single" w:color="auto" w:sz="4" w:space="0"/>
                    <w:right w:val="single" w:color="auto" w:sz="4" w:space="0"/>
                  </w:tcBorders>
                  <w:noWrap w:val="0"/>
                  <w:vAlign w:val="center"/>
                </w:tcPr>
                <w:p w14:paraId="265D4066">
                  <w:pPr>
                    <w:pStyle w:val="71"/>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过渡阶段浓度限值</w:t>
                  </w:r>
                </w:p>
              </w:tc>
              <w:tc>
                <w:tcPr>
                  <w:tcW w:w="572" w:type="pct"/>
                  <w:tcBorders>
                    <w:top w:val="single" w:color="auto" w:sz="4" w:space="0"/>
                    <w:left w:val="single" w:color="auto" w:sz="4" w:space="0"/>
                    <w:bottom w:val="single" w:color="auto" w:sz="4" w:space="0"/>
                    <w:right w:val="single" w:color="auto" w:sz="4" w:space="0"/>
                  </w:tcBorders>
                  <w:noWrap w:val="0"/>
                  <w:vAlign w:val="center"/>
                </w:tcPr>
                <w:p w14:paraId="1221E93A">
                  <w:pPr>
                    <w:pStyle w:val="71"/>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占标率（%）</w:t>
                  </w:r>
                </w:p>
              </w:tc>
              <w:tc>
                <w:tcPr>
                  <w:tcW w:w="456" w:type="pct"/>
                  <w:tcBorders>
                    <w:top w:val="single" w:color="auto" w:sz="4" w:space="0"/>
                    <w:left w:val="single" w:color="auto" w:sz="4" w:space="0"/>
                    <w:bottom w:val="single" w:color="auto" w:sz="4" w:space="0"/>
                    <w:right w:val="single" w:color="auto" w:sz="4" w:space="0"/>
                  </w:tcBorders>
                  <w:noWrap w:val="0"/>
                  <w:vAlign w:val="center"/>
                </w:tcPr>
                <w:p w14:paraId="0065F0B5">
                  <w:pPr>
                    <w:pStyle w:val="71"/>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right="0"/>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超标率</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22AEB407">
                  <w:pPr>
                    <w:pStyle w:val="71"/>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达标情况</w:t>
                  </w:r>
                </w:p>
              </w:tc>
            </w:tr>
            <w:tr w14:paraId="44E5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47" w:type="pct"/>
                  <w:tcBorders>
                    <w:top w:val="single" w:color="auto" w:sz="4" w:space="0"/>
                    <w:left w:val="single" w:color="auto" w:sz="4" w:space="0"/>
                    <w:bottom w:val="single" w:color="auto" w:sz="4" w:space="0"/>
                    <w:right w:val="single" w:color="auto" w:sz="4" w:space="0"/>
                  </w:tcBorders>
                  <w:noWrap w:val="0"/>
                  <w:vAlign w:val="center"/>
                </w:tcPr>
                <w:p w14:paraId="49E77C3F">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SO</w:t>
                  </w:r>
                  <w:r>
                    <w:rPr>
                      <w:rFonts w:hint="default" w:ascii="Times New Roman" w:hAnsi="Times New Roman" w:eastAsia="宋体" w:cs="Times New Roman"/>
                      <w:color w:val="000000" w:themeColor="text1"/>
                      <w:sz w:val="21"/>
                      <w:szCs w:val="21"/>
                      <w:vertAlign w:val="subscript"/>
                      <w14:textFill>
                        <w14:solidFill>
                          <w14:schemeClr w14:val="tx1"/>
                        </w14:solidFill>
                      </w14:textFill>
                    </w:rPr>
                    <w:t>2</w:t>
                  </w:r>
                </w:p>
              </w:tc>
              <w:tc>
                <w:tcPr>
                  <w:tcW w:w="1439" w:type="pct"/>
                  <w:tcBorders>
                    <w:top w:val="single" w:color="auto" w:sz="4" w:space="0"/>
                    <w:left w:val="single" w:color="auto" w:sz="4" w:space="0"/>
                    <w:bottom w:val="single" w:color="auto" w:sz="4" w:space="0"/>
                    <w:right w:val="single" w:color="auto" w:sz="4" w:space="0"/>
                  </w:tcBorders>
                  <w:noWrap w:val="0"/>
                  <w:vAlign w:val="center"/>
                </w:tcPr>
                <w:p w14:paraId="463A3C1C">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年平均质量浓度</w:t>
                  </w:r>
                </w:p>
              </w:tc>
              <w:tc>
                <w:tcPr>
                  <w:tcW w:w="689" w:type="pct"/>
                  <w:tcBorders>
                    <w:top w:val="single" w:color="auto" w:sz="4" w:space="0"/>
                    <w:left w:val="single" w:color="auto" w:sz="4" w:space="0"/>
                    <w:bottom w:val="single" w:color="auto" w:sz="4" w:space="0"/>
                    <w:right w:val="single" w:color="auto" w:sz="4" w:space="0"/>
                  </w:tcBorders>
                  <w:noWrap w:val="0"/>
                  <w:vAlign w:val="center"/>
                </w:tcPr>
                <w:p w14:paraId="0A3AE379">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6</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μg/m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743" w:type="pct"/>
                  <w:tcBorders>
                    <w:top w:val="single" w:color="auto" w:sz="4" w:space="0"/>
                    <w:left w:val="single" w:color="auto" w:sz="4" w:space="0"/>
                    <w:bottom w:val="single" w:color="auto" w:sz="4" w:space="0"/>
                    <w:right w:val="single" w:color="auto" w:sz="4" w:space="0"/>
                  </w:tcBorders>
                  <w:noWrap w:val="0"/>
                  <w:vAlign w:val="center"/>
                </w:tcPr>
                <w:p w14:paraId="30C68D59">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60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μg/m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980" w:type="dxa"/>
                  <w:tcBorders>
                    <w:top w:val="single" w:color="auto" w:sz="4" w:space="0"/>
                    <w:left w:val="single" w:color="auto" w:sz="4" w:space="0"/>
                    <w:bottom w:val="single" w:color="auto" w:sz="4" w:space="0"/>
                    <w:right w:val="single" w:color="auto" w:sz="4" w:space="0"/>
                  </w:tcBorders>
                  <w:noWrap w:val="0"/>
                  <w:vAlign w:val="center"/>
                </w:tcPr>
                <w:p w14:paraId="2AC6BDC1">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10.0</w:t>
                  </w:r>
                </w:p>
              </w:tc>
              <w:tc>
                <w:tcPr>
                  <w:tcW w:w="456" w:type="pct"/>
                  <w:tcBorders>
                    <w:top w:val="single" w:color="auto" w:sz="4" w:space="0"/>
                    <w:left w:val="single" w:color="auto" w:sz="4" w:space="0"/>
                    <w:bottom w:val="single" w:color="auto" w:sz="4" w:space="0"/>
                    <w:right w:val="single" w:color="auto" w:sz="4" w:space="0"/>
                  </w:tcBorders>
                  <w:noWrap w:val="0"/>
                  <w:vAlign w:val="center"/>
                </w:tcPr>
                <w:p w14:paraId="364A7953">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416EC310">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r w14:paraId="236F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7" w:type="pct"/>
                  <w:tcBorders>
                    <w:top w:val="single" w:color="auto" w:sz="4" w:space="0"/>
                    <w:left w:val="single" w:color="auto" w:sz="4" w:space="0"/>
                    <w:bottom w:val="single" w:color="auto" w:sz="4" w:space="0"/>
                    <w:right w:val="single" w:color="auto" w:sz="4" w:space="0"/>
                  </w:tcBorders>
                  <w:noWrap w:val="0"/>
                  <w:vAlign w:val="center"/>
                </w:tcPr>
                <w:p w14:paraId="5DB1BD72">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NO</w:t>
                  </w:r>
                  <w:r>
                    <w:rPr>
                      <w:rFonts w:hint="default" w:ascii="Times New Roman" w:hAnsi="Times New Roman" w:eastAsia="宋体" w:cs="Times New Roman"/>
                      <w:color w:val="000000" w:themeColor="text1"/>
                      <w:sz w:val="21"/>
                      <w:szCs w:val="21"/>
                      <w:vertAlign w:val="subscript"/>
                      <w14:textFill>
                        <w14:solidFill>
                          <w14:schemeClr w14:val="tx1"/>
                        </w14:solidFill>
                      </w14:textFill>
                    </w:rPr>
                    <w:t>2</w:t>
                  </w:r>
                </w:p>
              </w:tc>
              <w:tc>
                <w:tcPr>
                  <w:tcW w:w="1439" w:type="pct"/>
                  <w:tcBorders>
                    <w:top w:val="single" w:color="auto" w:sz="4" w:space="0"/>
                    <w:left w:val="single" w:color="auto" w:sz="4" w:space="0"/>
                    <w:bottom w:val="single" w:color="auto" w:sz="4" w:space="0"/>
                    <w:right w:val="single" w:color="auto" w:sz="4" w:space="0"/>
                  </w:tcBorders>
                  <w:noWrap w:val="0"/>
                  <w:vAlign w:val="center"/>
                </w:tcPr>
                <w:p w14:paraId="09D82C94">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年平均质量浓度</w:t>
                  </w:r>
                </w:p>
              </w:tc>
              <w:tc>
                <w:tcPr>
                  <w:tcW w:w="689" w:type="pct"/>
                  <w:tcBorders>
                    <w:top w:val="single" w:color="auto" w:sz="4" w:space="0"/>
                    <w:left w:val="single" w:color="auto" w:sz="4" w:space="0"/>
                    <w:bottom w:val="single" w:color="auto" w:sz="4" w:space="0"/>
                    <w:right w:val="single" w:color="auto" w:sz="4" w:space="0"/>
                  </w:tcBorders>
                  <w:noWrap w:val="0"/>
                  <w:vAlign w:val="center"/>
                </w:tcPr>
                <w:p w14:paraId="46BC0413">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μg/m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743" w:type="pct"/>
                  <w:tcBorders>
                    <w:top w:val="single" w:color="auto" w:sz="4" w:space="0"/>
                    <w:left w:val="single" w:color="auto" w:sz="4" w:space="0"/>
                    <w:bottom w:val="single" w:color="auto" w:sz="4" w:space="0"/>
                    <w:right w:val="single" w:color="auto" w:sz="4" w:space="0"/>
                  </w:tcBorders>
                  <w:noWrap w:val="0"/>
                  <w:vAlign w:val="center"/>
                </w:tcPr>
                <w:p w14:paraId="69C066D8">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μg/m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980" w:type="dxa"/>
                  <w:tcBorders>
                    <w:top w:val="single" w:color="auto" w:sz="4" w:space="0"/>
                    <w:left w:val="single" w:color="auto" w:sz="4" w:space="0"/>
                    <w:bottom w:val="single" w:color="auto" w:sz="4" w:space="0"/>
                    <w:right w:val="single" w:color="auto" w:sz="4" w:space="0"/>
                  </w:tcBorders>
                  <w:noWrap w:val="0"/>
                  <w:vAlign w:val="center"/>
                </w:tcPr>
                <w:p w14:paraId="257DFEA5">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32.5</w:t>
                  </w:r>
                </w:p>
              </w:tc>
              <w:tc>
                <w:tcPr>
                  <w:tcW w:w="456" w:type="pct"/>
                  <w:tcBorders>
                    <w:top w:val="single" w:color="auto" w:sz="4" w:space="0"/>
                    <w:left w:val="single" w:color="auto" w:sz="4" w:space="0"/>
                    <w:bottom w:val="single" w:color="auto" w:sz="4" w:space="0"/>
                    <w:right w:val="single" w:color="auto" w:sz="4" w:space="0"/>
                  </w:tcBorders>
                  <w:noWrap w:val="0"/>
                  <w:vAlign w:val="center"/>
                </w:tcPr>
                <w:p w14:paraId="7C13D9C4">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003AEC30">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r w14:paraId="57DF1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7" w:type="pct"/>
                  <w:tcBorders>
                    <w:top w:val="single" w:color="auto" w:sz="4" w:space="0"/>
                    <w:left w:val="single" w:color="auto" w:sz="4" w:space="0"/>
                    <w:bottom w:val="single" w:color="auto" w:sz="4" w:space="0"/>
                    <w:right w:val="single" w:color="auto" w:sz="4" w:space="0"/>
                  </w:tcBorders>
                  <w:noWrap w:val="0"/>
                  <w:vAlign w:val="center"/>
                </w:tcPr>
                <w:p w14:paraId="55F06C4D">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PM</w:t>
                  </w:r>
                  <w:r>
                    <w:rPr>
                      <w:rFonts w:hint="default" w:ascii="Times New Roman" w:hAnsi="Times New Roman" w:eastAsia="宋体" w:cs="Times New Roman"/>
                      <w:color w:val="000000" w:themeColor="text1"/>
                      <w:sz w:val="21"/>
                      <w:szCs w:val="21"/>
                      <w:vertAlign w:val="subscript"/>
                      <w14:textFill>
                        <w14:solidFill>
                          <w14:schemeClr w14:val="tx1"/>
                        </w14:solidFill>
                      </w14:textFill>
                    </w:rPr>
                    <w:t>10</w:t>
                  </w:r>
                </w:p>
              </w:tc>
              <w:tc>
                <w:tcPr>
                  <w:tcW w:w="1439" w:type="pct"/>
                  <w:tcBorders>
                    <w:top w:val="single" w:color="auto" w:sz="4" w:space="0"/>
                    <w:left w:val="single" w:color="auto" w:sz="4" w:space="0"/>
                    <w:bottom w:val="single" w:color="auto" w:sz="4" w:space="0"/>
                    <w:right w:val="single" w:color="auto" w:sz="4" w:space="0"/>
                  </w:tcBorders>
                  <w:noWrap w:val="0"/>
                  <w:vAlign w:val="center"/>
                </w:tcPr>
                <w:p w14:paraId="47093C4D">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年平均质量浓度</w:t>
                  </w:r>
                </w:p>
              </w:tc>
              <w:tc>
                <w:tcPr>
                  <w:tcW w:w="689" w:type="pct"/>
                  <w:tcBorders>
                    <w:top w:val="single" w:color="auto" w:sz="4" w:space="0"/>
                    <w:left w:val="single" w:color="auto" w:sz="4" w:space="0"/>
                    <w:bottom w:val="single" w:color="auto" w:sz="4" w:space="0"/>
                    <w:right w:val="single" w:color="auto" w:sz="4" w:space="0"/>
                  </w:tcBorders>
                  <w:noWrap w:val="0"/>
                  <w:vAlign w:val="center"/>
                </w:tcPr>
                <w:p w14:paraId="79161E93">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32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μg/m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743" w:type="pct"/>
                  <w:tcBorders>
                    <w:top w:val="single" w:color="auto" w:sz="4" w:space="0"/>
                    <w:left w:val="single" w:color="auto" w:sz="4" w:space="0"/>
                    <w:bottom w:val="single" w:color="auto" w:sz="4" w:space="0"/>
                    <w:right w:val="single" w:color="auto" w:sz="4" w:space="0"/>
                  </w:tcBorders>
                  <w:noWrap w:val="0"/>
                  <w:vAlign w:val="center"/>
                </w:tcPr>
                <w:p w14:paraId="6A75FBE3">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60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μg/m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980" w:type="dxa"/>
                  <w:tcBorders>
                    <w:top w:val="single" w:color="auto" w:sz="4" w:space="0"/>
                    <w:left w:val="single" w:color="auto" w:sz="4" w:space="0"/>
                    <w:bottom w:val="single" w:color="auto" w:sz="4" w:space="0"/>
                    <w:right w:val="single" w:color="auto" w:sz="4" w:space="0"/>
                  </w:tcBorders>
                  <w:noWrap w:val="0"/>
                  <w:vAlign w:val="center"/>
                </w:tcPr>
                <w:p w14:paraId="0FD9A8AA">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53.3</w:t>
                  </w:r>
                </w:p>
              </w:tc>
              <w:tc>
                <w:tcPr>
                  <w:tcW w:w="456" w:type="pct"/>
                  <w:tcBorders>
                    <w:top w:val="single" w:color="auto" w:sz="4" w:space="0"/>
                    <w:left w:val="single" w:color="auto" w:sz="4" w:space="0"/>
                    <w:bottom w:val="single" w:color="auto" w:sz="4" w:space="0"/>
                    <w:right w:val="single" w:color="auto" w:sz="4" w:space="0"/>
                  </w:tcBorders>
                  <w:noWrap w:val="0"/>
                  <w:vAlign w:val="center"/>
                </w:tcPr>
                <w:p w14:paraId="45F77A6B">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3CE8D22D">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r w14:paraId="0FA47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7" w:type="pct"/>
                  <w:tcBorders>
                    <w:top w:val="single" w:color="auto" w:sz="4" w:space="0"/>
                    <w:left w:val="single" w:color="auto" w:sz="4" w:space="0"/>
                    <w:bottom w:val="single" w:color="auto" w:sz="4" w:space="0"/>
                    <w:right w:val="single" w:color="auto" w:sz="4" w:space="0"/>
                  </w:tcBorders>
                  <w:noWrap w:val="0"/>
                  <w:vAlign w:val="center"/>
                </w:tcPr>
                <w:p w14:paraId="219014BA">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vertAlign w:val="subscript"/>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PM</w:t>
                  </w:r>
                  <w:r>
                    <w:rPr>
                      <w:rFonts w:hint="eastAsia" w:ascii="Times New Roman" w:hAnsi="Times New Roman" w:eastAsia="宋体" w:cs="Times New Roman"/>
                      <w:color w:val="000000" w:themeColor="text1"/>
                      <w:sz w:val="21"/>
                      <w:szCs w:val="21"/>
                      <w:vertAlign w:val="subscript"/>
                      <w:lang w:val="en-US" w:eastAsia="zh-CN"/>
                      <w14:textFill>
                        <w14:solidFill>
                          <w14:schemeClr w14:val="tx1"/>
                        </w14:solidFill>
                      </w14:textFill>
                    </w:rPr>
                    <w:t>2.5</w:t>
                  </w:r>
                </w:p>
              </w:tc>
              <w:tc>
                <w:tcPr>
                  <w:tcW w:w="1439" w:type="pct"/>
                  <w:tcBorders>
                    <w:top w:val="single" w:color="auto" w:sz="4" w:space="0"/>
                    <w:left w:val="single" w:color="auto" w:sz="4" w:space="0"/>
                    <w:bottom w:val="single" w:color="auto" w:sz="4" w:space="0"/>
                    <w:right w:val="single" w:color="auto" w:sz="4" w:space="0"/>
                  </w:tcBorders>
                  <w:noWrap w:val="0"/>
                  <w:vAlign w:val="center"/>
                </w:tcPr>
                <w:p w14:paraId="4315C4AB">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年平均质量浓度</w:t>
                  </w:r>
                </w:p>
              </w:tc>
              <w:tc>
                <w:tcPr>
                  <w:tcW w:w="689" w:type="pct"/>
                  <w:tcBorders>
                    <w:top w:val="single" w:color="auto" w:sz="4" w:space="0"/>
                    <w:left w:val="single" w:color="auto" w:sz="4" w:space="0"/>
                    <w:bottom w:val="single" w:color="auto" w:sz="4" w:space="0"/>
                    <w:right w:val="single" w:color="auto" w:sz="4" w:space="0"/>
                  </w:tcBorders>
                  <w:noWrap w:val="0"/>
                  <w:vAlign w:val="center"/>
                </w:tcPr>
                <w:p w14:paraId="16F742EA">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18</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μg/m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743" w:type="pct"/>
                  <w:tcBorders>
                    <w:top w:val="single" w:color="auto" w:sz="4" w:space="0"/>
                    <w:left w:val="single" w:color="auto" w:sz="4" w:space="0"/>
                    <w:bottom w:val="single" w:color="auto" w:sz="4" w:space="0"/>
                    <w:right w:val="single" w:color="auto" w:sz="4" w:space="0"/>
                  </w:tcBorders>
                  <w:noWrap w:val="0"/>
                  <w:vAlign w:val="center"/>
                </w:tcPr>
                <w:p w14:paraId="051AD129">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30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μg/m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980" w:type="dxa"/>
                  <w:tcBorders>
                    <w:top w:val="single" w:color="auto" w:sz="4" w:space="0"/>
                    <w:left w:val="single" w:color="auto" w:sz="4" w:space="0"/>
                    <w:bottom w:val="single" w:color="auto" w:sz="4" w:space="0"/>
                    <w:right w:val="single" w:color="auto" w:sz="4" w:space="0"/>
                  </w:tcBorders>
                  <w:noWrap w:val="0"/>
                  <w:vAlign w:val="center"/>
                </w:tcPr>
                <w:p w14:paraId="5BE80C38">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60.0</w:t>
                  </w:r>
                </w:p>
              </w:tc>
              <w:tc>
                <w:tcPr>
                  <w:tcW w:w="456" w:type="pct"/>
                  <w:tcBorders>
                    <w:top w:val="single" w:color="auto" w:sz="4" w:space="0"/>
                    <w:left w:val="single" w:color="auto" w:sz="4" w:space="0"/>
                    <w:bottom w:val="single" w:color="auto" w:sz="4" w:space="0"/>
                    <w:right w:val="single" w:color="auto" w:sz="4" w:space="0"/>
                  </w:tcBorders>
                  <w:noWrap w:val="0"/>
                  <w:vAlign w:val="center"/>
                </w:tcPr>
                <w:p w14:paraId="5CF0D671">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452522C7">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r w14:paraId="21154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7" w:type="pct"/>
                  <w:tcBorders>
                    <w:top w:val="single" w:color="auto" w:sz="4" w:space="0"/>
                    <w:left w:val="single" w:color="auto" w:sz="4" w:space="0"/>
                    <w:bottom w:val="single" w:color="auto" w:sz="4" w:space="0"/>
                    <w:right w:val="single" w:color="auto" w:sz="4" w:space="0"/>
                  </w:tcBorders>
                  <w:noWrap w:val="0"/>
                  <w:vAlign w:val="center"/>
                </w:tcPr>
                <w:p w14:paraId="7E5A9B14">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CO</w:t>
                  </w:r>
                </w:p>
              </w:tc>
              <w:tc>
                <w:tcPr>
                  <w:tcW w:w="1439" w:type="pct"/>
                  <w:tcBorders>
                    <w:top w:val="single" w:color="auto" w:sz="4" w:space="0"/>
                    <w:left w:val="single" w:color="auto" w:sz="4" w:space="0"/>
                    <w:bottom w:val="single" w:color="auto" w:sz="4" w:space="0"/>
                    <w:right w:val="single" w:color="auto" w:sz="4" w:space="0"/>
                  </w:tcBorders>
                  <w:noWrap w:val="0"/>
                  <w:vAlign w:val="center"/>
                </w:tcPr>
                <w:p w14:paraId="43BBF47C">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24小时平均质量浓度，第95位百分数</w:t>
                  </w:r>
                </w:p>
              </w:tc>
              <w:tc>
                <w:tcPr>
                  <w:tcW w:w="689" w:type="pct"/>
                  <w:tcBorders>
                    <w:top w:val="single" w:color="auto" w:sz="4" w:space="0"/>
                    <w:left w:val="single" w:color="auto" w:sz="4" w:space="0"/>
                    <w:bottom w:val="single" w:color="auto" w:sz="4" w:space="0"/>
                    <w:right w:val="single" w:color="auto" w:sz="4" w:space="0"/>
                  </w:tcBorders>
                  <w:noWrap w:val="0"/>
                  <w:vAlign w:val="center"/>
                </w:tcPr>
                <w:p w14:paraId="4CD57D8C">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0.8</w:t>
                  </w:r>
                  <w:r>
                    <w:rPr>
                      <w:rFonts w:hint="default" w:ascii="Times New Roman" w:hAnsi="Times New Roman" w:eastAsia="宋体" w:cs="Times New Roman"/>
                      <w:color w:val="000000" w:themeColor="text1"/>
                      <w:sz w:val="21"/>
                      <w:szCs w:val="21"/>
                      <w14:textFill>
                        <w14:solidFill>
                          <w14:schemeClr w14:val="tx1"/>
                        </w14:solidFill>
                      </w14:textFill>
                    </w:rPr>
                    <w:t>mg/</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743" w:type="pct"/>
                  <w:tcBorders>
                    <w:top w:val="single" w:color="auto" w:sz="4" w:space="0"/>
                    <w:left w:val="single" w:color="auto" w:sz="4" w:space="0"/>
                    <w:bottom w:val="single" w:color="auto" w:sz="4" w:space="0"/>
                    <w:right w:val="single" w:color="auto" w:sz="4" w:space="0"/>
                  </w:tcBorders>
                  <w:noWrap w:val="0"/>
                  <w:vAlign w:val="center"/>
                </w:tcPr>
                <w:p w14:paraId="2919EF77">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4mg/</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980" w:type="dxa"/>
                  <w:tcBorders>
                    <w:top w:val="single" w:color="auto" w:sz="4" w:space="0"/>
                    <w:left w:val="single" w:color="auto" w:sz="4" w:space="0"/>
                    <w:bottom w:val="single" w:color="auto" w:sz="4" w:space="0"/>
                    <w:right w:val="single" w:color="auto" w:sz="4" w:space="0"/>
                  </w:tcBorders>
                  <w:noWrap w:val="0"/>
                  <w:vAlign w:val="center"/>
                </w:tcPr>
                <w:p w14:paraId="0821C580">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20.0</w:t>
                  </w:r>
                </w:p>
              </w:tc>
              <w:tc>
                <w:tcPr>
                  <w:tcW w:w="456" w:type="pct"/>
                  <w:tcBorders>
                    <w:top w:val="single" w:color="auto" w:sz="4" w:space="0"/>
                    <w:left w:val="single" w:color="auto" w:sz="4" w:space="0"/>
                    <w:bottom w:val="single" w:color="auto" w:sz="4" w:space="0"/>
                    <w:right w:val="single" w:color="auto" w:sz="4" w:space="0"/>
                  </w:tcBorders>
                  <w:noWrap w:val="0"/>
                  <w:vAlign w:val="center"/>
                </w:tcPr>
                <w:p w14:paraId="3E31D73E">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09EE2EB2">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r w14:paraId="1ABA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7" w:type="pct"/>
                  <w:tcBorders>
                    <w:top w:val="single" w:color="auto" w:sz="4" w:space="0"/>
                    <w:left w:val="single" w:color="auto" w:sz="4" w:space="0"/>
                    <w:bottom w:val="single" w:color="auto" w:sz="4" w:space="0"/>
                    <w:right w:val="single" w:color="auto" w:sz="4" w:space="0"/>
                  </w:tcBorders>
                  <w:noWrap w:val="0"/>
                  <w:vAlign w:val="center"/>
                </w:tcPr>
                <w:p w14:paraId="1FAA748C">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O</w:t>
                  </w:r>
                  <w:r>
                    <w:rPr>
                      <w:rFonts w:hint="default" w:ascii="Times New Roman" w:hAnsi="Times New Roman" w:eastAsia="宋体" w:cs="Times New Roman"/>
                      <w:color w:val="000000" w:themeColor="text1"/>
                      <w:sz w:val="21"/>
                      <w:szCs w:val="21"/>
                      <w:vertAlign w:val="subscript"/>
                      <w14:textFill>
                        <w14:solidFill>
                          <w14:schemeClr w14:val="tx1"/>
                        </w14:solidFill>
                      </w14:textFill>
                    </w:rPr>
                    <w:t>3</w:t>
                  </w:r>
                </w:p>
              </w:tc>
              <w:tc>
                <w:tcPr>
                  <w:tcW w:w="1439" w:type="pct"/>
                  <w:tcBorders>
                    <w:top w:val="single" w:color="auto" w:sz="4" w:space="0"/>
                    <w:left w:val="single" w:color="auto" w:sz="4" w:space="0"/>
                    <w:bottom w:val="single" w:color="auto" w:sz="4" w:space="0"/>
                    <w:right w:val="single" w:color="auto" w:sz="4" w:space="0"/>
                  </w:tcBorders>
                  <w:noWrap w:val="0"/>
                  <w:vAlign w:val="center"/>
                </w:tcPr>
                <w:p w14:paraId="3FF87EDF">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日最大</w:t>
                  </w:r>
                  <w:r>
                    <w:rPr>
                      <w:rFonts w:hint="default" w:ascii="Times New Roman" w:hAnsi="Times New Roman" w:eastAsia="宋体" w:cs="Times New Roman"/>
                      <w:color w:val="000000" w:themeColor="text1"/>
                      <w:sz w:val="21"/>
                      <w:szCs w:val="21"/>
                      <w14:textFill>
                        <w14:solidFill>
                          <w14:schemeClr w14:val="tx1"/>
                        </w14:solidFill>
                      </w14:textFill>
                    </w:rPr>
                    <w:t>8小时平均质量浓度，第90位百分数</w:t>
                  </w:r>
                </w:p>
              </w:tc>
              <w:tc>
                <w:tcPr>
                  <w:tcW w:w="689" w:type="pct"/>
                  <w:tcBorders>
                    <w:top w:val="single" w:color="auto" w:sz="4" w:space="0"/>
                    <w:left w:val="single" w:color="auto" w:sz="4" w:space="0"/>
                    <w:bottom w:val="single" w:color="auto" w:sz="4" w:space="0"/>
                    <w:right w:val="single" w:color="auto" w:sz="4" w:space="0"/>
                  </w:tcBorders>
                  <w:noWrap w:val="0"/>
                  <w:vAlign w:val="center"/>
                </w:tcPr>
                <w:p w14:paraId="62532A81">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130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μg/m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743" w:type="pct"/>
                  <w:tcBorders>
                    <w:top w:val="single" w:color="auto" w:sz="4" w:space="0"/>
                    <w:left w:val="single" w:color="auto" w:sz="4" w:space="0"/>
                    <w:bottom w:val="single" w:color="auto" w:sz="4" w:space="0"/>
                    <w:right w:val="single" w:color="auto" w:sz="4" w:space="0"/>
                  </w:tcBorders>
                  <w:noWrap w:val="0"/>
                  <w:vAlign w:val="center"/>
                </w:tcPr>
                <w:p w14:paraId="073098E4">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160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μg/m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980" w:type="dxa"/>
                  <w:tcBorders>
                    <w:top w:val="single" w:color="auto" w:sz="4" w:space="0"/>
                    <w:left w:val="single" w:color="auto" w:sz="4" w:space="0"/>
                    <w:bottom w:val="single" w:color="auto" w:sz="4" w:space="0"/>
                    <w:right w:val="single" w:color="auto" w:sz="4" w:space="0"/>
                  </w:tcBorders>
                  <w:noWrap w:val="0"/>
                  <w:vAlign w:val="center"/>
                </w:tcPr>
                <w:p w14:paraId="33E0738B">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81.2</w:t>
                  </w:r>
                </w:p>
              </w:tc>
              <w:tc>
                <w:tcPr>
                  <w:tcW w:w="456" w:type="pct"/>
                  <w:tcBorders>
                    <w:top w:val="single" w:color="auto" w:sz="4" w:space="0"/>
                    <w:left w:val="single" w:color="auto" w:sz="4" w:space="0"/>
                    <w:bottom w:val="single" w:color="auto" w:sz="4" w:space="0"/>
                    <w:right w:val="single" w:color="auto" w:sz="4" w:space="0"/>
                  </w:tcBorders>
                  <w:noWrap w:val="0"/>
                  <w:vAlign w:val="center"/>
                </w:tcPr>
                <w:p w14:paraId="00A224F4">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222C7859">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bl>
          <w:p w14:paraId="3605245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b w:val="0"/>
                <w:bCs w:val="0"/>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vertAlign w:val="baseline"/>
                <w:lang w:val="en-US" w:eastAsia="zh-CN"/>
                <w14:textFill>
                  <w14:solidFill>
                    <w14:schemeClr w14:val="tx1"/>
                  </w14:solidFill>
                </w14:textFill>
              </w:rPr>
              <w:t>根据上表可知，</w:t>
            </w:r>
            <w:r>
              <w:rPr>
                <w:rFonts w:hint="eastAsia" w:eastAsia="宋体"/>
                <w:b w:val="0"/>
                <w:bCs w:val="0"/>
                <w:color w:val="000000" w:themeColor="text1"/>
                <w:sz w:val="24"/>
                <w:lang w:val="en-US" w:eastAsia="zh-CN"/>
                <w14:textFill>
                  <w14:solidFill>
                    <w14:schemeClr w14:val="tx1"/>
                  </w14:solidFill>
                </w14:textFill>
              </w:rPr>
              <w:t>项目所在地</w:t>
            </w:r>
            <w:r>
              <w:rPr>
                <w:rFonts w:hint="eastAsia"/>
                <w:b w:val="0"/>
                <w:bCs w:val="0"/>
                <w:color w:val="000000" w:themeColor="text1"/>
                <w:sz w:val="24"/>
                <w14:textFill>
                  <w14:solidFill>
                    <w14:schemeClr w14:val="tx1"/>
                  </w14:solidFill>
                </w14:textFill>
              </w:rPr>
              <w:t>环境空气质量能达到</w:t>
            </w:r>
            <w:r>
              <w:rPr>
                <w:color w:val="000000" w:themeColor="text1"/>
                <w:sz w:val="24"/>
                <w14:textFill>
                  <w14:solidFill>
                    <w14:schemeClr w14:val="tx1"/>
                  </w14:solidFill>
                </w14:textFill>
              </w:rPr>
              <w:t>《环境空气质量标准》（GB3095-</w:t>
            </w:r>
            <w:r>
              <w:rPr>
                <w:rFonts w:hint="eastAsia"/>
                <w:color w:val="000000" w:themeColor="text1"/>
                <w:sz w:val="24"/>
                <w:lang w:val="en-US" w:eastAsia="zh-CN"/>
                <w14:textFill>
                  <w14:solidFill>
                    <w14:schemeClr w14:val="tx1"/>
                  </w14:solidFill>
                </w14:textFill>
              </w:rPr>
              <w:t>2026</w:t>
            </w:r>
            <w:r>
              <w:rPr>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中过渡阶段</w:t>
            </w:r>
            <w:r>
              <w:rPr>
                <w:color w:val="000000" w:themeColor="text1"/>
                <w:sz w:val="24"/>
                <w14:textFill>
                  <w14:solidFill>
                    <w14:schemeClr w14:val="tx1"/>
                  </w14:solidFill>
                </w14:textFill>
              </w:rPr>
              <w:t>二级标准</w:t>
            </w:r>
            <w:r>
              <w:rPr>
                <w:rFonts w:hint="eastAsia"/>
                <w:b w:val="0"/>
                <w:bCs w:val="0"/>
                <w:color w:val="000000" w:themeColor="text1"/>
                <w:sz w:val="24"/>
                <w:lang w:eastAsia="zh-CN"/>
                <w14:textFill>
                  <w14:solidFill>
                    <w14:schemeClr w14:val="tx1"/>
                  </w14:solidFill>
                </w14:textFill>
              </w:rPr>
              <w:t>，</w:t>
            </w:r>
            <w:r>
              <w:rPr>
                <w:rFonts w:hint="eastAsia"/>
                <w:b w:val="0"/>
                <w:bCs w:val="0"/>
                <w:color w:val="000000" w:themeColor="text1"/>
                <w:sz w:val="24"/>
                <w14:textFill>
                  <w14:solidFill>
                    <w14:schemeClr w14:val="tx1"/>
                  </w14:solidFill>
                </w14:textFill>
              </w:rPr>
              <w:t>属于环境空气质量达标区。</w:t>
            </w:r>
          </w:p>
          <w:p w14:paraId="7727FC65">
            <w:pPr>
              <w:keepNext w:val="0"/>
              <w:keepLines w:val="0"/>
              <w:pageBreakBefore w:val="0"/>
              <w:widowControl/>
              <w:kinsoku/>
              <w:wordWrap/>
              <w:overflowPunct/>
              <w:topLinePunct w:val="0"/>
              <w:autoSpaceDE/>
              <w:autoSpaceDN/>
              <w:bidi w:val="0"/>
              <w:adjustRightInd w:val="0"/>
              <w:snapToGrid w:val="0"/>
              <w:spacing w:line="276" w:lineRule="auto"/>
              <w:ind w:firstLine="0" w:firstLineChars="0"/>
              <w:jc w:val="center"/>
              <w:textAlignment w:val="auto"/>
              <w:rPr>
                <w:rFonts w:hint="default" w:cs="Times New Roman"/>
                <w:b/>
                <w:bCs/>
                <w:color w:val="000000" w:themeColor="text1"/>
                <w:sz w:val="24"/>
                <w:lang w:val="en-US" w:eastAsia="zh-CN"/>
                <w14:textFill>
                  <w14:solidFill>
                    <w14:schemeClr w14:val="tx1"/>
                  </w14:solidFill>
                </w14:textFill>
              </w:rPr>
            </w:pPr>
            <w:r>
              <w:rPr>
                <w:rFonts w:hint="eastAsia" w:cs="Times New Roman"/>
                <w:b/>
                <w:bCs/>
                <w:color w:val="000000" w:themeColor="text1"/>
                <w:sz w:val="24"/>
                <w:lang w:val="en-US" w:eastAsia="zh-CN"/>
                <w14:textFill>
                  <w14:solidFill>
                    <w14:schemeClr w14:val="tx1"/>
                  </w14:solidFill>
                </w14:textFill>
              </w:rPr>
              <w:t>表3-2  罗平县2025年空气污染物浓度</w:t>
            </w:r>
          </w:p>
          <w:tbl>
            <w:tblPr>
              <w:tblStyle w:val="28"/>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3145"/>
              <w:gridCol w:w="1505"/>
              <w:gridCol w:w="1624"/>
              <w:gridCol w:w="987"/>
            </w:tblGrid>
            <w:tr w14:paraId="4F15A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14:paraId="6A113D2D">
                  <w:pPr>
                    <w:pStyle w:val="71"/>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污染物</w:t>
                  </w:r>
                </w:p>
              </w:tc>
              <w:tc>
                <w:tcPr>
                  <w:tcW w:w="1812" w:type="pct"/>
                  <w:tcBorders>
                    <w:top w:val="single" w:color="auto" w:sz="4" w:space="0"/>
                    <w:left w:val="single" w:color="auto" w:sz="4" w:space="0"/>
                    <w:bottom w:val="single" w:color="auto" w:sz="4" w:space="0"/>
                    <w:right w:val="single" w:color="auto" w:sz="4" w:space="0"/>
                  </w:tcBorders>
                  <w:noWrap w:val="0"/>
                  <w:vAlign w:val="center"/>
                </w:tcPr>
                <w:p w14:paraId="2DCFADE7">
                  <w:pPr>
                    <w:pStyle w:val="71"/>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年评价指标</w:t>
                  </w:r>
                </w:p>
              </w:tc>
              <w:tc>
                <w:tcPr>
                  <w:tcW w:w="867" w:type="pct"/>
                  <w:tcBorders>
                    <w:top w:val="single" w:color="auto" w:sz="4" w:space="0"/>
                    <w:left w:val="single" w:color="auto" w:sz="4" w:space="0"/>
                    <w:bottom w:val="single" w:color="auto" w:sz="4" w:space="0"/>
                    <w:right w:val="single" w:color="auto" w:sz="4" w:space="0"/>
                  </w:tcBorders>
                  <w:noWrap w:val="0"/>
                  <w:vAlign w:val="center"/>
                </w:tcPr>
                <w:p w14:paraId="09F55E39">
                  <w:pPr>
                    <w:pStyle w:val="71"/>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浓度值</w:t>
                  </w:r>
                </w:p>
              </w:tc>
              <w:tc>
                <w:tcPr>
                  <w:tcW w:w="936" w:type="pct"/>
                  <w:tcBorders>
                    <w:top w:val="single" w:color="auto" w:sz="4" w:space="0"/>
                    <w:left w:val="single" w:color="auto" w:sz="4" w:space="0"/>
                    <w:bottom w:val="single" w:color="auto" w:sz="4" w:space="0"/>
                    <w:right w:val="single" w:color="auto" w:sz="4" w:space="0"/>
                  </w:tcBorders>
                  <w:noWrap w:val="0"/>
                  <w:vAlign w:val="center"/>
                </w:tcPr>
                <w:p w14:paraId="4B5316F1">
                  <w:pPr>
                    <w:pStyle w:val="71"/>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过渡阶段浓度限值</w:t>
                  </w:r>
                </w:p>
              </w:tc>
              <w:tc>
                <w:tcPr>
                  <w:tcW w:w="569" w:type="pct"/>
                  <w:tcBorders>
                    <w:top w:val="single" w:color="auto" w:sz="4" w:space="0"/>
                    <w:left w:val="single" w:color="auto" w:sz="4" w:space="0"/>
                    <w:bottom w:val="single" w:color="auto" w:sz="4" w:space="0"/>
                    <w:right w:val="single" w:color="auto" w:sz="4" w:space="0"/>
                  </w:tcBorders>
                  <w:noWrap w:val="0"/>
                  <w:vAlign w:val="center"/>
                </w:tcPr>
                <w:p w14:paraId="07F97AB7">
                  <w:pPr>
                    <w:pStyle w:val="71"/>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达标情况</w:t>
                  </w:r>
                </w:p>
              </w:tc>
            </w:tr>
            <w:tr w14:paraId="2192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14:paraId="3A365037">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SO</w:t>
                  </w:r>
                  <w:r>
                    <w:rPr>
                      <w:rFonts w:hint="default" w:ascii="Times New Roman" w:hAnsi="Times New Roman" w:eastAsia="宋体" w:cs="Times New Roman"/>
                      <w:color w:val="000000" w:themeColor="text1"/>
                      <w:sz w:val="21"/>
                      <w:szCs w:val="21"/>
                      <w:vertAlign w:val="subscript"/>
                      <w14:textFill>
                        <w14:solidFill>
                          <w14:schemeClr w14:val="tx1"/>
                        </w14:solidFill>
                      </w14:textFill>
                    </w:rPr>
                    <w:t>2</w:t>
                  </w:r>
                </w:p>
              </w:tc>
              <w:tc>
                <w:tcPr>
                  <w:tcW w:w="1812" w:type="pct"/>
                  <w:tcBorders>
                    <w:top w:val="single" w:color="auto" w:sz="4" w:space="0"/>
                    <w:left w:val="single" w:color="auto" w:sz="4" w:space="0"/>
                    <w:bottom w:val="single" w:color="auto" w:sz="4" w:space="0"/>
                    <w:right w:val="single" w:color="auto" w:sz="4" w:space="0"/>
                  </w:tcBorders>
                  <w:noWrap w:val="0"/>
                  <w:vAlign w:val="center"/>
                </w:tcPr>
                <w:p w14:paraId="4F11A67E">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年平均质量浓度</w:t>
                  </w:r>
                </w:p>
              </w:tc>
              <w:tc>
                <w:tcPr>
                  <w:tcW w:w="867" w:type="pct"/>
                  <w:tcBorders>
                    <w:top w:val="single" w:color="auto" w:sz="4" w:space="0"/>
                    <w:left w:val="single" w:color="auto" w:sz="4" w:space="0"/>
                    <w:bottom w:val="single" w:color="auto" w:sz="4" w:space="0"/>
                    <w:right w:val="single" w:color="auto" w:sz="4" w:space="0"/>
                  </w:tcBorders>
                  <w:noWrap w:val="0"/>
                  <w:vAlign w:val="center"/>
                </w:tcPr>
                <w:p w14:paraId="6DE4900B">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11</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μg/m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936" w:type="pct"/>
                  <w:tcBorders>
                    <w:top w:val="single" w:color="auto" w:sz="4" w:space="0"/>
                    <w:left w:val="single" w:color="auto" w:sz="4" w:space="0"/>
                    <w:bottom w:val="single" w:color="auto" w:sz="4" w:space="0"/>
                    <w:right w:val="single" w:color="auto" w:sz="4" w:space="0"/>
                  </w:tcBorders>
                  <w:noWrap w:val="0"/>
                  <w:vAlign w:val="center"/>
                </w:tcPr>
                <w:p w14:paraId="0E1F6A9B">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60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μg/m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569" w:type="pct"/>
                  <w:tcBorders>
                    <w:top w:val="single" w:color="auto" w:sz="4" w:space="0"/>
                    <w:left w:val="single" w:color="auto" w:sz="4" w:space="0"/>
                    <w:bottom w:val="single" w:color="auto" w:sz="4" w:space="0"/>
                    <w:right w:val="single" w:color="auto" w:sz="4" w:space="0"/>
                  </w:tcBorders>
                  <w:noWrap w:val="0"/>
                  <w:vAlign w:val="center"/>
                </w:tcPr>
                <w:p w14:paraId="1E40896F">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r w14:paraId="419E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14:paraId="448F4420">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NO</w:t>
                  </w:r>
                  <w:r>
                    <w:rPr>
                      <w:rFonts w:hint="default" w:ascii="Times New Roman" w:hAnsi="Times New Roman" w:eastAsia="宋体" w:cs="Times New Roman"/>
                      <w:color w:val="000000" w:themeColor="text1"/>
                      <w:sz w:val="21"/>
                      <w:szCs w:val="21"/>
                      <w:vertAlign w:val="subscript"/>
                      <w14:textFill>
                        <w14:solidFill>
                          <w14:schemeClr w14:val="tx1"/>
                        </w14:solidFill>
                      </w14:textFill>
                    </w:rPr>
                    <w:t>2</w:t>
                  </w:r>
                </w:p>
              </w:tc>
              <w:tc>
                <w:tcPr>
                  <w:tcW w:w="1812" w:type="pct"/>
                  <w:tcBorders>
                    <w:top w:val="single" w:color="auto" w:sz="4" w:space="0"/>
                    <w:left w:val="single" w:color="auto" w:sz="4" w:space="0"/>
                    <w:bottom w:val="single" w:color="auto" w:sz="4" w:space="0"/>
                    <w:right w:val="single" w:color="auto" w:sz="4" w:space="0"/>
                  </w:tcBorders>
                  <w:noWrap w:val="0"/>
                  <w:vAlign w:val="center"/>
                </w:tcPr>
                <w:p w14:paraId="192A1F54">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年平均质量浓度</w:t>
                  </w:r>
                </w:p>
              </w:tc>
              <w:tc>
                <w:tcPr>
                  <w:tcW w:w="867" w:type="pct"/>
                  <w:tcBorders>
                    <w:top w:val="single" w:color="auto" w:sz="4" w:space="0"/>
                    <w:left w:val="single" w:color="auto" w:sz="4" w:space="0"/>
                    <w:bottom w:val="single" w:color="auto" w:sz="4" w:space="0"/>
                    <w:right w:val="single" w:color="auto" w:sz="4" w:space="0"/>
                  </w:tcBorders>
                  <w:noWrap w:val="0"/>
                  <w:vAlign w:val="center"/>
                </w:tcPr>
                <w:p w14:paraId="4F84B483">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μg/m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936" w:type="pct"/>
                  <w:tcBorders>
                    <w:top w:val="single" w:color="auto" w:sz="4" w:space="0"/>
                    <w:left w:val="single" w:color="auto" w:sz="4" w:space="0"/>
                    <w:bottom w:val="single" w:color="auto" w:sz="4" w:space="0"/>
                    <w:right w:val="single" w:color="auto" w:sz="4" w:space="0"/>
                  </w:tcBorders>
                  <w:noWrap w:val="0"/>
                  <w:vAlign w:val="center"/>
                </w:tcPr>
                <w:p w14:paraId="468205C8">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μg/m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569" w:type="pct"/>
                  <w:tcBorders>
                    <w:top w:val="single" w:color="auto" w:sz="4" w:space="0"/>
                    <w:left w:val="single" w:color="auto" w:sz="4" w:space="0"/>
                    <w:bottom w:val="single" w:color="auto" w:sz="4" w:space="0"/>
                    <w:right w:val="single" w:color="auto" w:sz="4" w:space="0"/>
                  </w:tcBorders>
                  <w:noWrap w:val="0"/>
                  <w:vAlign w:val="center"/>
                </w:tcPr>
                <w:p w14:paraId="11F026C5">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r w14:paraId="7369B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14:paraId="717A03B0">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PM</w:t>
                  </w:r>
                  <w:r>
                    <w:rPr>
                      <w:rFonts w:hint="default" w:ascii="Times New Roman" w:hAnsi="Times New Roman" w:eastAsia="宋体" w:cs="Times New Roman"/>
                      <w:color w:val="000000" w:themeColor="text1"/>
                      <w:sz w:val="21"/>
                      <w:szCs w:val="21"/>
                      <w:vertAlign w:val="subscript"/>
                      <w14:textFill>
                        <w14:solidFill>
                          <w14:schemeClr w14:val="tx1"/>
                        </w14:solidFill>
                      </w14:textFill>
                    </w:rPr>
                    <w:t>10</w:t>
                  </w:r>
                </w:p>
              </w:tc>
              <w:tc>
                <w:tcPr>
                  <w:tcW w:w="1812" w:type="pct"/>
                  <w:tcBorders>
                    <w:top w:val="single" w:color="auto" w:sz="4" w:space="0"/>
                    <w:left w:val="single" w:color="auto" w:sz="4" w:space="0"/>
                    <w:bottom w:val="single" w:color="auto" w:sz="4" w:space="0"/>
                    <w:right w:val="single" w:color="auto" w:sz="4" w:space="0"/>
                  </w:tcBorders>
                  <w:noWrap w:val="0"/>
                  <w:vAlign w:val="center"/>
                </w:tcPr>
                <w:p w14:paraId="7E58A7AE">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年平均质量浓度</w:t>
                  </w:r>
                </w:p>
              </w:tc>
              <w:tc>
                <w:tcPr>
                  <w:tcW w:w="867" w:type="pct"/>
                  <w:tcBorders>
                    <w:top w:val="single" w:color="auto" w:sz="4" w:space="0"/>
                    <w:left w:val="single" w:color="auto" w:sz="4" w:space="0"/>
                    <w:bottom w:val="single" w:color="auto" w:sz="4" w:space="0"/>
                    <w:right w:val="single" w:color="auto" w:sz="4" w:space="0"/>
                  </w:tcBorders>
                  <w:noWrap w:val="0"/>
                  <w:vAlign w:val="center"/>
                </w:tcPr>
                <w:p w14:paraId="6ED2C2ED">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μg/m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936" w:type="pct"/>
                  <w:tcBorders>
                    <w:top w:val="single" w:color="auto" w:sz="4" w:space="0"/>
                    <w:left w:val="single" w:color="auto" w:sz="4" w:space="0"/>
                    <w:bottom w:val="single" w:color="auto" w:sz="4" w:space="0"/>
                    <w:right w:val="single" w:color="auto" w:sz="4" w:space="0"/>
                  </w:tcBorders>
                  <w:noWrap w:val="0"/>
                  <w:vAlign w:val="center"/>
                </w:tcPr>
                <w:p w14:paraId="7BC3C948">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60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μg/m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569" w:type="pct"/>
                  <w:tcBorders>
                    <w:top w:val="single" w:color="auto" w:sz="4" w:space="0"/>
                    <w:left w:val="single" w:color="auto" w:sz="4" w:space="0"/>
                    <w:bottom w:val="single" w:color="auto" w:sz="4" w:space="0"/>
                    <w:right w:val="single" w:color="auto" w:sz="4" w:space="0"/>
                  </w:tcBorders>
                  <w:noWrap w:val="0"/>
                  <w:vAlign w:val="center"/>
                </w:tcPr>
                <w:p w14:paraId="2E022CEA">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r w14:paraId="025E4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14:paraId="77C93B95">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vertAlign w:val="subscript"/>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PM</w:t>
                  </w:r>
                  <w:r>
                    <w:rPr>
                      <w:rFonts w:hint="eastAsia" w:ascii="Times New Roman" w:hAnsi="Times New Roman" w:eastAsia="宋体" w:cs="Times New Roman"/>
                      <w:color w:val="000000" w:themeColor="text1"/>
                      <w:sz w:val="21"/>
                      <w:szCs w:val="21"/>
                      <w:vertAlign w:val="subscript"/>
                      <w:lang w:val="en-US" w:eastAsia="zh-CN"/>
                      <w14:textFill>
                        <w14:solidFill>
                          <w14:schemeClr w14:val="tx1"/>
                        </w14:solidFill>
                      </w14:textFill>
                    </w:rPr>
                    <w:t>2.5</w:t>
                  </w:r>
                </w:p>
              </w:tc>
              <w:tc>
                <w:tcPr>
                  <w:tcW w:w="1812" w:type="pct"/>
                  <w:tcBorders>
                    <w:top w:val="single" w:color="auto" w:sz="4" w:space="0"/>
                    <w:left w:val="single" w:color="auto" w:sz="4" w:space="0"/>
                    <w:bottom w:val="single" w:color="auto" w:sz="4" w:space="0"/>
                    <w:right w:val="single" w:color="auto" w:sz="4" w:space="0"/>
                  </w:tcBorders>
                  <w:noWrap w:val="0"/>
                  <w:vAlign w:val="center"/>
                </w:tcPr>
                <w:p w14:paraId="12BE5BB6">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年平均质量浓度</w:t>
                  </w:r>
                </w:p>
              </w:tc>
              <w:tc>
                <w:tcPr>
                  <w:tcW w:w="867" w:type="pct"/>
                  <w:tcBorders>
                    <w:top w:val="single" w:color="auto" w:sz="4" w:space="0"/>
                    <w:left w:val="single" w:color="auto" w:sz="4" w:space="0"/>
                    <w:bottom w:val="single" w:color="auto" w:sz="4" w:space="0"/>
                    <w:right w:val="single" w:color="auto" w:sz="4" w:space="0"/>
                  </w:tcBorders>
                  <w:noWrap w:val="0"/>
                  <w:vAlign w:val="center"/>
                </w:tcPr>
                <w:p w14:paraId="0EF5901F">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34</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μg/m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936" w:type="pct"/>
                  <w:tcBorders>
                    <w:top w:val="single" w:color="auto" w:sz="4" w:space="0"/>
                    <w:left w:val="single" w:color="auto" w:sz="4" w:space="0"/>
                    <w:bottom w:val="single" w:color="auto" w:sz="4" w:space="0"/>
                    <w:right w:val="single" w:color="auto" w:sz="4" w:space="0"/>
                  </w:tcBorders>
                  <w:noWrap w:val="0"/>
                  <w:vAlign w:val="center"/>
                </w:tcPr>
                <w:p w14:paraId="50A9810B">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30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μg/m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569" w:type="pct"/>
                  <w:tcBorders>
                    <w:top w:val="single" w:color="auto" w:sz="4" w:space="0"/>
                    <w:left w:val="single" w:color="auto" w:sz="4" w:space="0"/>
                    <w:bottom w:val="single" w:color="auto" w:sz="4" w:space="0"/>
                    <w:right w:val="single" w:color="auto" w:sz="4" w:space="0"/>
                  </w:tcBorders>
                  <w:noWrap w:val="0"/>
                  <w:vAlign w:val="center"/>
                </w:tcPr>
                <w:p w14:paraId="374B48E1">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r w14:paraId="36D89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14:paraId="21428882">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CO</w:t>
                  </w:r>
                </w:p>
              </w:tc>
              <w:tc>
                <w:tcPr>
                  <w:tcW w:w="1812" w:type="pct"/>
                  <w:tcBorders>
                    <w:top w:val="single" w:color="auto" w:sz="4" w:space="0"/>
                    <w:left w:val="single" w:color="auto" w:sz="4" w:space="0"/>
                    <w:bottom w:val="single" w:color="auto" w:sz="4" w:space="0"/>
                    <w:right w:val="single" w:color="auto" w:sz="4" w:space="0"/>
                  </w:tcBorders>
                  <w:noWrap w:val="0"/>
                  <w:vAlign w:val="center"/>
                </w:tcPr>
                <w:p w14:paraId="140E38E3">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24小时平均质量浓度，第95位百分数</w:t>
                  </w:r>
                </w:p>
              </w:tc>
              <w:tc>
                <w:tcPr>
                  <w:tcW w:w="867" w:type="pct"/>
                  <w:tcBorders>
                    <w:top w:val="single" w:color="auto" w:sz="4" w:space="0"/>
                    <w:left w:val="single" w:color="auto" w:sz="4" w:space="0"/>
                    <w:bottom w:val="single" w:color="auto" w:sz="4" w:space="0"/>
                    <w:right w:val="single" w:color="auto" w:sz="4" w:space="0"/>
                  </w:tcBorders>
                  <w:noWrap w:val="0"/>
                  <w:vAlign w:val="center"/>
                </w:tcPr>
                <w:p w14:paraId="1D130357">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14:textFill>
                        <w14:solidFill>
                          <w14:schemeClr w14:val="tx1"/>
                        </w14:solidFill>
                      </w14:textFill>
                    </w:rPr>
                    <w:t>mg/</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936" w:type="pct"/>
                  <w:tcBorders>
                    <w:top w:val="single" w:color="auto" w:sz="4" w:space="0"/>
                    <w:left w:val="single" w:color="auto" w:sz="4" w:space="0"/>
                    <w:bottom w:val="single" w:color="auto" w:sz="4" w:space="0"/>
                    <w:right w:val="single" w:color="auto" w:sz="4" w:space="0"/>
                  </w:tcBorders>
                  <w:noWrap w:val="0"/>
                  <w:vAlign w:val="center"/>
                </w:tcPr>
                <w:p w14:paraId="7433F5BA">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4mg/</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569" w:type="pct"/>
                  <w:tcBorders>
                    <w:top w:val="single" w:color="auto" w:sz="4" w:space="0"/>
                    <w:left w:val="single" w:color="auto" w:sz="4" w:space="0"/>
                    <w:bottom w:val="single" w:color="auto" w:sz="4" w:space="0"/>
                    <w:right w:val="single" w:color="auto" w:sz="4" w:space="0"/>
                  </w:tcBorders>
                  <w:noWrap w:val="0"/>
                  <w:vAlign w:val="center"/>
                </w:tcPr>
                <w:p w14:paraId="78C06CD8">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r w14:paraId="6E91B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14:paraId="103A8957">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O</w:t>
                  </w:r>
                  <w:r>
                    <w:rPr>
                      <w:rFonts w:hint="default" w:ascii="Times New Roman" w:hAnsi="Times New Roman" w:eastAsia="宋体" w:cs="Times New Roman"/>
                      <w:color w:val="000000" w:themeColor="text1"/>
                      <w:sz w:val="21"/>
                      <w:szCs w:val="21"/>
                      <w:vertAlign w:val="subscript"/>
                      <w14:textFill>
                        <w14:solidFill>
                          <w14:schemeClr w14:val="tx1"/>
                        </w14:solidFill>
                      </w14:textFill>
                    </w:rPr>
                    <w:t>3</w:t>
                  </w:r>
                </w:p>
              </w:tc>
              <w:tc>
                <w:tcPr>
                  <w:tcW w:w="1812" w:type="pct"/>
                  <w:tcBorders>
                    <w:top w:val="single" w:color="auto" w:sz="4" w:space="0"/>
                    <w:left w:val="single" w:color="auto" w:sz="4" w:space="0"/>
                    <w:bottom w:val="single" w:color="auto" w:sz="4" w:space="0"/>
                    <w:right w:val="single" w:color="auto" w:sz="4" w:space="0"/>
                  </w:tcBorders>
                  <w:noWrap w:val="0"/>
                  <w:vAlign w:val="center"/>
                </w:tcPr>
                <w:p w14:paraId="72BBB61A">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日最大</w:t>
                  </w:r>
                  <w:r>
                    <w:rPr>
                      <w:rFonts w:hint="default" w:ascii="Times New Roman" w:hAnsi="Times New Roman" w:eastAsia="宋体" w:cs="Times New Roman"/>
                      <w:color w:val="000000" w:themeColor="text1"/>
                      <w:sz w:val="21"/>
                      <w:szCs w:val="21"/>
                      <w14:textFill>
                        <w14:solidFill>
                          <w14:schemeClr w14:val="tx1"/>
                        </w14:solidFill>
                      </w14:textFill>
                    </w:rPr>
                    <w:t>8小时平均质量浓度，第90位百分数</w:t>
                  </w:r>
                </w:p>
              </w:tc>
              <w:tc>
                <w:tcPr>
                  <w:tcW w:w="867" w:type="pct"/>
                  <w:tcBorders>
                    <w:top w:val="single" w:color="auto" w:sz="4" w:space="0"/>
                    <w:left w:val="single" w:color="auto" w:sz="4" w:space="0"/>
                    <w:bottom w:val="single" w:color="auto" w:sz="4" w:space="0"/>
                    <w:right w:val="single" w:color="auto" w:sz="4" w:space="0"/>
                  </w:tcBorders>
                  <w:noWrap w:val="0"/>
                  <w:vAlign w:val="center"/>
                </w:tcPr>
                <w:p w14:paraId="2F7D25F7">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120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μg/m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936" w:type="pct"/>
                  <w:tcBorders>
                    <w:top w:val="single" w:color="auto" w:sz="4" w:space="0"/>
                    <w:left w:val="single" w:color="auto" w:sz="4" w:space="0"/>
                    <w:bottom w:val="single" w:color="auto" w:sz="4" w:space="0"/>
                    <w:right w:val="single" w:color="auto" w:sz="4" w:space="0"/>
                  </w:tcBorders>
                  <w:noWrap w:val="0"/>
                  <w:vAlign w:val="center"/>
                </w:tcPr>
                <w:p w14:paraId="757E6206">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160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μg/m</w:t>
                  </w:r>
                  <w:r>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p>
              </w:tc>
              <w:tc>
                <w:tcPr>
                  <w:tcW w:w="569" w:type="pct"/>
                  <w:tcBorders>
                    <w:top w:val="single" w:color="auto" w:sz="4" w:space="0"/>
                    <w:left w:val="single" w:color="auto" w:sz="4" w:space="0"/>
                    <w:bottom w:val="single" w:color="auto" w:sz="4" w:space="0"/>
                    <w:right w:val="single" w:color="auto" w:sz="4" w:space="0"/>
                  </w:tcBorders>
                  <w:noWrap w:val="0"/>
                  <w:vAlign w:val="center"/>
                </w:tcPr>
                <w:p w14:paraId="7137EA42">
                  <w:pPr>
                    <w:pStyle w:val="4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bl>
          <w:p w14:paraId="118E7E2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eastAsia" w:cs="Times New Roman"/>
                <w:b w:val="0"/>
                <w:bCs w:val="0"/>
                <w:color w:val="000000" w:themeColor="text1"/>
                <w:sz w:val="24"/>
                <w:lang w:val="en-US" w:eastAsia="zh-CN"/>
                <w14:textFill>
                  <w14:solidFill>
                    <w14:schemeClr w14:val="tx1"/>
                  </w14:solidFill>
                </w14:textFill>
              </w:rPr>
            </w:pPr>
            <w:r>
              <w:rPr>
                <w:rFonts w:hint="eastAsia" w:cs="Times New Roman"/>
                <w:b w:val="0"/>
                <w:bCs w:val="0"/>
                <w:color w:val="000000" w:themeColor="text1"/>
                <w:sz w:val="24"/>
                <w:lang w:val="en-US" w:eastAsia="zh-CN"/>
                <w14:textFill>
                  <w14:solidFill>
                    <w14:schemeClr w14:val="tx1"/>
                  </w14:solidFill>
                </w14:textFill>
              </w:rPr>
              <w:t>罗平县城区2025年环境空气中SO</w:t>
            </w:r>
            <w:r>
              <w:rPr>
                <w:rFonts w:hint="eastAsia" w:cs="Times New Roman"/>
                <w:b w:val="0"/>
                <w:bCs w:val="0"/>
                <w:color w:val="000000" w:themeColor="text1"/>
                <w:sz w:val="24"/>
                <w:vertAlign w:val="subscript"/>
                <w:lang w:val="en-US" w:eastAsia="zh-CN"/>
                <w14:textFill>
                  <w14:solidFill>
                    <w14:schemeClr w14:val="tx1"/>
                  </w14:solidFill>
                </w14:textFill>
              </w:rPr>
              <w:t>2</w:t>
            </w:r>
            <w:r>
              <w:rPr>
                <w:rFonts w:hint="eastAsia" w:cs="Times New Roman"/>
                <w:b w:val="0"/>
                <w:bCs w:val="0"/>
                <w:color w:val="000000" w:themeColor="text1"/>
                <w:sz w:val="24"/>
                <w:lang w:val="en-US" w:eastAsia="zh-CN"/>
                <w14:textFill>
                  <w14:solidFill>
                    <w14:schemeClr w14:val="tx1"/>
                  </w14:solidFill>
                </w14:textFill>
              </w:rPr>
              <w:t>、NO</w:t>
            </w:r>
            <w:r>
              <w:rPr>
                <w:rFonts w:hint="eastAsia" w:cs="Times New Roman"/>
                <w:b w:val="0"/>
                <w:bCs w:val="0"/>
                <w:color w:val="000000" w:themeColor="text1"/>
                <w:sz w:val="24"/>
                <w:vertAlign w:val="subscript"/>
                <w:lang w:val="en-US" w:eastAsia="zh-CN"/>
                <w14:textFill>
                  <w14:solidFill>
                    <w14:schemeClr w14:val="tx1"/>
                  </w14:solidFill>
                </w14:textFill>
              </w:rPr>
              <w:t>2</w:t>
            </w:r>
            <w:r>
              <w:rPr>
                <w:rFonts w:hint="eastAsia" w:cs="Times New Roman"/>
                <w:b w:val="0"/>
                <w:bCs w:val="0"/>
                <w:color w:val="000000" w:themeColor="text1"/>
                <w:sz w:val="24"/>
                <w:lang w:val="en-US" w:eastAsia="zh-CN"/>
                <w14:textFill>
                  <w14:solidFill>
                    <w14:schemeClr w14:val="tx1"/>
                  </w14:solidFill>
                </w14:textFill>
              </w:rPr>
              <w:t>、PM</w:t>
            </w:r>
            <w:r>
              <w:rPr>
                <w:rFonts w:hint="eastAsia" w:cs="Times New Roman"/>
                <w:b w:val="0"/>
                <w:bCs w:val="0"/>
                <w:color w:val="000000" w:themeColor="text1"/>
                <w:sz w:val="24"/>
                <w:vertAlign w:val="subscript"/>
                <w:lang w:val="en-US" w:eastAsia="zh-CN"/>
                <w14:textFill>
                  <w14:solidFill>
                    <w14:schemeClr w14:val="tx1"/>
                  </w14:solidFill>
                </w14:textFill>
              </w:rPr>
              <w:t>10</w:t>
            </w:r>
            <w:r>
              <w:rPr>
                <w:rFonts w:hint="eastAsia" w:cs="Times New Roman"/>
                <w:b w:val="0"/>
                <w:bCs w:val="0"/>
                <w:color w:val="000000" w:themeColor="text1"/>
                <w:sz w:val="24"/>
                <w:lang w:val="en-US" w:eastAsia="zh-CN"/>
                <w14:textFill>
                  <w14:solidFill>
                    <w14:schemeClr w14:val="tx1"/>
                  </w14:solidFill>
                </w14:textFill>
              </w:rPr>
              <w:t>、PM</w:t>
            </w:r>
            <w:r>
              <w:rPr>
                <w:rFonts w:hint="eastAsia" w:cs="Times New Roman"/>
                <w:b w:val="0"/>
                <w:bCs w:val="0"/>
                <w:color w:val="000000" w:themeColor="text1"/>
                <w:sz w:val="24"/>
                <w:vertAlign w:val="subscript"/>
                <w:lang w:val="en-US" w:eastAsia="zh-CN"/>
                <w14:textFill>
                  <w14:solidFill>
                    <w14:schemeClr w14:val="tx1"/>
                  </w14:solidFill>
                </w14:textFill>
              </w:rPr>
              <w:t>2.5</w:t>
            </w:r>
            <w:r>
              <w:rPr>
                <w:rFonts w:hint="eastAsia" w:cs="Times New Roman"/>
                <w:b w:val="0"/>
                <w:bCs w:val="0"/>
                <w:color w:val="000000" w:themeColor="text1"/>
                <w:sz w:val="24"/>
                <w:lang w:val="en-US" w:eastAsia="zh-CN"/>
                <w14:textFill>
                  <w14:solidFill>
                    <w14:schemeClr w14:val="tx1"/>
                  </w14:solidFill>
                </w14:textFill>
              </w:rPr>
              <w:t>年均浓度、CO 24小时平均第95百分位数浓度及O</w:t>
            </w:r>
            <w:r>
              <w:rPr>
                <w:rFonts w:hint="eastAsia" w:cs="Times New Roman"/>
                <w:b w:val="0"/>
                <w:bCs w:val="0"/>
                <w:color w:val="000000" w:themeColor="text1"/>
                <w:sz w:val="24"/>
                <w:vertAlign w:val="subscript"/>
                <w:lang w:val="en-US" w:eastAsia="zh-CN"/>
                <w14:textFill>
                  <w14:solidFill>
                    <w14:schemeClr w14:val="tx1"/>
                  </w14:solidFill>
                </w14:textFill>
              </w:rPr>
              <w:t>3</w:t>
            </w:r>
            <w:r>
              <w:rPr>
                <w:rFonts w:hint="eastAsia" w:cs="Times New Roman"/>
                <w:b w:val="0"/>
                <w:bCs w:val="0"/>
                <w:color w:val="000000" w:themeColor="text1"/>
                <w:sz w:val="24"/>
                <w:lang w:val="en-US" w:eastAsia="zh-CN"/>
                <w14:textFill>
                  <w14:solidFill>
                    <w14:schemeClr w14:val="tx1"/>
                  </w14:solidFill>
                </w14:textFill>
              </w:rPr>
              <w:t>日最大8小时平均第90百分位数浓度均能达到《环境空气质量标准》（GB3095-2026）过渡阶段二级标准要求。</w:t>
            </w:r>
          </w:p>
          <w:p w14:paraId="7D1F037B">
            <w:pPr>
              <w:keepNext w:val="0"/>
              <w:keepLines w:val="0"/>
              <w:pageBreakBefore w:val="0"/>
              <w:widowControl/>
              <w:kinsoku/>
              <w:wordWrap/>
              <w:overflowPunct/>
              <w:topLinePunct w:val="0"/>
              <w:bidi w:val="0"/>
              <w:adjustRightInd w:val="0"/>
              <w:snapToGrid w:val="0"/>
              <w:spacing w:line="360" w:lineRule="auto"/>
              <w:ind w:firstLine="482" w:firstLineChars="200"/>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lang w:eastAsia="zh-CN"/>
                <w14:textFill>
                  <w14:solidFill>
                    <w14:schemeClr w14:val="tx1"/>
                  </w14:solidFill>
                </w14:textFill>
              </w:rPr>
              <w:t>（</w:t>
            </w:r>
            <w:r>
              <w:rPr>
                <w:rFonts w:hint="eastAsia" w:ascii="Times New Roman" w:hAnsi="Times New Roman" w:eastAsia="宋体" w:cs="Times New Roman"/>
                <w:b/>
                <w:bCs/>
                <w:color w:val="000000" w:themeColor="text1"/>
                <w:sz w:val="24"/>
                <w:lang w:val="en-US" w:eastAsia="zh-CN"/>
                <w14:textFill>
                  <w14:solidFill>
                    <w14:schemeClr w14:val="tx1"/>
                  </w14:solidFill>
                </w14:textFill>
              </w:rPr>
              <w:t>2</w:t>
            </w:r>
            <w:r>
              <w:rPr>
                <w:rFonts w:hint="eastAsia" w:ascii="Times New Roman" w:hAnsi="Times New Roman" w:eastAsia="宋体" w:cs="Times New Roman"/>
                <w:b/>
                <w:bCs/>
                <w:color w:val="000000" w:themeColor="text1"/>
                <w:sz w:val="24"/>
                <w:lang w:eastAsia="zh-CN"/>
                <w14:textFill>
                  <w14:solidFill>
                    <w14:schemeClr w14:val="tx1"/>
                  </w14:solidFill>
                </w14:textFill>
              </w:rPr>
              <w:t>）</w:t>
            </w:r>
            <w:r>
              <w:rPr>
                <w:rFonts w:hint="eastAsia" w:ascii="Times New Roman" w:hAnsi="Times New Roman" w:eastAsia="宋体" w:cs="Times New Roman"/>
                <w:b/>
                <w:bCs/>
                <w:color w:val="000000" w:themeColor="text1"/>
                <w:sz w:val="24"/>
                <w:lang w:val="en-US" w:eastAsia="zh-CN"/>
                <w14:textFill>
                  <w14:solidFill>
                    <w14:schemeClr w14:val="tx1"/>
                  </w14:solidFill>
                </w14:textFill>
              </w:rPr>
              <w:t>特征污染物</w:t>
            </w:r>
          </w:p>
          <w:p w14:paraId="2F4A87C2">
            <w:pPr>
              <w:widowControl/>
              <w:adjustRightInd w:val="0"/>
              <w:snapToGrid w:val="0"/>
              <w:spacing w:line="360" w:lineRule="auto"/>
              <w:ind w:firstLine="480" w:firstLineChars="200"/>
              <w:rPr>
                <w:rFonts w:hint="default" w:ascii="Times New Roman" w:hAnsi="Times New Roman" w:eastAsia="宋体" w:cs="Times New Roman"/>
                <w:color w:val="000000" w:themeColor="text1"/>
                <w:sz w:val="24"/>
                <w:lang w:val="en-US"/>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根据《建设项目环境影响报告表编技术指南（污染影响类）</w:t>
            </w:r>
            <w:r>
              <w:rPr>
                <w:rFonts w:hint="eastAsia" w:cs="Times New Roman"/>
                <w:color w:val="000000" w:themeColor="text1"/>
                <w:sz w:val="24"/>
                <w:lang w:eastAsia="zh-CN"/>
                <w14:textFill>
                  <w14:solidFill>
                    <w14:schemeClr w14:val="tx1"/>
                  </w14:solidFill>
                </w14:textFill>
              </w:rPr>
              <w:t>（试行）》</w:t>
            </w:r>
            <w:r>
              <w:rPr>
                <w:rFonts w:hint="eastAsia" w:ascii="Times New Roman" w:hAnsi="Times New Roman" w:eastAsia="宋体" w:cs="Times New Roman"/>
                <w:color w:val="000000" w:themeColor="text1"/>
                <w:sz w:val="24"/>
                <w14:textFill>
                  <w14:solidFill>
                    <w14:schemeClr w14:val="tx1"/>
                  </w14:solidFill>
                </w14:textFill>
              </w:rPr>
              <w:t>编制要求</w:t>
            </w:r>
            <w:r>
              <w:rPr>
                <w:rFonts w:hint="eastAsia" w:ascii="Times New Roman" w:hAnsi="Times New Roman" w:eastAsia="宋体" w:cs="Times New Roman"/>
                <w:color w:val="000000" w:themeColor="text1"/>
                <w:sz w:val="24"/>
                <w:lang w:eastAsia="zh-CN"/>
                <w14:textFill>
                  <w14:solidFill>
                    <w14:schemeClr w14:val="tx1"/>
                  </w14:solidFill>
                </w14:textFill>
              </w:rPr>
              <w:t>：</w:t>
            </w:r>
            <w:r>
              <w:rPr>
                <w:rFonts w:hint="eastAsia" w:ascii="Times New Roman" w:hAnsi="Times New Roman" w:eastAsia="宋体" w:cs="Times New Roman"/>
                <w:color w:val="000000" w:themeColor="text1"/>
                <w:sz w:val="24"/>
                <w:lang w:val="en-US" w:eastAsia="zh-CN"/>
                <w14:textFill>
                  <w14:solidFill>
                    <w14:schemeClr w14:val="tx1"/>
                  </w14:solidFill>
                </w14:textFill>
              </w:rPr>
              <w:t>排放国家、地方环境空气质量标准中有标准限值要求的特征污染物时，引用建设项目周边</w:t>
            </w:r>
            <w:r>
              <w:rPr>
                <w:rFonts w:hint="default" w:ascii="Times New Roman" w:hAnsi="Times New Roman" w:eastAsia="宋体" w:cs="Times New Roman"/>
                <w:color w:val="000000" w:themeColor="text1"/>
                <w:sz w:val="24"/>
                <w:lang w:val="en-US" w:eastAsia="zh-CN"/>
                <w14:textFill>
                  <w14:solidFill>
                    <w14:schemeClr w14:val="tx1"/>
                  </w14:solidFill>
                </w14:textFill>
              </w:rPr>
              <w:t>5</w:t>
            </w:r>
            <w:r>
              <w:rPr>
                <w:rFonts w:hint="eastAsia" w:ascii="Times New Roman" w:hAnsi="Times New Roman" w:eastAsia="宋体" w:cs="Times New Roman"/>
                <w:color w:val="000000" w:themeColor="text1"/>
                <w:sz w:val="24"/>
                <w:lang w:val="en-US" w:eastAsia="zh-CN"/>
                <w14:textFill>
                  <w14:solidFill>
                    <w14:schemeClr w14:val="tx1"/>
                  </w14:solidFill>
                </w14:textFill>
              </w:rPr>
              <w:t>千米范围内近</w:t>
            </w:r>
            <w:r>
              <w:rPr>
                <w:rFonts w:hint="default" w:ascii="Times New Roman" w:hAnsi="Times New Roman" w:eastAsia="宋体" w:cs="Times New Roman"/>
                <w:color w:val="000000" w:themeColor="text1"/>
                <w:sz w:val="24"/>
                <w:lang w:val="en-US" w:eastAsia="zh-CN"/>
                <w14:textFill>
                  <w14:solidFill>
                    <w14:schemeClr w14:val="tx1"/>
                  </w14:solidFill>
                </w14:textFill>
              </w:rPr>
              <w:t>3</w:t>
            </w:r>
            <w:r>
              <w:rPr>
                <w:rFonts w:hint="eastAsia" w:ascii="Times New Roman" w:hAnsi="Times New Roman" w:eastAsia="宋体" w:cs="Times New Roman"/>
                <w:color w:val="000000" w:themeColor="text1"/>
                <w:sz w:val="24"/>
                <w:lang w:val="en-US" w:eastAsia="zh-CN"/>
                <w14:textFill>
                  <w14:solidFill>
                    <w14:schemeClr w14:val="tx1"/>
                  </w14:solidFill>
                </w14:textFill>
              </w:rPr>
              <w:t>年的现有监测数据，无相关数据的选择当季主导风向下风向1个点位补充不少于3天的监测数据。</w:t>
            </w:r>
          </w:p>
          <w:p w14:paraId="32C2FD60">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为</w:t>
            </w:r>
            <w:r>
              <w:rPr>
                <w:rFonts w:hint="default" w:ascii="Times New Roman" w:hAnsi="Times New Roman" w:eastAsia="宋体" w:cs="Times New Roman"/>
                <w:color w:val="000000" w:themeColor="text1"/>
                <w:sz w:val="24"/>
                <w:szCs w:val="24"/>
                <w14:textFill>
                  <w14:solidFill>
                    <w14:schemeClr w14:val="tx1"/>
                  </w14:solidFill>
                </w14:textFill>
              </w:rPr>
              <w:t>了解项目所在</w:t>
            </w:r>
            <w:r>
              <w:rPr>
                <w:rFonts w:hint="default" w:ascii="Times New Roman" w:hAnsi="Times New Roman" w:eastAsia="宋体" w:cs="Times New Roman"/>
                <w:color w:val="000000" w:themeColor="text1"/>
                <w:sz w:val="24"/>
                <w:szCs w:val="24"/>
                <w:lang w:eastAsia="zh-CN"/>
                <w14:textFill>
                  <w14:solidFill>
                    <w14:schemeClr w14:val="tx1"/>
                  </w14:solidFill>
                </w14:textFill>
              </w:rPr>
              <w:t>地</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特征污染物环境</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质量</w:t>
            </w:r>
            <w:r>
              <w:rPr>
                <w:rFonts w:hint="default" w:ascii="Times New Roman" w:hAnsi="Times New Roman" w:eastAsia="宋体" w:cs="Times New Roman"/>
                <w:color w:val="000000" w:themeColor="text1"/>
                <w:sz w:val="24"/>
                <w:szCs w:val="24"/>
                <w14:textFill>
                  <w14:solidFill>
                    <w14:schemeClr w14:val="tx1"/>
                  </w14:solidFill>
                </w14:textFill>
              </w:rPr>
              <w:t>现状，建设单位</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于2025年8月26日至2025年8月</w:t>
            </w:r>
            <w:r>
              <w:rPr>
                <w:rFonts w:hint="eastAsia" w:cs="Times New Roman"/>
                <w:color w:val="000000" w:themeColor="text1"/>
                <w:sz w:val="24"/>
                <w:szCs w:val="24"/>
                <w:lang w:val="en-US" w:eastAsia="zh-CN"/>
                <w14:textFill>
                  <w14:solidFill>
                    <w14:schemeClr w14:val="tx1"/>
                  </w14:solidFill>
                </w14:textFill>
              </w:rPr>
              <w:t>28</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日</w:t>
            </w:r>
            <w:r>
              <w:rPr>
                <w:rFonts w:hint="default" w:ascii="Times New Roman" w:hAnsi="Times New Roman" w:eastAsia="宋体" w:cs="Times New Roman"/>
                <w:color w:val="000000" w:themeColor="text1"/>
                <w:sz w:val="24"/>
                <w:szCs w:val="24"/>
                <w14:textFill>
                  <w14:solidFill>
                    <w14:schemeClr w14:val="tx1"/>
                  </w14:solidFill>
                </w14:textFill>
              </w:rPr>
              <w:t>委托</w:t>
            </w:r>
            <w:r>
              <w:rPr>
                <w:rFonts w:hint="default" w:ascii="Times New Roman" w:hAnsi="Times New Roman" w:eastAsia="宋体" w:cs="Times New Roman"/>
                <w:color w:val="000000" w:themeColor="text1"/>
                <w:sz w:val="24"/>
                <w:szCs w:val="24"/>
                <w:lang w:eastAsia="zh-CN"/>
                <w14:textFill>
                  <w14:solidFill>
                    <w14:schemeClr w14:val="tx1"/>
                  </w14:solidFill>
                </w14:textFill>
              </w:rPr>
              <w:t>云南中科检测技术有限公司</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开展了现状监测（报告编号：YNZKBG20250911016）</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检测结果如下：</w:t>
            </w:r>
          </w:p>
          <w:p w14:paraId="14A3929A">
            <w:pPr>
              <w:keepNext w:val="0"/>
              <w:keepLines w:val="0"/>
              <w:pageBreakBefore w:val="0"/>
              <w:widowControl w:val="0"/>
              <w:kinsoku/>
              <w:wordWrap/>
              <w:overflowPunct/>
              <w:topLinePunct w:val="0"/>
              <w:autoSpaceDE/>
              <w:autoSpaceDN/>
              <w:bidi w:val="0"/>
              <w:adjustRightInd/>
              <w:snapToGrid/>
              <w:spacing w:line="276" w:lineRule="auto"/>
              <w:jc w:val="center"/>
              <w:textAlignment w:val="auto"/>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表3-</w:t>
            </w:r>
            <w:r>
              <w:rPr>
                <w:rFonts w:hint="eastAsia"/>
                <w:b/>
                <w:bCs/>
                <w:color w:val="000000" w:themeColor="text1"/>
                <w:sz w:val="24"/>
                <w:szCs w:val="24"/>
                <w:lang w:val="en-US" w:eastAsia="zh-CN"/>
                <w14:textFill>
                  <w14:solidFill>
                    <w14:schemeClr w14:val="tx1"/>
                  </w14:solidFill>
                </w14:textFill>
              </w:rPr>
              <w:t>3</w:t>
            </w:r>
            <w:r>
              <w:rPr>
                <w:b/>
                <w:bCs/>
                <w:color w:val="000000" w:themeColor="text1"/>
                <w:sz w:val="24"/>
                <w:szCs w:val="24"/>
                <w14:textFill>
                  <w14:solidFill>
                    <w14:schemeClr w14:val="tx1"/>
                  </w14:solidFill>
                </w14:textFill>
              </w:rPr>
              <w:t xml:space="preserve">  监测结果统计及达标情况分析  单位：μg/m</w:t>
            </w:r>
            <w:r>
              <w:rPr>
                <w:b/>
                <w:bCs/>
                <w:color w:val="000000" w:themeColor="text1"/>
                <w:sz w:val="24"/>
                <w:szCs w:val="24"/>
                <w:vertAlign w:val="superscript"/>
                <w14:textFill>
                  <w14:solidFill>
                    <w14:schemeClr w14:val="tx1"/>
                  </w14:solidFill>
                </w14:textFill>
              </w:rPr>
              <w:t>3</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1"/>
              <w:gridCol w:w="713"/>
              <w:gridCol w:w="2178"/>
              <w:gridCol w:w="1439"/>
              <w:gridCol w:w="1027"/>
              <w:gridCol w:w="758"/>
              <w:gridCol w:w="850"/>
              <w:gridCol w:w="688"/>
            </w:tblGrid>
            <w:tr w14:paraId="142C3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pct"/>
                  <w:noWrap w:val="0"/>
                  <w:vAlign w:val="center"/>
                </w:tcPr>
                <w:p w14:paraId="257F3F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监测点位</w:t>
                  </w:r>
                </w:p>
              </w:tc>
              <w:tc>
                <w:tcPr>
                  <w:tcW w:w="410" w:type="pct"/>
                  <w:noWrap w:val="0"/>
                  <w:vAlign w:val="center"/>
                </w:tcPr>
                <w:p w14:paraId="56037C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项目</w:t>
                  </w:r>
                </w:p>
              </w:tc>
              <w:tc>
                <w:tcPr>
                  <w:tcW w:w="1253" w:type="pct"/>
                  <w:noWrap w:val="0"/>
                  <w:vAlign w:val="center"/>
                </w:tcPr>
                <w:p w14:paraId="1089D7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监测日期</w:t>
                  </w:r>
                </w:p>
              </w:tc>
              <w:tc>
                <w:tcPr>
                  <w:tcW w:w="828" w:type="pct"/>
                  <w:noWrap w:val="0"/>
                  <w:vAlign w:val="center"/>
                </w:tcPr>
                <w:p w14:paraId="3C1953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eastAsia" w:eastAsia="宋体"/>
                      <w:b/>
                      <w:bCs/>
                      <w:color w:val="000000" w:themeColor="text1"/>
                      <w:sz w:val="21"/>
                      <w:szCs w:val="21"/>
                      <w:lang w:eastAsia="zh-CN"/>
                      <w14:textFill>
                        <w14:solidFill>
                          <w14:schemeClr w14:val="tx1"/>
                        </w14:solidFill>
                      </w14:textFill>
                    </w:rPr>
                  </w:pPr>
                  <w:r>
                    <w:rPr>
                      <w:b/>
                      <w:bCs/>
                      <w:color w:val="000000" w:themeColor="text1"/>
                      <w:sz w:val="21"/>
                      <w:szCs w:val="21"/>
                      <w14:textFill>
                        <w14:solidFill>
                          <w14:schemeClr w14:val="tx1"/>
                        </w14:solidFill>
                      </w14:textFill>
                    </w:rPr>
                    <w:t>采样</w:t>
                  </w:r>
                  <w:r>
                    <w:rPr>
                      <w:rFonts w:hint="eastAsia"/>
                      <w:b/>
                      <w:bCs/>
                      <w:color w:val="000000" w:themeColor="text1"/>
                      <w:sz w:val="21"/>
                      <w:szCs w:val="21"/>
                      <w:lang w:val="en-US" w:eastAsia="zh-CN"/>
                      <w14:textFill>
                        <w14:solidFill>
                          <w14:schemeClr w14:val="tx1"/>
                        </w14:solidFill>
                      </w14:textFill>
                    </w:rPr>
                    <w:t>时段</w:t>
                  </w:r>
                </w:p>
              </w:tc>
              <w:tc>
                <w:tcPr>
                  <w:tcW w:w="591" w:type="pct"/>
                  <w:noWrap w:val="0"/>
                  <w:vAlign w:val="center"/>
                </w:tcPr>
                <w:p w14:paraId="638F86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日均监测值</w:t>
                  </w:r>
                </w:p>
              </w:tc>
              <w:tc>
                <w:tcPr>
                  <w:tcW w:w="436" w:type="pct"/>
                  <w:noWrap w:val="0"/>
                  <w:vAlign w:val="center"/>
                </w:tcPr>
                <w:p w14:paraId="30852D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标准值</w:t>
                  </w:r>
                </w:p>
              </w:tc>
              <w:tc>
                <w:tcPr>
                  <w:tcW w:w="489" w:type="pct"/>
                  <w:noWrap w:val="0"/>
                  <w:vAlign w:val="center"/>
                </w:tcPr>
                <w:p w14:paraId="0748DF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占标率（%）</w:t>
                  </w:r>
                </w:p>
              </w:tc>
              <w:tc>
                <w:tcPr>
                  <w:tcW w:w="396" w:type="pct"/>
                  <w:noWrap w:val="0"/>
                  <w:vAlign w:val="center"/>
                </w:tcPr>
                <w:p w14:paraId="631299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达标情况</w:t>
                  </w:r>
                </w:p>
              </w:tc>
            </w:tr>
            <w:tr w14:paraId="7A695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pct"/>
                  <w:vMerge w:val="restart"/>
                  <w:noWrap w:val="0"/>
                  <w:vAlign w:val="center"/>
                </w:tcPr>
                <w:p w14:paraId="25E62C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A1：厂界上风向边界</w:t>
                  </w:r>
                </w:p>
              </w:tc>
              <w:tc>
                <w:tcPr>
                  <w:tcW w:w="410" w:type="pct"/>
                  <w:vMerge w:val="restart"/>
                  <w:noWrap w:val="0"/>
                  <w:vAlign w:val="center"/>
                </w:tcPr>
                <w:p w14:paraId="5CB09C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TSP</w:t>
                  </w:r>
                </w:p>
              </w:tc>
              <w:tc>
                <w:tcPr>
                  <w:tcW w:w="1253" w:type="pct"/>
                  <w:noWrap w:val="0"/>
                  <w:vAlign w:val="center"/>
                </w:tcPr>
                <w:p w14:paraId="7ADEA6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.26-2025.0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.27</w:t>
                  </w:r>
                </w:p>
              </w:tc>
              <w:tc>
                <w:tcPr>
                  <w:tcW w:w="828" w:type="pct"/>
                  <w:noWrap w:val="0"/>
                  <w:vAlign w:val="center"/>
                </w:tcPr>
                <w:p w14:paraId="6900D8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lang w:bidi="ar"/>
                      <w14:textFill>
                        <w14:solidFill>
                          <w14:schemeClr w14:val="tx1"/>
                        </w14:solidFill>
                      </w14:textFill>
                    </w:rPr>
                    <w:t>09:00-09:00（次日）</w:t>
                  </w:r>
                </w:p>
              </w:tc>
              <w:tc>
                <w:tcPr>
                  <w:tcW w:w="591" w:type="pct"/>
                  <w:noWrap w:val="0"/>
                  <w:vAlign w:val="center"/>
                </w:tcPr>
                <w:p w14:paraId="13DB47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111</w:t>
                  </w:r>
                </w:p>
              </w:tc>
              <w:tc>
                <w:tcPr>
                  <w:tcW w:w="436" w:type="pct"/>
                  <w:vMerge w:val="restart"/>
                  <w:noWrap w:val="0"/>
                  <w:vAlign w:val="center"/>
                </w:tcPr>
                <w:p w14:paraId="069A7A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300</w:t>
                  </w:r>
                </w:p>
              </w:tc>
              <w:tc>
                <w:tcPr>
                  <w:tcW w:w="849" w:type="dxa"/>
                  <w:noWrap w:val="0"/>
                  <w:vAlign w:val="center"/>
                </w:tcPr>
                <w:p w14:paraId="73FC6AB7">
                  <w:pPr>
                    <w:keepNext w:val="0"/>
                    <w:keepLines w:val="0"/>
                    <w:widowControl/>
                    <w:suppressLineNumbers w:val="0"/>
                    <w:jc w:val="center"/>
                    <w:textAlignment w:val="center"/>
                    <w:rPr>
                      <w:rFonts w:hint="default" w:eastAsia="等线"/>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37.0</w:t>
                  </w:r>
                </w:p>
              </w:tc>
              <w:tc>
                <w:tcPr>
                  <w:tcW w:w="396" w:type="pct"/>
                  <w:noWrap w:val="0"/>
                  <w:vAlign w:val="center"/>
                </w:tcPr>
                <w:p w14:paraId="329406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5527D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pct"/>
                  <w:vMerge w:val="continue"/>
                  <w:noWrap w:val="0"/>
                  <w:vAlign w:val="center"/>
                </w:tcPr>
                <w:p w14:paraId="67F0DE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410" w:type="pct"/>
                  <w:vMerge w:val="continue"/>
                  <w:noWrap w:val="0"/>
                  <w:vAlign w:val="center"/>
                </w:tcPr>
                <w:p w14:paraId="0F1BAA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1253" w:type="pct"/>
                  <w:noWrap w:val="0"/>
                  <w:vAlign w:val="center"/>
                </w:tcPr>
                <w:p w14:paraId="4B9370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.27-2025.0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.28</w:t>
                  </w:r>
                </w:p>
              </w:tc>
              <w:tc>
                <w:tcPr>
                  <w:tcW w:w="828" w:type="pct"/>
                  <w:noWrap w:val="0"/>
                  <w:vAlign w:val="center"/>
                </w:tcPr>
                <w:p w14:paraId="10ADE9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09:10-09:10（次日）</w:t>
                  </w:r>
                </w:p>
              </w:tc>
              <w:tc>
                <w:tcPr>
                  <w:tcW w:w="591" w:type="pct"/>
                  <w:noWrap w:val="0"/>
                  <w:vAlign w:val="center"/>
                </w:tcPr>
                <w:p w14:paraId="471981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104</w:t>
                  </w:r>
                </w:p>
              </w:tc>
              <w:tc>
                <w:tcPr>
                  <w:tcW w:w="436" w:type="pct"/>
                  <w:vMerge w:val="continue"/>
                  <w:noWrap w:val="0"/>
                  <w:vAlign w:val="center"/>
                </w:tcPr>
                <w:p w14:paraId="1A5470D8">
                  <w:pPr>
                    <w:keepNext w:val="0"/>
                    <w:keepLines w:val="0"/>
                    <w:pageBreakBefore w:val="0"/>
                    <w:widowControl w:val="0"/>
                    <w:kinsoku/>
                    <w:wordWrap/>
                    <w:overflowPunct/>
                    <w:topLinePunct w:val="0"/>
                    <w:autoSpaceDE/>
                    <w:autoSpaceDN/>
                    <w:bidi w:val="0"/>
                    <w:adjustRightInd/>
                    <w:snapToGrid/>
                    <w:spacing w:line="240" w:lineRule="auto"/>
                    <w:ind w:firstLine="0"/>
                    <w:jc w:val="center"/>
                    <w:rPr>
                      <w:color w:val="000000" w:themeColor="text1"/>
                      <w:sz w:val="21"/>
                      <w:szCs w:val="21"/>
                      <w14:textFill>
                        <w14:solidFill>
                          <w14:schemeClr w14:val="tx1"/>
                        </w14:solidFill>
                      </w14:textFill>
                    </w:rPr>
                  </w:pPr>
                </w:p>
              </w:tc>
              <w:tc>
                <w:tcPr>
                  <w:tcW w:w="849" w:type="dxa"/>
                  <w:noWrap w:val="0"/>
                  <w:vAlign w:val="center"/>
                </w:tcPr>
                <w:p w14:paraId="7B3D1C1E">
                  <w:pPr>
                    <w:keepNext w:val="0"/>
                    <w:keepLines w:val="0"/>
                    <w:widowControl/>
                    <w:suppressLineNumbers w:val="0"/>
                    <w:jc w:val="center"/>
                    <w:textAlignment w:val="center"/>
                    <w:rPr>
                      <w:color w:val="000000" w:themeColor="text1"/>
                      <w:sz w:val="21"/>
                      <w:szCs w:val="21"/>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34.7</w:t>
                  </w:r>
                </w:p>
              </w:tc>
              <w:tc>
                <w:tcPr>
                  <w:tcW w:w="396" w:type="pct"/>
                  <w:noWrap w:val="0"/>
                  <w:vAlign w:val="center"/>
                </w:tcPr>
                <w:p w14:paraId="380AD1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6D1B4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pct"/>
                  <w:vMerge w:val="continue"/>
                  <w:noWrap w:val="0"/>
                  <w:vAlign w:val="center"/>
                </w:tcPr>
                <w:p w14:paraId="27B9B8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410" w:type="pct"/>
                  <w:vMerge w:val="continue"/>
                  <w:noWrap w:val="0"/>
                  <w:vAlign w:val="center"/>
                </w:tcPr>
                <w:p w14:paraId="1AF408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1253" w:type="pct"/>
                  <w:noWrap w:val="0"/>
                  <w:vAlign w:val="center"/>
                </w:tcPr>
                <w:p w14:paraId="0CF709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.28-2025.0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.29</w:t>
                  </w:r>
                </w:p>
              </w:tc>
              <w:tc>
                <w:tcPr>
                  <w:tcW w:w="828" w:type="pct"/>
                  <w:noWrap w:val="0"/>
                  <w:vAlign w:val="center"/>
                </w:tcPr>
                <w:p w14:paraId="504477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lang w:bidi="ar"/>
                      <w14:textFill>
                        <w14:solidFill>
                          <w14:schemeClr w14:val="tx1"/>
                        </w14:solidFill>
                      </w14:textFill>
                    </w:rPr>
                    <w:t>09:20-09:20（次日）</w:t>
                  </w:r>
                </w:p>
              </w:tc>
              <w:tc>
                <w:tcPr>
                  <w:tcW w:w="591" w:type="pct"/>
                  <w:noWrap w:val="0"/>
                  <w:vAlign w:val="center"/>
                </w:tcPr>
                <w:p w14:paraId="23D9B5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109</w:t>
                  </w:r>
                </w:p>
              </w:tc>
              <w:tc>
                <w:tcPr>
                  <w:tcW w:w="436" w:type="pct"/>
                  <w:vMerge w:val="continue"/>
                  <w:noWrap w:val="0"/>
                  <w:vAlign w:val="center"/>
                </w:tcPr>
                <w:p w14:paraId="4CF20A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849" w:type="dxa"/>
                  <w:noWrap w:val="0"/>
                  <w:vAlign w:val="center"/>
                </w:tcPr>
                <w:p w14:paraId="492F5DF1">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36.3</w:t>
                  </w:r>
                </w:p>
              </w:tc>
              <w:tc>
                <w:tcPr>
                  <w:tcW w:w="396" w:type="pct"/>
                  <w:noWrap w:val="0"/>
                  <w:vAlign w:val="center"/>
                </w:tcPr>
                <w:p w14:paraId="5EE190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597E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pct"/>
                  <w:vMerge w:val="restart"/>
                  <w:noWrap w:val="0"/>
                  <w:vAlign w:val="center"/>
                </w:tcPr>
                <w:p w14:paraId="6C2B81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A2:厂界下风向边界</w:t>
                  </w:r>
                </w:p>
              </w:tc>
              <w:tc>
                <w:tcPr>
                  <w:tcW w:w="410" w:type="pct"/>
                  <w:vMerge w:val="continue"/>
                  <w:noWrap w:val="0"/>
                  <w:vAlign w:val="center"/>
                </w:tcPr>
                <w:p w14:paraId="7CB301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2176" w:type="dxa"/>
                  <w:noWrap w:val="0"/>
                  <w:vAlign w:val="center"/>
                </w:tcPr>
                <w:p w14:paraId="1D42BA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.26-2025.0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.27</w:t>
                  </w:r>
                </w:p>
              </w:tc>
              <w:tc>
                <w:tcPr>
                  <w:tcW w:w="828" w:type="pct"/>
                  <w:noWrap w:val="0"/>
                  <w:vAlign w:val="center"/>
                </w:tcPr>
                <w:p w14:paraId="518488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09:00-09:00（次日）</w:t>
                  </w:r>
                </w:p>
              </w:tc>
              <w:tc>
                <w:tcPr>
                  <w:tcW w:w="591" w:type="pct"/>
                  <w:noWrap w:val="0"/>
                  <w:vAlign w:val="center"/>
                </w:tcPr>
                <w:p w14:paraId="02B5D6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103</w:t>
                  </w:r>
                </w:p>
              </w:tc>
              <w:tc>
                <w:tcPr>
                  <w:tcW w:w="436" w:type="pct"/>
                  <w:vMerge w:val="continue"/>
                  <w:noWrap w:val="0"/>
                  <w:vAlign w:val="center"/>
                </w:tcPr>
                <w:p w14:paraId="775C2A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849" w:type="dxa"/>
                  <w:noWrap w:val="0"/>
                  <w:vAlign w:val="center"/>
                </w:tcPr>
                <w:p w14:paraId="6EA20AD7">
                  <w:pPr>
                    <w:keepNext w:val="0"/>
                    <w:keepLines w:val="0"/>
                    <w:widowControl/>
                    <w:suppressLineNumbers w:val="0"/>
                    <w:jc w:val="center"/>
                    <w:textAlignment w:val="center"/>
                    <w:rPr>
                      <w:color w:val="000000" w:themeColor="text1"/>
                      <w:sz w:val="21"/>
                      <w:szCs w:val="21"/>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34.3</w:t>
                  </w:r>
                </w:p>
              </w:tc>
              <w:tc>
                <w:tcPr>
                  <w:tcW w:w="396" w:type="pct"/>
                  <w:noWrap w:val="0"/>
                  <w:vAlign w:val="center"/>
                </w:tcPr>
                <w:p w14:paraId="119D02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41BA4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pct"/>
                  <w:vMerge w:val="continue"/>
                  <w:noWrap w:val="0"/>
                  <w:vAlign w:val="center"/>
                </w:tcPr>
                <w:p w14:paraId="51CF6F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410" w:type="pct"/>
                  <w:vMerge w:val="continue"/>
                  <w:noWrap w:val="0"/>
                  <w:vAlign w:val="center"/>
                </w:tcPr>
                <w:p w14:paraId="126CFD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2176" w:type="dxa"/>
                  <w:noWrap w:val="0"/>
                  <w:vAlign w:val="center"/>
                </w:tcPr>
                <w:p w14:paraId="7DE97D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.27-2025.0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.28</w:t>
                  </w:r>
                </w:p>
              </w:tc>
              <w:tc>
                <w:tcPr>
                  <w:tcW w:w="828" w:type="pct"/>
                  <w:noWrap w:val="0"/>
                  <w:vAlign w:val="center"/>
                </w:tcPr>
                <w:p w14:paraId="1457F3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09:10-09:10（次日）</w:t>
                  </w:r>
                </w:p>
              </w:tc>
              <w:tc>
                <w:tcPr>
                  <w:tcW w:w="591" w:type="pct"/>
                  <w:noWrap w:val="0"/>
                  <w:vAlign w:val="center"/>
                </w:tcPr>
                <w:p w14:paraId="218FB1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108</w:t>
                  </w:r>
                </w:p>
              </w:tc>
              <w:tc>
                <w:tcPr>
                  <w:tcW w:w="436" w:type="pct"/>
                  <w:vMerge w:val="continue"/>
                  <w:noWrap w:val="0"/>
                  <w:vAlign w:val="center"/>
                </w:tcPr>
                <w:p w14:paraId="6C3097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849" w:type="dxa"/>
                  <w:noWrap w:val="0"/>
                  <w:vAlign w:val="center"/>
                </w:tcPr>
                <w:p w14:paraId="29446105">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36.0</w:t>
                  </w:r>
                </w:p>
              </w:tc>
              <w:tc>
                <w:tcPr>
                  <w:tcW w:w="396" w:type="pct"/>
                  <w:noWrap w:val="0"/>
                  <w:vAlign w:val="center"/>
                </w:tcPr>
                <w:p w14:paraId="20EA30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72375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pct"/>
                  <w:vMerge w:val="continue"/>
                  <w:noWrap w:val="0"/>
                  <w:vAlign w:val="center"/>
                </w:tcPr>
                <w:p w14:paraId="136FE5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410" w:type="pct"/>
                  <w:vMerge w:val="continue"/>
                  <w:noWrap w:val="0"/>
                  <w:vAlign w:val="center"/>
                </w:tcPr>
                <w:p w14:paraId="35C907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2176" w:type="dxa"/>
                  <w:noWrap w:val="0"/>
                  <w:vAlign w:val="center"/>
                </w:tcPr>
                <w:p w14:paraId="4D8D75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.28-2025.0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.29</w:t>
                  </w:r>
                </w:p>
              </w:tc>
              <w:tc>
                <w:tcPr>
                  <w:tcW w:w="828" w:type="pct"/>
                  <w:noWrap w:val="0"/>
                  <w:vAlign w:val="center"/>
                </w:tcPr>
                <w:p w14:paraId="577582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09:20-09:20（次日）</w:t>
                  </w:r>
                </w:p>
              </w:tc>
              <w:tc>
                <w:tcPr>
                  <w:tcW w:w="591" w:type="pct"/>
                  <w:noWrap w:val="0"/>
                  <w:vAlign w:val="center"/>
                </w:tcPr>
                <w:p w14:paraId="0A68FA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113</w:t>
                  </w:r>
                </w:p>
              </w:tc>
              <w:tc>
                <w:tcPr>
                  <w:tcW w:w="436" w:type="pct"/>
                  <w:vMerge w:val="continue"/>
                  <w:noWrap w:val="0"/>
                  <w:vAlign w:val="center"/>
                </w:tcPr>
                <w:p w14:paraId="3F69A1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849" w:type="dxa"/>
                  <w:noWrap w:val="0"/>
                  <w:vAlign w:val="center"/>
                </w:tcPr>
                <w:p w14:paraId="6801F19C">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37.7</w:t>
                  </w:r>
                </w:p>
              </w:tc>
              <w:tc>
                <w:tcPr>
                  <w:tcW w:w="396" w:type="pct"/>
                  <w:noWrap w:val="0"/>
                  <w:vAlign w:val="center"/>
                </w:tcPr>
                <w:p w14:paraId="36F7A0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06B08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9" w:type="dxa"/>
                  <w:vMerge w:val="restart"/>
                  <w:noWrap w:val="0"/>
                  <w:vAlign w:val="center"/>
                </w:tcPr>
                <w:p w14:paraId="6A43AF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A1：厂界上风向边界</w:t>
                  </w:r>
                </w:p>
              </w:tc>
              <w:tc>
                <w:tcPr>
                  <w:tcW w:w="410" w:type="pct"/>
                  <w:vMerge w:val="restart"/>
                  <w:noWrap w:val="0"/>
                  <w:vAlign w:val="center"/>
                </w:tcPr>
                <w:p w14:paraId="1C29B3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二氧化硫</w:t>
                  </w:r>
                </w:p>
              </w:tc>
              <w:tc>
                <w:tcPr>
                  <w:tcW w:w="2176" w:type="dxa"/>
                  <w:noWrap w:val="0"/>
                  <w:vAlign w:val="center"/>
                </w:tcPr>
                <w:p w14:paraId="18B68A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.26-2025.0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.27</w:t>
                  </w:r>
                </w:p>
              </w:tc>
              <w:tc>
                <w:tcPr>
                  <w:tcW w:w="828" w:type="pct"/>
                  <w:noWrap w:val="0"/>
                  <w:vAlign w:val="center"/>
                </w:tcPr>
                <w:p w14:paraId="3B0764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lang w:bidi="ar"/>
                      <w14:textFill>
                        <w14:solidFill>
                          <w14:schemeClr w14:val="tx1"/>
                        </w14:solidFill>
                      </w14:textFill>
                    </w:rPr>
                    <w:t>09:00-09:00（次日）</w:t>
                  </w:r>
                </w:p>
              </w:tc>
              <w:tc>
                <w:tcPr>
                  <w:tcW w:w="591" w:type="pct"/>
                  <w:noWrap w:val="0"/>
                  <w:vAlign w:val="center"/>
                </w:tcPr>
                <w:p w14:paraId="2F6E3C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16</w:t>
                  </w:r>
                </w:p>
              </w:tc>
              <w:tc>
                <w:tcPr>
                  <w:tcW w:w="436" w:type="pct"/>
                  <w:vMerge w:val="restart"/>
                  <w:noWrap w:val="0"/>
                  <w:vAlign w:val="center"/>
                </w:tcPr>
                <w:p w14:paraId="771B01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150</w:t>
                  </w:r>
                </w:p>
              </w:tc>
              <w:tc>
                <w:tcPr>
                  <w:tcW w:w="849" w:type="dxa"/>
                  <w:noWrap w:val="0"/>
                  <w:vAlign w:val="center"/>
                </w:tcPr>
                <w:p w14:paraId="5D88CBBE">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10.7</w:t>
                  </w:r>
                </w:p>
              </w:tc>
              <w:tc>
                <w:tcPr>
                  <w:tcW w:w="396" w:type="pct"/>
                  <w:noWrap w:val="0"/>
                  <w:vAlign w:val="center"/>
                </w:tcPr>
                <w:p w14:paraId="21EB22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13A02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pct"/>
                  <w:vMerge w:val="continue"/>
                  <w:noWrap w:val="0"/>
                  <w:vAlign w:val="center"/>
                </w:tcPr>
                <w:p w14:paraId="58D31D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410" w:type="pct"/>
                  <w:vMerge w:val="continue"/>
                  <w:noWrap w:val="0"/>
                  <w:vAlign w:val="center"/>
                </w:tcPr>
                <w:p w14:paraId="589609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2176" w:type="dxa"/>
                  <w:noWrap w:val="0"/>
                  <w:vAlign w:val="center"/>
                </w:tcPr>
                <w:p w14:paraId="67ACDB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.27-2025.0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.28</w:t>
                  </w:r>
                </w:p>
              </w:tc>
              <w:tc>
                <w:tcPr>
                  <w:tcW w:w="828" w:type="pct"/>
                  <w:noWrap w:val="0"/>
                  <w:vAlign w:val="center"/>
                </w:tcPr>
                <w:p w14:paraId="73569E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09:10-09:10（次日）</w:t>
                  </w:r>
                </w:p>
              </w:tc>
              <w:tc>
                <w:tcPr>
                  <w:tcW w:w="591" w:type="pct"/>
                  <w:noWrap w:val="0"/>
                  <w:vAlign w:val="center"/>
                </w:tcPr>
                <w:p w14:paraId="010F37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16</w:t>
                  </w:r>
                </w:p>
              </w:tc>
              <w:tc>
                <w:tcPr>
                  <w:tcW w:w="436" w:type="pct"/>
                  <w:vMerge w:val="continue"/>
                  <w:noWrap w:val="0"/>
                  <w:vAlign w:val="center"/>
                </w:tcPr>
                <w:p w14:paraId="3A997F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849" w:type="dxa"/>
                  <w:noWrap w:val="0"/>
                  <w:vAlign w:val="center"/>
                </w:tcPr>
                <w:p w14:paraId="08E51FF0">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10.7</w:t>
                  </w:r>
                </w:p>
              </w:tc>
              <w:tc>
                <w:tcPr>
                  <w:tcW w:w="396" w:type="pct"/>
                  <w:noWrap w:val="0"/>
                  <w:vAlign w:val="center"/>
                </w:tcPr>
                <w:p w14:paraId="795F7F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6E32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pct"/>
                  <w:vMerge w:val="continue"/>
                  <w:noWrap w:val="0"/>
                  <w:vAlign w:val="center"/>
                </w:tcPr>
                <w:p w14:paraId="140C5D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410" w:type="pct"/>
                  <w:vMerge w:val="continue"/>
                  <w:noWrap w:val="0"/>
                  <w:vAlign w:val="center"/>
                </w:tcPr>
                <w:p w14:paraId="008518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2176" w:type="dxa"/>
                  <w:noWrap w:val="0"/>
                  <w:vAlign w:val="center"/>
                </w:tcPr>
                <w:p w14:paraId="5F313A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.28-2025.0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.29</w:t>
                  </w:r>
                </w:p>
              </w:tc>
              <w:tc>
                <w:tcPr>
                  <w:tcW w:w="828" w:type="pct"/>
                  <w:noWrap w:val="0"/>
                  <w:vAlign w:val="center"/>
                </w:tcPr>
                <w:p w14:paraId="71ACFB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09:20-09:20（次日）</w:t>
                  </w:r>
                </w:p>
              </w:tc>
              <w:tc>
                <w:tcPr>
                  <w:tcW w:w="591" w:type="pct"/>
                  <w:noWrap w:val="0"/>
                  <w:vAlign w:val="center"/>
                </w:tcPr>
                <w:p w14:paraId="40F92D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14</w:t>
                  </w:r>
                </w:p>
              </w:tc>
              <w:tc>
                <w:tcPr>
                  <w:tcW w:w="436" w:type="pct"/>
                  <w:vMerge w:val="continue"/>
                  <w:noWrap w:val="0"/>
                  <w:vAlign w:val="center"/>
                </w:tcPr>
                <w:p w14:paraId="71F6D3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849" w:type="dxa"/>
                  <w:noWrap w:val="0"/>
                  <w:vAlign w:val="center"/>
                </w:tcPr>
                <w:p w14:paraId="53D86083">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9.3</w:t>
                  </w:r>
                </w:p>
              </w:tc>
              <w:tc>
                <w:tcPr>
                  <w:tcW w:w="396" w:type="pct"/>
                  <w:noWrap w:val="0"/>
                  <w:vAlign w:val="center"/>
                </w:tcPr>
                <w:p w14:paraId="39ED65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370B5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9" w:type="dxa"/>
                  <w:vMerge w:val="restart"/>
                  <w:noWrap w:val="0"/>
                  <w:vAlign w:val="center"/>
                </w:tcPr>
                <w:p w14:paraId="771244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A2:厂界下风向边界</w:t>
                  </w:r>
                </w:p>
              </w:tc>
              <w:tc>
                <w:tcPr>
                  <w:tcW w:w="410" w:type="pct"/>
                  <w:vMerge w:val="continue"/>
                  <w:noWrap w:val="0"/>
                  <w:vAlign w:val="center"/>
                </w:tcPr>
                <w:p w14:paraId="646D18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2176" w:type="dxa"/>
                  <w:noWrap w:val="0"/>
                  <w:vAlign w:val="center"/>
                </w:tcPr>
                <w:p w14:paraId="14806D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.26-2025.0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.27</w:t>
                  </w:r>
                </w:p>
              </w:tc>
              <w:tc>
                <w:tcPr>
                  <w:tcW w:w="828" w:type="pct"/>
                  <w:noWrap w:val="0"/>
                  <w:vAlign w:val="center"/>
                </w:tcPr>
                <w:p w14:paraId="467BFF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09:00-09:00（次日）</w:t>
                  </w:r>
                </w:p>
              </w:tc>
              <w:tc>
                <w:tcPr>
                  <w:tcW w:w="591" w:type="pct"/>
                  <w:noWrap w:val="0"/>
                  <w:vAlign w:val="center"/>
                </w:tcPr>
                <w:p w14:paraId="09E737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13</w:t>
                  </w:r>
                </w:p>
              </w:tc>
              <w:tc>
                <w:tcPr>
                  <w:tcW w:w="436" w:type="pct"/>
                  <w:vMerge w:val="continue"/>
                  <w:noWrap w:val="0"/>
                  <w:vAlign w:val="center"/>
                </w:tcPr>
                <w:p w14:paraId="1772AB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849" w:type="dxa"/>
                  <w:noWrap w:val="0"/>
                  <w:vAlign w:val="center"/>
                </w:tcPr>
                <w:p w14:paraId="7799523C">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8.7</w:t>
                  </w:r>
                </w:p>
              </w:tc>
              <w:tc>
                <w:tcPr>
                  <w:tcW w:w="396" w:type="pct"/>
                  <w:noWrap w:val="0"/>
                  <w:vAlign w:val="center"/>
                </w:tcPr>
                <w:p w14:paraId="7ED1B3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4E20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pct"/>
                  <w:vMerge w:val="continue"/>
                  <w:noWrap w:val="0"/>
                  <w:vAlign w:val="center"/>
                </w:tcPr>
                <w:p w14:paraId="2ED6BD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410" w:type="pct"/>
                  <w:vMerge w:val="continue"/>
                  <w:noWrap w:val="0"/>
                  <w:vAlign w:val="center"/>
                </w:tcPr>
                <w:p w14:paraId="79206F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2176" w:type="dxa"/>
                  <w:noWrap w:val="0"/>
                  <w:vAlign w:val="center"/>
                </w:tcPr>
                <w:p w14:paraId="65F109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.27-2025.0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.28</w:t>
                  </w:r>
                </w:p>
              </w:tc>
              <w:tc>
                <w:tcPr>
                  <w:tcW w:w="828" w:type="pct"/>
                  <w:noWrap w:val="0"/>
                  <w:vAlign w:val="center"/>
                </w:tcPr>
                <w:p w14:paraId="75C6EC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09:10-09:10（次日）</w:t>
                  </w:r>
                </w:p>
              </w:tc>
              <w:tc>
                <w:tcPr>
                  <w:tcW w:w="591" w:type="pct"/>
                  <w:noWrap w:val="0"/>
                  <w:vAlign w:val="center"/>
                </w:tcPr>
                <w:p w14:paraId="470E22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14</w:t>
                  </w:r>
                </w:p>
              </w:tc>
              <w:tc>
                <w:tcPr>
                  <w:tcW w:w="436" w:type="pct"/>
                  <w:vMerge w:val="continue"/>
                  <w:noWrap w:val="0"/>
                  <w:vAlign w:val="center"/>
                </w:tcPr>
                <w:p w14:paraId="741D76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849" w:type="dxa"/>
                  <w:noWrap w:val="0"/>
                  <w:vAlign w:val="center"/>
                </w:tcPr>
                <w:p w14:paraId="08747285">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9.3</w:t>
                  </w:r>
                </w:p>
              </w:tc>
              <w:tc>
                <w:tcPr>
                  <w:tcW w:w="396" w:type="pct"/>
                  <w:noWrap w:val="0"/>
                  <w:vAlign w:val="center"/>
                </w:tcPr>
                <w:p w14:paraId="2EBF80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588A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pct"/>
                  <w:vMerge w:val="continue"/>
                  <w:noWrap w:val="0"/>
                  <w:vAlign w:val="center"/>
                </w:tcPr>
                <w:p w14:paraId="196D7A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410" w:type="pct"/>
                  <w:vMerge w:val="continue"/>
                  <w:noWrap w:val="0"/>
                  <w:vAlign w:val="center"/>
                </w:tcPr>
                <w:p w14:paraId="4318D3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2176" w:type="dxa"/>
                  <w:noWrap w:val="0"/>
                  <w:vAlign w:val="center"/>
                </w:tcPr>
                <w:p w14:paraId="436423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.28-2025.0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.29</w:t>
                  </w:r>
                </w:p>
              </w:tc>
              <w:tc>
                <w:tcPr>
                  <w:tcW w:w="828" w:type="pct"/>
                  <w:noWrap w:val="0"/>
                  <w:vAlign w:val="center"/>
                </w:tcPr>
                <w:p w14:paraId="2DF018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09:20-09:20（次日）</w:t>
                  </w:r>
                </w:p>
              </w:tc>
              <w:tc>
                <w:tcPr>
                  <w:tcW w:w="591" w:type="pct"/>
                  <w:noWrap w:val="0"/>
                  <w:vAlign w:val="center"/>
                </w:tcPr>
                <w:p w14:paraId="7190D6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19</w:t>
                  </w:r>
                </w:p>
              </w:tc>
              <w:tc>
                <w:tcPr>
                  <w:tcW w:w="436" w:type="pct"/>
                  <w:vMerge w:val="continue"/>
                  <w:noWrap w:val="0"/>
                  <w:vAlign w:val="center"/>
                </w:tcPr>
                <w:p w14:paraId="657D36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849" w:type="dxa"/>
                  <w:noWrap w:val="0"/>
                  <w:vAlign w:val="center"/>
                </w:tcPr>
                <w:p w14:paraId="7456A15C">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12.7</w:t>
                  </w:r>
                </w:p>
              </w:tc>
              <w:tc>
                <w:tcPr>
                  <w:tcW w:w="396" w:type="pct"/>
                  <w:noWrap w:val="0"/>
                  <w:vAlign w:val="center"/>
                </w:tcPr>
                <w:p w14:paraId="4F788C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1809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9" w:type="dxa"/>
                  <w:vMerge w:val="restart"/>
                  <w:noWrap w:val="0"/>
                  <w:vAlign w:val="center"/>
                </w:tcPr>
                <w:p w14:paraId="469055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A1：厂界上风向边界</w:t>
                  </w:r>
                </w:p>
              </w:tc>
              <w:tc>
                <w:tcPr>
                  <w:tcW w:w="410" w:type="pct"/>
                  <w:vMerge w:val="restart"/>
                  <w:noWrap w:val="0"/>
                  <w:vAlign w:val="center"/>
                </w:tcPr>
                <w:p w14:paraId="724B1F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氮氧化物</w:t>
                  </w:r>
                </w:p>
              </w:tc>
              <w:tc>
                <w:tcPr>
                  <w:tcW w:w="2176" w:type="dxa"/>
                  <w:noWrap w:val="0"/>
                  <w:vAlign w:val="center"/>
                </w:tcPr>
                <w:p w14:paraId="2407BE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.26-2025.0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.27</w:t>
                  </w:r>
                </w:p>
              </w:tc>
              <w:tc>
                <w:tcPr>
                  <w:tcW w:w="828" w:type="pct"/>
                  <w:noWrap w:val="0"/>
                  <w:vAlign w:val="center"/>
                </w:tcPr>
                <w:p w14:paraId="700EF5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lang w:bidi="ar"/>
                      <w14:textFill>
                        <w14:solidFill>
                          <w14:schemeClr w14:val="tx1"/>
                        </w14:solidFill>
                      </w14:textFill>
                    </w:rPr>
                    <w:t>09:00-09:00（次日）</w:t>
                  </w:r>
                </w:p>
              </w:tc>
              <w:tc>
                <w:tcPr>
                  <w:tcW w:w="591" w:type="pct"/>
                  <w:noWrap w:val="0"/>
                  <w:vAlign w:val="center"/>
                </w:tcPr>
                <w:p w14:paraId="49EB11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13</w:t>
                  </w:r>
                </w:p>
              </w:tc>
              <w:tc>
                <w:tcPr>
                  <w:tcW w:w="436" w:type="pct"/>
                  <w:vMerge w:val="restart"/>
                  <w:noWrap w:val="0"/>
                  <w:vAlign w:val="center"/>
                </w:tcPr>
                <w:p w14:paraId="266382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100</w:t>
                  </w:r>
                </w:p>
              </w:tc>
              <w:tc>
                <w:tcPr>
                  <w:tcW w:w="849" w:type="dxa"/>
                  <w:noWrap w:val="0"/>
                  <w:vAlign w:val="center"/>
                </w:tcPr>
                <w:p w14:paraId="0952099C">
                  <w:pPr>
                    <w:keepNext w:val="0"/>
                    <w:keepLines w:val="0"/>
                    <w:widowControl/>
                    <w:suppressLineNumbers w:val="0"/>
                    <w:jc w:val="center"/>
                    <w:textAlignment w:val="center"/>
                    <w:rPr>
                      <w:color w:val="000000" w:themeColor="text1"/>
                      <w:sz w:val="21"/>
                      <w:szCs w:val="21"/>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13.0</w:t>
                  </w:r>
                </w:p>
              </w:tc>
              <w:tc>
                <w:tcPr>
                  <w:tcW w:w="396" w:type="pct"/>
                  <w:noWrap w:val="0"/>
                  <w:vAlign w:val="center"/>
                </w:tcPr>
                <w:p w14:paraId="6E1940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69D14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pct"/>
                  <w:vMerge w:val="continue"/>
                  <w:noWrap w:val="0"/>
                  <w:vAlign w:val="center"/>
                </w:tcPr>
                <w:p w14:paraId="73C13C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410" w:type="pct"/>
                  <w:vMerge w:val="continue"/>
                  <w:noWrap w:val="0"/>
                  <w:vAlign w:val="center"/>
                </w:tcPr>
                <w:p w14:paraId="1A94E6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2176" w:type="dxa"/>
                  <w:noWrap w:val="0"/>
                  <w:vAlign w:val="center"/>
                </w:tcPr>
                <w:p w14:paraId="443EE6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.27-2025.0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.28</w:t>
                  </w:r>
                </w:p>
              </w:tc>
              <w:tc>
                <w:tcPr>
                  <w:tcW w:w="828" w:type="pct"/>
                  <w:noWrap w:val="0"/>
                  <w:vAlign w:val="center"/>
                </w:tcPr>
                <w:p w14:paraId="26778A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09:10-09:10（次日）</w:t>
                  </w:r>
                </w:p>
              </w:tc>
              <w:tc>
                <w:tcPr>
                  <w:tcW w:w="591" w:type="pct"/>
                  <w:noWrap w:val="0"/>
                  <w:vAlign w:val="center"/>
                </w:tcPr>
                <w:p w14:paraId="73B369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11</w:t>
                  </w:r>
                </w:p>
              </w:tc>
              <w:tc>
                <w:tcPr>
                  <w:tcW w:w="436" w:type="pct"/>
                  <w:vMerge w:val="continue"/>
                  <w:noWrap w:val="0"/>
                  <w:vAlign w:val="center"/>
                </w:tcPr>
                <w:p w14:paraId="2E91FFAB">
                  <w:pPr>
                    <w:keepNext w:val="0"/>
                    <w:keepLines w:val="0"/>
                    <w:pageBreakBefore w:val="0"/>
                    <w:widowControl w:val="0"/>
                    <w:kinsoku/>
                    <w:wordWrap/>
                    <w:overflowPunct/>
                    <w:topLinePunct w:val="0"/>
                    <w:autoSpaceDE/>
                    <w:autoSpaceDN/>
                    <w:bidi w:val="0"/>
                    <w:adjustRightInd/>
                    <w:snapToGrid/>
                    <w:spacing w:line="240" w:lineRule="auto"/>
                    <w:ind w:firstLine="0"/>
                    <w:jc w:val="center"/>
                    <w:rPr>
                      <w:color w:val="000000" w:themeColor="text1"/>
                      <w:sz w:val="21"/>
                      <w:szCs w:val="21"/>
                      <w14:textFill>
                        <w14:solidFill>
                          <w14:schemeClr w14:val="tx1"/>
                        </w14:solidFill>
                      </w14:textFill>
                    </w:rPr>
                  </w:pPr>
                </w:p>
              </w:tc>
              <w:tc>
                <w:tcPr>
                  <w:tcW w:w="849" w:type="dxa"/>
                  <w:noWrap w:val="0"/>
                  <w:vAlign w:val="center"/>
                </w:tcPr>
                <w:p w14:paraId="0604504E">
                  <w:pPr>
                    <w:keepNext w:val="0"/>
                    <w:keepLines w:val="0"/>
                    <w:widowControl/>
                    <w:suppressLineNumbers w:val="0"/>
                    <w:jc w:val="center"/>
                    <w:textAlignment w:val="center"/>
                    <w:rPr>
                      <w:color w:val="000000" w:themeColor="text1"/>
                      <w:sz w:val="21"/>
                      <w:szCs w:val="21"/>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11.0</w:t>
                  </w:r>
                </w:p>
              </w:tc>
              <w:tc>
                <w:tcPr>
                  <w:tcW w:w="396" w:type="pct"/>
                  <w:noWrap w:val="0"/>
                  <w:vAlign w:val="center"/>
                </w:tcPr>
                <w:p w14:paraId="6D741E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5B11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pct"/>
                  <w:vMerge w:val="continue"/>
                  <w:noWrap w:val="0"/>
                  <w:vAlign w:val="center"/>
                </w:tcPr>
                <w:p w14:paraId="434880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410" w:type="pct"/>
                  <w:vMerge w:val="continue"/>
                  <w:noWrap w:val="0"/>
                  <w:vAlign w:val="center"/>
                </w:tcPr>
                <w:p w14:paraId="337647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2176" w:type="dxa"/>
                  <w:noWrap w:val="0"/>
                  <w:vAlign w:val="center"/>
                </w:tcPr>
                <w:p w14:paraId="579D4E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.28-2025.0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.29</w:t>
                  </w:r>
                </w:p>
              </w:tc>
              <w:tc>
                <w:tcPr>
                  <w:tcW w:w="828" w:type="pct"/>
                  <w:noWrap w:val="0"/>
                  <w:vAlign w:val="center"/>
                </w:tcPr>
                <w:p w14:paraId="14189D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09:20-09:20（次日）</w:t>
                  </w:r>
                </w:p>
              </w:tc>
              <w:tc>
                <w:tcPr>
                  <w:tcW w:w="591" w:type="pct"/>
                  <w:noWrap w:val="0"/>
                  <w:vAlign w:val="center"/>
                </w:tcPr>
                <w:p w14:paraId="767273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14</w:t>
                  </w:r>
                </w:p>
              </w:tc>
              <w:tc>
                <w:tcPr>
                  <w:tcW w:w="436" w:type="pct"/>
                  <w:vMerge w:val="continue"/>
                  <w:noWrap w:val="0"/>
                  <w:vAlign w:val="center"/>
                </w:tcPr>
                <w:p w14:paraId="1B7F3921">
                  <w:pPr>
                    <w:keepNext w:val="0"/>
                    <w:keepLines w:val="0"/>
                    <w:pageBreakBefore w:val="0"/>
                    <w:widowControl w:val="0"/>
                    <w:kinsoku/>
                    <w:wordWrap/>
                    <w:overflowPunct/>
                    <w:topLinePunct w:val="0"/>
                    <w:autoSpaceDE/>
                    <w:autoSpaceDN/>
                    <w:bidi w:val="0"/>
                    <w:adjustRightInd/>
                    <w:snapToGrid/>
                    <w:spacing w:line="240" w:lineRule="auto"/>
                    <w:ind w:firstLine="0"/>
                    <w:jc w:val="center"/>
                    <w:rPr>
                      <w:color w:val="000000" w:themeColor="text1"/>
                      <w:sz w:val="21"/>
                      <w:szCs w:val="21"/>
                      <w14:textFill>
                        <w14:solidFill>
                          <w14:schemeClr w14:val="tx1"/>
                        </w14:solidFill>
                      </w14:textFill>
                    </w:rPr>
                  </w:pPr>
                </w:p>
              </w:tc>
              <w:tc>
                <w:tcPr>
                  <w:tcW w:w="849" w:type="dxa"/>
                  <w:noWrap w:val="0"/>
                  <w:vAlign w:val="center"/>
                </w:tcPr>
                <w:p w14:paraId="76596F1C">
                  <w:pPr>
                    <w:keepNext w:val="0"/>
                    <w:keepLines w:val="0"/>
                    <w:widowControl/>
                    <w:suppressLineNumbers w:val="0"/>
                    <w:jc w:val="center"/>
                    <w:textAlignment w:val="center"/>
                    <w:rPr>
                      <w:color w:val="000000" w:themeColor="text1"/>
                      <w:sz w:val="21"/>
                      <w:szCs w:val="21"/>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14.0</w:t>
                  </w:r>
                </w:p>
              </w:tc>
              <w:tc>
                <w:tcPr>
                  <w:tcW w:w="396" w:type="pct"/>
                  <w:noWrap w:val="0"/>
                  <w:vAlign w:val="center"/>
                </w:tcPr>
                <w:p w14:paraId="32B0DA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2453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9" w:type="dxa"/>
                  <w:vMerge w:val="restart"/>
                  <w:noWrap w:val="0"/>
                  <w:vAlign w:val="center"/>
                </w:tcPr>
                <w:p w14:paraId="609D52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A2:厂界下风向边界</w:t>
                  </w:r>
                </w:p>
              </w:tc>
              <w:tc>
                <w:tcPr>
                  <w:tcW w:w="410" w:type="pct"/>
                  <w:vMerge w:val="continue"/>
                  <w:noWrap w:val="0"/>
                  <w:vAlign w:val="center"/>
                </w:tcPr>
                <w:p w14:paraId="386A09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2176" w:type="dxa"/>
                  <w:noWrap w:val="0"/>
                  <w:vAlign w:val="center"/>
                </w:tcPr>
                <w:p w14:paraId="071E4B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.26-2025.0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.27</w:t>
                  </w:r>
                </w:p>
              </w:tc>
              <w:tc>
                <w:tcPr>
                  <w:tcW w:w="828" w:type="pct"/>
                  <w:noWrap w:val="0"/>
                  <w:vAlign w:val="center"/>
                </w:tcPr>
                <w:p w14:paraId="2F2760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09:00-09:00（次日）</w:t>
                  </w:r>
                </w:p>
              </w:tc>
              <w:tc>
                <w:tcPr>
                  <w:tcW w:w="591" w:type="pct"/>
                  <w:noWrap w:val="0"/>
                  <w:vAlign w:val="center"/>
                </w:tcPr>
                <w:p w14:paraId="28F486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11</w:t>
                  </w:r>
                </w:p>
              </w:tc>
              <w:tc>
                <w:tcPr>
                  <w:tcW w:w="436" w:type="pct"/>
                  <w:vMerge w:val="continue"/>
                  <w:noWrap w:val="0"/>
                  <w:vAlign w:val="center"/>
                </w:tcPr>
                <w:p w14:paraId="2F4E6D11">
                  <w:pPr>
                    <w:keepNext w:val="0"/>
                    <w:keepLines w:val="0"/>
                    <w:pageBreakBefore w:val="0"/>
                    <w:widowControl w:val="0"/>
                    <w:kinsoku/>
                    <w:wordWrap/>
                    <w:overflowPunct/>
                    <w:topLinePunct w:val="0"/>
                    <w:autoSpaceDE/>
                    <w:autoSpaceDN/>
                    <w:bidi w:val="0"/>
                    <w:adjustRightInd/>
                    <w:snapToGrid/>
                    <w:spacing w:line="240" w:lineRule="auto"/>
                    <w:ind w:firstLine="0"/>
                    <w:jc w:val="center"/>
                    <w:rPr>
                      <w:color w:val="000000" w:themeColor="text1"/>
                      <w:sz w:val="21"/>
                      <w:szCs w:val="21"/>
                      <w14:textFill>
                        <w14:solidFill>
                          <w14:schemeClr w14:val="tx1"/>
                        </w14:solidFill>
                      </w14:textFill>
                    </w:rPr>
                  </w:pPr>
                </w:p>
              </w:tc>
              <w:tc>
                <w:tcPr>
                  <w:tcW w:w="849" w:type="dxa"/>
                  <w:noWrap w:val="0"/>
                  <w:vAlign w:val="center"/>
                </w:tcPr>
                <w:p w14:paraId="0A58E802">
                  <w:pPr>
                    <w:keepNext w:val="0"/>
                    <w:keepLines w:val="0"/>
                    <w:widowControl/>
                    <w:suppressLineNumbers w:val="0"/>
                    <w:jc w:val="center"/>
                    <w:textAlignment w:val="center"/>
                    <w:rPr>
                      <w:color w:val="000000" w:themeColor="text1"/>
                      <w:sz w:val="21"/>
                      <w:szCs w:val="21"/>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11.0</w:t>
                  </w:r>
                </w:p>
              </w:tc>
              <w:tc>
                <w:tcPr>
                  <w:tcW w:w="396" w:type="pct"/>
                  <w:noWrap w:val="0"/>
                  <w:vAlign w:val="center"/>
                </w:tcPr>
                <w:p w14:paraId="2A2B64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760E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pct"/>
                  <w:vMerge w:val="continue"/>
                  <w:noWrap w:val="0"/>
                  <w:vAlign w:val="center"/>
                </w:tcPr>
                <w:p w14:paraId="1909C4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410" w:type="pct"/>
                  <w:vMerge w:val="continue"/>
                  <w:noWrap w:val="0"/>
                  <w:vAlign w:val="center"/>
                </w:tcPr>
                <w:p w14:paraId="767DF7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2176" w:type="dxa"/>
                  <w:noWrap w:val="0"/>
                  <w:vAlign w:val="center"/>
                </w:tcPr>
                <w:p w14:paraId="0D41FF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.27-2025.0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.28</w:t>
                  </w:r>
                </w:p>
              </w:tc>
              <w:tc>
                <w:tcPr>
                  <w:tcW w:w="828" w:type="pct"/>
                  <w:noWrap w:val="0"/>
                  <w:vAlign w:val="center"/>
                </w:tcPr>
                <w:p w14:paraId="55958C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09:10-09:10（次日）</w:t>
                  </w:r>
                </w:p>
              </w:tc>
              <w:tc>
                <w:tcPr>
                  <w:tcW w:w="591" w:type="pct"/>
                  <w:noWrap w:val="0"/>
                  <w:vAlign w:val="center"/>
                </w:tcPr>
                <w:p w14:paraId="74882B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12</w:t>
                  </w:r>
                </w:p>
              </w:tc>
              <w:tc>
                <w:tcPr>
                  <w:tcW w:w="436" w:type="pct"/>
                  <w:vMerge w:val="continue"/>
                  <w:noWrap w:val="0"/>
                  <w:vAlign w:val="center"/>
                </w:tcPr>
                <w:p w14:paraId="62B1B1B4">
                  <w:pPr>
                    <w:keepNext w:val="0"/>
                    <w:keepLines w:val="0"/>
                    <w:pageBreakBefore w:val="0"/>
                    <w:widowControl w:val="0"/>
                    <w:kinsoku/>
                    <w:wordWrap/>
                    <w:overflowPunct/>
                    <w:topLinePunct w:val="0"/>
                    <w:autoSpaceDE/>
                    <w:autoSpaceDN/>
                    <w:bidi w:val="0"/>
                    <w:adjustRightInd/>
                    <w:snapToGrid/>
                    <w:spacing w:line="240" w:lineRule="auto"/>
                    <w:ind w:firstLine="0"/>
                    <w:jc w:val="center"/>
                    <w:rPr>
                      <w:color w:val="000000" w:themeColor="text1"/>
                      <w:sz w:val="21"/>
                      <w:szCs w:val="21"/>
                      <w14:textFill>
                        <w14:solidFill>
                          <w14:schemeClr w14:val="tx1"/>
                        </w14:solidFill>
                      </w14:textFill>
                    </w:rPr>
                  </w:pPr>
                </w:p>
              </w:tc>
              <w:tc>
                <w:tcPr>
                  <w:tcW w:w="849" w:type="dxa"/>
                  <w:noWrap w:val="0"/>
                  <w:vAlign w:val="center"/>
                </w:tcPr>
                <w:p w14:paraId="2997EC3F">
                  <w:pPr>
                    <w:keepNext w:val="0"/>
                    <w:keepLines w:val="0"/>
                    <w:widowControl/>
                    <w:suppressLineNumbers w:val="0"/>
                    <w:jc w:val="center"/>
                    <w:textAlignment w:val="center"/>
                    <w:rPr>
                      <w:color w:val="000000" w:themeColor="text1"/>
                      <w:sz w:val="21"/>
                      <w:szCs w:val="21"/>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12.0</w:t>
                  </w:r>
                </w:p>
              </w:tc>
              <w:tc>
                <w:tcPr>
                  <w:tcW w:w="396" w:type="pct"/>
                  <w:noWrap w:val="0"/>
                  <w:vAlign w:val="center"/>
                </w:tcPr>
                <w:p w14:paraId="50B8F2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552F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pct"/>
                  <w:vMerge w:val="continue"/>
                  <w:noWrap w:val="0"/>
                  <w:vAlign w:val="center"/>
                </w:tcPr>
                <w:p w14:paraId="6C3020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410" w:type="pct"/>
                  <w:vMerge w:val="continue"/>
                  <w:noWrap w:val="0"/>
                  <w:vAlign w:val="center"/>
                </w:tcPr>
                <w:p w14:paraId="0E96FB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2176" w:type="dxa"/>
                  <w:noWrap w:val="0"/>
                  <w:vAlign w:val="center"/>
                </w:tcPr>
                <w:p w14:paraId="78CA0D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.28-2025.0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.29</w:t>
                  </w:r>
                </w:p>
              </w:tc>
              <w:tc>
                <w:tcPr>
                  <w:tcW w:w="828" w:type="pct"/>
                  <w:noWrap w:val="0"/>
                  <w:vAlign w:val="center"/>
                </w:tcPr>
                <w:p w14:paraId="5C9214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lang w:bidi="ar"/>
                      <w14:textFill>
                        <w14:solidFill>
                          <w14:schemeClr w14:val="tx1"/>
                        </w14:solidFill>
                      </w14:textFill>
                    </w:rPr>
                    <w:t>09:20-09:20（次日）</w:t>
                  </w:r>
                </w:p>
              </w:tc>
              <w:tc>
                <w:tcPr>
                  <w:tcW w:w="591" w:type="pct"/>
                  <w:noWrap w:val="0"/>
                  <w:vAlign w:val="center"/>
                </w:tcPr>
                <w:p w14:paraId="06CCC1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13</w:t>
                  </w:r>
                </w:p>
              </w:tc>
              <w:tc>
                <w:tcPr>
                  <w:tcW w:w="436" w:type="pct"/>
                  <w:vMerge w:val="continue"/>
                  <w:noWrap w:val="0"/>
                  <w:vAlign w:val="center"/>
                </w:tcPr>
                <w:p w14:paraId="2C3239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849" w:type="dxa"/>
                  <w:noWrap w:val="0"/>
                  <w:vAlign w:val="center"/>
                </w:tcPr>
                <w:p w14:paraId="0A74B5BD">
                  <w:pPr>
                    <w:keepNext w:val="0"/>
                    <w:keepLines w:val="0"/>
                    <w:widowControl/>
                    <w:suppressLineNumbers w:val="0"/>
                    <w:jc w:val="center"/>
                    <w:textAlignment w:val="center"/>
                    <w:rPr>
                      <w:color w:val="000000" w:themeColor="text1"/>
                      <w:sz w:val="21"/>
                      <w:szCs w:val="21"/>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13.0</w:t>
                  </w:r>
                </w:p>
              </w:tc>
              <w:tc>
                <w:tcPr>
                  <w:tcW w:w="396" w:type="pct"/>
                  <w:noWrap w:val="0"/>
                  <w:vAlign w:val="center"/>
                </w:tcPr>
                <w:p w14:paraId="014FCE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40D3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9" w:type="dxa"/>
                  <w:vMerge w:val="restart"/>
                  <w:noWrap w:val="0"/>
                  <w:vAlign w:val="center"/>
                </w:tcPr>
                <w:p w14:paraId="6D60D0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A1：厂界上风向边界</w:t>
                  </w:r>
                </w:p>
              </w:tc>
              <w:tc>
                <w:tcPr>
                  <w:tcW w:w="410" w:type="pct"/>
                  <w:vMerge w:val="restart"/>
                  <w:noWrap w:val="0"/>
                  <w:vAlign w:val="center"/>
                </w:tcPr>
                <w:p w14:paraId="50C822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氟化物</w:t>
                  </w:r>
                </w:p>
              </w:tc>
              <w:tc>
                <w:tcPr>
                  <w:tcW w:w="2176" w:type="dxa"/>
                  <w:noWrap w:val="0"/>
                  <w:vAlign w:val="center"/>
                </w:tcPr>
                <w:p w14:paraId="33B328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.26-2025.0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.27</w:t>
                  </w:r>
                </w:p>
              </w:tc>
              <w:tc>
                <w:tcPr>
                  <w:tcW w:w="828" w:type="pct"/>
                  <w:noWrap w:val="0"/>
                  <w:vAlign w:val="center"/>
                </w:tcPr>
                <w:p w14:paraId="0953C0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bidi="ar"/>
                      <w14:textFill>
                        <w14:solidFill>
                          <w14:schemeClr w14:val="tx1"/>
                        </w14:solidFill>
                      </w14:textFill>
                    </w:rPr>
                  </w:pPr>
                  <w:r>
                    <w:rPr>
                      <w:color w:val="000000" w:themeColor="text1"/>
                      <w:sz w:val="21"/>
                      <w:szCs w:val="21"/>
                      <w:lang w:bidi="ar"/>
                      <w14:textFill>
                        <w14:solidFill>
                          <w14:schemeClr w14:val="tx1"/>
                        </w14:solidFill>
                      </w14:textFill>
                    </w:rPr>
                    <w:t>09:00-09:00（次日）</w:t>
                  </w:r>
                </w:p>
              </w:tc>
              <w:tc>
                <w:tcPr>
                  <w:tcW w:w="591" w:type="pct"/>
                  <w:noWrap w:val="0"/>
                  <w:vAlign w:val="center"/>
                </w:tcPr>
                <w:p w14:paraId="370D7B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1.37</w:t>
                  </w:r>
                </w:p>
              </w:tc>
              <w:tc>
                <w:tcPr>
                  <w:tcW w:w="436" w:type="pct"/>
                  <w:vMerge w:val="restart"/>
                  <w:noWrap w:val="0"/>
                  <w:vAlign w:val="center"/>
                </w:tcPr>
                <w:p w14:paraId="655C79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w:t>
                  </w:r>
                </w:p>
              </w:tc>
              <w:tc>
                <w:tcPr>
                  <w:tcW w:w="849" w:type="dxa"/>
                  <w:noWrap w:val="0"/>
                  <w:vAlign w:val="center"/>
                </w:tcPr>
                <w:p w14:paraId="535638B8">
                  <w:pPr>
                    <w:keepNext w:val="0"/>
                    <w:keepLines w:val="0"/>
                    <w:widowControl/>
                    <w:suppressLineNumbers w:val="0"/>
                    <w:jc w:val="center"/>
                    <w:textAlignment w:val="center"/>
                    <w:rPr>
                      <w:rFonts w:hint="default" w:eastAsia="等线"/>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19.6</w:t>
                  </w:r>
                </w:p>
              </w:tc>
              <w:tc>
                <w:tcPr>
                  <w:tcW w:w="396" w:type="pct"/>
                  <w:noWrap w:val="0"/>
                  <w:vAlign w:val="center"/>
                </w:tcPr>
                <w:p w14:paraId="243F7A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13CE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pct"/>
                  <w:vMerge w:val="continue"/>
                  <w:noWrap w:val="0"/>
                  <w:vAlign w:val="center"/>
                </w:tcPr>
                <w:p w14:paraId="6A81F5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410" w:type="pct"/>
                  <w:vMerge w:val="continue"/>
                  <w:noWrap w:val="0"/>
                  <w:vAlign w:val="center"/>
                </w:tcPr>
                <w:p w14:paraId="526FFE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2176" w:type="dxa"/>
                  <w:noWrap w:val="0"/>
                  <w:vAlign w:val="center"/>
                </w:tcPr>
                <w:p w14:paraId="35692D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.27-2025.0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.28</w:t>
                  </w:r>
                </w:p>
              </w:tc>
              <w:tc>
                <w:tcPr>
                  <w:tcW w:w="828" w:type="pct"/>
                  <w:noWrap w:val="0"/>
                  <w:vAlign w:val="center"/>
                </w:tcPr>
                <w:p w14:paraId="6E986E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09:10-09:10（次日）</w:t>
                  </w:r>
                </w:p>
              </w:tc>
              <w:tc>
                <w:tcPr>
                  <w:tcW w:w="591" w:type="pct"/>
                  <w:noWrap w:val="0"/>
                  <w:vAlign w:val="center"/>
                </w:tcPr>
                <w:p w14:paraId="5ACC37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bidi="ar"/>
                      <w14:textFill>
                        <w14:solidFill>
                          <w14:schemeClr w14:val="tx1"/>
                        </w14:solidFill>
                      </w14:textFill>
                    </w:rPr>
                    <w:t>1.01</w:t>
                  </w:r>
                </w:p>
              </w:tc>
              <w:tc>
                <w:tcPr>
                  <w:tcW w:w="436" w:type="pct"/>
                  <w:vMerge w:val="continue"/>
                  <w:noWrap w:val="0"/>
                  <w:vAlign w:val="center"/>
                </w:tcPr>
                <w:p w14:paraId="28AFD5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849" w:type="dxa"/>
                  <w:noWrap w:val="0"/>
                  <w:vAlign w:val="center"/>
                </w:tcPr>
                <w:p w14:paraId="4239084A">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14.4</w:t>
                  </w:r>
                </w:p>
              </w:tc>
              <w:tc>
                <w:tcPr>
                  <w:tcW w:w="396" w:type="pct"/>
                  <w:noWrap w:val="0"/>
                  <w:vAlign w:val="center"/>
                </w:tcPr>
                <w:p w14:paraId="20B3D1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45F0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pct"/>
                  <w:vMerge w:val="continue"/>
                  <w:noWrap w:val="0"/>
                  <w:vAlign w:val="center"/>
                </w:tcPr>
                <w:p w14:paraId="72DF0D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410" w:type="pct"/>
                  <w:vMerge w:val="continue"/>
                  <w:noWrap w:val="0"/>
                  <w:vAlign w:val="center"/>
                </w:tcPr>
                <w:p w14:paraId="1A5AC0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2176" w:type="dxa"/>
                  <w:noWrap w:val="0"/>
                  <w:vAlign w:val="center"/>
                </w:tcPr>
                <w:p w14:paraId="786F57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.28-2025.0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.29</w:t>
                  </w:r>
                </w:p>
              </w:tc>
              <w:tc>
                <w:tcPr>
                  <w:tcW w:w="828" w:type="pct"/>
                  <w:noWrap w:val="0"/>
                  <w:vAlign w:val="center"/>
                </w:tcPr>
                <w:p w14:paraId="416E38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09:20-09:20（次日）</w:t>
                  </w:r>
                </w:p>
              </w:tc>
              <w:tc>
                <w:tcPr>
                  <w:tcW w:w="591" w:type="pct"/>
                  <w:noWrap w:val="0"/>
                  <w:vAlign w:val="center"/>
                </w:tcPr>
                <w:p w14:paraId="60BDD4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1.22</w:t>
                  </w:r>
                </w:p>
              </w:tc>
              <w:tc>
                <w:tcPr>
                  <w:tcW w:w="436" w:type="pct"/>
                  <w:vMerge w:val="continue"/>
                  <w:noWrap w:val="0"/>
                  <w:vAlign w:val="center"/>
                </w:tcPr>
                <w:p w14:paraId="40D139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849" w:type="dxa"/>
                  <w:noWrap w:val="0"/>
                  <w:vAlign w:val="center"/>
                </w:tcPr>
                <w:p w14:paraId="44E1F146">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17.4</w:t>
                  </w:r>
                </w:p>
              </w:tc>
              <w:tc>
                <w:tcPr>
                  <w:tcW w:w="396" w:type="pct"/>
                  <w:noWrap w:val="0"/>
                  <w:vAlign w:val="center"/>
                </w:tcPr>
                <w:p w14:paraId="2DD220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6690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9" w:type="dxa"/>
                  <w:vMerge w:val="restart"/>
                  <w:noWrap w:val="0"/>
                  <w:vAlign w:val="center"/>
                </w:tcPr>
                <w:p w14:paraId="0D3632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A2:厂界下风向边界</w:t>
                  </w:r>
                </w:p>
              </w:tc>
              <w:tc>
                <w:tcPr>
                  <w:tcW w:w="410" w:type="pct"/>
                  <w:vMerge w:val="continue"/>
                  <w:noWrap w:val="0"/>
                  <w:vAlign w:val="center"/>
                </w:tcPr>
                <w:p w14:paraId="119F31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2176" w:type="dxa"/>
                  <w:noWrap w:val="0"/>
                  <w:vAlign w:val="center"/>
                </w:tcPr>
                <w:p w14:paraId="688E14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.26-2025.0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.27</w:t>
                  </w:r>
                </w:p>
              </w:tc>
              <w:tc>
                <w:tcPr>
                  <w:tcW w:w="828" w:type="pct"/>
                  <w:noWrap w:val="0"/>
                  <w:vAlign w:val="center"/>
                </w:tcPr>
                <w:p w14:paraId="705B87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09:00-09:00（次日）</w:t>
                  </w:r>
                </w:p>
              </w:tc>
              <w:tc>
                <w:tcPr>
                  <w:tcW w:w="591" w:type="pct"/>
                  <w:noWrap w:val="0"/>
                  <w:vAlign w:val="center"/>
                </w:tcPr>
                <w:p w14:paraId="645285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1.13</w:t>
                  </w:r>
                </w:p>
              </w:tc>
              <w:tc>
                <w:tcPr>
                  <w:tcW w:w="436" w:type="pct"/>
                  <w:vMerge w:val="continue"/>
                  <w:noWrap w:val="0"/>
                  <w:vAlign w:val="center"/>
                </w:tcPr>
                <w:p w14:paraId="5B9B9A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849" w:type="dxa"/>
                  <w:noWrap w:val="0"/>
                  <w:vAlign w:val="center"/>
                </w:tcPr>
                <w:p w14:paraId="790E77CD">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16.1</w:t>
                  </w:r>
                </w:p>
              </w:tc>
              <w:tc>
                <w:tcPr>
                  <w:tcW w:w="396" w:type="pct"/>
                  <w:noWrap w:val="0"/>
                  <w:vAlign w:val="center"/>
                </w:tcPr>
                <w:p w14:paraId="59B1DF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3906F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pct"/>
                  <w:vMerge w:val="continue"/>
                  <w:noWrap w:val="0"/>
                  <w:vAlign w:val="center"/>
                </w:tcPr>
                <w:p w14:paraId="2F25AE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410" w:type="pct"/>
                  <w:vMerge w:val="continue"/>
                  <w:noWrap w:val="0"/>
                  <w:vAlign w:val="center"/>
                </w:tcPr>
                <w:p w14:paraId="6D0039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2176" w:type="dxa"/>
                  <w:noWrap w:val="0"/>
                  <w:vAlign w:val="center"/>
                </w:tcPr>
                <w:p w14:paraId="10C23A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.27-2025.0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.28</w:t>
                  </w:r>
                </w:p>
              </w:tc>
              <w:tc>
                <w:tcPr>
                  <w:tcW w:w="828" w:type="pct"/>
                  <w:noWrap w:val="0"/>
                  <w:vAlign w:val="center"/>
                </w:tcPr>
                <w:p w14:paraId="7719D5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09:10-09:10（次日）</w:t>
                  </w:r>
                </w:p>
              </w:tc>
              <w:tc>
                <w:tcPr>
                  <w:tcW w:w="591" w:type="pct"/>
                  <w:noWrap w:val="0"/>
                  <w:vAlign w:val="center"/>
                </w:tcPr>
                <w:p w14:paraId="35BB73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0.83</w:t>
                  </w:r>
                </w:p>
              </w:tc>
              <w:tc>
                <w:tcPr>
                  <w:tcW w:w="436" w:type="pct"/>
                  <w:vMerge w:val="continue"/>
                  <w:noWrap w:val="0"/>
                  <w:vAlign w:val="center"/>
                </w:tcPr>
                <w:p w14:paraId="7E652B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849" w:type="dxa"/>
                  <w:noWrap w:val="0"/>
                  <w:vAlign w:val="center"/>
                </w:tcPr>
                <w:p w14:paraId="260E913A">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11.9</w:t>
                  </w:r>
                </w:p>
              </w:tc>
              <w:tc>
                <w:tcPr>
                  <w:tcW w:w="396" w:type="pct"/>
                  <w:noWrap w:val="0"/>
                  <w:vAlign w:val="center"/>
                </w:tcPr>
                <w:p w14:paraId="47D0B9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1B88F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pct"/>
                  <w:vMerge w:val="continue"/>
                  <w:noWrap w:val="0"/>
                  <w:vAlign w:val="center"/>
                </w:tcPr>
                <w:p w14:paraId="4BF540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410" w:type="pct"/>
                  <w:vMerge w:val="continue"/>
                  <w:noWrap w:val="0"/>
                  <w:vAlign w:val="center"/>
                </w:tcPr>
                <w:p w14:paraId="237CD0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2176" w:type="dxa"/>
                  <w:noWrap w:val="0"/>
                  <w:vAlign w:val="center"/>
                </w:tcPr>
                <w:p w14:paraId="17213A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.28-2025.0</w:t>
                  </w:r>
                  <w:r>
                    <w:rPr>
                      <w:rFonts w:hint="eastAsia"/>
                      <w:color w:val="000000" w:themeColor="text1"/>
                      <w:sz w:val="21"/>
                      <w:szCs w:val="21"/>
                      <w:lang w:val="en-US" w:eastAsia="zh-CN" w:bidi="ar"/>
                      <w14:textFill>
                        <w14:solidFill>
                          <w14:schemeClr w14:val="tx1"/>
                        </w14:solidFill>
                      </w14:textFill>
                    </w:rPr>
                    <w:t>8</w:t>
                  </w:r>
                  <w:r>
                    <w:rPr>
                      <w:color w:val="000000" w:themeColor="text1"/>
                      <w:sz w:val="21"/>
                      <w:szCs w:val="21"/>
                      <w:lang w:bidi="ar"/>
                      <w14:textFill>
                        <w14:solidFill>
                          <w14:schemeClr w14:val="tx1"/>
                        </w14:solidFill>
                      </w14:textFill>
                    </w:rPr>
                    <w:t>.29</w:t>
                  </w:r>
                </w:p>
              </w:tc>
              <w:tc>
                <w:tcPr>
                  <w:tcW w:w="828" w:type="pct"/>
                  <w:noWrap w:val="0"/>
                  <w:vAlign w:val="center"/>
                </w:tcPr>
                <w:p w14:paraId="766733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lang w:bidi="ar"/>
                      <w14:textFill>
                        <w14:solidFill>
                          <w14:schemeClr w14:val="tx1"/>
                        </w14:solidFill>
                      </w14:textFill>
                    </w:rPr>
                  </w:pPr>
                  <w:r>
                    <w:rPr>
                      <w:color w:val="000000" w:themeColor="text1"/>
                      <w:sz w:val="21"/>
                      <w:szCs w:val="21"/>
                      <w:lang w:bidi="ar"/>
                      <w14:textFill>
                        <w14:solidFill>
                          <w14:schemeClr w14:val="tx1"/>
                        </w14:solidFill>
                      </w14:textFill>
                    </w:rPr>
                    <w:t>09:20-09:20（次日）</w:t>
                  </w:r>
                </w:p>
              </w:tc>
              <w:tc>
                <w:tcPr>
                  <w:tcW w:w="591" w:type="pct"/>
                  <w:noWrap w:val="0"/>
                  <w:vAlign w:val="center"/>
                </w:tcPr>
                <w:p w14:paraId="33D2FB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0.89</w:t>
                  </w:r>
                </w:p>
              </w:tc>
              <w:tc>
                <w:tcPr>
                  <w:tcW w:w="436" w:type="pct"/>
                  <w:vMerge w:val="continue"/>
                  <w:noWrap w:val="0"/>
                  <w:vAlign w:val="center"/>
                </w:tcPr>
                <w:p w14:paraId="1969D4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p>
              </w:tc>
              <w:tc>
                <w:tcPr>
                  <w:tcW w:w="849" w:type="dxa"/>
                  <w:noWrap w:val="0"/>
                  <w:vAlign w:val="center"/>
                </w:tcPr>
                <w:p w14:paraId="6430CB87">
                  <w:pPr>
                    <w:keepNext w:val="0"/>
                    <w:keepLines w:val="0"/>
                    <w:widowControl/>
                    <w:suppressLineNumbers w:val="0"/>
                    <w:jc w:val="center"/>
                    <w:textAlignment w:val="center"/>
                    <w:rPr>
                      <w:rFonts w:hint="default" w:eastAsia="宋体"/>
                      <w:color w:val="000000" w:themeColor="text1"/>
                      <w:sz w:val="21"/>
                      <w:szCs w:val="21"/>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21"/>
                      <w:szCs w:val="21"/>
                      <w:u w:val="none"/>
                      <w:lang w:val="en-US" w:eastAsia="zh-CN" w:bidi="ar"/>
                      <w14:textFill>
                        <w14:solidFill>
                          <w14:schemeClr w14:val="tx1"/>
                        </w14:solidFill>
                      </w14:textFill>
                    </w:rPr>
                    <w:t>12.7</w:t>
                  </w:r>
                </w:p>
              </w:tc>
              <w:tc>
                <w:tcPr>
                  <w:tcW w:w="396" w:type="pct"/>
                  <w:noWrap w:val="0"/>
                  <w:vAlign w:val="center"/>
                </w:tcPr>
                <w:p w14:paraId="7617B0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bl>
          <w:p w14:paraId="703B7DD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hint="eastAsia" w:cs="宋体"/>
                <w:b/>
                <w:bCs/>
                <w:color w:val="000000" w:themeColor="text1"/>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14:textFill>
                  <w14:solidFill>
                    <w14:schemeClr w14:val="tx1"/>
                  </w14:solidFill>
                </w14:textFill>
              </w:rPr>
              <w:t>根据上表可知，项目区氮氧化物、二氧化硫能满足</w:t>
            </w:r>
            <w:r>
              <w:rPr>
                <w:color w:val="000000" w:themeColor="text1"/>
                <w:sz w:val="24"/>
                <w14:textFill>
                  <w14:solidFill>
                    <w14:schemeClr w14:val="tx1"/>
                  </w14:solidFill>
                </w14:textFill>
              </w:rPr>
              <w:t>《环境空气质量标准》（GB3095-</w:t>
            </w:r>
            <w:r>
              <w:rPr>
                <w:rFonts w:hint="eastAsia"/>
                <w:color w:val="000000" w:themeColor="text1"/>
                <w:sz w:val="24"/>
                <w:lang w:val="en-US" w:eastAsia="zh-CN"/>
                <w14:textFill>
                  <w14:solidFill>
                    <w14:schemeClr w14:val="tx1"/>
                  </w14:solidFill>
                </w14:textFill>
              </w:rPr>
              <w:t>2026</w:t>
            </w:r>
            <w:r>
              <w:rPr>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中过渡阶段</w:t>
            </w:r>
            <w:r>
              <w:rPr>
                <w:color w:val="000000" w:themeColor="text1"/>
                <w:sz w:val="24"/>
                <w14:textFill>
                  <w14:solidFill>
                    <w14:schemeClr w14:val="tx1"/>
                  </w14:solidFill>
                </w14:textFill>
              </w:rPr>
              <w:t>二级标准</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TSP、氟化物能够满足</w:t>
            </w:r>
            <w:r>
              <w:rPr>
                <w:color w:val="000000" w:themeColor="text1"/>
                <w:sz w:val="24"/>
                <w14:textFill>
                  <w14:solidFill>
                    <w14:schemeClr w14:val="tx1"/>
                  </w14:solidFill>
                </w14:textFill>
              </w:rPr>
              <w:t>《环境空气质量标准》（GB3095-</w:t>
            </w:r>
            <w:r>
              <w:rPr>
                <w:rFonts w:hint="eastAsia"/>
                <w:color w:val="000000" w:themeColor="text1"/>
                <w:sz w:val="24"/>
                <w:lang w:val="en-US" w:eastAsia="zh-CN"/>
                <w14:textFill>
                  <w14:solidFill>
                    <w14:schemeClr w14:val="tx1"/>
                  </w14:solidFill>
                </w14:textFill>
              </w:rPr>
              <w:t>2026</w:t>
            </w:r>
            <w:r>
              <w:rPr>
                <w:color w:val="000000" w:themeColor="text1"/>
                <w:sz w:val="24"/>
                <w14:textFill>
                  <w14:solidFill>
                    <w14:schemeClr w14:val="tx1"/>
                  </w14:solidFill>
                </w14:textFill>
              </w:rPr>
              <w:t>）</w:t>
            </w:r>
            <w:r>
              <w:rPr>
                <w:rFonts w:hint="eastAsia" w:ascii="Times New Roman" w:hAnsi="Times New Roman" w:eastAsia="宋体" w:cs="宋体"/>
                <w:color w:val="000000" w:themeColor="text1"/>
                <w:kern w:val="0"/>
                <w:sz w:val="24"/>
                <w:szCs w:val="24"/>
                <w:lang w:val="en-US" w:eastAsia="zh-CN"/>
                <w14:textFill>
                  <w14:solidFill>
                    <w14:schemeClr w14:val="tx1"/>
                  </w14:solidFill>
                </w14:textFill>
              </w:rPr>
              <w:t>及附录A中二级标准要求。</w:t>
            </w:r>
          </w:p>
          <w:p w14:paraId="16EC9292">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outlineLvl w:val="1"/>
              <w:rPr>
                <w:rFonts w:hint="eastAsia" w:cs="宋体"/>
                <w:b/>
                <w:bCs/>
                <w:color w:val="000000" w:themeColor="text1"/>
                <w:kern w:val="0"/>
                <w:sz w:val="24"/>
                <w:szCs w:val="24"/>
                <w:lang w:val="en-US" w:eastAsia="zh-CN"/>
                <w14:textFill>
                  <w14:solidFill>
                    <w14:schemeClr w14:val="tx1"/>
                  </w14:solidFill>
                </w14:textFill>
              </w:rPr>
            </w:pPr>
            <w:r>
              <w:rPr>
                <w:rFonts w:hint="eastAsia" w:cs="宋体"/>
                <w:b/>
                <w:bCs/>
                <w:color w:val="000000" w:themeColor="text1"/>
                <w:kern w:val="0"/>
                <w:sz w:val="24"/>
                <w:szCs w:val="24"/>
                <w:lang w:val="en-US" w:eastAsia="zh-CN"/>
                <w14:textFill>
                  <w14:solidFill>
                    <w14:schemeClr w14:val="tx1"/>
                  </w14:solidFill>
                </w14:textFill>
              </w:rPr>
              <w:t>2、地表水环境质量状况</w:t>
            </w:r>
          </w:p>
          <w:p w14:paraId="0473EE14">
            <w:pPr>
              <w:spacing w:line="360" w:lineRule="auto"/>
              <w:ind w:firstLine="480"/>
              <w:rPr>
                <w:rFonts w:hint="eastAsia" w:ascii="Times New Roman" w:hAnsi="Times New Roman" w:eastAsia="宋体" w:cs="宋体"/>
                <w:color w:val="000000" w:themeColor="text1"/>
                <w:kern w:val="0"/>
                <w:sz w:val="24"/>
                <w:szCs w:val="24"/>
                <w:lang w:val="en-US" w:eastAsia="zh-CN"/>
                <w14:textFill>
                  <w14:solidFill>
                    <w14:schemeClr w14:val="tx1"/>
                  </w14:solidFill>
                </w14:textFill>
              </w:rPr>
            </w:pPr>
            <w:r>
              <w:rPr>
                <w:rFonts w:hint="eastAsia" w:cs="宋体"/>
                <w:color w:val="000000" w:themeColor="text1"/>
                <w:kern w:val="0"/>
                <w:sz w:val="24"/>
                <w:szCs w:val="24"/>
                <w14:textFill>
                  <w14:solidFill>
                    <w14:schemeClr w14:val="tx1"/>
                  </w14:solidFill>
                </w14:textFill>
              </w:rPr>
              <w:t>项目</w:t>
            </w:r>
            <w:r>
              <w:rPr>
                <w:rFonts w:hint="eastAsia" w:cs="宋体"/>
                <w:color w:val="000000" w:themeColor="text1"/>
                <w:kern w:val="0"/>
                <w:sz w:val="24"/>
                <w:szCs w:val="24"/>
                <w:lang w:val="en-US" w:eastAsia="zh-CN"/>
                <w14:textFill>
                  <w14:solidFill>
                    <w14:schemeClr w14:val="tx1"/>
                  </w14:solidFill>
                </w14:textFill>
              </w:rPr>
              <w:t>所在区域最近的地表水体为西侧8470m的响水河，</w:t>
            </w:r>
            <w:r>
              <w:rPr>
                <w:rFonts w:hint="eastAsia" w:ascii="Times New Roman" w:hAnsi="Times New Roman" w:eastAsia="宋体" w:cs="宋体"/>
                <w:color w:val="000000" w:themeColor="text1"/>
                <w:kern w:val="0"/>
                <w:sz w:val="24"/>
                <w:szCs w:val="24"/>
                <w:lang w:val="en-US" w:eastAsia="zh-CN"/>
                <w14:textFill>
                  <w14:solidFill>
                    <w14:schemeClr w14:val="tx1"/>
                  </w14:solidFill>
                </w14:textFill>
              </w:rPr>
              <w:t>响水河自北向南流经阿岗水库，最终汇入九龙河。</w:t>
            </w:r>
          </w:p>
          <w:p w14:paraId="1C13EEBA">
            <w:pPr>
              <w:spacing w:line="360" w:lineRule="auto"/>
              <w:ind w:firstLine="480"/>
              <w:rPr>
                <w:rFonts w:hint="eastAsia" w:ascii="Times New Roman" w:hAnsi="Times New Roman" w:eastAsia="宋体" w:cs="宋体"/>
                <w:color w:val="000000" w:themeColor="text1"/>
                <w:kern w:val="0"/>
                <w:sz w:val="24"/>
                <w:szCs w:val="24"/>
                <w:lang w:val="en-US" w:eastAsia="zh-CN"/>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14:textFill>
                  <w14:solidFill>
                    <w14:schemeClr w14:val="tx1"/>
                  </w14:solidFill>
                </w14:textFill>
              </w:rPr>
              <w:t>根据云南省水利厅发布的《云南省水功能区划（2014年修订）》，响水河断面属于一级水功能区划中喜旧溪河麒麟-罗平保留区，由麒麟区独木水库坝址至入黄泥河口，全长168.4km，现状水质为Ⅲ类，规划水平年水质目标为Ⅲ类，地表水环境质量执行《地表水环境质量标准》（GB3838-2002）的Ⅲ类。因此，响水河也参照执行《地表水环境质量标准》（GB3838-2002）Ⅲ类标准。</w:t>
            </w:r>
          </w:p>
          <w:p w14:paraId="0F033A2B">
            <w:pPr>
              <w:keepNext w:val="0"/>
              <w:keepLines w:val="0"/>
              <w:pageBreakBefore w:val="0"/>
              <w:widowControl/>
              <w:kinsoku/>
              <w:wordWrap/>
              <w:overflowPunct/>
              <w:topLinePunct w:val="0"/>
              <w:bidi w:val="0"/>
              <w:adjustRightInd w:val="0"/>
              <w:snapToGrid w:val="0"/>
              <w:spacing w:line="360" w:lineRule="auto"/>
              <w:ind w:firstLine="480" w:firstLineChars="200"/>
              <w:textAlignment w:val="auto"/>
              <w:rPr>
                <w:color w:val="000000" w:themeColor="text1"/>
                <w14:textFill>
                  <w14:solidFill>
                    <w14:schemeClr w14:val="tx1"/>
                  </w14:solidFill>
                </w14:textFill>
              </w:rPr>
            </w:pPr>
            <w:r>
              <w:rPr>
                <w:rFonts w:hint="eastAsia"/>
                <w:color w:val="000000" w:themeColor="text1"/>
                <w:sz w:val="24"/>
                <w14:textFill>
                  <w14:solidFill>
                    <w14:schemeClr w14:val="tx1"/>
                  </w14:solidFill>
                </w14:textFill>
              </w:rPr>
              <w:t>根据《建设项目环境影响报告表</w:t>
            </w:r>
            <w:r>
              <w:rPr>
                <w:rFonts w:hint="eastAsia"/>
                <w:color w:val="000000" w:themeColor="text1"/>
                <w:sz w:val="24"/>
                <w:lang w:val="en-US" w:eastAsia="zh-CN"/>
                <w14:textFill>
                  <w14:solidFill>
                    <w14:schemeClr w14:val="tx1"/>
                  </w14:solidFill>
                </w14:textFill>
              </w:rPr>
              <w:t>编制</w:t>
            </w:r>
            <w:r>
              <w:rPr>
                <w:rFonts w:hint="eastAsia"/>
                <w:color w:val="000000" w:themeColor="text1"/>
                <w:sz w:val="24"/>
                <w14:textFill>
                  <w14:solidFill>
                    <w14:schemeClr w14:val="tx1"/>
                  </w14:solidFill>
                </w14:textFill>
              </w:rPr>
              <w:t>技术指南（污染影响类）</w:t>
            </w:r>
            <w:r>
              <w:rPr>
                <w:rFonts w:hint="eastAsia"/>
                <w:color w:val="000000" w:themeColor="text1"/>
                <w:sz w:val="24"/>
                <w:lang w:eastAsia="zh-CN"/>
                <w14:textFill>
                  <w14:solidFill>
                    <w14:schemeClr w14:val="tx1"/>
                  </w14:solidFill>
                </w14:textFill>
              </w:rPr>
              <w:t>（试行）》</w:t>
            </w:r>
            <w:r>
              <w:rPr>
                <w:rFonts w:hint="eastAsia"/>
                <w:color w:val="000000" w:themeColor="text1"/>
                <w:sz w:val="24"/>
                <w14:textFill>
                  <w14:solidFill>
                    <w14:schemeClr w14:val="tx1"/>
                  </w14:solidFill>
                </w14:textFill>
              </w:rPr>
              <w:t>编制要求</w:t>
            </w:r>
            <w:r>
              <w:rPr>
                <w:rFonts w:hint="eastAsia"/>
                <w:color w:val="000000" w:themeColor="text1"/>
                <w:sz w:val="24"/>
                <w:lang w:eastAsia="zh-CN"/>
                <w14:textFill>
                  <w14:solidFill>
                    <w14:schemeClr w14:val="tx1"/>
                  </w14:solidFill>
                </w14:textFill>
              </w:rPr>
              <w:t>：</w:t>
            </w:r>
            <w:r>
              <w:rPr>
                <w:rFonts w:hint="eastAsia"/>
                <w:color w:val="000000" w:themeColor="text1"/>
                <w:kern w:val="0"/>
                <w:sz w:val="24"/>
                <w14:textFill>
                  <w14:solidFill>
                    <w14:schemeClr w14:val="tx1"/>
                  </w14:solidFill>
                </w14:textFill>
              </w:rPr>
              <w:t>地表水环境引用与建设项目距离近的有效数据，包括近3年规划环境影响评价的监测数据，所在流域控制单元内国家、地方控制断面监测数据，生态环境主管部门发布的水环境质量数据或地表水达标情况的结论。</w:t>
            </w:r>
          </w:p>
          <w:p w14:paraId="2300AF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cs="宋体"/>
                <w:color w:val="000000" w:themeColor="text1"/>
                <w:kern w:val="0"/>
                <w:sz w:val="24"/>
                <w:szCs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本次引用</w:t>
            </w:r>
            <w:r>
              <w:rPr>
                <w:rFonts w:hint="eastAsia" w:ascii="Times New Roman" w:hAnsi="Times New Roman" w:eastAsia="宋体" w:cs="Times New Roman"/>
                <w:color w:val="000000" w:themeColor="text1"/>
                <w:sz w:val="24"/>
                <w:highlight w:val="none"/>
                <w14:textFill>
                  <w14:solidFill>
                    <w14:schemeClr w14:val="tx1"/>
                  </w14:solidFill>
                </w14:textFill>
              </w:rPr>
              <w:t>云南省生态环境厅驻曲靖市生态环境监测站公布的《曲靖市环境质量年报（</w:t>
            </w:r>
            <w:r>
              <w:rPr>
                <w:rFonts w:hint="eastAsia" w:cs="Times New Roman"/>
                <w:color w:val="000000" w:themeColor="text1"/>
                <w:sz w:val="24"/>
                <w:highlight w:val="none"/>
                <w:lang w:eastAsia="zh-CN"/>
                <w14:textFill>
                  <w14:solidFill>
                    <w14:schemeClr w14:val="tx1"/>
                  </w14:solidFill>
                </w14:textFill>
              </w:rPr>
              <w:t>二〇二五</w:t>
            </w:r>
            <w:r>
              <w:rPr>
                <w:rFonts w:hint="eastAsia" w:ascii="Times New Roman" w:hAnsi="Times New Roman" w:eastAsia="宋体" w:cs="Times New Roman"/>
                <w:color w:val="000000" w:themeColor="text1"/>
                <w:sz w:val="24"/>
                <w:highlight w:val="none"/>
                <w14:textFill>
                  <w14:solidFill>
                    <w14:schemeClr w14:val="tx1"/>
                  </w14:solidFill>
                </w14:textFill>
              </w:rPr>
              <w:t>年）》，</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距离项目区最近的为阿岗水库坝中省控断面，根据</w:t>
            </w:r>
            <w:r>
              <w:rPr>
                <w:rFonts w:hint="eastAsia" w:ascii="Times New Roman" w:hAnsi="Times New Roman" w:eastAsia="宋体" w:cs="Times New Roman"/>
                <w:color w:val="000000" w:themeColor="text1"/>
                <w:sz w:val="24"/>
                <w:highlight w:val="none"/>
                <w14:textFill>
                  <w14:solidFill>
                    <w14:schemeClr w14:val="tx1"/>
                  </w14:solidFill>
                </w14:textFill>
              </w:rPr>
              <w:t>《曲靖市环境质量年报（</w:t>
            </w:r>
            <w:r>
              <w:rPr>
                <w:rFonts w:hint="eastAsia" w:cs="Times New Roman"/>
                <w:color w:val="000000" w:themeColor="text1"/>
                <w:sz w:val="24"/>
                <w:highlight w:val="none"/>
                <w:lang w:eastAsia="zh-CN"/>
                <w14:textFill>
                  <w14:solidFill>
                    <w14:schemeClr w14:val="tx1"/>
                  </w14:solidFill>
                </w14:textFill>
              </w:rPr>
              <w:t>二〇二五</w:t>
            </w:r>
            <w:r>
              <w:rPr>
                <w:rFonts w:hint="eastAsia" w:ascii="Times New Roman" w:hAnsi="Times New Roman" w:eastAsia="宋体" w:cs="Times New Roman"/>
                <w:color w:val="000000" w:themeColor="text1"/>
                <w:sz w:val="24"/>
                <w:highlight w:val="none"/>
                <w14:textFill>
                  <w14:solidFill>
                    <w14:schemeClr w14:val="tx1"/>
                  </w14:solidFill>
                </w14:textFill>
              </w:rPr>
              <w:t>年）》</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阿岗水库坝中省控断面2025年水质类别为</w:t>
            </w:r>
            <w:r>
              <w:rPr>
                <w:rFonts w:hint="eastAsia" w:ascii="宋体" w:hAnsi="宋体" w:eastAsia="宋体" w:cs="宋体"/>
                <w:b w:val="0"/>
                <w:color w:val="000000" w:themeColor="text1"/>
                <w:sz w:val="24"/>
                <w:szCs w:val="24"/>
                <w:lang w:eastAsia="zh-CN"/>
                <w14:textFill>
                  <w14:solidFill>
                    <w14:schemeClr w14:val="tx1"/>
                  </w14:solidFill>
                </w14:textFill>
              </w:rPr>
              <w:t>Ⅱ</w:t>
            </w:r>
            <w:r>
              <w:rPr>
                <w:rFonts w:hint="eastAsia"/>
                <w:color w:val="000000" w:themeColor="text1"/>
                <w:kern w:val="0"/>
                <w:sz w:val="24"/>
                <w:highlight w:val="none"/>
                <w:lang w:val="en-US" w:eastAsia="zh-CN"/>
                <w14:textFill>
                  <w14:solidFill>
                    <w14:schemeClr w14:val="tx1"/>
                  </w14:solidFill>
                </w14:textFill>
              </w:rPr>
              <w:t>类，</w:t>
            </w:r>
            <w:r>
              <w:rPr>
                <w:rFonts w:hint="eastAsia"/>
                <w:color w:val="000000" w:themeColor="text1"/>
                <w:sz w:val="24"/>
                <w:highlight w:val="none"/>
                <w:lang w:val="en-US" w:eastAsia="zh-CN"/>
                <w14:textFill>
                  <w14:solidFill>
                    <w14:schemeClr w14:val="tx1"/>
                  </w14:solidFill>
                </w14:textFill>
              </w:rPr>
              <w:t>能够达到</w:t>
            </w:r>
            <w:r>
              <w:rPr>
                <w:rFonts w:hint="eastAsia"/>
                <w:color w:val="000000" w:themeColor="text1"/>
                <w:kern w:val="0"/>
                <w:sz w:val="24"/>
                <w:highlight w:val="none"/>
                <w14:textFill>
                  <w14:solidFill>
                    <w14:schemeClr w14:val="tx1"/>
                  </w14:solidFill>
                </w14:textFill>
              </w:rPr>
              <w:t>《地表水环境质量标准》（GB3838-2002）</w:t>
            </w:r>
            <w:r>
              <w:rPr>
                <w:rFonts w:hint="eastAsia" w:ascii="宋体" w:hAnsi="宋体" w:eastAsia="宋体" w:cs="宋体"/>
                <w:b w:val="0"/>
                <w:color w:val="000000" w:themeColor="text1"/>
                <w:sz w:val="24"/>
                <w:szCs w:val="24"/>
                <w:lang w:eastAsia="zh-CN"/>
                <w14:textFill>
                  <w14:solidFill>
                    <w14:schemeClr w14:val="tx1"/>
                  </w14:solidFill>
                </w14:textFill>
              </w:rPr>
              <w:t>Ⅲ</w:t>
            </w:r>
            <w:r>
              <w:rPr>
                <w:rFonts w:hint="eastAsia"/>
                <w:color w:val="000000" w:themeColor="text1"/>
                <w:kern w:val="0"/>
                <w:sz w:val="24"/>
                <w:highlight w:val="none"/>
                <w:lang w:val="en-US" w:eastAsia="zh-CN"/>
                <w14:textFill>
                  <w14:solidFill>
                    <w14:schemeClr w14:val="tx1"/>
                  </w14:solidFill>
                </w14:textFill>
              </w:rPr>
              <w:t>类</w:t>
            </w:r>
            <w:r>
              <w:rPr>
                <w:rFonts w:hint="eastAsia"/>
                <w:color w:val="000000" w:themeColor="text1"/>
                <w:kern w:val="0"/>
                <w:sz w:val="24"/>
                <w:highlight w:val="none"/>
                <w14:textFill>
                  <w14:solidFill>
                    <w14:schemeClr w14:val="tx1"/>
                  </w14:solidFill>
                </w14:textFill>
              </w:rPr>
              <w:t>标准</w:t>
            </w:r>
            <w:r>
              <w:rPr>
                <w:rFonts w:hint="eastAsia"/>
                <w:color w:val="000000" w:themeColor="text1"/>
                <w:kern w:val="0"/>
                <w:sz w:val="24"/>
                <w:highlight w:val="none"/>
                <w:lang w:val="en-US" w:eastAsia="zh-CN"/>
                <w14:textFill>
                  <w14:solidFill>
                    <w14:schemeClr w14:val="tx1"/>
                  </w14:solidFill>
                </w14:textFill>
              </w:rPr>
              <w:t>要求。区域地表水环境质量现状良好。</w:t>
            </w:r>
          </w:p>
          <w:p w14:paraId="4D7BF14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outlineLvl w:val="1"/>
              <w:rPr>
                <w:rFonts w:hint="eastAsia" w:cs="宋体"/>
                <w:b/>
                <w:bCs/>
                <w:color w:val="000000" w:themeColor="text1"/>
                <w:kern w:val="0"/>
                <w:sz w:val="24"/>
                <w:szCs w:val="24"/>
                <w14:textFill>
                  <w14:solidFill>
                    <w14:schemeClr w14:val="tx1"/>
                  </w14:solidFill>
                </w14:textFill>
              </w:rPr>
            </w:pPr>
            <w:r>
              <w:rPr>
                <w:rFonts w:hint="eastAsia" w:cs="宋体"/>
                <w:b/>
                <w:bCs/>
                <w:color w:val="000000" w:themeColor="text1"/>
                <w:kern w:val="0"/>
                <w:sz w:val="24"/>
                <w:szCs w:val="24"/>
                <w:lang w:val="en-US" w:eastAsia="zh-CN"/>
                <w14:textFill>
                  <w14:solidFill>
                    <w14:schemeClr w14:val="tx1"/>
                  </w14:solidFill>
                </w14:textFill>
              </w:rPr>
              <w:t>3</w:t>
            </w:r>
            <w:r>
              <w:rPr>
                <w:rFonts w:hint="eastAsia" w:cs="宋体"/>
                <w:b/>
                <w:bCs/>
                <w:color w:val="000000" w:themeColor="text1"/>
                <w:kern w:val="0"/>
                <w:sz w:val="24"/>
                <w:szCs w:val="24"/>
                <w14:textFill>
                  <w14:solidFill>
                    <w14:schemeClr w14:val="tx1"/>
                  </w14:solidFill>
                </w14:textFill>
              </w:rPr>
              <w:t>、</w:t>
            </w:r>
            <w:r>
              <w:rPr>
                <w:rFonts w:hint="eastAsia" w:cs="宋体"/>
                <w:b/>
                <w:bCs/>
                <w:color w:val="000000" w:themeColor="text1"/>
                <w:kern w:val="0"/>
                <w:sz w:val="24"/>
                <w:szCs w:val="24"/>
                <w:lang w:eastAsia="zh-CN"/>
                <w14:textFill>
                  <w14:solidFill>
                    <w14:schemeClr w14:val="tx1"/>
                  </w14:solidFill>
                </w14:textFill>
              </w:rPr>
              <w:t>声环境</w:t>
            </w:r>
            <w:r>
              <w:rPr>
                <w:rFonts w:hint="eastAsia" w:cs="宋体"/>
                <w:b/>
                <w:bCs/>
                <w:color w:val="000000" w:themeColor="text1"/>
                <w:kern w:val="0"/>
                <w:sz w:val="24"/>
                <w:szCs w:val="24"/>
                <w14:textFill>
                  <w14:solidFill>
                    <w14:schemeClr w14:val="tx1"/>
                  </w14:solidFill>
                </w14:textFill>
              </w:rPr>
              <w:t>质量状况</w:t>
            </w:r>
          </w:p>
          <w:p w14:paraId="37D2B685">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cs="宋体"/>
                <w:color w:val="000000" w:themeColor="text1"/>
                <w:kern w:val="0"/>
                <w:sz w:val="24"/>
                <w:szCs w:val="24"/>
                <w14:textFill>
                  <w14:solidFill>
                    <w14:schemeClr w14:val="tx1"/>
                  </w14:solidFill>
                </w14:textFill>
              </w:rPr>
            </w:pPr>
            <w:r>
              <w:rPr>
                <w:rFonts w:hint="eastAsia" w:cs="宋体"/>
                <w:color w:val="000000" w:themeColor="text1"/>
                <w:kern w:val="0"/>
                <w:sz w:val="24"/>
                <w:szCs w:val="24"/>
                <w14:textFill>
                  <w14:solidFill>
                    <w14:schemeClr w14:val="tx1"/>
                  </w14:solidFill>
                </w14:textFill>
              </w:rPr>
              <w:t>项目所在地</w:t>
            </w:r>
            <w:r>
              <w:rPr>
                <w:rFonts w:hint="eastAsia" w:cs="宋体"/>
                <w:color w:val="000000" w:themeColor="text1"/>
                <w:kern w:val="0"/>
                <w:sz w:val="24"/>
                <w:szCs w:val="24"/>
                <w:lang w:eastAsia="zh-CN"/>
                <w14:textFill>
                  <w14:solidFill>
                    <w14:schemeClr w14:val="tx1"/>
                  </w14:solidFill>
                </w14:textFill>
              </w:rPr>
              <w:t>属于农村地区，根据声功能区划，该区</w:t>
            </w:r>
            <w:r>
              <w:rPr>
                <w:rFonts w:hint="eastAsia" w:cs="宋体"/>
                <w:color w:val="000000" w:themeColor="text1"/>
                <w:kern w:val="0"/>
                <w:sz w:val="24"/>
                <w:szCs w:val="24"/>
                <w14:textFill>
                  <w14:solidFill>
                    <w14:schemeClr w14:val="tx1"/>
                  </w14:solidFill>
                </w14:textFill>
              </w:rPr>
              <w:t>为</w:t>
            </w:r>
            <w:r>
              <w:rPr>
                <w:rFonts w:hint="eastAsia" w:cs="宋体"/>
                <w:color w:val="000000" w:themeColor="text1"/>
                <w:kern w:val="0"/>
                <w:sz w:val="24"/>
                <w:szCs w:val="24"/>
                <w:lang w:val="en-US" w:eastAsia="zh-CN"/>
                <w14:textFill>
                  <w14:solidFill>
                    <w14:schemeClr w14:val="tx1"/>
                  </w14:solidFill>
                </w14:textFill>
              </w:rPr>
              <w:t>2</w:t>
            </w:r>
            <w:r>
              <w:rPr>
                <w:rFonts w:hint="eastAsia" w:cs="宋体"/>
                <w:color w:val="000000" w:themeColor="text1"/>
                <w:kern w:val="0"/>
                <w:sz w:val="24"/>
                <w:szCs w:val="24"/>
                <w14:textFill>
                  <w14:solidFill>
                    <w14:schemeClr w14:val="tx1"/>
                  </w14:solidFill>
                </w14:textFill>
              </w:rPr>
              <w:t>类声环境功能区，执行《声环境质量标准》</w:t>
            </w:r>
            <w:r>
              <w:rPr>
                <w:rFonts w:hint="eastAsia" w:cs="宋体"/>
                <w:color w:val="000000" w:themeColor="text1"/>
                <w:kern w:val="0"/>
                <w:sz w:val="24"/>
                <w:szCs w:val="24"/>
                <w:lang w:eastAsia="zh-CN"/>
                <w14:textFill>
                  <w14:solidFill>
                    <w14:schemeClr w14:val="tx1"/>
                  </w14:solidFill>
                </w14:textFill>
              </w:rPr>
              <w:t>（</w:t>
            </w:r>
            <w:r>
              <w:rPr>
                <w:rFonts w:hint="eastAsia" w:cs="宋体"/>
                <w:color w:val="000000" w:themeColor="text1"/>
                <w:kern w:val="0"/>
                <w:sz w:val="24"/>
                <w:szCs w:val="24"/>
                <w14:textFill>
                  <w14:solidFill>
                    <w14:schemeClr w14:val="tx1"/>
                  </w14:solidFill>
                </w14:textFill>
              </w:rPr>
              <w:t>GB3096-2008</w:t>
            </w:r>
            <w:r>
              <w:rPr>
                <w:rFonts w:hint="eastAsia" w:cs="宋体"/>
                <w:color w:val="000000" w:themeColor="text1"/>
                <w:kern w:val="0"/>
                <w:sz w:val="24"/>
                <w:szCs w:val="24"/>
                <w:lang w:eastAsia="zh-CN"/>
                <w14:textFill>
                  <w14:solidFill>
                    <w14:schemeClr w14:val="tx1"/>
                  </w14:solidFill>
                </w14:textFill>
              </w:rPr>
              <w:t>）</w:t>
            </w:r>
            <w:r>
              <w:rPr>
                <w:rFonts w:hint="eastAsia" w:cs="宋体"/>
                <w:color w:val="000000" w:themeColor="text1"/>
                <w:kern w:val="0"/>
                <w:sz w:val="24"/>
                <w:szCs w:val="24"/>
                <w14:textFill>
                  <w14:solidFill>
                    <w14:schemeClr w14:val="tx1"/>
                  </w14:solidFill>
                </w14:textFill>
              </w:rPr>
              <w:t>中</w:t>
            </w:r>
            <w:r>
              <w:rPr>
                <w:rFonts w:hint="eastAsia" w:cs="宋体"/>
                <w:color w:val="000000" w:themeColor="text1"/>
                <w:kern w:val="0"/>
                <w:sz w:val="24"/>
                <w:szCs w:val="24"/>
                <w:lang w:val="en-US" w:eastAsia="zh-CN"/>
                <w14:textFill>
                  <w14:solidFill>
                    <w14:schemeClr w14:val="tx1"/>
                  </w14:solidFill>
                </w14:textFill>
              </w:rPr>
              <w:t>2</w:t>
            </w:r>
            <w:r>
              <w:rPr>
                <w:rFonts w:hint="eastAsia" w:cs="宋体"/>
                <w:color w:val="000000" w:themeColor="text1"/>
                <w:kern w:val="0"/>
                <w:sz w:val="24"/>
                <w:szCs w:val="24"/>
                <w14:textFill>
                  <w14:solidFill>
                    <w14:schemeClr w14:val="tx1"/>
                  </w14:solidFill>
                </w14:textFill>
              </w:rPr>
              <w:t>类标准。</w:t>
            </w:r>
          </w:p>
          <w:p w14:paraId="144A793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cs="宋体"/>
                <w:color w:val="000000" w:themeColor="text1"/>
                <w:kern w:val="0"/>
                <w:sz w:val="24"/>
                <w:szCs w:val="24"/>
                <w:lang w:val="en-US"/>
                <w14:textFill>
                  <w14:solidFill>
                    <w14:schemeClr w14:val="tx1"/>
                  </w14:solidFill>
                </w14:textFill>
              </w:rPr>
            </w:pPr>
            <w:r>
              <w:rPr>
                <w:rFonts w:hint="eastAsia"/>
                <w:color w:val="000000" w:themeColor="text1"/>
                <w:sz w:val="24"/>
                <w14:textFill>
                  <w14:solidFill>
                    <w14:schemeClr w14:val="tx1"/>
                  </w14:solidFill>
                </w14:textFill>
              </w:rPr>
              <w:t>根据《建设项目环境影响报告表</w:t>
            </w:r>
            <w:r>
              <w:rPr>
                <w:rFonts w:hint="eastAsia"/>
                <w:color w:val="000000" w:themeColor="text1"/>
                <w:sz w:val="24"/>
                <w:lang w:val="en-US" w:eastAsia="zh-CN"/>
                <w14:textFill>
                  <w14:solidFill>
                    <w14:schemeClr w14:val="tx1"/>
                  </w14:solidFill>
                </w14:textFill>
              </w:rPr>
              <w:t>编制</w:t>
            </w:r>
            <w:r>
              <w:rPr>
                <w:rFonts w:hint="eastAsia"/>
                <w:color w:val="000000" w:themeColor="text1"/>
                <w:sz w:val="24"/>
                <w14:textFill>
                  <w14:solidFill>
                    <w14:schemeClr w14:val="tx1"/>
                  </w14:solidFill>
                </w14:textFill>
              </w:rPr>
              <w:t>技术指南（污染影响类）</w:t>
            </w:r>
            <w:r>
              <w:rPr>
                <w:rFonts w:hint="eastAsia"/>
                <w:color w:val="000000" w:themeColor="text1"/>
                <w:sz w:val="24"/>
                <w:lang w:eastAsia="zh-CN"/>
                <w14:textFill>
                  <w14:solidFill>
                    <w14:schemeClr w14:val="tx1"/>
                  </w14:solidFill>
                </w14:textFill>
              </w:rPr>
              <w:t>（试行）》</w:t>
            </w:r>
            <w:r>
              <w:rPr>
                <w:rFonts w:hint="eastAsia"/>
                <w:color w:val="000000" w:themeColor="text1"/>
                <w:sz w:val="24"/>
                <w14:textFill>
                  <w14:solidFill>
                    <w14:schemeClr w14:val="tx1"/>
                  </w14:solidFill>
                </w14:textFill>
              </w:rPr>
              <w:t>编制要求</w:t>
            </w:r>
            <w:r>
              <w:rPr>
                <w:rFonts w:hint="eastAsia"/>
                <w:color w:val="000000" w:themeColor="text1"/>
                <w:sz w:val="24"/>
                <w:lang w:eastAsia="zh-CN"/>
                <w14:textFill>
                  <w14:solidFill>
                    <w14:schemeClr w14:val="tx1"/>
                  </w14:solidFill>
                </w14:textFill>
              </w:rPr>
              <w:t>：“</w:t>
            </w:r>
            <w:r>
              <w:rPr>
                <w:rFonts w:hint="eastAsia" w:cs="宋体"/>
                <w:color w:val="000000" w:themeColor="text1"/>
                <w:kern w:val="0"/>
                <w:sz w:val="24"/>
                <w:szCs w:val="24"/>
                <w14:textFill>
                  <w14:solidFill>
                    <w14:schemeClr w14:val="tx1"/>
                  </w14:solidFill>
                </w14:textFill>
              </w:rPr>
              <w:t>厂界外周边50米范围内存在声环境保护目标的建设项目，应监测保护目标声环境质量现状并评价达标情况。各点位应监测昼夜间噪声，监测时间不少于1天，项目夜间不生产则仅监测昼间噪声。</w:t>
            </w:r>
            <w:r>
              <w:rPr>
                <w:rFonts w:hint="eastAsia"/>
                <w:color w:val="000000" w:themeColor="text1"/>
                <w:sz w:val="24"/>
                <w:lang w:eastAsia="zh-CN"/>
                <w14:textFill>
                  <w14:solidFill>
                    <w14:schemeClr w14:val="tx1"/>
                  </w14:solidFill>
                </w14:textFill>
              </w:rPr>
              <w:t>”</w:t>
            </w:r>
            <w:r>
              <w:rPr>
                <w:rFonts w:hint="eastAsia" w:eastAsia="宋体" w:cs="宋体"/>
                <w:color w:val="000000" w:themeColor="text1"/>
                <w:kern w:val="0"/>
                <w:sz w:val="24"/>
                <w:szCs w:val="24"/>
                <w:lang w:val="en-US" w:eastAsia="zh-CN"/>
                <w14:textFill>
                  <w14:solidFill>
                    <w14:schemeClr w14:val="tx1"/>
                  </w14:solidFill>
                </w14:textFill>
              </w:rPr>
              <w:t>本项目厂界外周边50米范围内无声环境保护目标</w:t>
            </w:r>
            <w:r>
              <w:rPr>
                <w:rFonts w:hint="eastAsia"/>
                <w:color w:val="000000" w:themeColor="text1"/>
                <w:sz w:val="24"/>
                <w14:textFill>
                  <w14:solidFill>
                    <w14:schemeClr w14:val="tx1"/>
                  </w14:solidFill>
                </w14:textFill>
              </w:rPr>
              <w:t>，故未进行现状监测。根据现有项目2022-2024年自行监测报告，项目厂界噪声值可达到《工业企业厂界环境噪声排放标准》（GB12348-2008）中2类标准。监测期间企业正常生产。</w:t>
            </w:r>
          </w:p>
          <w:p w14:paraId="3EC8862D">
            <w:pPr>
              <w:keepNext w:val="0"/>
              <w:keepLines w:val="0"/>
              <w:pageBreakBefore w:val="0"/>
              <w:widowControl w:val="0"/>
              <w:kinsoku/>
              <w:wordWrap/>
              <w:overflowPunct/>
              <w:topLinePunct w:val="0"/>
              <w:autoSpaceDE/>
              <w:autoSpaceDN/>
              <w:bidi w:val="0"/>
              <w:adjustRightInd w:val="0"/>
              <w:snapToGrid/>
              <w:spacing w:after="0" w:afterLines="0" w:line="360" w:lineRule="auto"/>
              <w:ind w:left="0" w:leftChars="0" w:firstLine="482" w:firstLineChars="200"/>
              <w:jc w:val="left"/>
              <w:textAlignment w:val="auto"/>
              <w:outlineLvl w:val="1"/>
              <w:rPr>
                <w:rFonts w:hint="eastAsia" w:ascii="Times New Roman" w:hAnsi="宋体" w:eastAsia="宋体" w:cs="Times New Roman"/>
                <w:b/>
                <w:color w:val="000000" w:themeColor="text1"/>
                <w:kern w:val="2"/>
                <w:sz w:val="24"/>
                <w:szCs w:val="24"/>
                <w:lang w:val="en-US" w:eastAsia="zh-CN" w:bidi="ar-SA"/>
                <w14:textFill>
                  <w14:solidFill>
                    <w14:schemeClr w14:val="tx1"/>
                  </w14:solidFill>
                </w14:textFill>
              </w:rPr>
            </w:pPr>
            <w:r>
              <w:rPr>
                <w:rFonts w:hint="eastAsia" w:ascii="Times New Roman" w:hAnsi="宋体" w:eastAsia="宋体" w:cs="Times New Roman"/>
                <w:b/>
                <w:color w:val="000000" w:themeColor="text1"/>
                <w:kern w:val="2"/>
                <w:sz w:val="24"/>
                <w:szCs w:val="24"/>
                <w:lang w:val="en-US" w:eastAsia="zh-CN" w:bidi="ar-SA"/>
                <w14:textFill>
                  <w14:solidFill>
                    <w14:schemeClr w14:val="tx1"/>
                  </w14:solidFill>
                </w14:textFill>
              </w:rPr>
              <w:t>4</w:t>
            </w:r>
            <w:r>
              <w:rPr>
                <w:rFonts w:ascii="Times New Roman" w:hAnsi="宋体" w:eastAsia="宋体" w:cs="Times New Roman"/>
                <w:b/>
                <w:color w:val="000000" w:themeColor="text1"/>
                <w:kern w:val="2"/>
                <w:sz w:val="24"/>
                <w:szCs w:val="24"/>
                <w:lang w:val="en-US" w:eastAsia="zh-CN" w:bidi="ar-SA"/>
                <w14:textFill>
                  <w14:solidFill>
                    <w14:schemeClr w14:val="tx1"/>
                  </w14:solidFill>
                </w14:textFill>
              </w:rPr>
              <w:t>、</w:t>
            </w:r>
            <w:r>
              <w:rPr>
                <w:rFonts w:hint="eastAsia" w:ascii="Times New Roman" w:hAnsi="宋体" w:eastAsia="宋体" w:cs="Times New Roman"/>
                <w:b/>
                <w:color w:val="000000" w:themeColor="text1"/>
                <w:kern w:val="2"/>
                <w:sz w:val="24"/>
                <w:szCs w:val="24"/>
                <w:lang w:val="en-US" w:eastAsia="zh-CN" w:bidi="ar-SA"/>
                <w14:textFill>
                  <w14:solidFill>
                    <w14:schemeClr w14:val="tx1"/>
                  </w14:solidFill>
                </w14:textFill>
              </w:rPr>
              <w:t>地下水、土壤环境</w:t>
            </w:r>
          </w:p>
          <w:p w14:paraId="04DAD57F">
            <w:pPr>
              <w:pStyle w:val="9"/>
              <w:keepNext w:val="0"/>
              <w:keepLines w:val="0"/>
              <w:pageBreakBefore w:val="0"/>
              <w:kinsoku/>
              <w:wordWrap/>
              <w:overflowPunct/>
              <w:topLinePunct w:val="0"/>
              <w:bidi w:val="0"/>
              <w:snapToGrid/>
              <w:spacing w:after="0" w:afterLines="0" w:afterAutospacing="0" w:line="360" w:lineRule="auto"/>
              <w:ind w:left="0" w:leftChars="0" w:firstLine="480" w:firstLineChars="200"/>
              <w:textAlignment w:val="auto"/>
              <w:rPr>
                <w:rFonts w:hint="default" w:ascii="Times New Roman" w:hAnsi="Times New Roman" w:cs="Times New Roman"/>
                <w:color w:val="000000" w:themeColor="text1"/>
                <w:sz w:val="24"/>
                <w:szCs w:val="24"/>
                <w14:textFill>
                  <w14:solidFill>
                    <w14:schemeClr w14:val="tx1"/>
                  </w14:solidFill>
                </w14:textFill>
              </w:rPr>
            </w:pPr>
            <w:r>
              <w:rPr>
                <w:rFonts w:hint="eastAsia"/>
                <w:color w:val="000000" w:themeColor="text1"/>
                <w:sz w:val="24"/>
                <w14:textFill>
                  <w14:solidFill>
                    <w14:schemeClr w14:val="tx1"/>
                  </w14:solidFill>
                </w14:textFill>
              </w:rPr>
              <w:t>根据《建设项目环境影响报告表</w:t>
            </w:r>
            <w:r>
              <w:rPr>
                <w:rFonts w:hint="eastAsia"/>
                <w:color w:val="000000" w:themeColor="text1"/>
                <w:sz w:val="24"/>
                <w:lang w:val="en-US" w:eastAsia="zh-CN"/>
                <w14:textFill>
                  <w14:solidFill>
                    <w14:schemeClr w14:val="tx1"/>
                  </w14:solidFill>
                </w14:textFill>
              </w:rPr>
              <w:t>编制</w:t>
            </w:r>
            <w:r>
              <w:rPr>
                <w:rFonts w:hint="eastAsia"/>
                <w:color w:val="000000" w:themeColor="text1"/>
                <w:sz w:val="24"/>
                <w14:textFill>
                  <w14:solidFill>
                    <w14:schemeClr w14:val="tx1"/>
                  </w14:solidFill>
                </w14:textFill>
              </w:rPr>
              <w:t>技术指南（污染影响类）</w:t>
            </w:r>
            <w:r>
              <w:rPr>
                <w:rFonts w:hint="eastAsia"/>
                <w:color w:val="000000" w:themeColor="text1"/>
                <w:sz w:val="24"/>
                <w:lang w:eastAsia="zh-CN"/>
                <w14:textFill>
                  <w14:solidFill>
                    <w14:schemeClr w14:val="tx1"/>
                  </w14:solidFill>
                </w14:textFill>
              </w:rPr>
              <w:t>（试行）》</w:t>
            </w:r>
            <w:r>
              <w:rPr>
                <w:rFonts w:hint="eastAsia"/>
                <w:color w:val="000000" w:themeColor="text1"/>
                <w:sz w:val="24"/>
                <w14:textFill>
                  <w14:solidFill>
                    <w14:schemeClr w14:val="tx1"/>
                  </w14:solidFill>
                </w14:textFill>
              </w:rPr>
              <w:t>编制要求</w:t>
            </w:r>
            <w:r>
              <w:rPr>
                <w:rFonts w:hint="eastAsia"/>
                <w:color w:val="000000" w:themeColor="text1"/>
                <w:sz w:val="24"/>
                <w:lang w:eastAsia="zh-CN"/>
                <w14:textFill>
                  <w14:solidFill>
                    <w14:schemeClr w14:val="tx1"/>
                  </w14:solidFill>
                </w14:textFill>
              </w:rPr>
              <w:t>：</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地下水、土壤环境。原则上不开展环境质量现状调查。建设项目存在土壤、地下水环境污染途径的，应结合污染源、保护目标分布情况开展现状调查以留作背景值。</w:t>
            </w:r>
            <w:r>
              <w:rPr>
                <w:rFonts w:hint="eastAsia" w:ascii="Times New Roman" w:hAnsi="Times New Roman" w:cs="Times New Roman"/>
                <w:color w:val="000000" w:themeColor="text1"/>
                <w:sz w:val="24"/>
                <w:szCs w:val="24"/>
                <w:lang w:eastAsia="zh-CN"/>
                <w14:textFill>
                  <w14:solidFill>
                    <w14:schemeClr w14:val="tx1"/>
                  </w14:solidFill>
                </w14:textFill>
              </w:rPr>
              <w:t>”</w:t>
            </w:r>
          </w:p>
          <w:p w14:paraId="64B8F1B0">
            <w:pPr>
              <w:keepNext w:val="0"/>
              <w:keepLines w:val="0"/>
              <w:pageBreakBefore w:val="0"/>
              <w:widowControl w:val="0"/>
              <w:kinsoku/>
              <w:wordWrap/>
              <w:overflowPunct/>
              <w:topLinePunct w:val="0"/>
              <w:autoSpaceDE/>
              <w:autoSpaceDN/>
              <w:bidi w:val="0"/>
              <w:adjustRightInd w:val="0"/>
              <w:snapToGrid/>
              <w:spacing w:after="0" w:afterLines="0" w:line="360" w:lineRule="auto"/>
              <w:ind w:left="0" w:leftChars="0" w:firstLine="482" w:firstLineChars="200"/>
              <w:jc w:val="left"/>
              <w:textAlignment w:val="auto"/>
              <w:outlineLvl w:val="1"/>
              <w:rPr>
                <w:rFonts w:hint="default" w:ascii="Times New Roman" w:hAnsi="宋体" w:eastAsia="宋体" w:cs="Times New Roman"/>
                <w:b/>
                <w:bCs w:val="0"/>
                <w:color w:val="000000" w:themeColor="text1"/>
                <w:kern w:val="2"/>
                <w:sz w:val="24"/>
                <w:szCs w:val="24"/>
                <w:lang w:val="en-US" w:eastAsia="zh-CN" w:bidi="ar-SA"/>
                <w14:textFill>
                  <w14:solidFill>
                    <w14:schemeClr w14:val="tx1"/>
                  </w14:solidFill>
                </w14:textFill>
              </w:rPr>
            </w:pPr>
            <w:r>
              <w:rPr>
                <w:rFonts w:hint="eastAsia" w:ascii="Times New Roman" w:hAnsi="宋体" w:eastAsia="宋体" w:cs="Times New Roman"/>
                <w:b/>
                <w:bCs w:val="0"/>
                <w:color w:val="000000" w:themeColor="text1"/>
                <w:kern w:val="2"/>
                <w:sz w:val="24"/>
                <w:szCs w:val="24"/>
                <w:lang w:val="en-US" w:eastAsia="zh-CN" w:bidi="ar-SA"/>
                <w14:textFill>
                  <w14:solidFill>
                    <w14:schemeClr w14:val="tx1"/>
                  </w14:solidFill>
                </w14:textFill>
              </w:rPr>
              <w:t>（1）地下水</w:t>
            </w:r>
          </w:p>
          <w:p w14:paraId="0245FE61">
            <w:pPr>
              <w:keepNext w:val="0"/>
              <w:keepLines w:val="0"/>
              <w:pageBreakBefore w:val="0"/>
              <w:widowControl w:val="0"/>
              <w:kinsoku/>
              <w:wordWrap/>
              <w:overflowPunct/>
              <w:topLinePunct w:val="0"/>
              <w:autoSpaceDE/>
              <w:autoSpaceDN/>
              <w:bidi w:val="0"/>
              <w:adjustRightInd w:val="0"/>
              <w:snapToGrid/>
              <w:spacing w:after="0" w:afterLines="0" w:line="360" w:lineRule="auto"/>
              <w:ind w:left="0" w:leftChars="0" w:firstLine="480" w:firstLineChars="200"/>
              <w:jc w:val="left"/>
              <w:textAlignment w:val="auto"/>
              <w:outlineLvl w:val="1"/>
              <w:rPr>
                <w:rFonts w:hint="default" w:ascii="Times New Roman" w:hAnsi="宋体" w:eastAsia="宋体" w:cs="Times New Roman"/>
                <w:b w:val="0"/>
                <w:bCs/>
                <w:color w:val="000000" w:themeColor="text1"/>
                <w:kern w:val="2"/>
                <w:sz w:val="24"/>
                <w:szCs w:val="24"/>
                <w:lang w:val="en-US" w:eastAsia="zh-CN" w:bidi="ar-SA"/>
                <w14:textFill>
                  <w14:solidFill>
                    <w14:schemeClr w14:val="tx1"/>
                  </w14:solidFill>
                </w14:textFill>
              </w:rPr>
            </w:pPr>
            <w:r>
              <w:rPr>
                <w:rFonts w:hint="eastAsia" w:ascii="Times New Roman" w:hAnsi="宋体" w:eastAsia="宋体" w:cs="Times New Roman"/>
                <w:b w:val="0"/>
                <w:bCs/>
                <w:color w:val="000000" w:themeColor="text1"/>
                <w:kern w:val="2"/>
                <w:sz w:val="24"/>
                <w:szCs w:val="24"/>
                <w:lang w:val="en-US" w:eastAsia="zh-CN" w:bidi="ar-SA"/>
                <w14:textFill>
                  <w14:solidFill>
                    <w14:schemeClr w14:val="tx1"/>
                  </w14:solidFill>
                </w14:textFill>
              </w:rPr>
              <w:t>本项目位于</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罗平县阿岗镇岗德村委会小岗德村，</w:t>
            </w:r>
            <w:r>
              <w:rPr>
                <w:rFonts w:hint="default" w:ascii="Times New Roman" w:hAnsi="Times New Roman" w:cs="Times New Roman"/>
                <w:color w:val="000000" w:themeColor="text1"/>
                <w:kern w:val="0"/>
                <w:sz w:val="24"/>
                <w:szCs w:val="24"/>
                <w14:textFill>
                  <w14:solidFill>
                    <w14:schemeClr w14:val="tx1"/>
                  </w14:solidFill>
                </w14:textFill>
              </w:rPr>
              <w:t>厂界外500米范围内的地下水集中式饮用水水源和热水、矿泉水、温泉等特殊地下水资源。项目地下水污染途径主要为事故状态</w:t>
            </w:r>
            <w:r>
              <w:rPr>
                <w:rFonts w:hint="default" w:ascii="Times New Roman" w:hAnsi="Times New Roman" w:cs="Times New Roman"/>
                <w:color w:val="000000" w:themeColor="text1"/>
                <w:kern w:val="0"/>
                <w:sz w:val="24"/>
                <w:szCs w:val="24"/>
                <w:highlight w:val="none"/>
                <w14:textFill>
                  <w14:solidFill>
                    <w14:schemeClr w14:val="tx1"/>
                  </w14:solidFill>
                </w14:textFill>
              </w:rPr>
              <w:t>下，项目</w:t>
            </w:r>
            <w:r>
              <w:rPr>
                <w:rFonts w:hint="eastAsia" w:ascii="宋体" w:hAnsi="宋体" w:eastAsia="宋体" w:cs="宋体"/>
                <w:color w:val="000000" w:themeColor="text1"/>
                <w:sz w:val="24"/>
                <w:szCs w:val="24"/>
                <w:highlight w:val="none"/>
                <w:lang w:val="en-US" w:eastAsia="zh-CN"/>
                <w14:textFill>
                  <w14:solidFill>
                    <w14:schemeClr w14:val="tx1"/>
                  </w14:solidFill>
                </w14:textFill>
              </w:rPr>
              <w:t>脱</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硫塔</w:t>
            </w:r>
            <w:r>
              <w:rPr>
                <w:rFonts w:hint="eastAsia" w:cs="Times New Roman"/>
                <w:color w:val="000000" w:themeColor="text1"/>
                <w:sz w:val="24"/>
                <w:szCs w:val="24"/>
                <w:highlight w:val="none"/>
                <w:lang w:val="en-US" w:eastAsia="zh-CN"/>
                <w14:textFill>
                  <w14:solidFill>
                    <w14:schemeClr w14:val="tx1"/>
                  </w14:solidFill>
                </w14:textFill>
              </w:rPr>
              <w:t>循环沉淀池</w:t>
            </w:r>
            <w:r>
              <w:rPr>
                <w:rFonts w:hint="default" w:ascii="Times New Roman" w:hAnsi="Times New Roman" w:cs="Times New Roman"/>
                <w:color w:val="000000" w:themeColor="text1"/>
                <w:kern w:val="0"/>
                <w:sz w:val="24"/>
                <w:szCs w:val="24"/>
                <w:highlight w:val="none"/>
                <w14:textFill>
                  <w14:solidFill>
                    <w14:schemeClr w14:val="tx1"/>
                  </w14:solidFill>
                </w14:textFill>
              </w:rPr>
              <w:t>发生泄漏下渗造成地下水的污染</w:t>
            </w:r>
            <w:r>
              <w:rPr>
                <w:rFonts w:hint="eastAsia" w:ascii="Times New Roman" w:hAnsi="Times New Roman" w:cs="Times New Roman"/>
                <w:color w:val="000000" w:themeColor="text1"/>
                <w:kern w:val="0"/>
                <w:sz w:val="24"/>
                <w:szCs w:val="24"/>
                <w:highlight w:val="none"/>
                <w:lang w:eastAsia="zh-CN"/>
                <w14:textFill>
                  <w14:solidFill>
                    <w14:schemeClr w14:val="tx1"/>
                  </w14:solidFill>
                </w14:textFill>
              </w:rPr>
              <w:t>，</w:t>
            </w:r>
            <w:r>
              <w:rPr>
                <w:rFonts w:hint="default" w:ascii="Times New Roman" w:hAnsi="Times New Roman" w:cs="Times New Roman"/>
                <w:color w:val="000000" w:themeColor="text1"/>
                <w:kern w:val="0"/>
                <w:sz w:val="24"/>
                <w:szCs w:val="24"/>
                <w:highlight w:val="none"/>
                <w14:textFill>
                  <w14:solidFill>
                    <w14:schemeClr w14:val="tx1"/>
                  </w14:solidFill>
                </w14:textFill>
              </w:rPr>
              <w:t>本次评价</w:t>
            </w:r>
            <w:r>
              <w:rPr>
                <w:rFonts w:hint="eastAsia" w:ascii="Times New Roman" w:hAnsi="Times New Roman" w:cs="Times New Roman"/>
                <w:color w:val="000000" w:themeColor="text1"/>
                <w:kern w:val="0"/>
                <w:sz w:val="24"/>
                <w:szCs w:val="24"/>
                <w:highlight w:val="none"/>
                <w:lang w:val="en-US" w:eastAsia="zh-CN"/>
                <w14:textFill>
                  <w14:solidFill>
                    <w14:schemeClr w14:val="tx1"/>
                  </w14:solidFill>
                </w14:textFill>
              </w:rPr>
              <w:t>按照</w:t>
            </w:r>
            <w:r>
              <w:rPr>
                <w:rFonts w:hint="default" w:ascii="Times New Roman" w:hAnsi="Times New Roman" w:cs="Times New Roman"/>
                <w:color w:val="000000" w:themeColor="text1"/>
                <w:kern w:val="0"/>
                <w:sz w:val="24"/>
                <w:szCs w:val="24"/>
                <w:highlight w:val="none"/>
                <w14:textFill>
                  <w14:solidFill>
                    <w14:schemeClr w14:val="tx1"/>
                  </w14:solidFill>
                </w14:textFill>
              </w:rPr>
              <w:t>《环境影响评价技术导则－地下水环境》（HJ610-2016）</w:t>
            </w:r>
            <w:r>
              <w:rPr>
                <w:rFonts w:hint="eastAsia" w:ascii="Times New Roman" w:hAnsi="Times New Roman" w:cs="Times New Roman"/>
                <w:color w:val="000000" w:themeColor="text1"/>
                <w:kern w:val="0"/>
                <w:sz w:val="24"/>
                <w:szCs w:val="24"/>
                <w:highlight w:val="none"/>
                <w:lang w:val="en-US" w:eastAsia="zh-CN"/>
                <w14:textFill>
                  <w14:solidFill>
                    <w14:schemeClr w14:val="tx1"/>
                  </w14:solidFill>
                </w14:textFill>
              </w:rPr>
              <w:t>要求提出分区防渗措施</w:t>
            </w:r>
            <w:r>
              <w:rPr>
                <w:rFonts w:hint="default" w:ascii="Times New Roman" w:hAnsi="Times New Roman" w:cs="Times New Roman"/>
                <w:color w:val="000000" w:themeColor="text1"/>
                <w:kern w:val="0"/>
                <w:sz w:val="24"/>
                <w:szCs w:val="24"/>
                <w:highlight w:val="none"/>
                <w14:textFill>
                  <w14:solidFill>
                    <w14:schemeClr w14:val="tx1"/>
                  </w14:solidFill>
                </w14:textFill>
              </w:rPr>
              <w:t>。在建设期做好厂区的污染防渗措施，</w:t>
            </w:r>
            <w:r>
              <w:rPr>
                <w:rFonts w:hint="default" w:ascii="Times New Roman" w:hAnsi="Times New Roman" w:cs="Times New Roman"/>
                <w:color w:val="000000" w:themeColor="text1"/>
                <w:kern w:val="0"/>
                <w:sz w:val="24"/>
                <w:szCs w:val="24"/>
                <w14:textFill>
                  <w14:solidFill>
                    <w14:schemeClr w14:val="tx1"/>
                  </w14:solidFill>
                </w14:textFill>
              </w:rPr>
              <w:t>可阻断地下水环境污染途径，</w:t>
            </w:r>
            <w:r>
              <w:rPr>
                <w:rFonts w:hint="eastAsia" w:ascii="Times New Roman" w:hAnsi="Times New Roman" w:cs="Times New Roman"/>
                <w:color w:val="000000" w:themeColor="text1"/>
                <w:kern w:val="0"/>
                <w:sz w:val="24"/>
                <w:szCs w:val="24"/>
                <w:lang w:val="en-US" w:eastAsia="zh-CN"/>
                <w14:textFill>
                  <w14:solidFill>
                    <w14:schemeClr w14:val="tx1"/>
                  </w14:solidFill>
                </w14:textFill>
              </w:rPr>
              <w:t>其次</w:t>
            </w:r>
            <w:r>
              <w:rPr>
                <w:rFonts w:hint="default" w:ascii="Times New Roman" w:hAnsi="Times New Roman" w:cs="Times New Roman"/>
                <w:color w:val="000000" w:themeColor="text1"/>
                <w:kern w:val="0"/>
                <w:sz w:val="24"/>
                <w:szCs w:val="24"/>
                <w:highlight w:val="none"/>
                <w14:textFill>
                  <w14:solidFill>
                    <w14:schemeClr w14:val="tx1"/>
                  </w14:solidFill>
                </w14:textFill>
              </w:rPr>
              <w:t>在运行期加强维护和管理情况下，项目对地下水环境的影响是可控的，</w:t>
            </w:r>
            <w:r>
              <w:rPr>
                <w:rFonts w:hint="default" w:ascii="Times New Roman" w:hAnsi="Times New Roman" w:cs="Times New Roman"/>
                <w:color w:val="000000" w:themeColor="text1"/>
                <w:kern w:val="0"/>
                <w:sz w:val="24"/>
                <w:szCs w:val="24"/>
                <w14:textFill>
                  <w14:solidFill>
                    <w14:schemeClr w14:val="tx1"/>
                  </w14:solidFill>
                </w14:textFill>
              </w:rPr>
              <w:t>因此，</w:t>
            </w:r>
            <w:r>
              <w:rPr>
                <w:rFonts w:hint="eastAsia" w:ascii="Times New Roman" w:hAnsi="宋体" w:eastAsia="宋体" w:cs="Times New Roman"/>
                <w:b w:val="0"/>
                <w:bCs/>
                <w:color w:val="000000" w:themeColor="text1"/>
                <w:kern w:val="2"/>
                <w:sz w:val="24"/>
                <w:szCs w:val="24"/>
                <w:lang w:val="en-US" w:eastAsia="zh-CN" w:bidi="ar-SA"/>
                <w14:textFill>
                  <w14:solidFill>
                    <w14:schemeClr w14:val="tx1"/>
                  </w14:solidFill>
                </w14:textFill>
              </w:rPr>
              <w:t>不开展</w:t>
            </w:r>
            <w:r>
              <w:rPr>
                <w:rFonts w:hint="default" w:ascii="Times New Roman" w:hAnsi="Times New Roman" w:cs="Times New Roman"/>
                <w:color w:val="000000" w:themeColor="text1"/>
                <w:kern w:val="0"/>
                <w:sz w:val="24"/>
                <w:szCs w:val="24"/>
                <w14:textFill>
                  <w14:solidFill>
                    <w14:schemeClr w14:val="tx1"/>
                  </w14:solidFill>
                </w14:textFill>
              </w:rPr>
              <w:t>地下水环境现状调查。</w:t>
            </w:r>
          </w:p>
          <w:p w14:paraId="6064D076">
            <w:pPr>
              <w:keepNext w:val="0"/>
              <w:keepLines w:val="0"/>
              <w:pageBreakBefore w:val="0"/>
              <w:widowControl w:val="0"/>
              <w:kinsoku/>
              <w:wordWrap/>
              <w:overflowPunct/>
              <w:topLinePunct w:val="0"/>
              <w:autoSpaceDE/>
              <w:autoSpaceDN/>
              <w:bidi w:val="0"/>
              <w:adjustRightInd w:val="0"/>
              <w:snapToGrid/>
              <w:spacing w:after="0" w:afterLines="0" w:line="360" w:lineRule="auto"/>
              <w:ind w:left="0" w:leftChars="0" w:firstLine="482" w:firstLineChars="200"/>
              <w:jc w:val="left"/>
              <w:textAlignment w:val="auto"/>
              <w:outlineLvl w:val="1"/>
              <w:rPr>
                <w:rFonts w:hint="default" w:ascii="Times New Roman" w:hAnsi="宋体" w:eastAsia="宋体" w:cs="Times New Roman"/>
                <w:b/>
                <w:color w:val="000000" w:themeColor="text1"/>
                <w:kern w:val="2"/>
                <w:sz w:val="24"/>
                <w:szCs w:val="24"/>
                <w:lang w:val="en-US" w:eastAsia="zh-CN" w:bidi="ar-SA"/>
                <w14:textFill>
                  <w14:solidFill>
                    <w14:schemeClr w14:val="tx1"/>
                  </w14:solidFill>
                </w14:textFill>
              </w:rPr>
            </w:pPr>
            <w:r>
              <w:rPr>
                <w:rFonts w:hint="eastAsia" w:ascii="Times New Roman" w:hAnsi="宋体" w:eastAsia="宋体" w:cs="Times New Roman"/>
                <w:b/>
                <w:color w:val="000000" w:themeColor="text1"/>
                <w:kern w:val="2"/>
                <w:sz w:val="24"/>
                <w:szCs w:val="24"/>
                <w:lang w:val="en-US" w:eastAsia="zh-CN" w:bidi="ar-SA"/>
                <w14:textFill>
                  <w14:solidFill>
                    <w14:schemeClr w14:val="tx1"/>
                  </w14:solidFill>
                </w14:textFill>
              </w:rPr>
              <w:t>（2）土壤</w:t>
            </w:r>
          </w:p>
          <w:p w14:paraId="0DAC10C5">
            <w:pPr>
              <w:keepNext w:val="0"/>
              <w:keepLines w:val="0"/>
              <w:pageBreakBefore w:val="0"/>
              <w:widowControl w:val="0"/>
              <w:kinsoku/>
              <w:wordWrap/>
              <w:overflowPunct/>
              <w:topLinePunct w:val="0"/>
              <w:autoSpaceDE/>
              <w:autoSpaceDN/>
              <w:bidi w:val="0"/>
              <w:adjustRightInd w:val="0"/>
              <w:snapToGrid/>
              <w:spacing w:after="0" w:afterLines="0" w:line="360" w:lineRule="auto"/>
              <w:ind w:left="0" w:leftChars="0" w:firstLine="480" w:firstLineChars="200"/>
              <w:jc w:val="left"/>
              <w:textAlignment w:val="auto"/>
              <w:outlineLvl w:val="1"/>
              <w:rPr>
                <w:rFonts w:hint="eastAsia" w:ascii="Times New Roman" w:hAnsi="宋体" w:eastAsia="宋体" w:cs="Times New Roman"/>
                <w:b w:val="0"/>
                <w:bCs/>
                <w:color w:val="000000" w:themeColor="text1"/>
                <w:kern w:val="2"/>
                <w:sz w:val="24"/>
                <w:szCs w:val="24"/>
                <w:lang w:val="en-US" w:eastAsia="zh-CN" w:bidi="ar-SA"/>
                <w14:textFill>
                  <w14:solidFill>
                    <w14:schemeClr w14:val="tx1"/>
                  </w14:solidFill>
                </w14:textFill>
              </w:rPr>
            </w:pPr>
            <w:r>
              <w:rPr>
                <w:rFonts w:hint="eastAsia" w:ascii="Times New Roman" w:hAnsi="宋体" w:eastAsia="宋体" w:cs="Times New Roman"/>
                <w:b w:val="0"/>
                <w:bCs/>
                <w:color w:val="000000" w:themeColor="text1"/>
                <w:kern w:val="2"/>
                <w:sz w:val="24"/>
                <w:szCs w:val="24"/>
                <w:lang w:val="en-US" w:eastAsia="zh-CN" w:bidi="ar-SA"/>
                <w14:textFill>
                  <w14:solidFill>
                    <w14:schemeClr w14:val="tx1"/>
                  </w14:solidFill>
                </w14:textFill>
              </w:rPr>
              <w:t>本项目土壤环境污染途径主要为大气沉降，项目排放的颗粒物、二氧化硫、氮氧化物、氟化物通过大气沉降对土壤造成污染，项目运营生产过程中产生的废气经处理系统处理后能够达标排放，对周边土壤环境的影响较小。因此项目运行期间在严格落实本环评提出的污染防治措施的前提下，不会对土壤环境造成污染影响，故不开展土壤环境现状调查。</w:t>
            </w:r>
          </w:p>
          <w:p w14:paraId="61997E64">
            <w:pPr>
              <w:keepNext w:val="0"/>
              <w:keepLines w:val="0"/>
              <w:pageBreakBefore w:val="0"/>
              <w:widowControl w:val="0"/>
              <w:kinsoku/>
              <w:wordWrap/>
              <w:overflowPunct/>
              <w:topLinePunct w:val="0"/>
              <w:autoSpaceDE/>
              <w:autoSpaceDN/>
              <w:bidi w:val="0"/>
              <w:adjustRightInd w:val="0"/>
              <w:snapToGrid/>
              <w:spacing w:after="0" w:afterLines="0" w:line="360" w:lineRule="auto"/>
              <w:ind w:left="0" w:leftChars="0" w:firstLine="482" w:firstLineChars="200"/>
              <w:jc w:val="left"/>
              <w:textAlignment w:val="auto"/>
              <w:outlineLvl w:val="1"/>
              <w:rPr>
                <w:rFonts w:hint="eastAsia" w:ascii="Times New Roman" w:hAnsi="宋体" w:eastAsia="宋体" w:cs="Times New Roman"/>
                <w:b/>
                <w:color w:val="000000" w:themeColor="text1"/>
                <w:kern w:val="2"/>
                <w:sz w:val="24"/>
                <w:szCs w:val="24"/>
                <w:lang w:val="en-US" w:eastAsia="zh-CN" w:bidi="ar-SA"/>
                <w14:textFill>
                  <w14:solidFill>
                    <w14:schemeClr w14:val="tx1"/>
                  </w14:solidFill>
                </w14:textFill>
              </w:rPr>
            </w:pPr>
            <w:r>
              <w:rPr>
                <w:rFonts w:hint="eastAsia" w:ascii="Times New Roman" w:hAnsi="宋体" w:eastAsia="宋体" w:cs="Times New Roman"/>
                <w:b/>
                <w:color w:val="000000" w:themeColor="text1"/>
                <w:kern w:val="2"/>
                <w:sz w:val="24"/>
                <w:szCs w:val="24"/>
                <w:lang w:val="en-US" w:eastAsia="zh-CN" w:bidi="ar-SA"/>
                <w14:textFill>
                  <w14:solidFill>
                    <w14:schemeClr w14:val="tx1"/>
                  </w14:solidFill>
                </w14:textFill>
              </w:rPr>
              <w:t>5、生态环境质量现状</w:t>
            </w:r>
          </w:p>
          <w:p w14:paraId="542348EB">
            <w:pPr>
              <w:pStyle w:val="9"/>
              <w:keepNext w:val="0"/>
              <w:keepLines w:val="0"/>
              <w:pageBreakBefore w:val="0"/>
              <w:widowControl/>
              <w:kinsoku/>
              <w:wordWrap/>
              <w:overflowPunct/>
              <w:topLinePunct w:val="0"/>
              <w:autoSpaceDE/>
              <w:autoSpaceDN/>
              <w:bidi w:val="0"/>
              <w:adjustRightInd/>
              <w:snapToGrid w:val="0"/>
              <w:spacing w:before="0" w:after="0" w:line="360" w:lineRule="auto"/>
              <w:ind w:right="0" w:firstLine="480" w:firstLineChars="200"/>
              <w:textAlignment w:val="auto"/>
              <w:rPr>
                <w:color w:val="000000" w:themeColor="text1"/>
                <w:sz w:val="24"/>
                <w:szCs w:val="24"/>
                <w14:textFill>
                  <w14:solidFill>
                    <w14:schemeClr w14:val="tx1"/>
                  </w14:solidFill>
                </w14:textFill>
              </w:rPr>
            </w:pPr>
            <w:r>
              <w:rPr>
                <w:bCs/>
                <w:color w:val="000000" w:themeColor="text1"/>
                <w:kern w:val="0"/>
                <w:sz w:val="24"/>
                <w14:textFill>
                  <w14:solidFill>
                    <w14:schemeClr w14:val="tx1"/>
                  </w14:solidFill>
                </w14:textFill>
              </w:rPr>
              <w:t>本次</w:t>
            </w:r>
            <w:r>
              <w:rPr>
                <w:rFonts w:hint="eastAsia"/>
                <w:bCs/>
                <w:color w:val="000000" w:themeColor="text1"/>
                <w:kern w:val="0"/>
                <w:sz w:val="24"/>
                <w:lang w:val="en-US" w:eastAsia="zh-CN"/>
                <w14:textFill>
                  <w14:solidFill>
                    <w14:schemeClr w14:val="tx1"/>
                  </w14:solidFill>
                </w14:textFill>
              </w:rPr>
              <w:t>改扩建在原有项目占地范围内进行改扩建，</w:t>
            </w:r>
            <w:r>
              <w:rPr>
                <w:bCs/>
                <w:color w:val="000000" w:themeColor="text1"/>
                <w:kern w:val="0"/>
                <w:sz w:val="24"/>
                <w14:textFill>
                  <w14:solidFill>
                    <w14:schemeClr w14:val="tx1"/>
                  </w14:solidFill>
                </w14:textFill>
              </w:rPr>
              <w:t>不新增</w:t>
            </w:r>
            <w:r>
              <w:rPr>
                <w:rFonts w:hint="eastAsia"/>
                <w:bCs/>
                <w:color w:val="000000" w:themeColor="text1"/>
                <w:kern w:val="0"/>
                <w:sz w:val="24"/>
                <w:lang w:val="en-US" w:eastAsia="zh-CN"/>
                <w14:textFill>
                  <w14:solidFill>
                    <w14:schemeClr w14:val="tx1"/>
                  </w14:solidFill>
                </w14:textFill>
              </w:rPr>
              <w:t>占地</w:t>
            </w:r>
            <w:r>
              <w:rPr>
                <w:bCs/>
                <w:color w:val="000000" w:themeColor="text1"/>
                <w:kern w:val="0"/>
                <w:sz w:val="24"/>
                <w14:textFill>
                  <w14:solidFill>
                    <w14:schemeClr w14:val="tx1"/>
                  </w14:solidFill>
                </w14:textFill>
              </w:rPr>
              <w:t>，且</w:t>
            </w:r>
            <w:r>
              <w:rPr>
                <w:rFonts w:hint="eastAsia"/>
                <w:bCs/>
                <w:color w:val="000000" w:themeColor="text1"/>
                <w:kern w:val="0"/>
                <w:sz w:val="24"/>
                <w:lang w:val="en-US" w:eastAsia="zh-CN"/>
                <w14:textFill>
                  <w14:solidFill>
                    <w14:schemeClr w14:val="tx1"/>
                  </w14:solidFill>
                </w14:textFill>
              </w:rPr>
              <w:t>现有</w:t>
            </w:r>
            <w:r>
              <w:rPr>
                <w:bCs/>
                <w:color w:val="000000" w:themeColor="text1"/>
                <w:kern w:val="0"/>
                <w:sz w:val="24"/>
                <w14:textFill>
                  <w14:solidFill>
                    <w14:schemeClr w14:val="tx1"/>
                  </w14:solidFill>
                </w14:textFill>
              </w:rPr>
              <w:t>用地范围内不含生态环境保护目标，不需要进行生态现状调查与评价。</w:t>
            </w:r>
          </w:p>
        </w:tc>
      </w:tr>
      <w:tr w14:paraId="61DE6B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800" w:type="dxa"/>
            <w:noWrap w:val="0"/>
            <w:vAlign w:val="center"/>
          </w:tcPr>
          <w:p w14:paraId="3CC2C450">
            <w:pPr>
              <w:keepNext w:val="0"/>
              <w:keepLines w:val="0"/>
              <w:pageBreakBefore w:val="0"/>
              <w:kinsoku/>
              <w:wordWrap/>
              <w:overflowPunct/>
              <w:topLinePunct w:val="0"/>
              <w:bidi w:val="0"/>
              <w:adjustRightInd w:val="0"/>
              <w:snapToGrid w:val="0"/>
              <w:jc w:val="center"/>
              <w:textAlignment w:val="auto"/>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环境</w:t>
            </w:r>
          </w:p>
          <w:p w14:paraId="2C02A9A2">
            <w:pPr>
              <w:keepNext w:val="0"/>
              <w:keepLines w:val="0"/>
              <w:pageBreakBefore w:val="0"/>
              <w:kinsoku/>
              <w:wordWrap/>
              <w:overflowPunct/>
              <w:topLinePunct w:val="0"/>
              <w:bidi w:val="0"/>
              <w:adjustRightInd w:val="0"/>
              <w:snapToGrid w:val="0"/>
              <w:jc w:val="center"/>
              <w:textAlignment w:val="auto"/>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保护</w:t>
            </w:r>
          </w:p>
          <w:p w14:paraId="72FB133D">
            <w:pPr>
              <w:keepNext w:val="0"/>
              <w:keepLines w:val="0"/>
              <w:pageBreakBefore w:val="0"/>
              <w:kinsoku/>
              <w:wordWrap/>
              <w:overflowPunct/>
              <w:topLinePunct w:val="0"/>
              <w:bidi w:val="0"/>
              <w:adjustRightInd w:val="0"/>
              <w:snapToGrid w:val="0"/>
              <w:jc w:val="center"/>
              <w:textAlignment w:val="auto"/>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目标</w:t>
            </w:r>
          </w:p>
        </w:tc>
        <w:tc>
          <w:tcPr>
            <w:tcW w:w="8190" w:type="dxa"/>
            <w:noWrap w:val="0"/>
            <w:vAlign w:val="center"/>
          </w:tcPr>
          <w:p w14:paraId="60FD3B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根据《建设项目环境影响报告表</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编制</w:t>
            </w:r>
            <w:r>
              <w:rPr>
                <w:rFonts w:hint="default" w:ascii="Times New Roman" w:hAnsi="Times New Roman" w:eastAsia="宋体" w:cs="Times New Roman"/>
                <w:color w:val="000000" w:themeColor="text1"/>
                <w:sz w:val="24"/>
                <w:szCs w:val="24"/>
                <w14:textFill>
                  <w14:solidFill>
                    <w14:schemeClr w14:val="tx1"/>
                  </w14:solidFill>
                </w14:textFill>
              </w:rPr>
              <w:t>技术指南（污染影响类）</w:t>
            </w:r>
            <w:r>
              <w:rPr>
                <w:rFonts w:hint="eastAsia" w:cs="Times New Roman"/>
                <w:color w:val="000000" w:themeColor="text1"/>
                <w:sz w:val="24"/>
                <w:szCs w:val="24"/>
                <w:lang w:eastAsia="zh-CN"/>
                <w14:textFill>
                  <w14:solidFill>
                    <w14:schemeClr w14:val="tx1"/>
                  </w14:solidFill>
                </w14:textFill>
              </w:rPr>
              <w:t>（试行）》</w:t>
            </w:r>
            <w:r>
              <w:rPr>
                <w:rFonts w:hint="default" w:ascii="Times New Roman" w:hAnsi="Times New Roman" w:eastAsia="宋体" w:cs="Times New Roman"/>
                <w:color w:val="000000" w:themeColor="text1"/>
                <w:sz w:val="24"/>
                <w:szCs w:val="24"/>
                <w14:textFill>
                  <w14:solidFill>
                    <w14:schemeClr w14:val="tx1"/>
                  </w14:solidFill>
                </w14:textFill>
              </w:rPr>
              <w:t>编制要求</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项目环境保护目标如下所示：</w:t>
            </w:r>
          </w:p>
          <w:p w14:paraId="4D1F6FD7">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200"/>
              <w:textAlignment w:val="auto"/>
              <w:rPr>
                <w:rFonts w:hint="default" w:ascii="Times New Roman" w:hAnsi="Times New Roman" w:eastAsia="宋体" w:cs="Times New Roman"/>
                <w:b/>
                <w:bCs/>
                <w:color w:val="000000" w:themeColor="text1"/>
                <w:spacing w:val="-3"/>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pacing w:val="-3"/>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spacing w:val="-3"/>
                <w:sz w:val="24"/>
                <w:szCs w:val="24"/>
                <w:lang w:val="en-US" w:eastAsia="zh-CN"/>
                <w14:textFill>
                  <w14:solidFill>
                    <w14:schemeClr w14:val="tx1"/>
                  </w14:solidFill>
                </w14:textFill>
              </w:rPr>
              <w:t>1</w:t>
            </w:r>
            <w:r>
              <w:rPr>
                <w:rFonts w:hint="default" w:ascii="Times New Roman" w:hAnsi="Times New Roman" w:eastAsia="宋体" w:cs="Times New Roman"/>
                <w:b/>
                <w:bCs/>
                <w:color w:val="000000" w:themeColor="text1"/>
                <w:spacing w:val="-3"/>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spacing w:val="-3"/>
                <w:sz w:val="24"/>
                <w:szCs w:val="24"/>
                <w:lang w:val="en-US" w:eastAsia="zh-CN"/>
                <w14:textFill>
                  <w14:solidFill>
                    <w14:schemeClr w14:val="tx1"/>
                  </w14:solidFill>
                </w14:textFill>
              </w:rPr>
              <w:t>大气环境</w:t>
            </w:r>
          </w:p>
          <w:p w14:paraId="2DBBA19B">
            <w:pPr>
              <w:keepNext w:val="0"/>
              <w:keepLines w:val="0"/>
              <w:pageBreakBefore w:val="0"/>
              <w:widowControl w:val="0"/>
              <w:kinsoku/>
              <w:wordWrap/>
              <w:overflowPunct/>
              <w:topLinePunct w:val="0"/>
              <w:autoSpaceDE/>
              <w:autoSpaceDN/>
              <w:bidi w:val="0"/>
              <w:adjustRightInd w:val="0"/>
              <w:snapToGrid w:val="0"/>
              <w:spacing w:line="360" w:lineRule="auto"/>
              <w:ind w:firstLine="468" w:firstLineChars="200"/>
              <w:textAlignment w:val="auto"/>
              <w:rPr>
                <w:rFonts w:hint="default" w:ascii="Times New Roman" w:hAnsi="Times New Roman" w:eastAsia="宋体" w:cs="Times New Roman"/>
                <w:color w:val="000000" w:themeColor="text1"/>
                <w:spacing w:val="-3"/>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pacing w:val="-3"/>
                <w:sz w:val="24"/>
                <w:szCs w:val="24"/>
                <w14:textFill>
                  <w14:solidFill>
                    <w14:schemeClr w14:val="tx1"/>
                  </w14:solidFill>
                </w14:textFill>
              </w:rPr>
              <w:t>根据《建设项目环境影响报告表编制技术指南（污染影响类）（试行）》</w:t>
            </w:r>
            <w:r>
              <w:rPr>
                <w:rFonts w:hint="default" w:ascii="Times New Roman" w:hAnsi="Times New Roman" w:eastAsia="宋体" w:cs="Times New Roman"/>
                <w:color w:val="000000" w:themeColor="text1"/>
                <w:spacing w:val="-3"/>
                <w:sz w:val="24"/>
                <w:szCs w:val="24"/>
                <w:lang w:val="en-US" w:eastAsia="zh-CN"/>
                <w14:textFill>
                  <w14:solidFill>
                    <w14:schemeClr w14:val="tx1"/>
                  </w14:solidFill>
                </w14:textFill>
              </w:rPr>
              <w:t>编制要求：“明确厂界外</w:t>
            </w:r>
            <w:r>
              <w:rPr>
                <w:rFonts w:hint="default" w:ascii="Times New Roman" w:hAnsi="Times New Roman" w:eastAsia="宋体" w:cs="Times New Roman"/>
                <w:color w:val="000000" w:themeColor="text1"/>
                <w:spacing w:val="-3"/>
                <w:sz w:val="24"/>
                <w:szCs w:val="24"/>
                <w14:textFill>
                  <w14:solidFill>
                    <w14:schemeClr w14:val="tx1"/>
                  </w14:solidFill>
                </w14:textFill>
              </w:rPr>
              <w:t>500m</w:t>
            </w:r>
            <w:r>
              <w:rPr>
                <w:rFonts w:hint="default" w:ascii="Times New Roman" w:hAnsi="Times New Roman" w:eastAsia="宋体" w:cs="Times New Roman"/>
                <w:color w:val="000000" w:themeColor="text1"/>
                <w:spacing w:val="-3"/>
                <w:sz w:val="24"/>
                <w:szCs w:val="24"/>
                <w:lang w:val="en-US" w:eastAsia="zh-CN"/>
                <w14:textFill>
                  <w14:solidFill>
                    <w14:schemeClr w14:val="tx1"/>
                  </w14:solidFill>
                </w14:textFill>
              </w:rPr>
              <w:t>范围</w:t>
            </w:r>
            <w:r>
              <w:rPr>
                <w:rFonts w:hint="default" w:ascii="Times New Roman" w:hAnsi="Times New Roman" w:eastAsia="宋体" w:cs="Times New Roman"/>
                <w:color w:val="000000" w:themeColor="text1"/>
                <w:spacing w:val="-3"/>
                <w:sz w:val="24"/>
                <w:szCs w:val="24"/>
                <w14:textFill>
                  <w14:solidFill>
                    <w14:schemeClr w14:val="tx1"/>
                  </w14:solidFill>
                </w14:textFill>
              </w:rPr>
              <w:t>内的自然保护区、风景名胜区、居住区、文化区和农村地区中人群较集中</w:t>
            </w:r>
            <w:r>
              <w:rPr>
                <w:rFonts w:hint="default" w:ascii="Times New Roman" w:hAnsi="Times New Roman" w:eastAsia="宋体" w:cs="Times New Roman"/>
                <w:color w:val="000000" w:themeColor="text1"/>
                <w:spacing w:val="-3"/>
                <w:sz w:val="24"/>
                <w:szCs w:val="24"/>
                <w:lang w:val="en-US" w:eastAsia="zh-CN"/>
                <w14:textFill>
                  <w14:solidFill>
                    <w14:schemeClr w14:val="tx1"/>
                  </w14:solidFill>
                </w14:textFill>
              </w:rPr>
              <w:t>的</w:t>
            </w:r>
            <w:r>
              <w:rPr>
                <w:rFonts w:hint="default" w:ascii="Times New Roman" w:hAnsi="Times New Roman" w:eastAsia="宋体" w:cs="Times New Roman"/>
                <w:color w:val="000000" w:themeColor="text1"/>
                <w:spacing w:val="-3"/>
                <w:sz w:val="24"/>
                <w:szCs w:val="24"/>
                <w14:textFill>
                  <w14:solidFill>
                    <w14:schemeClr w14:val="tx1"/>
                  </w14:solidFill>
                </w14:textFill>
              </w:rPr>
              <w:t>区域</w:t>
            </w:r>
            <w:r>
              <w:rPr>
                <w:rFonts w:hint="default" w:ascii="Times New Roman" w:hAnsi="Times New Roman" w:eastAsia="宋体" w:cs="Times New Roman"/>
                <w:color w:val="000000" w:themeColor="text1"/>
                <w:spacing w:val="-3"/>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3"/>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pacing w:val="-3"/>
                <w:sz w:val="24"/>
                <w:szCs w:val="24"/>
                <w14:textFill>
                  <w14:solidFill>
                    <w14:schemeClr w14:val="tx1"/>
                  </w14:solidFill>
                </w14:textFill>
              </w:rPr>
              <w:t>根据现场踏勘</w:t>
            </w:r>
            <w:r>
              <w:rPr>
                <w:rFonts w:hint="default" w:ascii="Times New Roman" w:hAnsi="Times New Roman" w:eastAsia="宋体" w:cs="Times New Roman"/>
                <w:color w:val="000000" w:themeColor="text1"/>
                <w:spacing w:val="-3"/>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3"/>
                <w:sz w:val="24"/>
                <w:szCs w:val="24"/>
                <w:lang w:val="en-US" w:eastAsia="zh-CN"/>
                <w14:textFill>
                  <w14:solidFill>
                    <w14:schemeClr w14:val="tx1"/>
                  </w14:solidFill>
                </w14:textFill>
              </w:rPr>
              <w:t>项目厂界外500m范围内无保护目标。</w:t>
            </w:r>
          </w:p>
          <w:p w14:paraId="34192B5F">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200"/>
              <w:textAlignment w:val="auto"/>
              <w:rPr>
                <w:rFonts w:hint="default" w:ascii="Times New Roman" w:hAnsi="Times New Roman" w:eastAsia="宋体" w:cs="Times New Roman"/>
                <w:b/>
                <w:bCs/>
                <w:color w:val="000000" w:themeColor="text1"/>
                <w:spacing w:val="-3"/>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pacing w:val="-3"/>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spacing w:val="-3"/>
                <w:sz w:val="24"/>
                <w:szCs w:val="24"/>
                <w:lang w:val="en-US" w:eastAsia="zh-CN"/>
                <w14:textFill>
                  <w14:solidFill>
                    <w14:schemeClr w14:val="tx1"/>
                  </w14:solidFill>
                </w14:textFill>
              </w:rPr>
              <w:t>2</w:t>
            </w:r>
            <w:r>
              <w:rPr>
                <w:rFonts w:hint="default" w:ascii="Times New Roman" w:hAnsi="Times New Roman" w:eastAsia="宋体" w:cs="Times New Roman"/>
                <w:b/>
                <w:bCs/>
                <w:color w:val="000000" w:themeColor="text1"/>
                <w:spacing w:val="-3"/>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spacing w:val="-3"/>
                <w:sz w:val="24"/>
                <w:szCs w:val="24"/>
                <w:lang w:val="en-US" w:eastAsia="zh-CN"/>
                <w14:textFill>
                  <w14:solidFill>
                    <w14:schemeClr w14:val="tx1"/>
                  </w14:solidFill>
                </w14:textFill>
              </w:rPr>
              <w:t>声环境</w:t>
            </w:r>
          </w:p>
          <w:p w14:paraId="125E79B2">
            <w:pPr>
              <w:keepNext w:val="0"/>
              <w:keepLines w:val="0"/>
              <w:pageBreakBefore w:val="0"/>
              <w:widowControl w:val="0"/>
              <w:kinsoku/>
              <w:wordWrap/>
              <w:overflowPunct/>
              <w:topLinePunct w:val="0"/>
              <w:autoSpaceDE/>
              <w:autoSpaceDN/>
              <w:bidi w:val="0"/>
              <w:adjustRightInd w:val="0"/>
              <w:snapToGrid w:val="0"/>
              <w:spacing w:line="360" w:lineRule="auto"/>
              <w:ind w:firstLine="468" w:firstLineChars="200"/>
              <w:textAlignment w:val="auto"/>
              <w:rPr>
                <w:rFonts w:hint="default" w:ascii="Times New Roman" w:hAnsi="Times New Roman" w:eastAsia="宋体" w:cs="Times New Roman"/>
                <w:color w:val="000000" w:themeColor="text1"/>
                <w:spacing w:val="-3"/>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pacing w:val="-3"/>
                <w:sz w:val="24"/>
                <w:szCs w:val="24"/>
                <w14:textFill>
                  <w14:solidFill>
                    <w14:schemeClr w14:val="tx1"/>
                  </w14:solidFill>
                </w14:textFill>
              </w:rPr>
              <w:t>根据《建设项目环境影响报告表编制技术指南（污染影响类）（试行）》</w:t>
            </w:r>
            <w:r>
              <w:rPr>
                <w:rFonts w:hint="default" w:ascii="Times New Roman" w:hAnsi="Times New Roman" w:eastAsia="宋体" w:cs="Times New Roman"/>
                <w:color w:val="000000" w:themeColor="text1"/>
                <w:spacing w:val="-3"/>
                <w:sz w:val="24"/>
                <w:szCs w:val="24"/>
                <w:lang w:val="en-US" w:eastAsia="zh-CN"/>
                <w14:textFill>
                  <w14:solidFill>
                    <w14:schemeClr w14:val="tx1"/>
                  </w14:solidFill>
                </w14:textFill>
              </w:rPr>
              <w:t>编制要求：“明确厂界外50m范围内声环境保护目标。”</w:t>
            </w:r>
            <w:r>
              <w:rPr>
                <w:rFonts w:hint="default" w:ascii="Times New Roman" w:hAnsi="Times New Roman" w:eastAsia="宋体" w:cs="Times New Roman"/>
                <w:color w:val="000000" w:themeColor="text1"/>
                <w:spacing w:val="-3"/>
                <w:sz w:val="24"/>
                <w:szCs w:val="24"/>
                <w14:textFill>
                  <w14:solidFill>
                    <w14:schemeClr w14:val="tx1"/>
                  </w14:solidFill>
                </w14:textFill>
              </w:rPr>
              <w:t>根据现场踏勘</w:t>
            </w:r>
            <w:r>
              <w:rPr>
                <w:rFonts w:hint="default" w:ascii="Times New Roman" w:hAnsi="Times New Roman" w:eastAsia="宋体" w:cs="Times New Roman"/>
                <w:color w:val="000000" w:themeColor="text1"/>
                <w:spacing w:val="-3"/>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3"/>
                <w:sz w:val="24"/>
                <w:szCs w:val="24"/>
                <w:lang w:val="en-US" w:eastAsia="zh-CN"/>
                <w14:textFill>
                  <w14:solidFill>
                    <w14:schemeClr w14:val="tx1"/>
                  </w14:solidFill>
                </w14:textFill>
              </w:rPr>
              <w:t>项目厂界外50m范围内无声环境保护目标。</w:t>
            </w:r>
          </w:p>
          <w:p w14:paraId="2A8EC441">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200"/>
              <w:textAlignment w:val="auto"/>
              <w:rPr>
                <w:rFonts w:hint="default" w:ascii="Times New Roman" w:hAnsi="Times New Roman" w:eastAsia="宋体" w:cs="Times New Roman"/>
                <w:b/>
                <w:bCs/>
                <w:color w:val="000000" w:themeColor="text1"/>
                <w:spacing w:val="-3"/>
                <w:sz w:val="24"/>
                <w:szCs w:val="24"/>
                <w:lang w:val="en-US"/>
                <w14:textFill>
                  <w14:solidFill>
                    <w14:schemeClr w14:val="tx1"/>
                  </w14:solidFill>
                </w14:textFill>
              </w:rPr>
            </w:pPr>
            <w:r>
              <w:rPr>
                <w:rFonts w:hint="default" w:ascii="Times New Roman" w:hAnsi="Times New Roman" w:eastAsia="宋体" w:cs="Times New Roman"/>
                <w:b/>
                <w:bCs/>
                <w:color w:val="000000" w:themeColor="text1"/>
                <w:spacing w:val="-3"/>
                <w:sz w:val="24"/>
                <w:szCs w:val="24"/>
                <w:lang w:val="en-US" w:eastAsia="zh-CN"/>
                <w14:textFill>
                  <w14:solidFill>
                    <w14:schemeClr w14:val="tx1"/>
                  </w14:solidFill>
                </w14:textFill>
              </w:rPr>
              <w:t>（3）地下水</w:t>
            </w:r>
          </w:p>
          <w:p w14:paraId="44232906">
            <w:pPr>
              <w:keepNext w:val="0"/>
              <w:keepLines w:val="0"/>
              <w:pageBreakBefore w:val="0"/>
              <w:widowControl w:val="0"/>
              <w:kinsoku/>
              <w:wordWrap/>
              <w:overflowPunct/>
              <w:topLinePunct w:val="0"/>
              <w:autoSpaceDE/>
              <w:autoSpaceDN/>
              <w:bidi w:val="0"/>
              <w:adjustRightInd w:val="0"/>
              <w:snapToGrid w:val="0"/>
              <w:spacing w:line="360" w:lineRule="auto"/>
              <w:ind w:firstLine="468" w:firstLineChars="200"/>
              <w:textAlignment w:val="auto"/>
              <w:rPr>
                <w:rFonts w:hint="default" w:ascii="Times New Roman" w:hAnsi="Times New Roman" w:eastAsia="宋体" w:cs="Times New Roman"/>
                <w:color w:val="000000" w:themeColor="text1"/>
                <w:spacing w:val="-3"/>
                <w:sz w:val="24"/>
                <w:szCs w:val="24"/>
                <w:lang w:val="en-US"/>
                <w14:textFill>
                  <w14:solidFill>
                    <w14:schemeClr w14:val="tx1"/>
                  </w14:solidFill>
                </w14:textFill>
              </w:rPr>
            </w:pPr>
            <w:r>
              <w:rPr>
                <w:rFonts w:hint="default" w:ascii="Times New Roman" w:hAnsi="Times New Roman" w:eastAsia="宋体" w:cs="Times New Roman"/>
                <w:color w:val="000000" w:themeColor="text1"/>
                <w:spacing w:val="-3"/>
                <w:sz w:val="24"/>
                <w:szCs w:val="24"/>
                <w14:textFill>
                  <w14:solidFill>
                    <w14:schemeClr w14:val="tx1"/>
                  </w14:solidFill>
                </w14:textFill>
              </w:rPr>
              <w:t>根据《建设项目环境影响报告表编制技术指南（污染影响类）（试行）》</w:t>
            </w:r>
            <w:r>
              <w:rPr>
                <w:rFonts w:hint="default" w:ascii="Times New Roman" w:hAnsi="Times New Roman" w:eastAsia="宋体" w:cs="Times New Roman"/>
                <w:color w:val="000000" w:themeColor="text1"/>
                <w:spacing w:val="-3"/>
                <w:sz w:val="24"/>
                <w:szCs w:val="24"/>
                <w:lang w:val="en-US" w:eastAsia="zh-CN"/>
                <w14:textFill>
                  <w14:solidFill>
                    <w14:schemeClr w14:val="tx1"/>
                  </w14:solidFill>
                </w14:textFill>
              </w:rPr>
              <w:t>编制要求：“明确厂界外500m范围内的地下水集中式饮用水水源和热水、矿泉水、温泉等特殊地下水资源。”</w:t>
            </w:r>
            <w:r>
              <w:rPr>
                <w:rFonts w:hint="default" w:ascii="Times New Roman" w:hAnsi="Times New Roman" w:eastAsia="宋体" w:cs="Times New Roman"/>
                <w:color w:val="000000" w:themeColor="text1"/>
                <w:spacing w:val="-3"/>
                <w:sz w:val="24"/>
                <w:szCs w:val="24"/>
                <w14:textFill>
                  <w14:solidFill>
                    <w14:schemeClr w14:val="tx1"/>
                  </w14:solidFill>
                </w14:textFill>
              </w:rPr>
              <w:t>根据现场踏勘</w:t>
            </w:r>
            <w:r>
              <w:rPr>
                <w:rFonts w:hint="default" w:ascii="Times New Roman" w:hAnsi="Times New Roman" w:eastAsia="宋体" w:cs="Times New Roman"/>
                <w:color w:val="000000" w:themeColor="text1"/>
                <w:spacing w:val="-3"/>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3"/>
                <w:sz w:val="24"/>
                <w:szCs w:val="24"/>
                <w:lang w:val="en-US" w:eastAsia="zh-CN"/>
                <w14:textFill>
                  <w14:solidFill>
                    <w14:schemeClr w14:val="tx1"/>
                  </w14:solidFill>
                </w14:textFill>
              </w:rPr>
              <w:t>项目厂界外500m范围内无地下水保护目标。</w:t>
            </w:r>
          </w:p>
          <w:p w14:paraId="4D36A706">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200"/>
              <w:textAlignment w:val="auto"/>
              <w:rPr>
                <w:rFonts w:hint="default" w:ascii="Times New Roman" w:hAnsi="Times New Roman" w:eastAsia="宋体" w:cs="Times New Roman"/>
                <w:color w:val="000000" w:themeColor="text1"/>
                <w:spacing w:val="-3"/>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pacing w:val="-3"/>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spacing w:val="-3"/>
                <w:sz w:val="24"/>
                <w:szCs w:val="24"/>
                <w:lang w:val="en-US" w:eastAsia="zh-CN"/>
                <w14:textFill>
                  <w14:solidFill>
                    <w14:schemeClr w14:val="tx1"/>
                  </w14:solidFill>
                </w14:textFill>
              </w:rPr>
              <w:t>4</w:t>
            </w:r>
            <w:r>
              <w:rPr>
                <w:rFonts w:hint="default" w:ascii="Times New Roman" w:hAnsi="Times New Roman" w:eastAsia="宋体" w:cs="Times New Roman"/>
                <w:b/>
                <w:bCs/>
                <w:color w:val="000000" w:themeColor="text1"/>
                <w:spacing w:val="-3"/>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spacing w:val="-3"/>
                <w:sz w:val="24"/>
                <w:szCs w:val="24"/>
                <w:lang w:val="en-US" w:eastAsia="zh-CN"/>
                <w14:textFill>
                  <w14:solidFill>
                    <w14:schemeClr w14:val="tx1"/>
                  </w14:solidFill>
                </w14:textFill>
              </w:rPr>
              <w:t>生态环境</w:t>
            </w:r>
          </w:p>
          <w:p w14:paraId="0F8C13B1">
            <w:pPr>
              <w:keepNext w:val="0"/>
              <w:keepLines w:val="0"/>
              <w:pageBreakBefore w:val="0"/>
              <w:widowControl w:val="0"/>
              <w:kinsoku/>
              <w:wordWrap/>
              <w:overflowPunct/>
              <w:topLinePunct w:val="0"/>
              <w:autoSpaceDE/>
              <w:autoSpaceDN/>
              <w:bidi w:val="0"/>
              <w:adjustRightInd w:val="0"/>
              <w:snapToGrid w:val="0"/>
              <w:spacing w:line="360" w:lineRule="auto"/>
              <w:ind w:firstLine="468" w:firstLineChars="200"/>
              <w:textAlignment w:val="auto"/>
              <w:rPr>
                <w:rFonts w:hint="default" w:ascii="Times New Roman" w:hAnsi="Times New Roman" w:eastAsia="宋体" w:cs="Times New Roman"/>
                <w:color w:val="000000" w:themeColor="text1"/>
                <w:spacing w:val="-3"/>
                <w:sz w:val="24"/>
                <w:szCs w:val="24"/>
                <w:lang w:val="en-US"/>
                <w14:textFill>
                  <w14:solidFill>
                    <w14:schemeClr w14:val="tx1"/>
                  </w14:solidFill>
                </w14:textFill>
              </w:rPr>
            </w:pPr>
            <w:r>
              <w:rPr>
                <w:rFonts w:hint="default" w:ascii="Times New Roman" w:hAnsi="Times New Roman" w:eastAsia="宋体" w:cs="Times New Roman"/>
                <w:color w:val="000000" w:themeColor="text1"/>
                <w:spacing w:val="-3"/>
                <w:sz w:val="24"/>
                <w:szCs w:val="24"/>
                <w14:textFill>
                  <w14:solidFill>
                    <w14:schemeClr w14:val="tx1"/>
                  </w14:solidFill>
                </w14:textFill>
              </w:rPr>
              <w:t>根据《建设项目环境影响报告表编制技术指南（污染影响类）（试行）》</w:t>
            </w:r>
            <w:r>
              <w:rPr>
                <w:rFonts w:hint="default" w:ascii="Times New Roman" w:hAnsi="Times New Roman" w:eastAsia="宋体" w:cs="Times New Roman"/>
                <w:color w:val="000000" w:themeColor="text1"/>
                <w:spacing w:val="-3"/>
                <w:sz w:val="24"/>
                <w:szCs w:val="24"/>
                <w:lang w:val="en-US" w:eastAsia="zh-CN"/>
                <w14:textFill>
                  <w14:solidFill>
                    <w14:schemeClr w14:val="tx1"/>
                  </w14:solidFill>
                </w14:textFill>
              </w:rPr>
              <w:t>编制要求：“产业园区外建设项目新增用地的，应明确新增用地范围内生态保护目标。”</w:t>
            </w:r>
            <w:r>
              <w:rPr>
                <w:rFonts w:hint="default" w:ascii="Times New Roman" w:hAnsi="Times New Roman" w:eastAsia="宋体" w:cs="Times New Roman"/>
                <w:bCs/>
                <w:color w:val="000000" w:themeColor="text1"/>
                <w:kern w:val="0"/>
                <w:sz w:val="24"/>
                <w:szCs w:val="24"/>
                <w14:textFill>
                  <w14:solidFill>
                    <w14:schemeClr w14:val="tx1"/>
                  </w14:solidFill>
                </w14:textFill>
              </w:rPr>
              <w:t>本次</w:t>
            </w:r>
            <w:r>
              <w:rPr>
                <w:rFonts w:hint="default" w:ascii="Times New Roman" w:hAnsi="Times New Roman" w:eastAsia="宋体" w:cs="Times New Roman"/>
                <w:bCs/>
                <w:color w:val="000000" w:themeColor="text1"/>
                <w:kern w:val="0"/>
                <w:sz w:val="24"/>
                <w:szCs w:val="24"/>
                <w:lang w:val="en-US" w:eastAsia="zh-CN"/>
                <w14:textFill>
                  <w14:solidFill>
                    <w14:schemeClr w14:val="tx1"/>
                  </w14:solidFill>
                </w14:textFill>
              </w:rPr>
              <w:t>改扩建在原有项目占地范围内进行改扩建，</w:t>
            </w:r>
            <w:r>
              <w:rPr>
                <w:rFonts w:hint="default" w:ascii="Times New Roman" w:hAnsi="Times New Roman" w:eastAsia="宋体" w:cs="Times New Roman"/>
                <w:bCs/>
                <w:color w:val="000000" w:themeColor="text1"/>
                <w:kern w:val="0"/>
                <w:sz w:val="24"/>
                <w:szCs w:val="24"/>
                <w14:textFill>
                  <w14:solidFill>
                    <w14:schemeClr w14:val="tx1"/>
                  </w14:solidFill>
                </w14:textFill>
              </w:rPr>
              <w:t>不新增</w:t>
            </w:r>
            <w:r>
              <w:rPr>
                <w:rFonts w:hint="default" w:ascii="Times New Roman" w:hAnsi="Times New Roman" w:eastAsia="宋体" w:cs="Times New Roman"/>
                <w:bCs/>
                <w:color w:val="000000" w:themeColor="text1"/>
                <w:kern w:val="0"/>
                <w:sz w:val="24"/>
                <w:szCs w:val="24"/>
                <w:lang w:val="en-US" w:eastAsia="zh-CN"/>
                <w14:textFill>
                  <w14:solidFill>
                    <w14:schemeClr w14:val="tx1"/>
                  </w14:solidFill>
                </w14:textFill>
              </w:rPr>
              <w:t>占地</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，且现有</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项目</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占地范围内无生态环境保护目标。</w:t>
            </w:r>
          </w:p>
          <w:p w14:paraId="0D538B65">
            <w:pPr>
              <w:pStyle w:val="24"/>
              <w:keepNext w:val="0"/>
              <w:keepLines w:val="0"/>
              <w:pageBreakBefore w:val="0"/>
              <w:widowControl w:val="0"/>
              <w:kinsoku/>
              <w:wordWrap/>
              <w:overflowPunct/>
              <w:topLinePunct w:val="0"/>
              <w:autoSpaceDE/>
              <w:autoSpaceDN/>
              <w:bidi w:val="0"/>
              <w:spacing w:before="0" w:beforeAutospacing="0" w:after="0" w:afterAutospacing="0" w:line="360" w:lineRule="auto"/>
              <w:ind w:firstLine="480" w:firstLineChars="200"/>
              <w:jc w:val="both"/>
              <w:textAlignment w:val="auto"/>
              <w:rPr>
                <w:rFonts w:hint="default" w:ascii="Times New Roman" w:hAnsi="Times New Roman" w:eastAsia="宋体" w:cs="Times New Roman"/>
                <w:b/>
                <w:color w:val="000000" w:themeColor="text1"/>
                <w:kern w:val="10"/>
                <w:sz w:val="24"/>
                <w:szCs w:val="24"/>
                <w14:textFill>
                  <w14:solidFill>
                    <w14:schemeClr w14:val="tx1"/>
                  </w14:solidFill>
                </w14:textFill>
              </w:rPr>
            </w:pPr>
            <w:r>
              <w:rPr>
                <w:rFonts w:hint="eastAsia" w:ascii="Times New Roman" w:hAnsi="Times New Roman" w:eastAsia="宋体" w:cs="Times New Roman"/>
                <w:bCs/>
                <w:color w:val="000000" w:themeColor="text1"/>
                <w:kern w:val="2"/>
                <w:sz w:val="24"/>
                <w:szCs w:val="24"/>
                <w:lang w:val="en-US" w:eastAsia="zh-CN"/>
                <w14:textFill>
                  <w14:solidFill>
                    <w14:schemeClr w14:val="tx1"/>
                  </w14:solidFill>
                </w14:textFill>
              </w:rPr>
              <w:t>综上，</w:t>
            </w:r>
            <w:r>
              <w:rPr>
                <w:rFonts w:hint="default" w:ascii="Times New Roman" w:hAnsi="Times New Roman" w:eastAsia="宋体" w:cs="Times New Roman"/>
                <w:bCs/>
                <w:color w:val="000000" w:themeColor="text1"/>
                <w:kern w:val="2"/>
                <w:sz w:val="24"/>
                <w:szCs w:val="24"/>
                <w14:textFill>
                  <w14:solidFill>
                    <w14:schemeClr w14:val="tx1"/>
                  </w14:solidFill>
                </w14:textFill>
              </w:rPr>
              <w:t>项目厂界外500m范围内无环境空气保护目标，厂界外50m范围内无声环境保护目标。环境保护目标见表3-</w:t>
            </w:r>
            <w:r>
              <w:rPr>
                <w:rFonts w:hint="eastAsia" w:ascii="Times New Roman" w:hAnsi="Times New Roman" w:cs="Times New Roman"/>
                <w:bCs/>
                <w:color w:val="000000" w:themeColor="text1"/>
                <w:kern w:val="2"/>
                <w:sz w:val="24"/>
                <w:szCs w:val="24"/>
                <w:lang w:val="en-US" w:eastAsia="zh-CN"/>
                <w14:textFill>
                  <w14:solidFill>
                    <w14:schemeClr w14:val="tx1"/>
                  </w14:solidFill>
                </w14:textFill>
              </w:rPr>
              <w:t>4</w:t>
            </w:r>
            <w:r>
              <w:rPr>
                <w:rFonts w:hint="default" w:ascii="Times New Roman" w:hAnsi="Times New Roman" w:eastAsia="宋体" w:cs="Times New Roman"/>
                <w:bCs/>
                <w:color w:val="000000" w:themeColor="text1"/>
                <w:kern w:val="2"/>
                <w:sz w:val="24"/>
                <w:szCs w:val="24"/>
                <w14:textFill>
                  <w14:solidFill>
                    <w14:schemeClr w14:val="tx1"/>
                  </w14:solidFill>
                </w14:textFill>
              </w:rPr>
              <w:t>。</w:t>
            </w:r>
          </w:p>
          <w:p w14:paraId="23097FB8">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表3-</w:t>
            </w:r>
            <w:r>
              <w:rPr>
                <w:rFonts w:hint="eastAsia"/>
                <w:b/>
                <w:bCs/>
                <w:color w:val="000000" w:themeColor="text1"/>
                <w:sz w:val="24"/>
                <w:szCs w:val="24"/>
                <w:lang w:val="en-US" w:eastAsia="zh-CN"/>
                <w14:textFill>
                  <w14:solidFill>
                    <w14:schemeClr w14:val="tx1"/>
                  </w14:solidFill>
                </w14:textFill>
              </w:rPr>
              <w:t>4</w:t>
            </w:r>
            <w:r>
              <w:rPr>
                <w:b/>
                <w:bCs/>
                <w:color w:val="000000" w:themeColor="text1"/>
                <w:sz w:val="24"/>
                <w:szCs w:val="24"/>
                <w14:textFill>
                  <w14:solidFill>
                    <w14:schemeClr w14:val="tx1"/>
                  </w14:solidFill>
                </w14:textFill>
              </w:rPr>
              <w:t xml:space="preserve">  主要环境保护目标一览表</w:t>
            </w:r>
          </w:p>
          <w:tbl>
            <w:tblPr>
              <w:tblStyle w:val="28"/>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1147"/>
              <w:gridCol w:w="1048"/>
              <w:gridCol w:w="1203"/>
              <w:gridCol w:w="1147"/>
              <w:gridCol w:w="1438"/>
              <w:gridCol w:w="1527"/>
            </w:tblGrid>
            <w:tr w14:paraId="2197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84" w:type="pct"/>
                  <w:vMerge w:val="restart"/>
                  <w:noWrap w:val="0"/>
                  <w:vAlign w:val="center"/>
                </w:tcPr>
                <w:p w14:paraId="4DFBD91B">
                  <w:pPr>
                    <w:pStyle w:val="16"/>
                    <w:keepNext w:val="0"/>
                    <w:keepLines w:val="0"/>
                    <w:pageBreakBefore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bCs/>
                      <w:color w:val="000000" w:themeColor="text1"/>
                      <w:kern w:val="10"/>
                      <w:sz w:val="21"/>
                      <w:szCs w:val="21"/>
                      <w14:textFill>
                        <w14:solidFill>
                          <w14:schemeClr w14:val="tx1"/>
                        </w14:solidFill>
                      </w14:textFill>
                    </w:rPr>
                  </w:pPr>
                  <w:r>
                    <w:rPr>
                      <w:rFonts w:hint="default" w:ascii="Times New Roman" w:hAnsi="Times New Roman" w:eastAsia="宋体" w:cs="Times New Roman"/>
                      <w:bCs/>
                      <w:color w:val="000000" w:themeColor="text1"/>
                      <w:kern w:val="10"/>
                      <w:sz w:val="21"/>
                      <w:szCs w:val="21"/>
                      <w14:textFill>
                        <w14:solidFill>
                          <w14:schemeClr w14:val="tx1"/>
                        </w14:solidFill>
                      </w14:textFill>
                    </w:rPr>
                    <w:t>环境要素</w:t>
                  </w:r>
                </w:p>
              </w:tc>
              <w:tc>
                <w:tcPr>
                  <w:tcW w:w="674" w:type="pct"/>
                  <w:vMerge w:val="restart"/>
                  <w:noWrap w:val="0"/>
                  <w:vAlign w:val="center"/>
                </w:tcPr>
                <w:p w14:paraId="61BF18DE">
                  <w:pPr>
                    <w:pStyle w:val="16"/>
                    <w:keepNext w:val="0"/>
                    <w:keepLines w:val="0"/>
                    <w:pageBreakBefore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bCs/>
                      <w:color w:val="000000" w:themeColor="text1"/>
                      <w:kern w:val="10"/>
                      <w:sz w:val="21"/>
                      <w:szCs w:val="21"/>
                      <w14:textFill>
                        <w14:solidFill>
                          <w14:schemeClr w14:val="tx1"/>
                        </w14:solidFill>
                      </w14:textFill>
                    </w:rPr>
                  </w:pPr>
                  <w:r>
                    <w:rPr>
                      <w:rFonts w:hint="default" w:ascii="Times New Roman" w:hAnsi="Times New Roman" w:eastAsia="宋体" w:cs="Times New Roman"/>
                      <w:bCs/>
                      <w:color w:val="000000" w:themeColor="text1"/>
                      <w:kern w:val="10"/>
                      <w:sz w:val="21"/>
                      <w:szCs w:val="21"/>
                      <w14:textFill>
                        <w14:solidFill>
                          <w14:schemeClr w14:val="tx1"/>
                        </w14:solidFill>
                      </w14:textFill>
                    </w:rPr>
                    <w:t>名称</w:t>
                  </w:r>
                </w:p>
              </w:tc>
              <w:tc>
                <w:tcPr>
                  <w:tcW w:w="616" w:type="pct"/>
                  <w:vMerge w:val="restart"/>
                  <w:noWrap w:val="0"/>
                  <w:vAlign w:val="center"/>
                </w:tcPr>
                <w:p w14:paraId="6FD51757">
                  <w:pPr>
                    <w:pStyle w:val="16"/>
                    <w:keepNext w:val="0"/>
                    <w:keepLines w:val="0"/>
                    <w:pageBreakBefore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bCs/>
                      <w:color w:val="000000" w:themeColor="text1"/>
                      <w:kern w:val="10"/>
                      <w:sz w:val="21"/>
                      <w:szCs w:val="21"/>
                      <w14:textFill>
                        <w14:solidFill>
                          <w14:schemeClr w14:val="tx1"/>
                        </w14:solidFill>
                      </w14:textFill>
                    </w:rPr>
                  </w:pPr>
                  <w:r>
                    <w:rPr>
                      <w:rFonts w:hint="default" w:ascii="Times New Roman" w:hAnsi="Times New Roman" w:eastAsia="宋体" w:cs="Times New Roman"/>
                      <w:bCs/>
                      <w:color w:val="000000" w:themeColor="text1"/>
                      <w:kern w:val="10"/>
                      <w:sz w:val="21"/>
                      <w:szCs w:val="21"/>
                      <w14:textFill>
                        <w14:solidFill>
                          <w14:schemeClr w14:val="tx1"/>
                        </w14:solidFill>
                      </w14:textFill>
                    </w:rPr>
                    <w:t>保护对象</w:t>
                  </w:r>
                </w:p>
              </w:tc>
              <w:tc>
                <w:tcPr>
                  <w:tcW w:w="707" w:type="pct"/>
                  <w:vMerge w:val="restart"/>
                  <w:noWrap w:val="0"/>
                  <w:vAlign w:val="center"/>
                </w:tcPr>
                <w:p w14:paraId="1AF4C8FE">
                  <w:pPr>
                    <w:pStyle w:val="16"/>
                    <w:keepNext w:val="0"/>
                    <w:keepLines w:val="0"/>
                    <w:pageBreakBefore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bCs/>
                      <w:color w:val="000000" w:themeColor="text1"/>
                      <w:kern w:val="10"/>
                      <w:sz w:val="21"/>
                      <w:szCs w:val="21"/>
                      <w14:textFill>
                        <w14:solidFill>
                          <w14:schemeClr w14:val="tx1"/>
                        </w14:solidFill>
                      </w14:textFill>
                    </w:rPr>
                  </w:pPr>
                  <w:r>
                    <w:rPr>
                      <w:rFonts w:hint="default" w:ascii="Times New Roman" w:hAnsi="Times New Roman" w:eastAsia="宋体" w:cs="Times New Roman"/>
                      <w:bCs/>
                      <w:color w:val="000000" w:themeColor="text1"/>
                      <w:kern w:val="10"/>
                      <w:sz w:val="21"/>
                      <w:szCs w:val="21"/>
                      <w14:textFill>
                        <w14:solidFill>
                          <w14:schemeClr w14:val="tx1"/>
                        </w14:solidFill>
                      </w14:textFill>
                    </w:rPr>
                    <w:t>保护内容</w:t>
                  </w:r>
                </w:p>
              </w:tc>
              <w:tc>
                <w:tcPr>
                  <w:tcW w:w="674" w:type="pct"/>
                  <w:vMerge w:val="restart"/>
                  <w:noWrap w:val="0"/>
                  <w:vAlign w:val="center"/>
                </w:tcPr>
                <w:p w14:paraId="16A71938">
                  <w:pPr>
                    <w:pStyle w:val="16"/>
                    <w:keepNext w:val="0"/>
                    <w:keepLines w:val="0"/>
                    <w:pageBreakBefore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bCs/>
                      <w:color w:val="000000" w:themeColor="text1"/>
                      <w:kern w:val="10"/>
                      <w:sz w:val="21"/>
                      <w:szCs w:val="21"/>
                      <w14:textFill>
                        <w14:solidFill>
                          <w14:schemeClr w14:val="tx1"/>
                        </w14:solidFill>
                      </w14:textFill>
                    </w:rPr>
                  </w:pPr>
                  <w:r>
                    <w:rPr>
                      <w:rFonts w:hint="default" w:ascii="Times New Roman" w:hAnsi="Times New Roman" w:eastAsia="宋体" w:cs="Times New Roman"/>
                      <w:bCs/>
                      <w:color w:val="000000" w:themeColor="text1"/>
                      <w:kern w:val="10"/>
                      <w:sz w:val="21"/>
                      <w:szCs w:val="21"/>
                      <w14:textFill>
                        <w14:solidFill>
                          <w14:schemeClr w14:val="tx1"/>
                        </w14:solidFill>
                      </w14:textFill>
                    </w:rPr>
                    <w:t>环境功能区</w:t>
                  </w:r>
                </w:p>
              </w:tc>
              <w:tc>
                <w:tcPr>
                  <w:tcW w:w="845" w:type="pct"/>
                  <w:vMerge w:val="restart"/>
                  <w:noWrap w:val="0"/>
                  <w:vAlign w:val="center"/>
                </w:tcPr>
                <w:p w14:paraId="7E785B79">
                  <w:pPr>
                    <w:pStyle w:val="16"/>
                    <w:keepNext w:val="0"/>
                    <w:keepLines w:val="0"/>
                    <w:pageBreakBefore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bCs/>
                      <w:color w:val="000000" w:themeColor="text1"/>
                      <w:kern w:val="10"/>
                      <w:sz w:val="21"/>
                      <w:szCs w:val="21"/>
                      <w14:textFill>
                        <w14:solidFill>
                          <w14:schemeClr w14:val="tx1"/>
                        </w14:solidFill>
                      </w14:textFill>
                    </w:rPr>
                  </w:pPr>
                  <w:r>
                    <w:rPr>
                      <w:rFonts w:hint="default" w:ascii="Times New Roman" w:hAnsi="Times New Roman" w:eastAsia="宋体" w:cs="Times New Roman"/>
                      <w:bCs/>
                      <w:color w:val="000000" w:themeColor="text1"/>
                      <w:kern w:val="10"/>
                      <w:sz w:val="21"/>
                      <w:szCs w:val="21"/>
                      <w14:textFill>
                        <w14:solidFill>
                          <w14:schemeClr w14:val="tx1"/>
                        </w14:solidFill>
                      </w14:textFill>
                    </w:rPr>
                    <w:t>相对厂址方位</w:t>
                  </w:r>
                </w:p>
              </w:tc>
              <w:tc>
                <w:tcPr>
                  <w:tcW w:w="897" w:type="pct"/>
                  <w:vMerge w:val="restart"/>
                  <w:noWrap w:val="0"/>
                  <w:vAlign w:val="center"/>
                </w:tcPr>
                <w:p w14:paraId="726D645D">
                  <w:pPr>
                    <w:pStyle w:val="16"/>
                    <w:keepNext w:val="0"/>
                    <w:keepLines w:val="0"/>
                    <w:pageBreakBefore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bCs/>
                      <w:color w:val="000000" w:themeColor="text1"/>
                      <w:kern w:val="10"/>
                      <w:sz w:val="21"/>
                      <w:szCs w:val="21"/>
                      <w14:textFill>
                        <w14:solidFill>
                          <w14:schemeClr w14:val="tx1"/>
                        </w14:solidFill>
                      </w14:textFill>
                    </w:rPr>
                  </w:pPr>
                  <w:r>
                    <w:rPr>
                      <w:rFonts w:hint="default" w:ascii="Times New Roman" w:hAnsi="Times New Roman" w:eastAsia="宋体" w:cs="Times New Roman"/>
                      <w:bCs/>
                      <w:color w:val="000000" w:themeColor="text1"/>
                      <w:kern w:val="10"/>
                      <w:sz w:val="21"/>
                      <w:szCs w:val="21"/>
                      <w14:textFill>
                        <w14:solidFill>
                          <w14:schemeClr w14:val="tx1"/>
                        </w14:solidFill>
                      </w14:textFill>
                    </w:rPr>
                    <w:t>相对厂界距离/m</w:t>
                  </w:r>
                </w:p>
              </w:tc>
            </w:tr>
            <w:tr w14:paraId="3D55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4" w:type="pct"/>
                  <w:vMerge w:val="continue"/>
                  <w:noWrap w:val="0"/>
                  <w:vAlign w:val="center"/>
                </w:tcPr>
                <w:p w14:paraId="5EC444B0">
                  <w:pPr>
                    <w:pStyle w:val="16"/>
                    <w:keepNext w:val="0"/>
                    <w:keepLines w:val="0"/>
                    <w:pageBreakBefore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bCs/>
                      <w:color w:val="000000" w:themeColor="text1"/>
                      <w:kern w:val="10"/>
                      <w:sz w:val="21"/>
                      <w:szCs w:val="21"/>
                      <w14:textFill>
                        <w14:solidFill>
                          <w14:schemeClr w14:val="tx1"/>
                        </w14:solidFill>
                      </w14:textFill>
                    </w:rPr>
                  </w:pPr>
                </w:p>
              </w:tc>
              <w:tc>
                <w:tcPr>
                  <w:tcW w:w="674" w:type="pct"/>
                  <w:vMerge w:val="continue"/>
                  <w:noWrap w:val="0"/>
                  <w:vAlign w:val="center"/>
                </w:tcPr>
                <w:p w14:paraId="66FC5F19">
                  <w:pPr>
                    <w:pStyle w:val="16"/>
                    <w:keepNext w:val="0"/>
                    <w:keepLines w:val="0"/>
                    <w:pageBreakBefore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bCs/>
                      <w:color w:val="000000" w:themeColor="text1"/>
                      <w:kern w:val="10"/>
                      <w:sz w:val="21"/>
                      <w:szCs w:val="21"/>
                      <w14:textFill>
                        <w14:solidFill>
                          <w14:schemeClr w14:val="tx1"/>
                        </w14:solidFill>
                      </w14:textFill>
                    </w:rPr>
                  </w:pPr>
                </w:p>
              </w:tc>
              <w:tc>
                <w:tcPr>
                  <w:tcW w:w="616" w:type="pct"/>
                  <w:vMerge w:val="continue"/>
                  <w:noWrap w:val="0"/>
                  <w:vAlign w:val="center"/>
                </w:tcPr>
                <w:p w14:paraId="3F3F44ED">
                  <w:pPr>
                    <w:pStyle w:val="16"/>
                    <w:keepNext w:val="0"/>
                    <w:keepLines w:val="0"/>
                    <w:pageBreakBefore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bCs/>
                      <w:color w:val="000000" w:themeColor="text1"/>
                      <w:kern w:val="10"/>
                      <w:sz w:val="21"/>
                      <w:szCs w:val="21"/>
                      <w14:textFill>
                        <w14:solidFill>
                          <w14:schemeClr w14:val="tx1"/>
                        </w14:solidFill>
                      </w14:textFill>
                    </w:rPr>
                  </w:pPr>
                </w:p>
              </w:tc>
              <w:tc>
                <w:tcPr>
                  <w:tcW w:w="707" w:type="pct"/>
                  <w:vMerge w:val="continue"/>
                  <w:noWrap w:val="0"/>
                  <w:vAlign w:val="center"/>
                </w:tcPr>
                <w:p w14:paraId="07626367">
                  <w:pPr>
                    <w:pStyle w:val="16"/>
                    <w:keepNext w:val="0"/>
                    <w:keepLines w:val="0"/>
                    <w:pageBreakBefore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bCs/>
                      <w:color w:val="000000" w:themeColor="text1"/>
                      <w:kern w:val="10"/>
                      <w:sz w:val="21"/>
                      <w:szCs w:val="21"/>
                      <w14:textFill>
                        <w14:solidFill>
                          <w14:schemeClr w14:val="tx1"/>
                        </w14:solidFill>
                      </w14:textFill>
                    </w:rPr>
                  </w:pPr>
                </w:p>
              </w:tc>
              <w:tc>
                <w:tcPr>
                  <w:tcW w:w="674" w:type="pct"/>
                  <w:vMerge w:val="continue"/>
                  <w:noWrap w:val="0"/>
                  <w:vAlign w:val="center"/>
                </w:tcPr>
                <w:p w14:paraId="5763105E">
                  <w:pPr>
                    <w:pStyle w:val="16"/>
                    <w:keepNext w:val="0"/>
                    <w:keepLines w:val="0"/>
                    <w:pageBreakBefore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bCs/>
                      <w:color w:val="000000" w:themeColor="text1"/>
                      <w:kern w:val="10"/>
                      <w:sz w:val="21"/>
                      <w:szCs w:val="21"/>
                      <w14:textFill>
                        <w14:solidFill>
                          <w14:schemeClr w14:val="tx1"/>
                        </w14:solidFill>
                      </w14:textFill>
                    </w:rPr>
                  </w:pPr>
                </w:p>
              </w:tc>
              <w:tc>
                <w:tcPr>
                  <w:tcW w:w="845" w:type="pct"/>
                  <w:vMerge w:val="continue"/>
                  <w:noWrap w:val="0"/>
                  <w:vAlign w:val="center"/>
                </w:tcPr>
                <w:p w14:paraId="0A6D568B">
                  <w:pPr>
                    <w:pStyle w:val="16"/>
                    <w:keepNext w:val="0"/>
                    <w:keepLines w:val="0"/>
                    <w:pageBreakBefore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bCs/>
                      <w:color w:val="000000" w:themeColor="text1"/>
                      <w:kern w:val="10"/>
                      <w:sz w:val="21"/>
                      <w:szCs w:val="21"/>
                      <w14:textFill>
                        <w14:solidFill>
                          <w14:schemeClr w14:val="tx1"/>
                        </w14:solidFill>
                      </w14:textFill>
                    </w:rPr>
                  </w:pPr>
                </w:p>
              </w:tc>
              <w:tc>
                <w:tcPr>
                  <w:tcW w:w="897" w:type="pct"/>
                  <w:vMerge w:val="continue"/>
                  <w:noWrap w:val="0"/>
                  <w:vAlign w:val="center"/>
                </w:tcPr>
                <w:p w14:paraId="3901C218">
                  <w:pPr>
                    <w:pStyle w:val="16"/>
                    <w:keepNext w:val="0"/>
                    <w:keepLines w:val="0"/>
                    <w:pageBreakBefore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bCs/>
                      <w:color w:val="000000" w:themeColor="text1"/>
                      <w:kern w:val="10"/>
                      <w:sz w:val="21"/>
                      <w:szCs w:val="21"/>
                      <w14:textFill>
                        <w14:solidFill>
                          <w14:schemeClr w14:val="tx1"/>
                        </w14:solidFill>
                      </w14:textFill>
                    </w:rPr>
                  </w:pPr>
                </w:p>
              </w:tc>
            </w:tr>
            <w:tr w14:paraId="4047D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84" w:type="pct"/>
                  <w:noWrap w:val="0"/>
                  <w:vAlign w:val="center"/>
                </w:tcPr>
                <w:p w14:paraId="062FE25B">
                  <w:pPr>
                    <w:pStyle w:val="16"/>
                    <w:keepNext w:val="0"/>
                    <w:keepLines w:val="0"/>
                    <w:pageBreakBefore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bCs/>
                      <w:color w:val="000000" w:themeColor="text1"/>
                      <w:kern w:val="10"/>
                      <w:sz w:val="21"/>
                      <w:szCs w:val="21"/>
                      <w14:textFill>
                        <w14:solidFill>
                          <w14:schemeClr w14:val="tx1"/>
                        </w14:solidFill>
                      </w14:textFill>
                    </w:rPr>
                  </w:pPr>
                  <w:r>
                    <w:rPr>
                      <w:rFonts w:hint="default" w:ascii="Times New Roman" w:hAnsi="Times New Roman" w:eastAsia="宋体" w:cs="Times New Roman"/>
                      <w:bCs/>
                      <w:color w:val="000000" w:themeColor="text1"/>
                      <w:kern w:val="10"/>
                      <w:sz w:val="21"/>
                      <w:szCs w:val="21"/>
                      <w14:textFill>
                        <w14:solidFill>
                          <w14:schemeClr w14:val="tx1"/>
                        </w14:solidFill>
                      </w14:textFill>
                    </w:rPr>
                    <w:t>地表水</w:t>
                  </w:r>
                </w:p>
              </w:tc>
              <w:tc>
                <w:tcPr>
                  <w:tcW w:w="674" w:type="pct"/>
                  <w:noWrap w:val="0"/>
                  <w:vAlign w:val="center"/>
                </w:tcPr>
                <w:p w14:paraId="2A543EA5">
                  <w:pPr>
                    <w:keepNext w:val="0"/>
                    <w:keepLines w:val="0"/>
                    <w:pageBreakBefore w:val="0"/>
                    <w:widowControl/>
                    <w:kinsoku/>
                    <w:wordWrap/>
                    <w:overflowPunct/>
                    <w:topLinePunct w:val="0"/>
                    <w:autoSpaceDE/>
                    <w:autoSpaceDN/>
                    <w:bidi w:val="0"/>
                    <w:ind w:left="0" w:leftChars="0"/>
                    <w:jc w:val="center"/>
                    <w:textAlignment w:val="auto"/>
                    <w:rPr>
                      <w:rFonts w:hint="eastAsia" w:ascii="Times New Roman" w:hAnsi="Times New Roman" w:eastAsia="宋体" w:cs="Times New Roman"/>
                      <w:bCs/>
                      <w:color w:val="000000" w:themeColor="text1"/>
                      <w:kern w:val="10"/>
                      <w:sz w:val="21"/>
                      <w:szCs w:val="21"/>
                      <w:lang w:eastAsia="zh-CN"/>
                      <w14:textFill>
                        <w14:solidFill>
                          <w14:schemeClr w14:val="tx1"/>
                        </w14:solidFill>
                      </w14:textFill>
                    </w:rPr>
                  </w:pPr>
                  <w:r>
                    <w:rPr>
                      <w:rFonts w:hint="eastAsia" w:ascii="Times New Roman" w:hAnsi="Times New Roman" w:eastAsia="宋体" w:cs="Times New Roman"/>
                      <w:bCs/>
                      <w:color w:val="000000" w:themeColor="text1"/>
                      <w:kern w:val="10"/>
                      <w:sz w:val="21"/>
                      <w:szCs w:val="21"/>
                      <w:lang w:val="en-US" w:eastAsia="zh-CN"/>
                      <w14:textFill>
                        <w14:solidFill>
                          <w14:schemeClr w14:val="tx1"/>
                        </w14:solidFill>
                      </w14:textFill>
                    </w:rPr>
                    <w:t>响水河</w:t>
                  </w:r>
                </w:p>
              </w:tc>
              <w:tc>
                <w:tcPr>
                  <w:tcW w:w="616" w:type="pct"/>
                  <w:noWrap w:val="0"/>
                  <w:vAlign w:val="center"/>
                </w:tcPr>
                <w:p w14:paraId="55DF6154">
                  <w:pPr>
                    <w:pStyle w:val="16"/>
                    <w:keepNext w:val="0"/>
                    <w:keepLines w:val="0"/>
                    <w:pageBreakBefore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bCs/>
                      <w:color w:val="000000" w:themeColor="text1"/>
                      <w:kern w:val="10"/>
                      <w:sz w:val="21"/>
                      <w:szCs w:val="21"/>
                      <w14:textFill>
                        <w14:solidFill>
                          <w14:schemeClr w14:val="tx1"/>
                        </w14:solidFill>
                      </w14:textFill>
                    </w:rPr>
                  </w:pPr>
                  <w:r>
                    <w:rPr>
                      <w:rFonts w:hint="default" w:ascii="Times New Roman" w:hAnsi="Times New Roman" w:eastAsia="宋体" w:cs="Times New Roman"/>
                      <w:bCs/>
                      <w:color w:val="000000" w:themeColor="text1"/>
                      <w:kern w:val="10"/>
                      <w:sz w:val="21"/>
                      <w:szCs w:val="21"/>
                      <w14:textFill>
                        <w14:solidFill>
                          <w14:schemeClr w14:val="tx1"/>
                        </w14:solidFill>
                      </w14:textFill>
                    </w:rPr>
                    <w:t>地表水</w:t>
                  </w:r>
                </w:p>
              </w:tc>
              <w:tc>
                <w:tcPr>
                  <w:tcW w:w="707" w:type="pct"/>
                  <w:noWrap w:val="0"/>
                  <w:vAlign w:val="center"/>
                </w:tcPr>
                <w:p w14:paraId="0E51DBA6">
                  <w:pPr>
                    <w:pStyle w:val="16"/>
                    <w:keepNext w:val="0"/>
                    <w:keepLines w:val="0"/>
                    <w:pageBreakBefore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bCs/>
                      <w:color w:val="000000" w:themeColor="text1"/>
                      <w:kern w:val="10"/>
                      <w:sz w:val="21"/>
                      <w:szCs w:val="21"/>
                      <w14:textFill>
                        <w14:solidFill>
                          <w14:schemeClr w14:val="tx1"/>
                        </w14:solidFill>
                      </w14:textFill>
                    </w:rPr>
                  </w:pPr>
                  <w:r>
                    <w:rPr>
                      <w:rFonts w:hint="default" w:ascii="Times New Roman" w:hAnsi="Times New Roman" w:eastAsia="宋体" w:cs="Times New Roman"/>
                      <w:bCs/>
                      <w:color w:val="000000" w:themeColor="text1"/>
                      <w:kern w:val="10"/>
                      <w:sz w:val="21"/>
                      <w:szCs w:val="21"/>
                      <w14:textFill>
                        <w14:solidFill>
                          <w14:schemeClr w14:val="tx1"/>
                        </w14:solidFill>
                      </w14:textFill>
                    </w:rPr>
                    <w:t>水质</w:t>
                  </w:r>
                </w:p>
              </w:tc>
              <w:tc>
                <w:tcPr>
                  <w:tcW w:w="674" w:type="pct"/>
                  <w:noWrap w:val="0"/>
                  <w:vAlign w:val="center"/>
                </w:tcPr>
                <w:p w14:paraId="49164FCA">
                  <w:pPr>
                    <w:pStyle w:val="16"/>
                    <w:keepNext w:val="0"/>
                    <w:keepLines w:val="0"/>
                    <w:pageBreakBefore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bCs/>
                      <w:color w:val="000000" w:themeColor="text1"/>
                      <w:kern w:val="10"/>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Ⅲ</w:t>
                  </w: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类水</w:t>
                  </w:r>
                </w:p>
              </w:tc>
              <w:tc>
                <w:tcPr>
                  <w:tcW w:w="845" w:type="pct"/>
                  <w:noWrap w:val="0"/>
                  <w:vAlign w:val="center"/>
                </w:tcPr>
                <w:p w14:paraId="116F4722">
                  <w:pPr>
                    <w:pStyle w:val="16"/>
                    <w:keepNext w:val="0"/>
                    <w:keepLines w:val="0"/>
                    <w:pageBreakBefore w:val="0"/>
                    <w:kinsoku/>
                    <w:wordWrap/>
                    <w:overflowPunct/>
                    <w:topLinePunct w:val="0"/>
                    <w:autoSpaceDE/>
                    <w:autoSpaceDN/>
                    <w:bidi w:val="0"/>
                    <w:adjustRightInd w:val="0"/>
                    <w:snapToGrid w:val="0"/>
                    <w:spacing w:after="0" w:line="240" w:lineRule="auto"/>
                    <w:ind w:left="0" w:leftChars="0" w:firstLine="0"/>
                    <w:jc w:val="center"/>
                    <w:textAlignment w:val="auto"/>
                    <w:rPr>
                      <w:rFonts w:hint="eastAsia" w:ascii="Times New Roman" w:hAnsi="Times New Roman" w:eastAsia="宋体" w:cs="Times New Roman"/>
                      <w:bCs/>
                      <w:color w:val="000000" w:themeColor="text1"/>
                      <w:kern w:val="10"/>
                      <w:sz w:val="21"/>
                      <w:szCs w:val="21"/>
                      <w:lang w:eastAsia="zh-CN"/>
                      <w14:textFill>
                        <w14:solidFill>
                          <w14:schemeClr w14:val="tx1"/>
                        </w14:solidFill>
                      </w14:textFill>
                    </w:rPr>
                  </w:pPr>
                  <w:r>
                    <w:rPr>
                      <w:rFonts w:hint="eastAsia" w:ascii="Times New Roman" w:hAnsi="Times New Roman" w:eastAsia="宋体" w:cs="Times New Roman"/>
                      <w:bCs/>
                      <w:color w:val="000000" w:themeColor="text1"/>
                      <w:kern w:val="10"/>
                      <w:sz w:val="21"/>
                      <w:szCs w:val="21"/>
                      <w:lang w:val="en-US" w:eastAsia="zh-CN"/>
                      <w14:textFill>
                        <w14:solidFill>
                          <w14:schemeClr w14:val="tx1"/>
                        </w14:solidFill>
                      </w14:textFill>
                    </w:rPr>
                    <w:t>西侧</w:t>
                  </w:r>
                </w:p>
              </w:tc>
              <w:tc>
                <w:tcPr>
                  <w:tcW w:w="897" w:type="pct"/>
                  <w:noWrap w:val="0"/>
                  <w:vAlign w:val="center"/>
                </w:tcPr>
                <w:p w14:paraId="1FD83F5B">
                  <w:pPr>
                    <w:pStyle w:val="16"/>
                    <w:keepNext w:val="0"/>
                    <w:keepLines w:val="0"/>
                    <w:pageBreakBefore w:val="0"/>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eastAsia="宋体" w:cs="Times New Roman"/>
                      <w:bCs/>
                      <w:color w:val="000000" w:themeColor="text1"/>
                      <w:kern w:val="10"/>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kern w:val="10"/>
                      <w:sz w:val="21"/>
                      <w:szCs w:val="21"/>
                      <w:lang w:val="en-US" w:eastAsia="zh-CN"/>
                      <w14:textFill>
                        <w14:solidFill>
                          <w14:schemeClr w14:val="tx1"/>
                        </w14:solidFill>
                      </w14:textFill>
                    </w:rPr>
                    <w:t>8470</w:t>
                  </w:r>
                </w:p>
              </w:tc>
            </w:tr>
          </w:tbl>
          <w:p w14:paraId="09F6118B">
            <w:pPr>
              <w:pStyle w:val="6"/>
              <w:ind w:left="0" w:leftChars="0" w:firstLine="0" w:firstLineChars="0"/>
              <w:rPr>
                <w:color w:val="000000" w:themeColor="text1"/>
                <w14:textFill>
                  <w14:solidFill>
                    <w14:schemeClr w14:val="tx1"/>
                  </w14:solidFill>
                </w14:textFill>
              </w:rPr>
            </w:pPr>
          </w:p>
        </w:tc>
      </w:tr>
      <w:tr w14:paraId="441187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00" w:hRule="atLeast"/>
          <w:jc w:val="center"/>
        </w:trPr>
        <w:tc>
          <w:tcPr>
            <w:tcW w:w="800" w:type="dxa"/>
            <w:noWrap w:val="0"/>
            <w:tcMar>
              <w:left w:w="28" w:type="dxa"/>
              <w:right w:w="28" w:type="dxa"/>
            </w:tcMar>
            <w:vAlign w:val="center"/>
          </w:tcPr>
          <w:p w14:paraId="26F34199">
            <w:pPr>
              <w:keepNext w:val="0"/>
              <w:keepLines w:val="0"/>
              <w:pageBreakBefore w:val="0"/>
              <w:kinsoku/>
              <w:wordWrap/>
              <w:overflowPunct/>
              <w:topLinePunct w:val="0"/>
              <w:bidi w:val="0"/>
              <w:adjustRightInd w:val="0"/>
              <w:snapToGrid w:val="0"/>
              <w:jc w:val="center"/>
              <w:textAlignment w:val="auto"/>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污染</w:t>
            </w:r>
          </w:p>
          <w:p w14:paraId="109E0A02">
            <w:pPr>
              <w:keepNext w:val="0"/>
              <w:keepLines w:val="0"/>
              <w:pageBreakBefore w:val="0"/>
              <w:kinsoku/>
              <w:wordWrap/>
              <w:overflowPunct/>
              <w:topLinePunct w:val="0"/>
              <w:bidi w:val="0"/>
              <w:adjustRightInd w:val="0"/>
              <w:snapToGrid w:val="0"/>
              <w:jc w:val="center"/>
              <w:textAlignment w:val="auto"/>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物排</w:t>
            </w:r>
          </w:p>
          <w:p w14:paraId="53E08F05">
            <w:pPr>
              <w:keepNext w:val="0"/>
              <w:keepLines w:val="0"/>
              <w:pageBreakBefore w:val="0"/>
              <w:kinsoku/>
              <w:wordWrap/>
              <w:overflowPunct/>
              <w:topLinePunct w:val="0"/>
              <w:bidi w:val="0"/>
              <w:adjustRightInd w:val="0"/>
              <w:snapToGrid w:val="0"/>
              <w:jc w:val="center"/>
              <w:textAlignment w:val="auto"/>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放控</w:t>
            </w:r>
          </w:p>
          <w:p w14:paraId="79DAA458">
            <w:pPr>
              <w:keepNext w:val="0"/>
              <w:keepLines w:val="0"/>
              <w:pageBreakBefore w:val="0"/>
              <w:kinsoku/>
              <w:wordWrap/>
              <w:overflowPunct/>
              <w:topLinePunct w:val="0"/>
              <w:bidi w:val="0"/>
              <w:adjustRightInd w:val="0"/>
              <w:snapToGrid w:val="0"/>
              <w:jc w:val="center"/>
              <w:textAlignment w:val="auto"/>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制标</w:t>
            </w:r>
          </w:p>
          <w:p w14:paraId="694FDD38">
            <w:pPr>
              <w:keepNext w:val="0"/>
              <w:keepLines w:val="0"/>
              <w:pageBreakBefore w:val="0"/>
              <w:kinsoku/>
              <w:wordWrap/>
              <w:overflowPunct/>
              <w:topLinePunct w:val="0"/>
              <w:bidi w:val="0"/>
              <w:adjustRightInd w:val="0"/>
              <w:snapToGrid w:val="0"/>
              <w:jc w:val="center"/>
              <w:textAlignment w:val="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准</w:t>
            </w:r>
          </w:p>
        </w:tc>
        <w:tc>
          <w:tcPr>
            <w:tcW w:w="8190" w:type="dxa"/>
            <w:noWrap w:val="0"/>
            <w:vAlign w:val="center"/>
          </w:tcPr>
          <w:p w14:paraId="3AB2FA25">
            <w:pPr>
              <w:keepNext w:val="0"/>
              <w:keepLines w:val="0"/>
              <w:pageBreakBefore w:val="0"/>
              <w:numPr>
                <w:ilvl w:val="0"/>
                <w:numId w:val="0"/>
              </w:numPr>
              <w:kinsoku/>
              <w:wordWrap/>
              <w:overflowPunct/>
              <w:topLinePunct w:val="0"/>
              <w:bidi w:val="0"/>
              <w:spacing w:line="360" w:lineRule="auto"/>
              <w:ind w:left="0" w:leftChars="0" w:firstLine="482" w:firstLineChars="200"/>
              <w:textAlignment w:val="auto"/>
              <w:rPr>
                <w:rFonts w:hint="eastAsia" w:ascii="Times New Roman" w:hAnsi="Times New Roman" w:eastAsia="宋体" w:cs="Times New Roman"/>
                <w:b/>
                <w:bCs w:val="0"/>
                <w:color w:val="000000" w:themeColor="text1"/>
                <w:sz w:val="24"/>
                <w:szCs w:val="28"/>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1、</w:t>
            </w:r>
            <w:r>
              <w:rPr>
                <w:rFonts w:hint="eastAsia" w:ascii="Times New Roman" w:hAnsi="Times New Roman" w:eastAsia="宋体" w:cs="Times New Roman"/>
                <w:b/>
                <w:bCs w:val="0"/>
                <w:color w:val="000000" w:themeColor="text1"/>
                <w:sz w:val="24"/>
                <w:szCs w:val="28"/>
                <w14:textFill>
                  <w14:solidFill>
                    <w14:schemeClr w14:val="tx1"/>
                  </w14:solidFill>
                </w14:textFill>
              </w:rPr>
              <w:t>废气</w:t>
            </w:r>
          </w:p>
          <w:p w14:paraId="2BA43D08">
            <w:pPr>
              <w:keepNext w:val="0"/>
              <w:keepLines w:val="0"/>
              <w:pageBreakBefore w:val="0"/>
              <w:numPr>
                <w:ilvl w:val="0"/>
                <w:numId w:val="0"/>
              </w:numPr>
              <w:tabs>
                <w:tab w:val="left" w:pos="3499"/>
                <w:tab w:val="left" w:pos="5395"/>
              </w:tabs>
              <w:kinsoku/>
              <w:wordWrap/>
              <w:overflowPunct/>
              <w:topLinePunct w:val="0"/>
              <w:bidi w:val="0"/>
              <w:spacing w:line="360" w:lineRule="auto"/>
              <w:ind w:left="0" w:leftChars="0" w:firstLine="482" w:firstLineChars="200"/>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1.1</w:t>
            </w:r>
            <w:r>
              <w:rPr>
                <w:rFonts w:hint="default" w:ascii="Times New Roman" w:hAnsi="Times New Roman" w:eastAsia="宋体" w:cs="Times New Roman"/>
                <w:b/>
                <w:bCs/>
                <w:color w:val="000000" w:themeColor="text1"/>
                <w:sz w:val="24"/>
                <w:szCs w:val="24"/>
                <w14:textFill>
                  <w14:solidFill>
                    <w14:schemeClr w14:val="tx1"/>
                  </w14:solidFill>
                </w14:textFill>
              </w:rPr>
              <w:t>施工期</w:t>
            </w:r>
          </w:p>
          <w:p w14:paraId="0B188E4D">
            <w:pPr>
              <w:keepNext w:val="0"/>
              <w:keepLines w:val="0"/>
              <w:pageBreakBefore w:val="0"/>
              <w:widowControl w:val="0"/>
              <w:tabs>
                <w:tab w:val="left" w:pos="3499"/>
                <w:tab w:val="left" w:pos="5395"/>
              </w:tabs>
              <w:kinsoku/>
              <w:wordWrap/>
              <w:overflowPunct/>
              <w:topLinePunct w:val="0"/>
              <w:autoSpaceDE/>
              <w:autoSpaceDN/>
              <w:bidi w:val="0"/>
              <w:adjustRightInd/>
              <w:snapToGrid/>
              <w:spacing w:line="360" w:lineRule="auto"/>
              <w:ind w:left="0" w:leftChars="0" w:firstLine="480" w:firstLineChars="0"/>
              <w:textAlignment w:val="auto"/>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施工期</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废气</w:t>
            </w:r>
            <w:r>
              <w:rPr>
                <w:rFonts w:hint="default" w:ascii="Times New Roman" w:hAnsi="Times New Roman" w:eastAsia="宋体" w:cs="Times New Roman"/>
                <w:color w:val="000000" w:themeColor="text1"/>
                <w:sz w:val="24"/>
                <w:szCs w:val="24"/>
                <w:lang w:eastAsia="zh-CN"/>
                <w14:textFill>
                  <w14:solidFill>
                    <w14:schemeClr w14:val="tx1"/>
                  </w14:solidFill>
                </w14:textFill>
              </w:rPr>
              <w:t>执行《大气污染物综合排放标准》（GB16297-1996）表2无组织排放监控浓度限值，标准限值要求见表</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14:paraId="54B11DCD">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表</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3-</w:t>
            </w:r>
            <w:r>
              <w:rPr>
                <w:rFonts w:hint="eastAsia" w:cs="Times New Roman"/>
                <w:b/>
                <w:bCs/>
                <w:color w:val="000000" w:themeColor="text1"/>
                <w:sz w:val="24"/>
                <w:szCs w:val="24"/>
                <w:lang w:val="en-US" w:eastAsia="zh-CN"/>
                <w14:textFill>
                  <w14:solidFill>
                    <w14:schemeClr w14:val="tx1"/>
                  </w14:solidFill>
                </w14:textFill>
              </w:rPr>
              <w:t>5</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大气污染物</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综合</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排放标准</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单位：mg/m</w:t>
            </w:r>
            <w:r>
              <w:rPr>
                <w:rFonts w:hint="default" w:ascii="Times New Roman" w:hAnsi="Times New Roman" w:eastAsia="宋体" w:cs="Times New Roman"/>
                <w:b/>
                <w:bCs/>
                <w:color w:val="000000" w:themeColor="text1"/>
                <w:sz w:val="24"/>
                <w:szCs w:val="24"/>
                <w:vertAlign w:val="superscript"/>
                <w:lang w:val="en-US" w:eastAsia="zh-CN"/>
                <w14:textFill>
                  <w14:solidFill>
                    <w14:schemeClr w14:val="tx1"/>
                  </w14:solidFill>
                </w14:textFill>
              </w:rPr>
              <w:t>3</w:t>
            </w:r>
          </w:p>
          <w:tbl>
            <w:tblPr>
              <w:tblStyle w:val="28"/>
              <w:tblW w:w="85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826"/>
              <w:gridCol w:w="2914"/>
              <w:gridCol w:w="2764"/>
            </w:tblGrid>
            <w:tr w14:paraId="63377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exact"/>
                <w:jc w:val="center"/>
              </w:trPr>
              <w:tc>
                <w:tcPr>
                  <w:tcW w:w="1661" w:type="pct"/>
                  <w:vMerge w:val="restart"/>
                  <w:tcBorders>
                    <w:tl2br w:val="nil"/>
                    <w:tr2bl w:val="nil"/>
                  </w:tcBorders>
                  <w:noWrap w:val="0"/>
                  <w:vAlign w:val="center"/>
                </w:tcPr>
                <w:p w14:paraId="2ACAE7E5">
                  <w:pPr>
                    <w:keepNext w:val="0"/>
                    <w:keepLines w:val="0"/>
                    <w:pageBreakBefore w:val="0"/>
                    <w:widowControl w:val="0"/>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pacing w:val="2"/>
                      <w:sz w:val="21"/>
                      <w:szCs w:val="21"/>
                      <w14:textFill>
                        <w14:solidFill>
                          <w14:schemeClr w14:val="tx1"/>
                        </w14:solidFill>
                      </w14:textFill>
                    </w:rPr>
                    <w:t>污染物</w:t>
                  </w:r>
                  <w:r>
                    <w:rPr>
                      <w:rFonts w:hint="default" w:ascii="Times New Roman" w:hAnsi="Times New Roman" w:eastAsia="宋体" w:cs="Times New Roman"/>
                      <w:b/>
                      <w:bCs/>
                      <w:color w:val="000000" w:themeColor="text1"/>
                      <w:spacing w:val="-1"/>
                      <w:sz w:val="21"/>
                      <w:szCs w:val="21"/>
                      <w14:textFill>
                        <w14:solidFill>
                          <w14:schemeClr w14:val="tx1"/>
                        </w14:solidFill>
                      </w14:textFill>
                    </w:rPr>
                    <w:t>名</w:t>
                  </w:r>
                  <w:r>
                    <w:rPr>
                      <w:rFonts w:hint="default" w:ascii="Times New Roman" w:hAnsi="Times New Roman" w:eastAsia="宋体" w:cs="Times New Roman"/>
                      <w:b/>
                      <w:bCs/>
                      <w:color w:val="000000" w:themeColor="text1"/>
                      <w:sz w:val="21"/>
                      <w:szCs w:val="21"/>
                      <w14:textFill>
                        <w14:solidFill>
                          <w14:schemeClr w14:val="tx1"/>
                        </w14:solidFill>
                      </w14:textFill>
                    </w:rPr>
                    <w:t>称</w:t>
                  </w:r>
                </w:p>
              </w:tc>
              <w:tc>
                <w:tcPr>
                  <w:tcW w:w="3338" w:type="pct"/>
                  <w:gridSpan w:val="2"/>
                  <w:tcBorders>
                    <w:tl2br w:val="nil"/>
                    <w:tr2bl w:val="nil"/>
                  </w:tcBorders>
                  <w:noWrap w:val="0"/>
                  <w:vAlign w:val="center"/>
                </w:tcPr>
                <w:p w14:paraId="546A44F2">
                  <w:pPr>
                    <w:keepNext w:val="0"/>
                    <w:keepLines w:val="0"/>
                    <w:pageBreakBefore w:val="0"/>
                    <w:widowControl w:val="0"/>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pacing w:val="1"/>
                      <w:sz w:val="21"/>
                      <w:szCs w:val="21"/>
                      <w:lang w:eastAsia="zh-CN"/>
                      <w14:textFill>
                        <w14:solidFill>
                          <w14:schemeClr w14:val="tx1"/>
                        </w14:solidFill>
                      </w14:textFill>
                    </w:rPr>
                    <w:t>无组织排放监控浓度限值</w:t>
                  </w:r>
                </w:p>
              </w:tc>
            </w:tr>
            <w:tr w14:paraId="31540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exact"/>
                <w:jc w:val="center"/>
              </w:trPr>
              <w:tc>
                <w:tcPr>
                  <w:tcW w:w="1661" w:type="pct"/>
                  <w:vMerge w:val="continue"/>
                  <w:tcBorders>
                    <w:tl2br w:val="nil"/>
                    <w:tr2bl w:val="nil"/>
                  </w:tcBorders>
                  <w:noWrap w:val="0"/>
                  <w:vAlign w:val="center"/>
                </w:tcPr>
                <w:p w14:paraId="3C98CF28">
                  <w:pPr>
                    <w:keepNext w:val="0"/>
                    <w:keepLines w:val="0"/>
                    <w:pageBreakBefore w:val="0"/>
                    <w:widowControl w:val="0"/>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themeColor="text1"/>
                      <w:sz w:val="24"/>
                      <w:lang w:eastAsia="zh-CN"/>
                      <w14:textFill>
                        <w14:solidFill>
                          <w14:schemeClr w14:val="tx1"/>
                        </w14:solidFill>
                      </w14:textFill>
                    </w:rPr>
                  </w:pPr>
                </w:p>
              </w:tc>
              <w:tc>
                <w:tcPr>
                  <w:tcW w:w="1713" w:type="pct"/>
                  <w:tcBorders>
                    <w:tl2br w:val="nil"/>
                    <w:tr2bl w:val="nil"/>
                  </w:tcBorders>
                  <w:noWrap w:val="0"/>
                  <w:vAlign w:val="center"/>
                </w:tcPr>
                <w:p w14:paraId="3000753E">
                  <w:pPr>
                    <w:keepNext w:val="0"/>
                    <w:keepLines w:val="0"/>
                    <w:pageBreakBefore w:val="0"/>
                    <w:widowControl w:val="0"/>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pacing w:val="1"/>
                      <w:sz w:val="21"/>
                      <w:szCs w:val="21"/>
                      <w14:textFill>
                        <w14:solidFill>
                          <w14:schemeClr w14:val="tx1"/>
                        </w14:solidFill>
                      </w14:textFill>
                    </w:rPr>
                    <w:t>监控点</w:t>
                  </w:r>
                </w:p>
              </w:tc>
              <w:tc>
                <w:tcPr>
                  <w:tcW w:w="1624" w:type="pct"/>
                  <w:tcBorders>
                    <w:tl2br w:val="nil"/>
                    <w:tr2bl w:val="nil"/>
                  </w:tcBorders>
                  <w:noWrap w:val="0"/>
                  <w:vAlign w:val="center"/>
                </w:tcPr>
                <w:p w14:paraId="46B866DD">
                  <w:pPr>
                    <w:keepNext w:val="0"/>
                    <w:keepLines w:val="0"/>
                    <w:pageBreakBefore w:val="0"/>
                    <w:widowControl w:val="0"/>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浓度</w:t>
                  </w:r>
                </w:p>
              </w:tc>
            </w:tr>
            <w:tr w14:paraId="01939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exact"/>
                <w:jc w:val="center"/>
              </w:trPr>
              <w:tc>
                <w:tcPr>
                  <w:tcW w:w="1661" w:type="pct"/>
                  <w:tcBorders>
                    <w:tl2br w:val="nil"/>
                    <w:tr2bl w:val="nil"/>
                  </w:tcBorders>
                  <w:noWrap w:val="0"/>
                  <w:vAlign w:val="center"/>
                </w:tcPr>
                <w:p w14:paraId="6E34AA7F">
                  <w:pPr>
                    <w:keepNext w:val="0"/>
                    <w:keepLines w:val="0"/>
                    <w:pageBreakBefore w:val="0"/>
                    <w:widowControl w:val="0"/>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颗粒物</w:t>
                  </w:r>
                </w:p>
              </w:tc>
              <w:tc>
                <w:tcPr>
                  <w:tcW w:w="1713" w:type="pct"/>
                  <w:tcBorders>
                    <w:tl2br w:val="nil"/>
                    <w:tr2bl w:val="nil"/>
                  </w:tcBorders>
                  <w:noWrap w:val="0"/>
                  <w:vAlign w:val="center"/>
                </w:tcPr>
                <w:p w14:paraId="3FB9D544">
                  <w:pPr>
                    <w:keepNext w:val="0"/>
                    <w:keepLines w:val="0"/>
                    <w:pageBreakBefore w:val="0"/>
                    <w:widowControl w:val="0"/>
                    <w:kinsoku/>
                    <w:wordWrap/>
                    <w:overflowPunct/>
                    <w:topLinePunct w:val="0"/>
                    <w:autoSpaceDE/>
                    <w:autoSpaceDN/>
                    <w:bidi w:val="0"/>
                    <w:adjustRightInd/>
                    <w:snapToGrid w:val="0"/>
                    <w:spacing w:line="240" w:lineRule="auto"/>
                    <w:ind w:left="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周界外浓度最高点</w:t>
                  </w:r>
                </w:p>
              </w:tc>
              <w:tc>
                <w:tcPr>
                  <w:tcW w:w="1624" w:type="pct"/>
                  <w:tcBorders>
                    <w:tl2br w:val="nil"/>
                    <w:tr2bl w:val="nil"/>
                  </w:tcBorders>
                  <w:noWrap w:val="0"/>
                  <w:vAlign w:val="center"/>
                </w:tcPr>
                <w:p w14:paraId="1FEF59A6">
                  <w:pPr>
                    <w:keepNext w:val="0"/>
                    <w:keepLines w:val="0"/>
                    <w:pageBreakBefore w:val="0"/>
                    <w:widowControl w:val="0"/>
                    <w:kinsoku/>
                    <w:wordWrap/>
                    <w:overflowPunct/>
                    <w:topLinePunct w:val="0"/>
                    <w:autoSpaceDE/>
                    <w:autoSpaceDN/>
                    <w:bidi w:val="0"/>
                    <w:adjustRightInd/>
                    <w:snapToGrid w:val="0"/>
                    <w:spacing w:beforeAutospacing="0" w:line="240" w:lineRule="auto"/>
                    <w:ind w:left="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1.0</w:t>
                  </w:r>
                </w:p>
              </w:tc>
            </w:tr>
          </w:tbl>
          <w:p w14:paraId="0E4E0749">
            <w:pPr>
              <w:keepNext w:val="0"/>
              <w:keepLines w:val="0"/>
              <w:pageBreakBefore w:val="0"/>
              <w:kinsoku/>
              <w:wordWrap/>
              <w:overflowPunct/>
              <w:topLinePunct w:val="0"/>
              <w:bidi w:val="0"/>
              <w:spacing w:line="360" w:lineRule="auto"/>
              <w:ind w:firstLine="482" w:firstLineChars="200"/>
              <w:textAlignment w:val="auto"/>
              <w:rPr>
                <w:rFonts w:hint="default" w:ascii="Times New Roman" w:hAnsi="Times New Roman" w:eastAsia="宋体" w:cs="Times New Roman"/>
                <w:b/>
                <w:bCs/>
                <w:color w:val="000000" w:themeColor="text1"/>
                <w:sz w:val="24"/>
                <w:lang w:eastAsia="zh-CN"/>
                <w14:textFill>
                  <w14:solidFill>
                    <w14:schemeClr w14:val="tx1"/>
                  </w14:solidFill>
                </w14:textFill>
              </w:rPr>
            </w:pPr>
            <w:r>
              <w:rPr>
                <w:rFonts w:hint="eastAsia" w:ascii="Times New Roman" w:hAnsi="Times New Roman" w:eastAsia="宋体" w:cs="Times New Roman"/>
                <w:b/>
                <w:bCs/>
                <w:color w:val="000000" w:themeColor="text1"/>
                <w:sz w:val="24"/>
                <w:lang w:val="en-US" w:eastAsia="zh-CN"/>
                <w14:textFill>
                  <w14:solidFill>
                    <w14:schemeClr w14:val="tx1"/>
                  </w14:solidFill>
                </w14:textFill>
              </w:rPr>
              <w:t>1.2</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运营期</w:t>
            </w:r>
          </w:p>
          <w:p w14:paraId="681EAE37">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（1）有组织废气</w:t>
            </w:r>
          </w:p>
          <w:p w14:paraId="473943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color w:val="000000" w:themeColor="text1"/>
                <w:sz w:val="24"/>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项目原辅料制备工段破碎、筛分、粉磨排放口（DA001）排放的颗粒物和炉窑废气排放口（DA002）排放的颗粒物、二氧化硫、氮氧化物、氟化物执行《砖瓦工业大气污染物排放标准》（GB29620-2013）表2及修改单排放限值</w:t>
            </w:r>
            <w:r>
              <w:rPr>
                <w:rFonts w:hint="eastAsia" w:ascii="Times New Roman" w:hAnsi="Times New Roman" w:eastAsia="宋体" w:cs="Times New Roman"/>
                <w:b w:val="0"/>
                <w:bCs w:val="0"/>
                <w:color w:val="000000" w:themeColor="text1"/>
                <w:kern w:val="2"/>
                <w:sz w:val="24"/>
                <w:szCs w:val="24"/>
                <w:vertAlign w:val="baseline"/>
                <w:lang w:val="en-US" w:eastAsia="zh-CN" w:bidi="ar-SA"/>
                <w14:textFill>
                  <w14:solidFill>
                    <w14:schemeClr w14:val="tx1"/>
                  </w14:solidFill>
                </w14:textFill>
              </w:rPr>
              <w:t>，</w:t>
            </w:r>
            <w:r>
              <w:rPr>
                <w:rFonts w:hint="eastAsia"/>
                <w:color w:val="000000" w:themeColor="text1"/>
                <w:sz w:val="24"/>
                <w14:textFill>
                  <w14:solidFill>
                    <w14:schemeClr w14:val="tx1"/>
                  </w14:solidFill>
                </w14:textFill>
              </w:rPr>
              <w:t>具体标准限值详见</w:t>
            </w:r>
            <w:r>
              <w:rPr>
                <w:rFonts w:hint="eastAsia"/>
                <w:color w:val="000000" w:themeColor="text1"/>
                <w:sz w:val="24"/>
                <w:lang w:val="en-US" w:eastAsia="zh-CN"/>
                <w14:textFill>
                  <w14:solidFill>
                    <w14:schemeClr w14:val="tx1"/>
                  </w14:solidFill>
                </w14:textFill>
              </w:rPr>
              <w:t>下表：</w:t>
            </w:r>
          </w:p>
          <w:p w14:paraId="58883154">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default"/>
                <w:b/>
                <w:bCs/>
                <w:color w:val="000000" w:themeColor="text1"/>
                <w:sz w:val="24"/>
                <w:szCs w:val="24"/>
                <w:vertAlign w:val="superscript"/>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表3-6  项目有组织废气排放标准限值   单位：mg/m</w:t>
            </w:r>
            <w:r>
              <w:rPr>
                <w:rFonts w:hint="eastAsia"/>
                <w:b/>
                <w:bCs/>
                <w:color w:val="000000" w:themeColor="text1"/>
                <w:sz w:val="24"/>
                <w:szCs w:val="24"/>
                <w:vertAlign w:val="superscript"/>
                <w:lang w:val="en-US" w:eastAsia="zh-CN"/>
                <w14:textFill>
                  <w14:solidFill>
                    <w14:schemeClr w14:val="tx1"/>
                  </w14:solidFill>
                </w14:textFill>
              </w:rPr>
              <w:t>3</w:t>
            </w:r>
          </w:p>
          <w:tbl>
            <w:tblPr>
              <w:tblStyle w:val="29"/>
              <w:tblW w:w="8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6"/>
              <w:gridCol w:w="1091"/>
              <w:gridCol w:w="1380"/>
              <w:gridCol w:w="1596"/>
              <w:gridCol w:w="1500"/>
              <w:gridCol w:w="1563"/>
            </w:tblGrid>
            <w:tr w14:paraId="51BC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26" w:type="dxa"/>
                  <w:vMerge w:val="restart"/>
                  <w:noWrap w:val="0"/>
                  <w:vAlign w:val="center"/>
                </w:tcPr>
                <w:p w14:paraId="027A9B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生产过程</w:t>
                  </w:r>
                </w:p>
              </w:tc>
              <w:tc>
                <w:tcPr>
                  <w:tcW w:w="5567" w:type="dxa"/>
                  <w:gridSpan w:val="4"/>
                  <w:noWrap w:val="0"/>
                  <w:vAlign w:val="center"/>
                </w:tcPr>
                <w:p w14:paraId="2FBA05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最高允许排放浓度</w:t>
                  </w:r>
                </w:p>
              </w:tc>
              <w:tc>
                <w:tcPr>
                  <w:tcW w:w="1563" w:type="dxa"/>
                  <w:vMerge w:val="restart"/>
                  <w:noWrap w:val="0"/>
                  <w:vAlign w:val="center"/>
                </w:tcPr>
                <w:p w14:paraId="631590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污染物排放 监控位置</w:t>
                  </w:r>
                </w:p>
              </w:tc>
            </w:tr>
            <w:tr w14:paraId="6DDB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26" w:type="dxa"/>
                  <w:vMerge w:val="continue"/>
                  <w:noWrap w:val="0"/>
                  <w:vAlign w:val="center"/>
                </w:tcPr>
                <w:p w14:paraId="6C697F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eastAsia="宋体"/>
                      <w:b w:val="0"/>
                      <w:bCs w:val="0"/>
                      <w:color w:val="000000" w:themeColor="text1"/>
                      <w:sz w:val="21"/>
                      <w:szCs w:val="21"/>
                      <w:lang w:val="en-US" w:eastAsia="zh-CN"/>
                      <w14:textFill>
                        <w14:solidFill>
                          <w14:schemeClr w14:val="tx1"/>
                        </w14:solidFill>
                      </w14:textFill>
                    </w:rPr>
                  </w:pPr>
                </w:p>
              </w:tc>
              <w:tc>
                <w:tcPr>
                  <w:tcW w:w="1091" w:type="dxa"/>
                  <w:noWrap w:val="0"/>
                  <w:vAlign w:val="center"/>
                </w:tcPr>
                <w:p w14:paraId="5B0A6B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颗粒物</w:t>
                  </w:r>
                </w:p>
              </w:tc>
              <w:tc>
                <w:tcPr>
                  <w:tcW w:w="1380" w:type="dxa"/>
                  <w:noWrap w:val="0"/>
                  <w:vAlign w:val="center"/>
                </w:tcPr>
                <w:p w14:paraId="42FBD5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二氧化硫</w:t>
                  </w:r>
                </w:p>
              </w:tc>
              <w:tc>
                <w:tcPr>
                  <w:tcW w:w="1596" w:type="dxa"/>
                  <w:noWrap w:val="0"/>
                  <w:vAlign w:val="center"/>
                </w:tcPr>
                <w:p w14:paraId="57B4E4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氮氧化物（以NO</w:t>
                  </w:r>
                  <w:r>
                    <w:rPr>
                      <w:rFonts w:hint="eastAsia"/>
                      <w:b w:val="0"/>
                      <w:bCs w:val="0"/>
                      <w:color w:val="000000" w:themeColor="text1"/>
                      <w:sz w:val="21"/>
                      <w:szCs w:val="21"/>
                      <w:vertAlign w:val="subscript"/>
                      <w:lang w:val="en-US" w:eastAsia="zh-CN"/>
                      <w14:textFill>
                        <w14:solidFill>
                          <w14:schemeClr w14:val="tx1"/>
                        </w14:solidFill>
                      </w14:textFill>
                    </w:rPr>
                    <w:t>2</w:t>
                  </w:r>
                  <w:r>
                    <w:rPr>
                      <w:rFonts w:hint="eastAsia"/>
                      <w:b w:val="0"/>
                      <w:bCs w:val="0"/>
                      <w:color w:val="000000" w:themeColor="text1"/>
                      <w:sz w:val="21"/>
                      <w:szCs w:val="21"/>
                      <w:vertAlign w:val="baseline"/>
                      <w:lang w:val="en-US" w:eastAsia="zh-CN"/>
                      <w14:textFill>
                        <w14:solidFill>
                          <w14:schemeClr w14:val="tx1"/>
                        </w14:solidFill>
                      </w14:textFill>
                    </w:rPr>
                    <w:t>计</w:t>
                  </w:r>
                  <w:r>
                    <w:rPr>
                      <w:rFonts w:hint="eastAsia"/>
                      <w:b w:val="0"/>
                      <w:bCs w:val="0"/>
                      <w:color w:val="000000" w:themeColor="text1"/>
                      <w:sz w:val="21"/>
                      <w:szCs w:val="21"/>
                      <w:lang w:val="en-US" w:eastAsia="zh-CN"/>
                      <w14:textFill>
                        <w14:solidFill>
                          <w14:schemeClr w14:val="tx1"/>
                        </w14:solidFill>
                      </w14:textFill>
                    </w:rPr>
                    <w:t>）</w:t>
                  </w:r>
                </w:p>
              </w:tc>
              <w:tc>
                <w:tcPr>
                  <w:tcW w:w="1500" w:type="dxa"/>
                  <w:noWrap w:val="0"/>
                  <w:vAlign w:val="center"/>
                </w:tcPr>
                <w:p w14:paraId="6B8D96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氟化物（以F计）</w:t>
                  </w:r>
                </w:p>
              </w:tc>
              <w:tc>
                <w:tcPr>
                  <w:tcW w:w="1563" w:type="dxa"/>
                  <w:vMerge w:val="continue"/>
                  <w:noWrap w:val="0"/>
                  <w:vAlign w:val="center"/>
                </w:tcPr>
                <w:p w14:paraId="406A4F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b w:val="0"/>
                      <w:bCs w:val="0"/>
                      <w:color w:val="000000" w:themeColor="text1"/>
                      <w:sz w:val="21"/>
                      <w:szCs w:val="21"/>
                      <w14:textFill>
                        <w14:solidFill>
                          <w14:schemeClr w14:val="tx1"/>
                        </w14:solidFill>
                      </w14:textFill>
                    </w:rPr>
                  </w:pPr>
                </w:p>
              </w:tc>
            </w:tr>
            <w:tr w14:paraId="34EB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noWrap w:val="0"/>
                  <w:vAlign w:val="center"/>
                </w:tcPr>
                <w:p w14:paraId="3F2AF2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原料燃料破碎机制备成型</w:t>
                  </w:r>
                </w:p>
              </w:tc>
              <w:tc>
                <w:tcPr>
                  <w:tcW w:w="1091" w:type="dxa"/>
                  <w:noWrap w:val="0"/>
                  <w:vAlign w:val="center"/>
                </w:tcPr>
                <w:p w14:paraId="3DB7BC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30</w:t>
                  </w:r>
                </w:p>
              </w:tc>
              <w:tc>
                <w:tcPr>
                  <w:tcW w:w="1380" w:type="dxa"/>
                  <w:noWrap w:val="0"/>
                  <w:vAlign w:val="center"/>
                </w:tcPr>
                <w:p w14:paraId="30D0AE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w:t>
                  </w:r>
                </w:p>
              </w:tc>
              <w:tc>
                <w:tcPr>
                  <w:tcW w:w="1596" w:type="dxa"/>
                  <w:noWrap w:val="0"/>
                  <w:vAlign w:val="center"/>
                </w:tcPr>
                <w:p w14:paraId="0F75EF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w:t>
                  </w:r>
                </w:p>
              </w:tc>
              <w:tc>
                <w:tcPr>
                  <w:tcW w:w="1500" w:type="dxa"/>
                  <w:noWrap w:val="0"/>
                  <w:vAlign w:val="center"/>
                </w:tcPr>
                <w:p w14:paraId="659A3F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w:t>
                  </w:r>
                </w:p>
              </w:tc>
              <w:tc>
                <w:tcPr>
                  <w:tcW w:w="1563" w:type="dxa"/>
                  <w:vMerge w:val="restart"/>
                  <w:noWrap w:val="0"/>
                  <w:vAlign w:val="center"/>
                </w:tcPr>
                <w:p w14:paraId="6ADE6F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车间或生产设施排气筒</w:t>
                  </w:r>
                </w:p>
              </w:tc>
            </w:tr>
            <w:tr w14:paraId="7742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noWrap w:val="0"/>
                  <w:vAlign w:val="center"/>
                </w:tcPr>
                <w:p w14:paraId="418D5E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人工干燥及焙烧</w:t>
                  </w:r>
                </w:p>
              </w:tc>
              <w:tc>
                <w:tcPr>
                  <w:tcW w:w="1091" w:type="dxa"/>
                  <w:noWrap w:val="0"/>
                  <w:vAlign w:val="center"/>
                </w:tcPr>
                <w:p w14:paraId="616B85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30</w:t>
                  </w:r>
                </w:p>
              </w:tc>
              <w:tc>
                <w:tcPr>
                  <w:tcW w:w="1380" w:type="dxa"/>
                  <w:noWrap w:val="0"/>
                  <w:vAlign w:val="center"/>
                </w:tcPr>
                <w:p w14:paraId="43D903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150</w:t>
                  </w:r>
                </w:p>
              </w:tc>
              <w:tc>
                <w:tcPr>
                  <w:tcW w:w="1596" w:type="dxa"/>
                  <w:noWrap w:val="0"/>
                  <w:vAlign w:val="center"/>
                </w:tcPr>
                <w:p w14:paraId="5A3FD2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200</w:t>
                  </w:r>
                </w:p>
              </w:tc>
              <w:tc>
                <w:tcPr>
                  <w:tcW w:w="1500" w:type="dxa"/>
                  <w:noWrap w:val="0"/>
                  <w:vAlign w:val="center"/>
                </w:tcPr>
                <w:p w14:paraId="1C2ED0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3</w:t>
                  </w:r>
                </w:p>
              </w:tc>
              <w:tc>
                <w:tcPr>
                  <w:tcW w:w="1563" w:type="dxa"/>
                  <w:vMerge w:val="continue"/>
                  <w:noWrap w:val="0"/>
                  <w:vAlign w:val="center"/>
                </w:tcPr>
                <w:p w14:paraId="7B357A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p>
              </w:tc>
            </w:tr>
          </w:tbl>
          <w:p w14:paraId="254235A6">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（2）无组织废气</w:t>
            </w:r>
          </w:p>
          <w:p w14:paraId="5B7CF4E5">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项目厂界无组织大气污染物执行</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《砖瓦工业大气污染物排放标准》（GB29620-2013）表3排放限值</w:t>
            </w:r>
            <w:r>
              <w:rPr>
                <w:rFonts w:hint="eastAsia" w:ascii="Times New Roman" w:hAnsi="Times New Roman" w:eastAsia="宋体" w:cs="Times New Roman"/>
                <w:b w:val="0"/>
                <w:bCs w:val="0"/>
                <w:color w:val="000000" w:themeColor="text1"/>
                <w:kern w:val="2"/>
                <w:sz w:val="24"/>
                <w:szCs w:val="24"/>
                <w:vertAlign w:val="baseline"/>
                <w:lang w:val="en-US" w:eastAsia="zh-CN" w:bidi="ar-SA"/>
                <w14:textFill>
                  <w14:solidFill>
                    <w14:schemeClr w14:val="tx1"/>
                  </w14:solidFill>
                </w14:textFill>
              </w:rPr>
              <w:t>，</w:t>
            </w:r>
            <w:r>
              <w:rPr>
                <w:rFonts w:hint="eastAsia"/>
                <w:color w:val="000000" w:themeColor="text1"/>
                <w:sz w:val="24"/>
                <w14:textFill>
                  <w14:solidFill>
                    <w14:schemeClr w14:val="tx1"/>
                  </w14:solidFill>
                </w14:textFill>
              </w:rPr>
              <w:t>具体标准限值详见</w:t>
            </w:r>
            <w:r>
              <w:rPr>
                <w:rFonts w:hint="eastAsia"/>
                <w:color w:val="000000" w:themeColor="text1"/>
                <w:sz w:val="24"/>
                <w:lang w:val="en-US" w:eastAsia="zh-CN"/>
                <w14:textFill>
                  <w14:solidFill>
                    <w14:schemeClr w14:val="tx1"/>
                  </w14:solidFill>
                </w14:textFill>
              </w:rPr>
              <w:t>下表：</w:t>
            </w:r>
          </w:p>
          <w:p w14:paraId="08F1BB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76" w:lineRule="auto"/>
              <w:ind w:left="0" w:right="0" w:firstLine="0" w:firstLineChars="0"/>
              <w:jc w:val="center"/>
              <w:textAlignment w:val="auto"/>
              <w:rPr>
                <w:rFonts w:hint="default" w:ascii="Times New Roman" w:hAnsi="Times New Roman" w:eastAsia="宋体" w:cs="Times New Roman"/>
                <w:b/>
                <w:bCs/>
                <w:color w:val="000000" w:themeColor="text1"/>
                <w:kern w:val="2"/>
                <w:sz w:val="24"/>
                <w:szCs w:val="24"/>
                <w:vertAlign w:val="superscript"/>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表3-</w:t>
            </w:r>
            <w:r>
              <w:rPr>
                <w:rFonts w:hint="eastAsia" w:cs="Times New Roman"/>
                <w:b/>
                <w:bCs/>
                <w:color w:val="000000" w:themeColor="text1"/>
                <w:kern w:val="2"/>
                <w:sz w:val="24"/>
                <w:szCs w:val="24"/>
                <w:lang w:val="en-US" w:eastAsia="zh-CN" w:bidi="ar-SA"/>
                <w14:textFill>
                  <w14:solidFill>
                    <w14:schemeClr w14:val="tx1"/>
                  </w14:solidFill>
                </w14:textFill>
              </w:rPr>
              <w:t>7</w:t>
            </w: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 xml:space="preserve">  项目边界大气污染物浓度限值   单位：mg/m</w:t>
            </w:r>
            <w:r>
              <w:rPr>
                <w:rFonts w:hint="eastAsia" w:ascii="Times New Roman" w:hAnsi="Times New Roman" w:eastAsia="宋体" w:cs="Times New Roman"/>
                <w:b/>
                <w:bCs/>
                <w:color w:val="000000" w:themeColor="text1"/>
                <w:kern w:val="2"/>
                <w:sz w:val="24"/>
                <w:szCs w:val="24"/>
                <w:vertAlign w:val="superscript"/>
                <w:lang w:val="en-US" w:eastAsia="zh-CN" w:bidi="ar-SA"/>
                <w14:textFill>
                  <w14:solidFill>
                    <w14:schemeClr w14:val="tx1"/>
                  </w14:solidFill>
                </w14:textFill>
              </w:rPr>
              <w:t>3</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4"/>
              <w:gridCol w:w="3815"/>
              <w:gridCol w:w="3815"/>
            </w:tblGrid>
            <w:tr w14:paraId="4356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22" w:type="dxa"/>
                  <w:noWrap w:val="0"/>
                  <w:vAlign w:val="center"/>
                </w:tcPr>
                <w:p w14:paraId="52C2811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序号</w:t>
                  </w:r>
                </w:p>
              </w:tc>
              <w:tc>
                <w:tcPr>
                  <w:tcW w:w="2638" w:type="dxa"/>
                  <w:noWrap w:val="0"/>
                  <w:vAlign w:val="center"/>
                </w:tcPr>
                <w:p w14:paraId="5C6E82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污染物项目</w:t>
                  </w:r>
                </w:p>
              </w:tc>
              <w:tc>
                <w:tcPr>
                  <w:tcW w:w="2638" w:type="dxa"/>
                  <w:noWrap w:val="0"/>
                  <w:vAlign w:val="center"/>
                </w:tcPr>
                <w:p w14:paraId="46F95E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浓度限值</w:t>
                  </w:r>
                </w:p>
              </w:tc>
            </w:tr>
            <w:tr w14:paraId="0721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noWrap w:val="0"/>
                  <w:vAlign w:val="center"/>
                </w:tcPr>
                <w:p w14:paraId="43E259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1</w:t>
                  </w:r>
                </w:p>
              </w:tc>
              <w:tc>
                <w:tcPr>
                  <w:tcW w:w="2638" w:type="dxa"/>
                  <w:noWrap w:val="0"/>
                  <w:vAlign w:val="center"/>
                </w:tcPr>
                <w:p w14:paraId="5CE5CF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总悬浮颗粒物</w:t>
                  </w:r>
                </w:p>
              </w:tc>
              <w:tc>
                <w:tcPr>
                  <w:tcW w:w="2638" w:type="dxa"/>
                  <w:noWrap w:val="0"/>
                  <w:vAlign w:val="center"/>
                </w:tcPr>
                <w:p w14:paraId="183262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1.0</w:t>
                  </w:r>
                </w:p>
              </w:tc>
            </w:tr>
            <w:tr w14:paraId="3B9A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noWrap w:val="0"/>
                  <w:vAlign w:val="center"/>
                </w:tcPr>
                <w:p w14:paraId="1E9131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2</w:t>
                  </w:r>
                </w:p>
              </w:tc>
              <w:tc>
                <w:tcPr>
                  <w:tcW w:w="2638" w:type="dxa"/>
                  <w:noWrap w:val="0"/>
                  <w:vAlign w:val="center"/>
                </w:tcPr>
                <w:p w14:paraId="16D657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二氧化硫</w:t>
                  </w:r>
                </w:p>
              </w:tc>
              <w:tc>
                <w:tcPr>
                  <w:tcW w:w="2638" w:type="dxa"/>
                  <w:noWrap w:val="0"/>
                  <w:vAlign w:val="center"/>
                </w:tcPr>
                <w:p w14:paraId="59FBE2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0.5</w:t>
                  </w:r>
                </w:p>
              </w:tc>
            </w:tr>
            <w:tr w14:paraId="59027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noWrap w:val="0"/>
                  <w:vAlign w:val="center"/>
                </w:tcPr>
                <w:p w14:paraId="1926C3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3</w:t>
                  </w:r>
                </w:p>
              </w:tc>
              <w:tc>
                <w:tcPr>
                  <w:tcW w:w="2638" w:type="dxa"/>
                  <w:noWrap w:val="0"/>
                  <w:vAlign w:val="center"/>
                </w:tcPr>
                <w:p w14:paraId="648C9A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氟化物</w:t>
                  </w:r>
                </w:p>
              </w:tc>
              <w:tc>
                <w:tcPr>
                  <w:tcW w:w="2638" w:type="dxa"/>
                  <w:noWrap w:val="0"/>
                  <w:vAlign w:val="center"/>
                </w:tcPr>
                <w:p w14:paraId="09FAA0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center"/>
                    <w:textAlignment w:val="auto"/>
                    <w:rPr>
                      <w:rFonts w:hint="default"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vertAlign w:val="baseline"/>
                      <w:lang w:val="en-US" w:eastAsia="zh-CN" w:bidi="ar-SA"/>
                      <w14:textFill>
                        <w14:solidFill>
                          <w14:schemeClr w14:val="tx1"/>
                        </w14:solidFill>
                      </w14:textFill>
                    </w:rPr>
                    <w:t>0.02</w:t>
                  </w:r>
                </w:p>
              </w:tc>
            </w:tr>
          </w:tbl>
          <w:p w14:paraId="579D9057">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2" w:firstLineChars="200"/>
              <w:textAlignment w:val="auto"/>
              <w:rPr>
                <w:rFonts w:hint="eastAsia" w:ascii="Times New Roman" w:hAnsi="Times New Roman" w:eastAsia="宋体" w:cs="Times New Roman"/>
                <w:b/>
                <w:color w:val="000000" w:themeColor="text1"/>
                <w:sz w:val="24"/>
                <w:szCs w:val="28"/>
                <w:lang w:eastAsia="zh-CN"/>
                <w14:textFill>
                  <w14:solidFill>
                    <w14:schemeClr w14:val="tx1"/>
                  </w14:solidFill>
                </w14:textFill>
              </w:rPr>
            </w:pPr>
            <w:r>
              <w:rPr>
                <w:rFonts w:hint="eastAsia" w:ascii="Times New Roman" w:hAnsi="Times New Roman" w:eastAsia="宋体" w:cs="Times New Roman"/>
                <w:b/>
                <w:color w:val="000000" w:themeColor="text1"/>
                <w:sz w:val="24"/>
                <w:szCs w:val="28"/>
                <w:lang w:val="en-US" w:eastAsia="zh-CN"/>
                <w14:textFill>
                  <w14:solidFill>
                    <w14:schemeClr w14:val="tx1"/>
                  </w14:solidFill>
                </w14:textFill>
              </w:rPr>
              <w:t>2、</w:t>
            </w:r>
            <w:r>
              <w:rPr>
                <w:rFonts w:hint="eastAsia" w:ascii="Times New Roman" w:hAnsi="Times New Roman" w:eastAsia="宋体" w:cs="Times New Roman"/>
                <w:b/>
                <w:color w:val="000000" w:themeColor="text1"/>
                <w:sz w:val="24"/>
                <w:szCs w:val="28"/>
                <w:lang w:eastAsia="zh-CN"/>
                <w14:textFill>
                  <w14:solidFill>
                    <w14:schemeClr w14:val="tx1"/>
                  </w14:solidFill>
                </w14:textFill>
              </w:rPr>
              <w:t>废水</w:t>
            </w:r>
          </w:p>
          <w:p w14:paraId="1D7334C5">
            <w:pPr>
              <w:keepNext w:val="0"/>
              <w:keepLines w:val="0"/>
              <w:pageBreakBefore w:val="0"/>
              <w:kinsoku/>
              <w:wordWrap/>
              <w:overflowPunct/>
              <w:topLinePunct w:val="0"/>
              <w:bidi w:val="0"/>
              <w:spacing w:line="360" w:lineRule="auto"/>
              <w:ind w:firstLine="482" w:firstLineChars="200"/>
              <w:jc w:val="both"/>
              <w:textAlignment w:val="auto"/>
              <w:rPr>
                <w:rFonts w:hint="default" w:ascii="Times New Roman" w:hAnsi="Times New Roman" w:eastAsia="宋体" w:cs="Times New Roman"/>
                <w:b/>
                <w:bCs w:val="0"/>
                <w:color w:val="000000" w:themeColor="text1"/>
                <w:sz w:val="24"/>
                <w:szCs w:val="24"/>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2.1</w:t>
            </w:r>
            <w:r>
              <w:rPr>
                <w:rFonts w:hint="default" w:ascii="Times New Roman" w:hAnsi="Times New Roman" w:eastAsia="宋体" w:cs="Times New Roman"/>
                <w:b/>
                <w:bCs w:val="0"/>
                <w:color w:val="000000" w:themeColor="text1"/>
                <w:sz w:val="24"/>
                <w:szCs w:val="24"/>
                <w14:textFill>
                  <w14:solidFill>
                    <w14:schemeClr w14:val="tx1"/>
                  </w14:solidFill>
                </w14:textFill>
              </w:rPr>
              <w:t>施工期</w:t>
            </w:r>
          </w:p>
          <w:p w14:paraId="7EC1C2F6">
            <w:pPr>
              <w:keepNext w:val="0"/>
              <w:keepLines w:val="0"/>
              <w:pageBreakBefore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bCs/>
                <w:color w:val="000000" w:themeColor="text1"/>
                <w:sz w:val="24"/>
                <w:szCs w:val="24"/>
                <w:lang w:eastAsia="zh-CN"/>
                <w14:textFill>
                  <w14:solidFill>
                    <w14:schemeClr w14:val="tx1"/>
                  </w14:solidFill>
                </w14:textFill>
              </w:rPr>
            </w:pPr>
            <w:r>
              <w:rPr>
                <w:rFonts w:hint="default" w:ascii="Times New Roman" w:hAnsi="Times New Roman" w:eastAsia="宋体" w:cs="Times New Roman"/>
                <w:bCs/>
                <w:color w:val="000000" w:themeColor="text1"/>
                <w:sz w:val="24"/>
                <w:szCs w:val="24"/>
                <w:lang w:eastAsia="zh-CN"/>
                <w14:textFill>
                  <w14:solidFill>
                    <w14:schemeClr w14:val="tx1"/>
                  </w14:solidFill>
                </w14:textFill>
              </w:rPr>
              <w:t>本项目施工期间不设施工营地，施工人员不在项目区内食宿，施工</w:t>
            </w:r>
            <w:r>
              <w:rPr>
                <w:rFonts w:hint="eastAsia" w:ascii="Times New Roman" w:hAnsi="Times New Roman" w:eastAsia="宋体" w:cs="Times New Roman"/>
                <w:bCs/>
                <w:color w:val="000000" w:themeColor="text1"/>
                <w:sz w:val="24"/>
                <w:szCs w:val="24"/>
                <w:lang w:eastAsia="zh-CN"/>
                <w14:textFill>
                  <w14:solidFill>
                    <w14:schemeClr w14:val="tx1"/>
                  </w14:solidFill>
                </w14:textFill>
              </w:rPr>
              <w:t>期间</w:t>
            </w:r>
            <w:r>
              <w:rPr>
                <w:rFonts w:hint="default" w:ascii="Times New Roman" w:hAnsi="Times New Roman" w:eastAsia="宋体" w:cs="Times New Roman"/>
                <w:bCs/>
                <w:color w:val="000000" w:themeColor="text1"/>
                <w:sz w:val="24"/>
                <w:szCs w:val="24"/>
                <w:lang w:eastAsia="zh-CN"/>
                <w14:textFill>
                  <w14:solidFill>
                    <w14:schemeClr w14:val="tx1"/>
                  </w14:solidFill>
                </w14:textFill>
              </w:rPr>
              <w:t>废水主要是施工废水和施工人员清洗废水，废水经简单沉淀后回用，不外排，故不设排放标准。</w:t>
            </w:r>
          </w:p>
          <w:p w14:paraId="584A3B0D">
            <w:pPr>
              <w:keepNext w:val="0"/>
              <w:keepLines w:val="0"/>
              <w:pageBreakBefore w:val="0"/>
              <w:kinsoku/>
              <w:wordWrap/>
              <w:overflowPunct/>
              <w:topLinePunct w:val="0"/>
              <w:bidi w:val="0"/>
              <w:spacing w:line="360" w:lineRule="auto"/>
              <w:ind w:firstLine="482" w:firstLineChars="200"/>
              <w:jc w:val="both"/>
              <w:textAlignment w:val="auto"/>
              <w:rPr>
                <w:rFonts w:hint="default" w:ascii="Times New Roman" w:hAnsi="Times New Roman" w:eastAsia="宋体" w:cs="Times New Roman"/>
                <w:b/>
                <w:bCs w:val="0"/>
                <w:color w:val="000000" w:themeColor="text1"/>
                <w:sz w:val="24"/>
                <w:szCs w:val="24"/>
                <w:lang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2.2</w:t>
            </w:r>
            <w:r>
              <w:rPr>
                <w:rFonts w:hint="default" w:ascii="Times New Roman" w:hAnsi="Times New Roman" w:eastAsia="宋体" w:cs="Times New Roman"/>
                <w:b/>
                <w:bCs w:val="0"/>
                <w:color w:val="000000" w:themeColor="text1"/>
                <w:sz w:val="24"/>
                <w:szCs w:val="24"/>
                <w:lang w:eastAsia="zh-CN"/>
                <w14:textFill>
                  <w14:solidFill>
                    <w14:schemeClr w14:val="tx1"/>
                  </w14:solidFill>
                </w14:textFill>
              </w:rPr>
              <w:t>运营期</w:t>
            </w:r>
          </w:p>
          <w:p w14:paraId="1985026C">
            <w:pPr>
              <w:keepNext w:val="0"/>
              <w:keepLines w:val="0"/>
              <w:pageBreakBefore w:val="0"/>
              <w:kinsoku/>
              <w:wordWrap/>
              <w:overflowPunct/>
              <w:topLinePunct w:val="0"/>
              <w:bidi w:val="0"/>
              <w:spacing w:line="360" w:lineRule="auto"/>
              <w:ind w:left="0" w:leftChars="0" w:firstLine="480" w:firstLineChars="200"/>
              <w:textAlignment w:val="auto"/>
              <w:rPr>
                <w:rFonts w:hint="eastAsia" w:ascii="Times New Roman" w:hAnsi="Times New Roman" w:eastAsia="宋体" w:cs="宋体"/>
                <w:color w:val="000000" w:themeColor="text1"/>
                <w:sz w:val="24"/>
                <w:lang w:val="en-US" w:eastAsia="zh-CN"/>
                <w14:textFill>
                  <w14:solidFill>
                    <w14:schemeClr w14:val="tx1"/>
                  </w14:solidFill>
                </w14:textFill>
              </w:rPr>
            </w:pPr>
            <w:r>
              <w:rPr>
                <w:rFonts w:hint="eastAsia" w:ascii="Times New Roman" w:hAnsi="Times New Roman" w:eastAsia="宋体" w:cs="宋体"/>
                <w:color w:val="000000" w:themeColor="text1"/>
                <w:sz w:val="24"/>
                <w:lang w:val="en-US" w:eastAsia="zh-CN"/>
                <w14:textFill>
                  <w14:solidFill>
                    <w14:schemeClr w14:val="tx1"/>
                  </w14:solidFill>
                </w14:textFill>
              </w:rPr>
              <w:t>项目搅拌用水随产品带走；炉窑冷却降温水高温蒸发；</w:t>
            </w:r>
            <w:r>
              <w:rPr>
                <w:rFonts w:hint="eastAsia"/>
                <w:color w:val="000000" w:themeColor="text1"/>
                <w:sz w:val="24"/>
                <w:lang w:val="en-US" w:eastAsia="zh-CN"/>
                <w14:textFill>
                  <w14:solidFill>
                    <w14:schemeClr w14:val="tx1"/>
                  </w14:solidFill>
                </w14:textFill>
              </w:rPr>
              <w:t>脱硫废水设置</w:t>
            </w:r>
            <w:r>
              <w:rPr>
                <w:rFonts w:hint="eastAsia"/>
                <w:color w:val="000000" w:themeColor="text1"/>
                <w:sz w:val="24"/>
                <w14:textFill>
                  <w14:solidFill>
                    <w14:schemeClr w14:val="tx1"/>
                  </w14:solidFill>
                </w14:textFill>
              </w:rPr>
              <w:t>1个容积为80m</w:t>
            </w:r>
            <w:r>
              <w:rPr>
                <w:rFonts w:hint="eastAsia"/>
                <w:color w:val="000000" w:themeColor="text1"/>
                <w:sz w:val="24"/>
                <w:vertAlign w:val="superscript"/>
                <w14:textFill>
                  <w14:solidFill>
                    <w14:schemeClr w14:val="tx1"/>
                  </w14:solidFill>
                </w14:textFill>
              </w:rPr>
              <w:t>3</w:t>
            </w:r>
            <w:r>
              <w:rPr>
                <w:rFonts w:hint="eastAsia"/>
                <w:color w:val="000000" w:themeColor="text1"/>
                <w:sz w:val="24"/>
                <w:lang w:val="en-US" w:eastAsia="zh-CN"/>
                <w14:textFill>
                  <w14:solidFill>
                    <w14:schemeClr w14:val="tx1"/>
                  </w14:solidFill>
                </w14:textFill>
              </w:rPr>
              <w:t>的循环沉淀池中和絮凝</w:t>
            </w:r>
            <w:r>
              <w:rPr>
                <w:rFonts w:hint="eastAsia"/>
                <w:color w:val="000000" w:themeColor="text1"/>
                <w:sz w:val="24"/>
                <w14:textFill>
                  <w14:solidFill>
                    <w14:schemeClr w14:val="tx1"/>
                  </w14:solidFill>
                </w14:textFill>
              </w:rPr>
              <w:t>沉淀</w:t>
            </w:r>
            <w:r>
              <w:rPr>
                <w:rFonts w:hint="eastAsia"/>
                <w:color w:val="000000" w:themeColor="text1"/>
                <w:sz w:val="24"/>
                <w:lang w:val="en-US" w:eastAsia="zh-CN"/>
                <w14:textFill>
                  <w14:solidFill>
                    <w14:schemeClr w14:val="tx1"/>
                  </w14:solidFill>
                </w14:textFill>
              </w:rPr>
              <w:t>处理</w:t>
            </w:r>
            <w:r>
              <w:rPr>
                <w:rFonts w:hint="eastAsia"/>
                <w:color w:val="000000" w:themeColor="text1"/>
                <w:sz w:val="24"/>
                <w14:textFill>
                  <w14:solidFill>
                    <w14:schemeClr w14:val="tx1"/>
                  </w14:solidFill>
                </w14:textFill>
              </w:rPr>
              <w:t>后全部回用于</w:t>
            </w:r>
            <w:r>
              <w:rPr>
                <w:rFonts w:hint="eastAsia"/>
                <w:color w:val="000000" w:themeColor="text1"/>
                <w:sz w:val="24"/>
                <w:lang w:val="en-US" w:eastAsia="zh-CN"/>
                <w14:textFill>
                  <w14:solidFill>
                    <w14:schemeClr w14:val="tx1"/>
                  </w14:solidFill>
                </w14:textFill>
              </w:rPr>
              <w:t>搅拌用水</w:t>
            </w:r>
            <w:r>
              <w:rPr>
                <w:rFonts w:hint="eastAsia"/>
                <w:color w:val="000000" w:themeColor="text1"/>
                <w:sz w:val="24"/>
                <w14:textFill>
                  <w14:solidFill>
                    <w14:schemeClr w14:val="tx1"/>
                  </w14:solidFill>
                </w14:textFill>
              </w:rPr>
              <w:t>，不外排</w:t>
            </w:r>
            <w:r>
              <w:rPr>
                <w:rFonts w:hint="eastAsia" w:ascii="Times New Roman" w:hAnsi="Times New Roman" w:eastAsia="宋体" w:cs="宋体"/>
                <w:color w:val="000000" w:themeColor="text1"/>
                <w:sz w:val="24"/>
                <w:lang w:val="en-US" w:eastAsia="zh-CN"/>
                <w14:textFill>
                  <w14:solidFill>
                    <w14:schemeClr w14:val="tx1"/>
                  </w14:solidFill>
                </w14:textFill>
              </w:rPr>
              <w:t>。</w:t>
            </w:r>
            <w:r>
              <w:rPr>
                <w:rFonts w:hint="eastAsia" w:ascii="Times New Roman" w:hAnsi="Times New Roman" w:eastAsia="宋体" w:cs="宋体"/>
                <w:color w:val="000000" w:themeColor="text1"/>
                <w:sz w:val="24"/>
                <w14:textFill>
                  <w14:solidFill>
                    <w14:schemeClr w14:val="tx1"/>
                  </w14:solidFill>
                </w14:textFill>
              </w:rPr>
              <w:t>生活区生活污水设置1个容积为10m</w:t>
            </w:r>
            <w:r>
              <w:rPr>
                <w:rFonts w:hint="eastAsia" w:ascii="Times New Roman" w:hAnsi="Times New Roman" w:eastAsia="宋体" w:cs="宋体"/>
                <w:color w:val="000000" w:themeColor="text1"/>
                <w:sz w:val="24"/>
                <w:vertAlign w:val="superscript"/>
                <w14:textFill>
                  <w14:solidFill>
                    <w14:schemeClr w14:val="tx1"/>
                  </w14:solidFill>
                </w14:textFill>
              </w:rPr>
              <w:t>3</w:t>
            </w:r>
            <w:r>
              <w:rPr>
                <w:rFonts w:hint="eastAsia" w:ascii="Times New Roman" w:hAnsi="Times New Roman" w:eastAsia="宋体" w:cs="宋体"/>
                <w:color w:val="000000" w:themeColor="text1"/>
                <w:sz w:val="24"/>
                <w14:textFill>
                  <w14:solidFill>
                    <w14:schemeClr w14:val="tx1"/>
                  </w14:solidFill>
                </w14:textFill>
              </w:rPr>
              <w:t>的化粪池处理后定期清掏用作农肥。</w:t>
            </w:r>
            <w:r>
              <w:rPr>
                <w:rFonts w:hint="eastAsia" w:ascii="Times New Roman" w:hAnsi="Times New Roman" w:eastAsia="宋体" w:cs="宋体"/>
                <w:color w:val="000000" w:themeColor="text1"/>
                <w:sz w:val="24"/>
                <w:lang w:val="en-US" w:eastAsia="zh-CN"/>
                <w14:textFill>
                  <w14:solidFill>
                    <w14:schemeClr w14:val="tx1"/>
                  </w14:solidFill>
                </w14:textFill>
              </w:rPr>
              <w:t>初</w:t>
            </w:r>
            <w:r>
              <w:rPr>
                <w:rFonts w:hint="eastAsia" w:ascii="Times New Roman" w:hAnsi="Times New Roman" w:eastAsia="宋体" w:cs="宋体"/>
                <w:color w:val="000000" w:themeColor="text1"/>
                <w:sz w:val="24"/>
                <w14:textFill>
                  <w14:solidFill>
                    <w14:schemeClr w14:val="tx1"/>
                  </w14:solidFill>
                </w14:textFill>
              </w:rPr>
              <w:t>期雨水设置有1个容积为20m</w:t>
            </w:r>
            <w:r>
              <w:rPr>
                <w:rFonts w:hint="eastAsia" w:ascii="Times New Roman" w:hAnsi="Times New Roman" w:eastAsia="宋体" w:cs="宋体"/>
                <w:color w:val="000000" w:themeColor="text1"/>
                <w:sz w:val="24"/>
                <w:vertAlign w:val="superscript"/>
                <w14:textFill>
                  <w14:solidFill>
                    <w14:schemeClr w14:val="tx1"/>
                  </w14:solidFill>
                </w14:textFill>
              </w:rPr>
              <w:t>3</w:t>
            </w:r>
            <w:r>
              <w:rPr>
                <w:rFonts w:hint="eastAsia" w:ascii="Times New Roman" w:hAnsi="Times New Roman" w:eastAsia="宋体" w:cs="宋体"/>
                <w:color w:val="000000" w:themeColor="text1"/>
                <w:sz w:val="24"/>
                <w14:textFill>
                  <w14:solidFill>
                    <w14:schemeClr w14:val="tx1"/>
                  </w14:solidFill>
                </w14:textFill>
              </w:rPr>
              <w:t>的</w:t>
            </w:r>
            <w:r>
              <w:rPr>
                <w:rFonts w:hint="eastAsia" w:ascii="Times New Roman" w:hAnsi="Times New Roman" w:eastAsia="宋体" w:cs="宋体"/>
                <w:color w:val="000000" w:themeColor="text1"/>
                <w:sz w:val="24"/>
                <w:lang w:eastAsia="zh-CN"/>
                <w14:textFill>
                  <w14:solidFill>
                    <w14:schemeClr w14:val="tx1"/>
                  </w14:solidFill>
                </w14:textFill>
              </w:rPr>
              <w:t>初期雨水收集池收集沉淀后全部回用于项目洒水降尘用水及搅拌用水，</w:t>
            </w: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不外排。</w:t>
            </w:r>
            <w:r>
              <w:rPr>
                <w:rFonts w:hint="eastAsia" w:ascii="Times New Roman" w:hAnsi="Times New Roman" w:eastAsia="宋体" w:cs="宋体"/>
                <w:color w:val="000000" w:themeColor="text1"/>
                <w:sz w:val="24"/>
                <w14:textFill>
                  <w14:solidFill>
                    <w14:schemeClr w14:val="tx1"/>
                  </w14:solidFill>
                </w14:textFill>
              </w:rPr>
              <w:t>故项目运营期不设废水排放标准。</w:t>
            </w:r>
          </w:p>
          <w:p w14:paraId="47DF9199">
            <w:pPr>
              <w:keepNext w:val="0"/>
              <w:keepLines w:val="0"/>
              <w:pageBreakBefore w:val="0"/>
              <w:kinsoku/>
              <w:wordWrap/>
              <w:overflowPunct/>
              <w:topLinePunct w:val="0"/>
              <w:bidi w:val="0"/>
              <w:spacing w:line="360" w:lineRule="auto"/>
              <w:ind w:left="0" w:leftChars="0" w:firstLine="482" w:firstLineChars="200"/>
              <w:textAlignment w:val="auto"/>
              <w:rPr>
                <w:rFonts w:ascii="Times New Roman" w:hAnsi="Times New Roman" w:eastAsia="宋体" w:cs="Times New Roman"/>
                <w:color w:val="000000" w:themeColor="text1"/>
                <w:sz w:val="24"/>
                <w:szCs w:val="20"/>
                <w14:textFill>
                  <w14:solidFill>
                    <w14:schemeClr w14:val="tx1"/>
                  </w14:solidFill>
                </w14:textFill>
              </w:rPr>
            </w:pPr>
            <w:r>
              <w:rPr>
                <w:rFonts w:hint="eastAsia" w:ascii="Times New Roman" w:hAnsi="宋体" w:eastAsia="宋体" w:cs="Times New Roman"/>
                <w:b/>
                <w:bCs/>
                <w:color w:val="000000" w:themeColor="text1"/>
                <w:sz w:val="24"/>
                <w:szCs w:val="20"/>
                <w:lang w:val="en-US" w:eastAsia="zh-CN"/>
                <w14:textFill>
                  <w14:solidFill>
                    <w14:schemeClr w14:val="tx1"/>
                  </w14:solidFill>
                </w14:textFill>
              </w:rPr>
              <w:t>3、</w:t>
            </w:r>
            <w:r>
              <w:rPr>
                <w:rFonts w:ascii="Times New Roman" w:hAnsi="宋体" w:eastAsia="宋体" w:cs="Times New Roman"/>
                <w:b/>
                <w:bCs/>
                <w:color w:val="000000" w:themeColor="text1"/>
                <w:sz w:val="24"/>
                <w:szCs w:val="20"/>
                <w14:textFill>
                  <w14:solidFill>
                    <w14:schemeClr w14:val="tx1"/>
                  </w14:solidFill>
                </w14:textFill>
              </w:rPr>
              <w:t>噪声</w:t>
            </w:r>
          </w:p>
          <w:p w14:paraId="5DDF8E94">
            <w:pPr>
              <w:keepNext w:val="0"/>
              <w:keepLines w:val="0"/>
              <w:pageBreakBefore w:val="0"/>
              <w:kinsoku/>
              <w:wordWrap/>
              <w:overflowPunct/>
              <w:topLinePunct w:val="0"/>
              <w:bidi w:val="0"/>
              <w:spacing w:line="360" w:lineRule="auto"/>
              <w:ind w:firstLine="482" w:firstLineChars="200"/>
              <w:textAlignment w:val="auto"/>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3.1</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施工期</w:t>
            </w:r>
          </w:p>
          <w:p w14:paraId="5F722FE4">
            <w:pPr>
              <w:keepNext w:val="0"/>
              <w:keepLines w:val="0"/>
              <w:pageBreakBefore w:val="0"/>
              <w:kinsoku/>
              <w:wordWrap/>
              <w:overflowPunct/>
              <w:topLinePunct w:val="0"/>
              <w:bidi w:val="0"/>
              <w:spacing w:line="360" w:lineRule="auto"/>
              <w:ind w:firstLine="480" w:firstLineChars="200"/>
              <w:textAlignment w:val="auto"/>
              <w:rPr>
                <w:rFonts w:hint="default" w:ascii="Times New Roman" w:hAnsi="Times New Roman" w:eastAsia="宋体" w:cs="Times New Roman"/>
                <w:color w:val="000000" w:themeColor="text1"/>
                <w:spacing w:val="-1"/>
                <w:sz w:val="24"/>
                <w:szCs w:val="24"/>
                <w:lang w:eastAsia="zh-CN"/>
                <w14:textFill>
                  <w14:solidFill>
                    <w14:schemeClr w14:val="tx1"/>
                  </w14:solidFill>
                </w14:textFill>
              </w:rPr>
            </w:pPr>
            <w:r>
              <w:rPr>
                <w:color w:val="000000" w:themeColor="text1"/>
                <w:sz w:val="24"/>
                <w14:textFill>
                  <w14:solidFill>
                    <w14:schemeClr w14:val="tx1"/>
                  </w14:solidFill>
                </w14:textFill>
              </w:rPr>
              <w:t>项目施工期噪声执行《建筑施工噪声排放标准》（GB12523—</w:t>
            </w:r>
            <w:r>
              <w:rPr>
                <w:rFonts w:hint="eastAsia"/>
                <w:color w:val="000000" w:themeColor="text1"/>
                <w:sz w:val="24"/>
                <w:lang w:val="en-US" w:eastAsia="zh-CN"/>
                <w14:textFill>
                  <w14:solidFill>
                    <w14:schemeClr w14:val="tx1"/>
                  </w14:solidFill>
                </w14:textFill>
              </w:rPr>
              <w:t>2025</w:t>
            </w:r>
            <w:r>
              <w:rPr>
                <w:color w:val="000000" w:themeColor="text1"/>
                <w:sz w:val="24"/>
                <w14:textFill>
                  <w14:solidFill>
                    <w14:schemeClr w14:val="tx1"/>
                  </w14:solidFill>
                </w14:textFill>
              </w:rPr>
              <w:t>）</w:t>
            </w:r>
            <w:r>
              <w:rPr>
                <w:rFonts w:hint="default" w:ascii="Times New Roman" w:hAnsi="Times New Roman" w:eastAsia="宋体" w:cs="Times New Roman"/>
                <w:color w:val="000000" w:themeColor="text1"/>
                <w:sz w:val="24"/>
                <w:szCs w:val="24"/>
                <w:lang w:eastAsia="zh-CN"/>
                <w14:textFill>
                  <w14:solidFill>
                    <w14:schemeClr w14:val="tx1"/>
                  </w14:solidFill>
                </w14:textFill>
              </w:rPr>
              <w:t>，具体标准值见表</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8</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14:paraId="648675FC">
            <w:pPr>
              <w:keepNext w:val="0"/>
              <w:keepLines w:val="0"/>
              <w:pageBreakBefore w:val="0"/>
              <w:kinsoku/>
              <w:wordWrap/>
              <w:overflowPunct/>
              <w:topLinePunct w:val="0"/>
              <w:bidi w:val="0"/>
              <w:spacing w:line="276" w:lineRule="auto"/>
              <w:jc w:val="center"/>
              <w:textAlignment w:val="auto"/>
              <w:rPr>
                <w:rFonts w:hint="default" w:eastAsia="宋体"/>
                <w:b/>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表</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3-</w:t>
            </w:r>
            <w:r>
              <w:rPr>
                <w:rFonts w:hint="eastAsia" w:cs="Times New Roman"/>
                <w:b/>
                <w:bCs/>
                <w:color w:val="000000" w:themeColor="text1"/>
                <w:sz w:val="24"/>
                <w:szCs w:val="24"/>
                <w:lang w:val="en-US" w:eastAsia="zh-CN"/>
                <w14:textFill>
                  <w14:solidFill>
                    <w14:schemeClr w14:val="tx1"/>
                  </w14:solidFill>
                </w14:textFill>
              </w:rPr>
              <w:t>8</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 xml:space="preserve">  </w:t>
            </w:r>
            <w:r>
              <w:rPr>
                <w:b/>
                <w:color w:val="000000" w:themeColor="text1"/>
                <w:sz w:val="24"/>
                <w14:textFill>
                  <w14:solidFill>
                    <w14:schemeClr w14:val="tx1"/>
                  </w14:solidFill>
                </w14:textFill>
              </w:rPr>
              <w:t>建筑施工场界</w:t>
            </w:r>
            <w:r>
              <w:rPr>
                <w:rFonts w:hint="eastAsia"/>
                <w:b/>
                <w:color w:val="000000" w:themeColor="text1"/>
                <w:sz w:val="24"/>
                <w:lang w:val="en-US" w:eastAsia="zh-CN"/>
                <w14:textFill>
                  <w14:solidFill>
                    <w14:schemeClr w14:val="tx1"/>
                  </w14:solidFill>
                </w14:textFill>
              </w:rPr>
              <w:t>噪声</w:t>
            </w:r>
            <w:r>
              <w:rPr>
                <w:b/>
                <w:color w:val="000000" w:themeColor="text1"/>
                <w:sz w:val="24"/>
                <w14:textFill>
                  <w14:solidFill>
                    <w14:schemeClr w14:val="tx1"/>
                  </w14:solidFill>
                </w14:textFill>
              </w:rPr>
              <w:t>排放</w:t>
            </w:r>
            <w:r>
              <w:rPr>
                <w:rFonts w:hint="eastAsia"/>
                <w:b/>
                <w:color w:val="000000" w:themeColor="text1"/>
                <w:sz w:val="24"/>
                <w:lang w:val="en-US" w:eastAsia="zh-CN"/>
                <w14:textFill>
                  <w14:solidFill>
                    <w14:schemeClr w14:val="tx1"/>
                  </w14:solidFill>
                </w14:textFill>
              </w:rPr>
              <w:t>限值    单位：dB（A）</w:t>
            </w:r>
          </w:p>
          <w:tbl>
            <w:tblPr>
              <w:tblStyle w:val="28"/>
              <w:tblW w:w="867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4347"/>
              <w:gridCol w:w="4327"/>
            </w:tblGrid>
            <w:tr w14:paraId="679FDC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4262" w:type="dxa"/>
                  <w:noWrap w:val="0"/>
                  <w:vAlign w:val="center"/>
                </w:tcPr>
                <w:p w14:paraId="24DF0C22">
                  <w:pPr>
                    <w:keepNext w:val="0"/>
                    <w:keepLines w:val="0"/>
                    <w:pageBreakBefore w:val="0"/>
                    <w:kinsoku/>
                    <w:wordWrap/>
                    <w:overflowPunct/>
                    <w:topLinePunct w:val="0"/>
                    <w:bidi w:val="0"/>
                    <w:jc w:val="center"/>
                    <w:textAlignment w:val="auto"/>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昼间</w:t>
                  </w:r>
                </w:p>
              </w:tc>
              <w:tc>
                <w:tcPr>
                  <w:tcW w:w="4242" w:type="dxa"/>
                  <w:noWrap w:val="0"/>
                  <w:vAlign w:val="center"/>
                </w:tcPr>
                <w:p w14:paraId="0B99E9C0">
                  <w:pPr>
                    <w:keepNext w:val="0"/>
                    <w:keepLines w:val="0"/>
                    <w:pageBreakBefore w:val="0"/>
                    <w:kinsoku/>
                    <w:wordWrap/>
                    <w:overflowPunct/>
                    <w:topLinePunct w:val="0"/>
                    <w:bidi w:val="0"/>
                    <w:jc w:val="center"/>
                    <w:textAlignment w:val="auto"/>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夜间</w:t>
                  </w:r>
                </w:p>
              </w:tc>
            </w:tr>
            <w:tr w14:paraId="2DE600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4262" w:type="dxa"/>
                  <w:noWrap w:val="0"/>
                  <w:vAlign w:val="center"/>
                </w:tcPr>
                <w:p w14:paraId="72A5C246">
                  <w:pPr>
                    <w:keepNext w:val="0"/>
                    <w:keepLines w:val="0"/>
                    <w:pageBreakBefore w:val="0"/>
                    <w:kinsoku/>
                    <w:wordWrap/>
                    <w:overflowPunct/>
                    <w:topLinePunct w:val="0"/>
                    <w:bidi w:val="0"/>
                    <w:jc w:val="center"/>
                    <w:textAlignment w:val="auto"/>
                    <w:rPr>
                      <w:color w:val="000000" w:themeColor="text1"/>
                      <w:szCs w:val="21"/>
                      <w14:textFill>
                        <w14:solidFill>
                          <w14:schemeClr w14:val="tx1"/>
                        </w14:solidFill>
                      </w14:textFill>
                    </w:rPr>
                  </w:pPr>
                  <w:r>
                    <w:rPr>
                      <w:color w:val="000000" w:themeColor="text1"/>
                      <w:szCs w:val="21"/>
                      <w14:textFill>
                        <w14:solidFill>
                          <w14:schemeClr w14:val="tx1"/>
                        </w14:solidFill>
                      </w14:textFill>
                    </w:rPr>
                    <w:t>70</w:t>
                  </w:r>
                </w:p>
              </w:tc>
              <w:tc>
                <w:tcPr>
                  <w:tcW w:w="4242" w:type="dxa"/>
                  <w:noWrap w:val="0"/>
                  <w:vAlign w:val="center"/>
                </w:tcPr>
                <w:p w14:paraId="64EB263D">
                  <w:pPr>
                    <w:keepNext w:val="0"/>
                    <w:keepLines w:val="0"/>
                    <w:pageBreakBefore w:val="0"/>
                    <w:kinsoku/>
                    <w:wordWrap/>
                    <w:overflowPunct/>
                    <w:topLinePunct w:val="0"/>
                    <w:bidi w:val="0"/>
                    <w:jc w:val="center"/>
                    <w:textAlignment w:val="auto"/>
                    <w:rPr>
                      <w:color w:val="000000" w:themeColor="text1"/>
                      <w:szCs w:val="21"/>
                      <w14:textFill>
                        <w14:solidFill>
                          <w14:schemeClr w14:val="tx1"/>
                        </w14:solidFill>
                      </w14:textFill>
                    </w:rPr>
                  </w:pPr>
                  <w:r>
                    <w:rPr>
                      <w:color w:val="000000" w:themeColor="text1"/>
                      <w:szCs w:val="21"/>
                      <w14:textFill>
                        <w14:solidFill>
                          <w14:schemeClr w14:val="tx1"/>
                        </w14:solidFill>
                      </w14:textFill>
                    </w:rPr>
                    <w:t>55</w:t>
                  </w:r>
                </w:p>
              </w:tc>
            </w:tr>
          </w:tbl>
          <w:p w14:paraId="1692A22F">
            <w:pPr>
              <w:keepNext w:val="0"/>
              <w:keepLines w:val="0"/>
              <w:pageBreakBefore w:val="0"/>
              <w:kinsoku/>
              <w:wordWrap/>
              <w:overflowPunct/>
              <w:topLinePunct w:val="0"/>
              <w:autoSpaceDE w:val="0"/>
              <w:autoSpaceDN w:val="0"/>
              <w:bidi w:val="0"/>
              <w:spacing w:line="360" w:lineRule="auto"/>
              <w:ind w:firstLine="482" w:firstLineChars="200"/>
              <w:textAlignment w:val="auto"/>
              <w:rPr>
                <w:rFonts w:hint="default" w:ascii="Times New Roman" w:hAnsi="Times New Roman" w:eastAsia="宋体" w:cs="Times New Roman"/>
                <w:b/>
                <w:bCs/>
                <w:color w:val="000000" w:themeColor="text1"/>
                <w:sz w:val="24"/>
                <w:lang w:eastAsia="zh-CN"/>
                <w14:textFill>
                  <w14:solidFill>
                    <w14:schemeClr w14:val="tx1"/>
                  </w14:solidFill>
                </w14:textFill>
              </w:rPr>
            </w:pPr>
            <w:r>
              <w:rPr>
                <w:rFonts w:hint="eastAsia" w:ascii="Times New Roman" w:hAnsi="Times New Roman" w:eastAsia="宋体" w:cs="Times New Roman"/>
                <w:b/>
                <w:bCs/>
                <w:color w:val="000000" w:themeColor="text1"/>
                <w:sz w:val="24"/>
                <w:lang w:val="en-US" w:eastAsia="zh-CN"/>
                <w14:textFill>
                  <w14:solidFill>
                    <w14:schemeClr w14:val="tx1"/>
                  </w14:solidFill>
                </w14:textFill>
              </w:rPr>
              <w:t>3.2</w:t>
            </w:r>
            <w:r>
              <w:rPr>
                <w:rFonts w:hint="default" w:ascii="Times New Roman" w:hAnsi="Times New Roman" w:eastAsia="宋体" w:cs="Times New Roman"/>
                <w:b/>
                <w:bCs/>
                <w:color w:val="000000" w:themeColor="text1"/>
                <w:sz w:val="24"/>
                <w:lang w:eastAsia="zh-CN"/>
                <w14:textFill>
                  <w14:solidFill>
                    <w14:schemeClr w14:val="tx1"/>
                  </w14:solidFill>
                </w14:textFill>
              </w:rPr>
              <w:t>运营期</w:t>
            </w:r>
          </w:p>
          <w:p w14:paraId="034F73D0">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Times New Roman" w:hAnsi="Times New Roman" w:eastAsia="宋体" w:cs="Times New Roman"/>
                <w:b/>
                <w:color w:val="000000" w:themeColor="text1"/>
                <w:kern w:val="0"/>
                <w:sz w:val="24"/>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项目位于</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2类声环境功能区</w:t>
            </w:r>
            <w:r>
              <w:rPr>
                <w:rFonts w:hint="eastAsia" w:ascii="Times New Roman" w:hAnsi="Times New Roman" w:eastAsia="宋体" w:cs="Times New Roman"/>
                <w:color w:val="000000" w:themeColor="text1"/>
                <w:sz w:val="24"/>
                <w:szCs w:val="24"/>
                <w:lang w:eastAsia="zh-CN"/>
                <w14:textFill>
                  <w14:solidFill>
                    <w14:schemeClr w14:val="tx1"/>
                  </w14:solidFill>
                </w14:textFill>
              </w:rPr>
              <w:t>，运营期</w:t>
            </w:r>
            <w:r>
              <w:rPr>
                <w:rFonts w:hint="eastAsia" w:ascii="Times New Roman" w:hAnsi="Times New Roman" w:eastAsia="宋体" w:cs="Times New Roman"/>
                <w:color w:val="000000" w:themeColor="text1"/>
                <w:sz w:val="24"/>
                <w:szCs w:val="28"/>
                <w:lang w:val="zh-CN"/>
                <w14:textFill>
                  <w14:solidFill>
                    <w14:schemeClr w14:val="tx1"/>
                  </w14:solidFill>
                </w14:textFill>
              </w:rPr>
              <w:t>项目</w:t>
            </w:r>
            <w:r>
              <w:rPr>
                <w:rFonts w:hint="eastAsia" w:ascii="Times New Roman" w:hAnsi="Times New Roman" w:eastAsia="宋体" w:cs="Times New Roman"/>
                <w:color w:val="000000" w:themeColor="text1"/>
                <w:sz w:val="24"/>
                <w:szCs w:val="28"/>
                <w:lang w:val="en-US" w:eastAsia="zh-CN"/>
                <w14:textFill>
                  <w14:solidFill>
                    <w14:schemeClr w14:val="tx1"/>
                  </w14:solidFill>
                </w14:textFill>
              </w:rPr>
              <w:t>厂界</w:t>
            </w:r>
            <w:r>
              <w:rPr>
                <w:rFonts w:hint="eastAsia" w:ascii="Times New Roman" w:hAnsi="Times New Roman" w:eastAsia="宋体" w:cs="Times New Roman"/>
                <w:color w:val="000000" w:themeColor="text1"/>
                <w:sz w:val="24"/>
                <w:szCs w:val="28"/>
                <w:lang w:val="zh-CN"/>
                <w14:textFill>
                  <w14:solidFill>
                    <w14:schemeClr w14:val="tx1"/>
                  </w14:solidFill>
                </w14:textFill>
              </w:rPr>
              <w:t>噪声</w:t>
            </w:r>
            <w:r>
              <w:rPr>
                <w:rFonts w:ascii="Times New Roman" w:hAnsi="Times New Roman" w:eastAsia="宋体" w:cs="Times New Roman"/>
                <w:color w:val="000000" w:themeColor="text1"/>
                <w:sz w:val="24"/>
                <w14:textFill>
                  <w14:solidFill>
                    <w14:schemeClr w14:val="tx1"/>
                  </w14:solidFill>
                </w14:textFill>
              </w:rPr>
              <w:t>执行《</w:t>
            </w:r>
            <w:r>
              <w:rPr>
                <w:rFonts w:hint="eastAsia" w:ascii="Times New Roman" w:hAnsi="Times New Roman" w:eastAsia="宋体" w:cs="Times New Roman"/>
                <w:color w:val="000000" w:themeColor="text1"/>
                <w:sz w:val="24"/>
                <w14:textFill>
                  <w14:solidFill>
                    <w14:schemeClr w14:val="tx1"/>
                  </w14:solidFill>
                </w14:textFill>
              </w:rPr>
              <w:t>工业企业厂界环境噪声排放标准</w:t>
            </w:r>
            <w:r>
              <w:rPr>
                <w:rFonts w:ascii="Times New Roman" w:hAnsi="Times New Roman" w:eastAsia="宋体" w:cs="Times New Roman"/>
                <w:color w:val="000000" w:themeColor="text1"/>
                <w:sz w:val="24"/>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w:t>
            </w:r>
            <w:r>
              <w:rPr>
                <w:rFonts w:ascii="Times New Roman" w:hAnsi="Times New Roman" w:eastAsia="宋体" w:cs="Times New Roman"/>
                <w:color w:val="000000" w:themeColor="text1"/>
                <w:sz w:val="24"/>
                <w14:textFill>
                  <w14:solidFill>
                    <w14:schemeClr w14:val="tx1"/>
                  </w14:solidFill>
                </w14:textFill>
              </w:rPr>
              <w:t>GB12348-2008</w:t>
            </w:r>
            <w:r>
              <w:rPr>
                <w:rFonts w:hint="eastAsia" w:ascii="Times New Roman" w:hAnsi="Times New Roman" w:eastAsia="宋体" w:cs="Times New Roman"/>
                <w:color w:val="000000" w:themeColor="text1"/>
                <w:sz w:val="24"/>
                <w14:textFill>
                  <w14:solidFill>
                    <w14:schemeClr w14:val="tx1"/>
                  </w14:solidFill>
                </w14:textFill>
              </w:rPr>
              <w:t>）</w:t>
            </w:r>
            <w:r>
              <w:rPr>
                <w:rFonts w:hint="eastAsia" w:ascii="Times New Roman" w:hAnsi="Times New Roman" w:eastAsia="宋体" w:cs="Times New Roman"/>
                <w:color w:val="000000" w:themeColor="text1"/>
                <w:sz w:val="24"/>
                <w:lang w:val="en-US" w:eastAsia="zh-CN"/>
                <w14:textFill>
                  <w14:solidFill>
                    <w14:schemeClr w14:val="tx1"/>
                  </w14:solidFill>
                </w14:textFill>
              </w:rPr>
              <w:t>2</w:t>
            </w:r>
            <w:r>
              <w:rPr>
                <w:rFonts w:hint="eastAsia" w:ascii="Times New Roman" w:hAnsi="Times New Roman" w:eastAsia="宋体" w:cs="Times New Roman"/>
                <w:color w:val="000000" w:themeColor="text1"/>
                <w:sz w:val="24"/>
                <w14:textFill>
                  <w14:solidFill>
                    <w14:schemeClr w14:val="tx1"/>
                  </w14:solidFill>
                </w14:textFill>
              </w:rPr>
              <w:t>类标准</w:t>
            </w:r>
            <w:r>
              <w:rPr>
                <w:rFonts w:ascii="Times New Roman" w:hAnsi="Times New Roman" w:eastAsia="宋体" w:cs="Times New Roman"/>
                <w:color w:val="000000" w:themeColor="text1"/>
                <w:sz w:val="24"/>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标准值</w:t>
            </w:r>
            <w:r>
              <w:rPr>
                <w:rFonts w:ascii="Times New Roman" w:hAnsi="Times New Roman" w:eastAsia="宋体" w:cs="Times New Roman"/>
                <w:color w:val="000000" w:themeColor="text1"/>
                <w:sz w:val="24"/>
                <w14:textFill>
                  <w14:solidFill>
                    <w14:schemeClr w14:val="tx1"/>
                  </w14:solidFill>
                </w14:textFill>
              </w:rPr>
              <w:t>具体见表</w:t>
            </w:r>
            <w:r>
              <w:rPr>
                <w:rFonts w:hint="eastAsia" w:ascii="Times New Roman" w:hAnsi="Times New Roman" w:eastAsia="宋体" w:cs="Times New Roman"/>
                <w:color w:val="000000" w:themeColor="text1"/>
                <w:sz w:val="24"/>
                <w:lang w:val="en-US" w:eastAsia="zh-CN"/>
                <w14:textFill>
                  <w14:solidFill>
                    <w14:schemeClr w14:val="tx1"/>
                  </w14:solidFill>
                </w14:textFill>
              </w:rPr>
              <w:t>3-</w:t>
            </w:r>
            <w:r>
              <w:rPr>
                <w:rFonts w:hint="eastAsia" w:cs="Times New Roman"/>
                <w:color w:val="000000" w:themeColor="text1"/>
                <w:sz w:val="24"/>
                <w:lang w:val="en-US" w:eastAsia="zh-CN"/>
                <w14:textFill>
                  <w14:solidFill>
                    <w14:schemeClr w14:val="tx1"/>
                  </w14:solidFill>
                </w14:textFill>
              </w:rPr>
              <w:t>9</w:t>
            </w:r>
            <w:r>
              <w:rPr>
                <w:rFonts w:ascii="Times New Roman" w:hAnsi="Times New Roman" w:eastAsia="宋体" w:cs="Times New Roman"/>
                <w:color w:val="000000" w:themeColor="text1"/>
                <w:sz w:val="24"/>
                <w14:textFill>
                  <w14:solidFill>
                    <w14:schemeClr w14:val="tx1"/>
                  </w14:solidFill>
                </w14:textFill>
              </w:rPr>
              <w:t>。</w:t>
            </w:r>
          </w:p>
          <w:p w14:paraId="6BDE48A1">
            <w:pPr>
              <w:keepNext w:val="0"/>
              <w:keepLines w:val="0"/>
              <w:pageBreakBefore w:val="0"/>
              <w:kinsoku/>
              <w:wordWrap/>
              <w:overflowPunct/>
              <w:topLinePunct w:val="0"/>
              <w:bidi w:val="0"/>
              <w:spacing w:line="276" w:lineRule="auto"/>
              <w:jc w:val="center"/>
              <w:textAlignment w:val="auto"/>
              <w:rPr>
                <w:rFonts w:ascii="Times New Roman" w:hAnsi="Times New Roman" w:eastAsia="宋体" w:cs="Times New Roman"/>
                <w:b/>
                <w:color w:val="000000" w:themeColor="text1"/>
                <w:sz w:val="24"/>
                <w14:textFill>
                  <w14:solidFill>
                    <w14:schemeClr w14:val="tx1"/>
                  </w14:solidFill>
                </w14:textFill>
              </w:rPr>
            </w:pPr>
            <w:r>
              <w:rPr>
                <w:rFonts w:ascii="Times New Roman" w:hAnsi="Times New Roman" w:eastAsia="宋体" w:cs="Times New Roman"/>
                <w:b/>
                <w:color w:val="000000" w:themeColor="text1"/>
                <w:sz w:val="24"/>
                <w14:textFill>
                  <w14:solidFill>
                    <w14:schemeClr w14:val="tx1"/>
                  </w14:solidFill>
                </w14:textFill>
              </w:rPr>
              <w:t>表</w:t>
            </w:r>
            <w:r>
              <w:rPr>
                <w:rFonts w:hint="eastAsia" w:ascii="Times New Roman" w:hAnsi="Times New Roman" w:eastAsia="宋体" w:cs="Times New Roman"/>
                <w:b/>
                <w:color w:val="000000" w:themeColor="text1"/>
                <w:sz w:val="24"/>
                <w:lang w:val="en-US" w:eastAsia="zh-CN"/>
                <w14:textFill>
                  <w14:solidFill>
                    <w14:schemeClr w14:val="tx1"/>
                  </w14:solidFill>
                </w14:textFill>
              </w:rPr>
              <w:t>3-</w:t>
            </w:r>
            <w:r>
              <w:rPr>
                <w:rFonts w:hint="eastAsia" w:cs="Times New Roman"/>
                <w:b/>
                <w:color w:val="000000" w:themeColor="text1"/>
                <w:sz w:val="24"/>
                <w:lang w:val="en-US" w:eastAsia="zh-CN"/>
                <w14:textFill>
                  <w14:solidFill>
                    <w14:schemeClr w14:val="tx1"/>
                  </w14:solidFill>
                </w14:textFill>
              </w:rPr>
              <w:t>9</w:t>
            </w:r>
            <w:r>
              <w:rPr>
                <w:rFonts w:hint="eastAsia" w:ascii="Times New Roman" w:hAnsi="Times New Roman" w:eastAsia="宋体" w:cs="Times New Roman"/>
                <w:b/>
                <w:color w:val="000000" w:themeColor="text1"/>
                <w:sz w:val="24"/>
                <w:lang w:val="en-US" w:eastAsia="zh-CN"/>
                <w14:textFill>
                  <w14:solidFill>
                    <w14:schemeClr w14:val="tx1"/>
                  </w14:solidFill>
                </w14:textFill>
              </w:rPr>
              <w:t xml:space="preserve">  </w:t>
            </w:r>
            <w:r>
              <w:rPr>
                <w:rFonts w:hint="eastAsia" w:ascii="Times New Roman" w:hAnsi="Times New Roman" w:eastAsia="宋体" w:cs="Times New Roman"/>
                <w:b/>
                <w:color w:val="000000" w:themeColor="text1"/>
                <w:sz w:val="24"/>
                <w14:textFill>
                  <w14:solidFill>
                    <w14:schemeClr w14:val="tx1"/>
                  </w14:solidFill>
                </w14:textFill>
              </w:rPr>
              <w:t>工业企业厂界环境噪声排放标准</w:t>
            </w:r>
          </w:p>
          <w:tbl>
            <w:tblPr>
              <w:tblStyle w:val="28"/>
              <w:tblW w:w="867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774"/>
              <w:gridCol w:w="3450"/>
              <w:gridCol w:w="3450"/>
            </w:tblGrid>
            <w:tr w14:paraId="0B520E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22" w:type="pct"/>
                  <w:noWrap w:val="0"/>
                  <w:vAlign w:val="center"/>
                </w:tcPr>
                <w:p w14:paraId="6019C25C">
                  <w:pPr>
                    <w:keepNext w:val="0"/>
                    <w:keepLines w:val="0"/>
                    <w:pageBreakBefore w:val="0"/>
                    <w:kinsoku/>
                    <w:wordWrap/>
                    <w:overflowPunct/>
                    <w:topLinePunct w:val="0"/>
                    <w:bidi w:val="0"/>
                    <w:adjustRightInd w:val="0"/>
                    <w:snapToGrid w:val="0"/>
                    <w:spacing w:line="240" w:lineRule="auto"/>
                    <w:jc w:val="center"/>
                    <w:textAlignment w:val="auto"/>
                    <w:rPr>
                      <w:rFonts w:ascii="Times New Roman" w:hAnsi="宋体" w:eastAsia="宋体" w:cs="Times New Roman"/>
                      <w:b/>
                      <w:bCs w:val="0"/>
                      <w:color w:val="000000" w:themeColor="text1"/>
                      <w:sz w:val="21"/>
                      <w:szCs w:val="21"/>
                      <w14:textFill>
                        <w14:solidFill>
                          <w14:schemeClr w14:val="tx1"/>
                        </w14:solidFill>
                      </w14:textFill>
                    </w:rPr>
                  </w:pPr>
                  <w:r>
                    <w:rPr>
                      <w:rFonts w:ascii="Times New Roman" w:hAnsi="宋体" w:eastAsia="宋体" w:cs="Times New Roman"/>
                      <w:b/>
                      <w:bCs w:val="0"/>
                      <w:color w:val="000000" w:themeColor="text1"/>
                      <w:sz w:val="21"/>
                      <w:szCs w:val="21"/>
                      <w14:textFill>
                        <w14:solidFill>
                          <w14:schemeClr w14:val="tx1"/>
                        </w14:solidFill>
                      </w14:textFill>
                    </w:rPr>
                    <w:t>类别</w:t>
                  </w:r>
                </w:p>
              </w:tc>
              <w:tc>
                <w:tcPr>
                  <w:tcW w:w="1988" w:type="pct"/>
                  <w:noWrap w:val="0"/>
                  <w:vAlign w:val="center"/>
                </w:tcPr>
                <w:p w14:paraId="599B9E55">
                  <w:pPr>
                    <w:keepNext w:val="0"/>
                    <w:keepLines w:val="0"/>
                    <w:pageBreakBefore w:val="0"/>
                    <w:kinsoku/>
                    <w:wordWrap/>
                    <w:overflowPunct/>
                    <w:topLinePunct w:val="0"/>
                    <w:bidi w:val="0"/>
                    <w:adjustRightInd w:val="0"/>
                    <w:snapToGrid w:val="0"/>
                    <w:spacing w:line="240" w:lineRule="auto"/>
                    <w:jc w:val="center"/>
                    <w:textAlignment w:val="auto"/>
                    <w:rPr>
                      <w:rFonts w:ascii="Times New Roman" w:hAnsi="宋体" w:eastAsia="宋体" w:cs="Times New Roman"/>
                      <w:b/>
                      <w:bCs w:val="0"/>
                      <w:color w:val="000000" w:themeColor="text1"/>
                      <w:sz w:val="21"/>
                      <w:szCs w:val="21"/>
                      <w14:textFill>
                        <w14:solidFill>
                          <w14:schemeClr w14:val="tx1"/>
                        </w14:solidFill>
                      </w14:textFill>
                    </w:rPr>
                  </w:pPr>
                  <w:r>
                    <w:rPr>
                      <w:rFonts w:ascii="Times New Roman" w:hAnsi="宋体" w:eastAsia="宋体" w:cs="Times New Roman"/>
                      <w:b/>
                      <w:bCs w:val="0"/>
                      <w:color w:val="000000" w:themeColor="text1"/>
                      <w:sz w:val="21"/>
                      <w:szCs w:val="21"/>
                      <w14:textFill>
                        <w14:solidFill>
                          <w14:schemeClr w14:val="tx1"/>
                        </w14:solidFill>
                      </w14:textFill>
                    </w:rPr>
                    <w:t>昼间</w:t>
                  </w:r>
                </w:p>
              </w:tc>
              <w:tc>
                <w:tcPr>
                  <w:tcW w:w="1988" w:type="pct"/>
                  <w:noWrap w:val="0"/>
                  <w:vAlign w:val="center"/>
                </w:tcPr>
                <w:p w14:paraId="79134345">
                  <w:pPr>
                    <w:keepNext w:val="0"/>
                    <w:keepLines w:val="0"/>
                    <w:pageBreakBefore w:val="0"/>
                    <w:kinsoku/>
                    <w:wordWrap/>
                    <w:overflowPunct/>
                    <w:topLinePunct w:val="0"/>
                    <w:bidi w:val="0"/>
                    <w:adjustRightInd w:val="0"/>
                    <w:snapToGrid w:val="0"/>
                    <w:spacing w:line="240" w:lineRule="auto"/>
                    <w:jc w:val="center"/>
                    <w:textAlignment w:val="auto"/>
                    <w:rPr>
                      <w:rFonts w:ascii="Times New Roman" w:hAnsi="宋体" w:eastAsia="宋体" w:cs="Times New Roman"/>
                      <w:b/>
                      <w:bCs w:val="0"/>
                      <w:color w:val="000000" w:themeColor="text1"/>
                      <w:sz w:val="21"/>
                      <w:szCs w:val="21"/>
                      <w14:textFill>
                        <w14:solidFill>
                          <w14:schemeClr w14:val="tx1"/>
                        </w14:solidFill>
                      </w14:textFill>
                    </w:rPr>
                  </w:pPr>
                  <w:r>
                    <w:rPr>
                      <w:rFonts w:ascii="Times New Roman" w:hAnsi="宋体" w:eastAsia="宋体" w:cs="Times New Roman"/>
                      <w:b/>
                      <w:bCs w:val="0"/>
                      <w:color w:val="000000" w:themeColor="text1"/>
                      <w:sz w:val="21"/>
                      <w:szCs w:val="21"/>
                      <w14:textFill>
                        <w14:solidFill>
                          <w14:schemeClr w14:val="tx1"/>
                        </w14:solidFill>
                      </w14:textFill>
                    </w:rPr>
                    <w:t>夜间</w:t>
                  </w:r>
                </w:p>
              </w:tc>
            </w:tr>
            <w:tr w14:paraId="3811AB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22" w:type="pct"/>
                  <w:noWrap w:val="0"/>
                  <w:vAlign w:val="center"/>
                </w:tcPr>
                <w:p w14:paraId="1E6656EB">
                  <w:pPr>
                    <w:keepNext w:val="0"/>
                    <w:keepLines w:val="0"/>
                    <w:pageBreakBefore w:val="0"/>
                    <w:kinsoku/>
                    <w:wordWrap/>
                    <w:overflowPunct/>
                    <w:topLinePunct w:val="0"/>
                    <w:bidi w:val="0"/>
                    <w:adjustRightInd w:val="0"/>
                    <w:snapToGrid w:val="0"/>
                    <w:spacing w:line="240" w:lineRule="auto"/>
                    <w:jc w:val="center"/>
                    <w:textAlignment w:val="auto"/>
                    <w:rPr>
                      <w:rFonts w:hint="default" w:ascii="Times New Roman" w:hAnsi="宋体" w:eastAsia="宋体" w:cs="Times New Roman"/>
                      <w:bCs/>
                      <w:color w:val="000000" w:themeColor="text1"/>
                      <w:sz w:val="21"/>
                      <w:szCs w:val="21"/>
                      <w:lang w:val="en-US" w:eastAsia="zh-CN"/>
                      <w14:textFill>
                        <w14:solidFill>
                          <w14:schemeClr w14:val="tx1"/>
                        </w14:solidFill>
                      </w14:textFill>
                    </w:rPr>
                  </w:pPr>
                  <w:r>
                    <w:rPr>
                      <w:rFonts w:hint="eastAsia" w:ascii="Times New Roman" w:hAnsi="宋体" w:eastAsia="宋体" w:cs="Times New Roman"/>
                      <w:bCs/>
                      <w:color w:val="000000" w:themeColor="text1"/>
                      <w:sz w:val="21"/>
                      <w:szCs w:val="21"/>
                      <w:lang w:val="en-US" w:eastAsia="zh-CN"/>
                      <w14:textFill>
                        <w14:solidFill>
                          <w14:schemeClr w14:val="tx1"/>
                        </w14:solidFill>
                      </w14:textFill>
                    </w:rPr>
                    <w:t>2类</w:t>
                  </w:r>
                </w:p>
              </w:tc>
              <w:tc>
                <w:tcPr>
                  <w:tcW w:w="1988" w:type="pct"/>
                  <w:noWrap w:val="0"/>
                  <w:vAlign w:val="center"/>
                </w:tcPr>
                <w:p w14:paraId="492F70F9">
                  <w:pPr>
                    <w:keepNext w:val="0"/>
                    <w:keepLines w:val="0"/>
                    <w:pageBreakBefore w:val="0"/>
                    <w:kinsoku/>
                    <w:wordWrap/>
                    <w:overflowPunct/>
                    <w:topLinePunct w:val="0"/>
                    <w:bidi w:val="0"/>
                    <w:adjustRightInd w:val="0"/>
                    <w:snapToGrid w:val="0"/>
                    <w:spacing w:line="240" w:lineRule="auto"/>
                    <w:jc w:val="center"/>
                    <w:textAlignment w:val="auto"/>
                    <w:rPr>
                      <w:rFonts w:hint="default" w:ascii="Times New Roman" w:hAnsi="宋体" w:eastAsia="宋体" w:cs="Times New Roman"/>
                      <w:bCs/>
                      <w:color w:val="000000" w:themeColor="text1"/>
                      <w:sz w:val="21"/>
                      <w:szCs w:val="21"/>
                      <w:lang w:val="en-US" w:eastAsia="zh-CN"/>
                      <w14:textFill>
                        <w14:solidFill>
                          <w14:schemeClr w14:val="tx1"/>
                        </w14:solidFill>
                      </w14:textFill>
                    </w:rPr>
                  </w:pPr>
                  <w:r>
                    <w:rPr>
                      <w:rFonts w:hint="eastAsia" w:ascii="Times New Roman" w:hAnsi="宋体" w:eastAsia="宋体" w:cs="Times New Roman"/>
                      <w:bCs/>
                      <w:color w:val="000000" w:themeColor="text1"/>
                      <w:sz w:val="21"/>
                      <w:szCs w:val="21"/>
                      <w:lang w:val="en-US" w:eastAsia="zh-CN"/>
                      <w14:textFill>
                        <w14:solidFill>
                          <w14:schemeClr w14:val="tx1"/>
                        </w14:solidFill>
                      </w14:textFill>
                    </w:rPr>
                    <w:t>≤</w:t>
                  </w:r>
                  <w:r>
                    <w:rPr>
                      <w:rFonts w:ascii="Times New Roman" w:hAnsi="宋体" w:eastAsia="宋体" w:cs="Times New Roman"/>
                      <w:bCs/>
                      <w:color w:val="000000" w:themeColor="text1"/>
                      <w:sz w:val="21"/>
                      <w:szCs w:val="21"/>
                      <w14:textFill>
                        <w14:solidFill>
                          <w14:schemeClr w14:val="tx1"/>
                        </w14:solidFill>
                      </w14:textFill>
                    </w:rPr>
                    <w:t>6</w:t>
                  </w:r>
                  <w:r>
                    <w:rPr>
                      <w:rFonts w:hint="eastAsia" w:ascii="Times New Roman" w:hAnsi="宋体" w:eastAsia="宋体" w:cs="Times New Roman"/>
                      <w:bCs/>
                      <w:color w:val="000000" w:themeColor="text1"/>
                      <w:sz w:val="21"/>
                      <w:szCs w:val="21"/>
                      <w14:textFill>
                        <w14:solidFill>
                          <w14:schemeClr w14:val="tx1"/>
                        </w14:solidFill>
                      </w14:textFill>
                    </w:rPr>
                    <w:t>0</w:t>
                  </w:r>
                  <w:r>
                    <w:rPr>
                      <w:rFonts w:hint="eastAsia" w:ascii="Times New Roman" w:hAnsi="宋体" w:eastAsia="宋体" w:cs="Times New Roman"/>
                      <w:bCs/>
                      <w:color w:val="000000" w:themeColor="text1"/>
                      <w:sz w:val="21"/>
                      <w:szCs w:val="21"/>
                      <w:lang w:val="en-US" w:eastAsia="zh-CN"/>
                      <w14:textFill>
                        <w14:solidFill>
                          <w14:schemeClr w14:val="tx1"/>
                        </w14:solidFill>
                      </w14:textFill>
                    </w:rPr>
                    <w:t>dB（A）</w:t>
                  </w:r>
                </w:p>
              </w:tc>
              <w:tc>
                <w:tcPr>
                  <w:tcW w:w="1988" w:type="pct"/>
                  <w:noWrap w:val="0"/>
                  <w:vAlign w:val="center"/>
                </w:tcPr>
                <w:p w14:paraId="1F81DDF0">
                  <w:pPr>
                    <w:keepNext w:val="0"/>
                    <w:keepLines w:val="0"/>
                    <w:pageBreakBefore w:val="0"/>
                    <w:kinsoku/>
                    <w:wordWrap/>
                    <w:overflowPunct/>
                    <w:topLinePunct w:val="0"/>
                    <w:bidi w:val="0"/>
                    <w:adjustRightInd w:val="0"/>
                    <w:snapToGrid w:val="0"/>
                    <w:spacing w:line="240" w:lineRule="auto"/>
                    <w:jc w:val="center"/>
                    <w:textAlignment w:val="auto"/>
                    <w:rPr>
                      <w:rFonts w:ascii="Times New Roman" w:hAnsi="宋体" w:eastAsia="宋体" w:cs="Times New Roman"/>
                      <w:bCs/>
                      <w:color w:val="000000" w:themeColor="text1"/>
                      <w:sz w:val="21"/>
                      <w:szCs w:val="21"/>
                      <w14:textFill>
                        <w14:solidFill>
                          <w14:schemeClr w14:val="tx1"/>
                        </w14:solidFill>
                      </w14:textFill>
                    </w:rPr>
                  </w:pPr>
                  <w:r>
                    <w:rPr>
                      <w:rFonts w:hint="eastAsia" w:ascii="Times New Roman" w:hAnsi="宋体" w:eastAsia="宋体" w:cs="Times New Roman"/>
                      <w:bCs/>
                      <w:color w:val="000000" w:themeColor="text1"/>
                      <w:sz w:val="21"/>
                      <w:szCs w:val="21"/>
                      <w:lang w:val="en-US" w:eastAsia="zh-CN"/>
                      <w14:textFill>
                        <w14:solidFill>
                          <w14:schemeClr w14:val="tx1"/>
                        </w14:solidFill>
                      </w14:textFill>
                    </w:rPr>
                    <w:t>≤</w:t>
                  </w:r>
                  <w:r>
                    <w:rPr>
                      <w:rFonts w:ascii="Times New Roman" w:hAnsi="宋体" w:eastAsia="宋体" w:cs="Times New Roman"/>
                      <w:bCs/>
                      <w:color w:val="000000" w:themeColor="text1"/>
                      <w:sz w:val="21"/>
                      <w:szCs w:val="21"/>
                      <w14:textFill>
                        <w14:solidFill>
                          <w14:schemeClr w14:val="tx1"/>
                        </w14:solidFill>
                      </w14:textFill>
                    </w:rPr>
                    <w:t>5</w:t>
                  </w:r>
                  <w:r>
                    <w:rPr>
                      <w:rFonts w:hint="eastAsia" w:ascii="Times New Roman" w:hAnsi="宋体" w:eastAsia="宋体" w:cs="Times New Roman"/>
                      <w:bCs/>
                      <w:color w:val="000000" w:themeColor="text1"/>
                      <w:sz w:val="21"/>
                      <w:szCs w:val="21"/>
                      <w14:textFill>
                        <w14:solidFill>
                          <w14:schemeClr w14:val="tx1"/>
                        </w14:solidFill>
                      </w14:textFill>
                    </w:rPr>
                    <w:t>0</w:t>
                  </w:r>
                  <w:r>
                    <w:rPr>
                      <w:rFonts w:hint="eastAsia" w:ascii="Times New Roman" w:hAnsi="宋体" w:eastAsia="宋体" w:cs="Times New Roman"/>
                      <w:bCs/>
                      <w:color w:val="000000" w:themeColor="text1"/>
                      <w:sz w:val="21"/>
                      <w:szCs w:val="21"/>
                      <w:lang w:val="en-US" w:eastAsia="zh-CN"/>
                      <w14:textFill>
                        <w14:solidFill>
                          <w14:schemeClr w14:val="tx1"/>
                        </w14:solidFill>
                      </w14:textFill>
                    </w:rPr>
                    <w:t>dB（A）</w:t>
                  </w:r>
                </w:p>
              </w:tc>
            </w:tr>
          </w:tbl>
          <w:p w14:paraId="4D0DEE78">
            <w:pPr>
              <w:keepNext w:val="0"/>
              <w:keepLines w:val="0"/>
              <w:pageBreakBefore w:val="0"/>
              <w:kinsoku/>
              <w:wordWrap/>
              <w:overflowPunct/>
              <w:topLinePunct w:val="0"/>
              <w:bidi w:val="0"/>
              <w:spacing w:line="360" w:lineRule="auto"/>
              <w:ind w:firstLine="482" w:firstLineChars="200"/>
              <w:textAlignment w:val="auto"/>
              <w:rPr>
                <w:rFonts w:hint="eastAsia" w:ascii="Times New Roman" w:hAnsi="Times New Roman" w:eastAsia="宋体" w:cs="Times New Roman"/>
                <w:b/>
                <w:bCs/>
                <w:color w:val="000000" w:themeColor="text1"/>
                <w:sz w:val="24"/>
                <w:lang w:eastAsia="zh-CN"/>
                <w14:textFill>
                  <w14:solidFill>
                    <w14:schemeClr w14:val="tx1"/>
                  </w14:solidFill>
                </w14:textFill>
              </w:rPr>
            </w:pPr>
            <w:r>
              <w:rPr>
                <w:rFonts w:hint="eastAsia" w:ascii="Times New Roman" w:hAnsi="Times New Roman" w:eastAsia="宋体" w:cs="Times New Roman"/>
                <w:b/>
                <w:bCs/>
                <w:color w:val="000000" w:themeColor="text1"/>
                <w:sz w:val="24"/>
                <w:lang w:val="en-US" w:eastAsia="zh-CN"/>
                <w14:textFill>
                  <w14:solidFill>
                    <w14:schemeClr w14:val="tx1"/>
                  </w14:solidFill>
                </w14:textFill>
              </w:rPr>
              <w:t>4、</w:t>
            </w:r>
            <w:r>
              <w:rPr>
                <w:rFonts w:hint="eastAsia" w:ascii="Times New Roman" w:hAnsi="Times New Roman" w:eastAsia="宋体" w:cs="Times New Roman"/>
                <w:b/>
                <w:bCs/>
                <w:color w:val="000000" w:themeColor="text1"/>
                <w:sz w:val="24"/>
                <w14:textFill>
                  <w14:solidFill>
                    <w14:schemeClr w14:val="tx1"/>
                  </w14:solidFill>
                </w14:textFill>
              </w:rPr>
              <w:t>固体</w:t>
            </w:r>
            <w:r>
              <w:rPr>
                <w:rFonts w:hint="eastAsia" w:ascii="Times New Roman" w:hAnsi="Times New Roman" w:eastAsia="宋体" w:cs="Times New Roman"/>
                <w:b/>
                <w:bCs/>
                <w:color w:val="000000" w:themeColor="text1"/>
                <w:sz w:val="24"/>
                <w:lang w:val="en-US" w:eastAsia="zh-CN"/>
                <w14:textFill>
                  <w14:solidFill>
                    <w14:schemeClr w14:val="tx1"/>
                  </w14:solidFill>
                </w14:textFill>
              </w:rPr>
              <w:t>废物</w:t>
            </w:r>
          </w:p>
          <w:p w14:paraId="3914A78A">
            <w:pPr>
              <w:pStyle w:val="24"/>
              <w:adjustRightInd w:val="0"/>
              <w:snapToGrid w:val="0"/>
              <w:spacing w:before="0" w:beforeAutospacing="0" w:after="0" w:afterAutospacing="0" w:line="360" w:lineRule="auto"/>
              <w:ind w:firstLine="480" w:firstLineChars="200"/>
              <w:jc w:val="both"/>
              <w:rPr>
                <w:rFonts w:ascii="Times New Roman" w:hAnsi="Times New Roman"/>
                <w:color w:val="000000" w:themeColor="text1"/>
                <w:szCs w:val="24"/>
                <w14:textFill>
                  <w14:solidFill>
                    <w14:schemeClr w14:val="tx1"/>
                  </w14:solidFill>
                </w14:textFill>
              </w:rPr>
            </w:pPr>
            <w:r>
              <w:rPr>
                <w:rFonts w:ascii="Times New Roman" w:hAnsi="Times New Roman"/>
                <w:color w:val="000000" w:themeColor="text1"/>
                <w:szCs w:val="24"/>
                <w14:textFill>
                  <w14:solidFill>
                    <w14:schemeClr w14:val="tx1"/>
                  </w14:solidFill>
                </w14:textFill>
              </w:rPr>
              <w:t>（1）一般固体废物：项目产生的固体废物执行《一般工业固体废物贮存和填埋污染控制标准》（GB18599-2020）。</w:t>
            </w:r>
          </w:p>
          <w:p w14:paraId="668BD6EF">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both"/>
              <w:textAlignment w:val="auto"/>
              <w:rPr>
                <w:rFonts w:ascii="宋体" w:hAnsi="宋体" w:cs="宋体"/>
                <w:color w:val="000000" w:themeColor="text1"/>
                <w:kern w:val="0"/>
                <w:szCs w:val="21"/>
                <w14:textFill>
                  <w14:solidFill>
                    <w14:schemeClr w14:val="tx1"/>
                  </w14:solidFill>
                </w14:textFill>
              </w:rPr>
            </w:pPr>
            <w:r>
              <w:rPr>
                <w:rFonts w:hint="eastAsia"/>
                <w:color w:val="000000" w:themeColor="text1"/>
                <w:kern w:val="0"/>
                <w:sz w:val="24"/>
                <w:szCs w:val="24"/>
                <w14:textFill>
                  <w14:solidFill>
                    <w14:schemeClr w14:val="tx1"/>
                  </w14:solidFill>
                </w14:textFill>
              </w:rPr>
              <w:t>（2）危险废物：危险废物贮存执行《危险废物贮存污染控制标准》（GB18597-2023）。</w:t>
            </w:r>
          </w:p>
        </w:tc>
      </w:tr>
      <w:tr w14:paraId="74D382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800" w:type="dxa"/>
            <w:noWrap w:val="0"/>
            <w:vAlign w:val="center"/>
          </w:tcPr>
          <w:p w14:paraId="23EB9D28">
            <w:pPr>
              <w:keepNext w:val="0"/>
              <w:keepLines w:val="0"/>
              <w:pageBreakBefore w:val="0"/>
              <w:kinsoku/>
              <w:wordWrap/>
              <w:overflowPunct/>
              <w:topLinePunct w:val="0"/>
              <w:bidi w:val="0"/>
              <w:adjustRightInd w:val="0"/>
              <w:snapToGrid w:val="0"/>
              <w:jc w:val="center"/>
              <w:textAlignment w:val="auto"/>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总量</w:t>
            </w:r>
          </w:p>
          <w:p w14:paraId="04B4AC1F">
            <w:pPr>
              <w:keepNext w:val="0"/>
              <w:keepLines w:val="0"/>
              <w:pageBreakBefore w:val="0"/>
              <w:kinsoku/>
              <w:wordWrap/>
              <w:overflowPunct/>
              <w:topLinePunct w:val="0"/>
              <w:bidi w:val="0"/>
              <w:adjustRightInd w:val="0"/>
              <w:snapToGrid w:val="0"/>
              <w:jc w:val="center"/>
              <w:textAlignment w:val="auto"/>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控制</w:t>
            </w:r>
          </w:p>
          <w:p w14:paraId="5CB86E4A">
            <w:pPr>
              <w:keepNext w:val="0"/>
              <w:keepLines w:val="0"/>
              <w:pageBreakBefore w:val="0"/>
              <w:kinsoku/>
              <w:wordWrap/>
              <w:overflowPunct/>
              <w:topLinePunct w:val="0"/>
              <w:bidi w:val="0"/>
              <w:adjustRightInd w:val="0"/>
              <w:snapToGrid w:val="0"/>
              <w:jc w:val="center"/>
              <w:textAlignment w:val="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指标</w:t>
            </w:r>
          </w:p>
        </w:tc>
        <w:tc>
          <w:tcPr>
            <w:tcW w:w="8190" w:type="dxa"/>
            <w:noWrap w:val="0"/>
            <w:vAlign w:val="center"/>
          </w:tcPr>
          <w:p w14:paraId="2A727F11">
            <w:pPr>
              <w:keepNext w:val="0"/>
              <w:keepLines w:val="0"/>
              <w:pageBreakBefore w:val="0"/>
              <w:kinsoku/>
              <w:wordWrap/>
              <w:overflowPunct/>
              <w:topLinePunct w:val="0"/>
              <w:bidi w:val="0"/>
              <w:spacing w:line="360" w:lineRule="auto"/>
              <w:ind w:firstLine="480" w:firstLineChars="200"/>
              <w:textAlignment w:val="auto"/>
              <w:rPr>
                <w:color w:val="000000" w:themeColor="text1"/>
                <w:sz w:val="24"/>
                <w14:textFill>
                  <w14:solidFill>
                    <w14:schemeClr w14:val="tx1"/>
                  </w14:solidFill>
                </w14:textFill>
              </w:rPr>
            </w:pPr>
            <w:r>
              <w:rPr>
                <w:rFonts w:hint="default" w:ascii="Times New Roman" w:hAnsi="Times New Roman" w:eastAsia="宋体" w:cs="Times New Roman"/>
                <w:color w:val="000000" w:themeColor="text1"/>
                <w:spacing w:val="0"/>
                <w:sz w:val="24"/>
                <w:szCs w:val="24"/>
                <w:lang w:val="en-US" w:eastAsia="zh-CN"/>
                <w14:textFill>
                  <w14:solidFill>
                    <w14:schemeClr w14:val="tx1"/>
                  </w14:solidFill>
                </w14:textFill>
              </w:rPr>
              <w:t>根据本工程的具体情况，结合国家污染物排放总量控制原则，根据曲靖市生态环境局文件《曲靖市生态环境局关于进一步加强建设项目主要污染物排放总量指标管理的通知》（曲环通〔2022〕65号），纳入新增主要污染物排放总量控制指标污染物包括SO</w:t>
            </w:r>
            <w:r>
              <w:rPr>
                <w:rFonts w:hint="default" w:ascii="Times New Roman" w:hAnsi="Times New Roman" w:eastAsia="宋体" w:cs="Times New Roman"/>
                <w:color w:val="000000" w:themeColor="text1"/>
                <w:spacing w:val="0"/>
                <w:sz w:val="24"/>
                <w:szCs w:val="24"/>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pacing w:val="0"/>
                <w:sz w:val="24"/>
                <w:szCs w:val="24"/>
                <w:lang w:val="en-US" w:eastAsia="zh-CN"/>
                <w14:textFill>
                  <w14:solidFill>
                    <w14:schemeClr w14:val="tx1"/>
                  </w14:solidFill>
                </w14:textFill>
              </w:rPr>
              <w:t>、NOx、挥发性有机物（VOCs），提出本项目建议的污染物排放总量控制指标</w:t>
            </w:r>
            <w:r>
              <w:rPr>
                <w:rFonts w:hint="eastAsia" w:ascii="Times New Roman" w:hAnsi="Times New Roman" w:eastAsia="宋体" w:cs="Times New Roman"/>
                <w:color w:val="000000" w:themeColor="text1"/>
                <w:spacing w:val="0"/>
                <w:sz w:val="24"/>
                <w:szCs w:val="24"/>
                <w:lang w:val="en-US" w:eastAsia="zh-CN"/>
                <w14:textFill>
                  <w14:solidFill>
                    <w14:schemeClr w14:val="tx1"/>
                  </w14:solidFill>
                </w14:textFill>
              </w:rPr>
              <w:t>。</w:t>
            </w:r>
          </w:p>
          <w:p w14:paraId="030C413E">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eastAsia="宋体"/>
                <w:color w:val="000000" w:themeColor="text1"/>
                <w:sz w:val="24"/>
                <w:lang w:eastAsia="zh-CN"/>
                <w14:textFill>
                  <w14:solidFill>
                    <w14:schemeClr w14:val="tx1"/>
                  </w14:solidFill>
                </w14:textFill>
              </w:rPr>
            </w:pPr>
            <w:r>
              <w:rPr>
                <w:color w:val="000000" w:themeColor="text1"/>
                <w:sz w:val="24"/>
                <w14:textFill>
                  <w14:solidFill>
                    <w14:schemeClr w14:val="tx1"/>
                  </w14:solidFill>
                </w14:textFill>
              </w:rPr>
              <w:t>1、废气</w:t>
            </w:r>
            <w:r>
              <w:rPr>
                <w:rFonts w:hint="eastAsia"/>
                <w:color w:val="000000" w:themeColor="text1"/>
                <w:sz w:val="24"/>
                <w:lang w:eastAsia="zh-CN"/>
                <w14:textFill>
                  <w14:solidFill>
                    <w14:schemeClr w14:val="tx1"/>
                  </w14:solidFill>
                </w14:textFill>
              </w:rPr>
              <w:t>：</w:t>
            </w:r>
          </w:p>
          <w:p w14:paraId="709AC056">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default"/>
                <w:b w:val="0"/>
                <w:bCs w:val="0"/>
                <w:color w:val="000000" w:themeColor="text1"/>
                <w:sz w:val="24"/>
                <w:highlight w:val="none"/>
                <w:lang w:val="en-US" w:eastAsia="zh-CN"/>
                <w14:textFill>
                  <w14:solidFill>
                    <w14:schemeClr w14:val="tx1"/>
                  </w14:solidFill>
                </w14:textFill>
              </w:rPr>
            </w:pPr>
            <w:r>
              <w:rPr>
                <w:rFonts w:hint="eastAsia"/>
                <w:b w:val="0"/>
                <w:bCs w:val="0"/>
                <w:color w:val="000000" w:themeColor="text1"/>
                <w:sz w:val="24"/>
                <w:highlight w:val="none"/>
                <w:lang w:val="en-US" w:eastAsia="zh-CN"/>
                <w14:textFill>
                  <w14:solidFill>
                    <w14:schemeClr w14:val="tx1"/>
                  </w14:solidFill>
                </w14:textFill>
              </w:rPr>
              <w:t>（1）本项目污染物排放量</w:t>
            </w:r>
          </w:p>
          <w:p w14:paraId="7779DF51">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eastAsia="宋体"/>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本次改扩建完成后，全厂废气排放量为：24694.6万Nm</w:t>
            </w:r>
            <w:r>
              <w:rPr>
                <w:rFonts w:hint="eastAsia"/>
                <w:color w:val="000000" w:themeColor="text1"/>
                <w:sz w:val="24"/>
                <w:highlight w:val="none"/>
                <w:vertAlign w:val="superscript"/>
                <w:lang w:val="en-US" w:eastAsia="zh-CN"/>
                <w14:textFill>
                  <w14:solidFill>
                    <w14:schemeClr w14:val="tx1"/>
                  </w14:solidFill>
                </w14:textFill>
              </w:rPr>
              <w:t>3</w:t>
            </w:r>
            <w:r>
              <w:rPr>
                <w:rFonts w:hint="eastAsia"/>
                <w:color w:val="000000" w:themeColor="text1"/>
                <w:sz w:val="24"/>
                <w:highlight w:val="none"/>
                <w:lang w:val="en-US" w:eastAsia="zh-CN"/>
                <w14:textFill>
                  <w14:solidFill>
                    <w14:schemeClr w14:val="tx1"/>
                  </w14:solidFill>
                </w14:textFill>
              </w:rPr>
              <w:t>/a，全厂有组织污染物排放量为：颗粒物2.96t/a、</w:t>
            </w:r>
            <w:r>
              <w:rPr>
                <w:rFonts w:hint="eastAsia"/>
                <w:color w:val="000000" w:themeColor="text1"/>
                <w:sz w:val="24"/>
                <w:highlight w:val="none"/>
                <w14:textFill>
                  <w14:solidFill>
                    <w14:schemeClr w14:val="tx1"/>
                  </w14:solidFill>
                </w14:textFill>
              </w:rPr>
              <w:t>二氧化硫</w:t>
            </w:r>
            <w:r>
              <w:rPr>
                <w:rFonts w:hint="eastAsia"/>
                <w:color w:val="000000" w:themeColor="text1"/>
                <w:sz w:val="24"/>
                <w:highlight w:val="none"/>
                <w:lang w:val="en-US" w:eastAsia="zh-CN"/>
                <w14:textFill>
                  <w14:solidFill>
                    <w14:schemeClr w14:val="tx1"/>
                  </w14:solidFill>
                </w14:textFill>
              </w:rPr>
              <w:t>14.58</w:t>
            </w:r>
            <w:r>
              <w:rPr>
                <w:rFonts w:hint="eastAsia"/>
                <w:color w:val="000000" w:themeColor="text1"/>
                <w:sz w:val="24"/>
                <w:highlight w:val="none"/>
                <w14:textFill>
                  <w14:solidFill>
                    <w14:schemeClr w14:val="tx1"/>
                  </w14:solidFill>
                </w14:textFill>
              </w:rPr>
              <w:t>t/a、氮氧化物</w:t>
            </w:r>
            <w:r>
              <w:rPr>
                <w:rFonts w:hint="eastAsia"/>
                <w:color w:val="000000" w:themeColor="text1"/>
                <w:sz w:val="24"/>
                <w:highlight w:val="none"/>
                <w:lang w:val="en-US" w:eastAsia="zh-CN"/>
                <w14:textFill>
                  <w14:solidFill>
                    <w14:schemeClr w14:val="tx1"/>
                  </w14:solidFill>
                </w14:textFill>
              </w:rPr>
              <w:t>14.14</w:t>
            </w:r>
            <w:r>
              <w:rPr>
                <w:rFonts w:hint="eastAsia"/>
                <w:color w:val="000000" w:themeColor="text1"/>
                <w:sz w:val="24"/>
                <w:highlight w:val="none"/>
                <w14:textFill>
                  <w14:solidFill>
                    <w14:schemeClr w14:val="tx1"/>
                  </w14:solidFill>
                </w14:textFill>
              </w:rPr>
              <w:t>t/a、氟化物</w:t>
            </w:r>
            <w:r>
              <w:rPr>
                <w:rFonts w:hint="eastAsia"/>
                <w:color w:val="000000" w:themeColor="text1"/>
                <w:sz w:val="24"/>
                <w:highlight w:val="none"/>
                <w:lang w:val="en-US" w:eastAsia="zh-CN"/>
                <w14:textFill>
                  <w14:solidFill>
                    <w14:schemeClr w14:val="tx1"/>
                  </w14:solidFill>
                </w14:textFill>
              </w:rPr>
              <w:t>0.248</w:t>
            </w:r>
            <w:r>
              <w:rPr>
                <w:rFonts w:hint="eastAsia"/>
                <w:color w:val="000000" w:themeColor="text1"/>
                <w:sz w:val="24"/>
                <w:highlight w:val="none"/>
                <w14:textFill>
                  <w14:solidFill>
                    <w14:schemeClr w14:val="tx1"/>
                  </w14:solidFill>
                </w14:textFill>
              </w:rPr>
              <w:t>t/a</w:t>
            </w:r>
            <w:r>
              <w:rPr>
                <w:rFonts w:hint="eastAsia"/>
                <w:color w:val="000000" w:themeColor="text1"/>
                <w:sz w:val="24"/>
                <w:highlight w:val="none"/>
                <w:lang w:eastAsia="zh-CN"/>
                <w14:textFill>
                  <w14:solidFill>
                    <w14:schemeClr w14:val="tx1"/>
                  </w14:solidFill>
                </w14:textFill>
              </w:rPr>
              <w:t>。</w:t>
            </w:r>
          </w:p>
          <w:p w14:paraId="25816743">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default"/>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（2）区域削减方案</w:t>
            </w:r>
          </w:p>
          <w:p w14:paraId="4117BB8E">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根据《罗平阿岗镇青瓦制作技艺改造项目（非物质文化遗产）排放污染物区域削减方案》，项目区域削减方案如下所示：</w:t>
            </w:r>
          </w:p>
          <w:p w14:paraId="061DE57E">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①削减措施及来源</w:t>
            </w:r>
          </w:p>
          <w:p w14:paraId="06BD7F33">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根据《关于加强重点行业建设项目区域削减措施监督管理的通知》（环办环评〔2020〕36号），本项目主要污染物SO</w:t>
            </w:r>
            <w:r>
              <w:rPr>
                <w:rFonts w:hint="eastAsia"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、NO</w:t>
            </w:r>
            <w:r>
              <w:rPr>
                <w:rFonts w:hint="eastAsia"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X</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实行区域等量削减，削减量来源于罗平县阿岗镇慧联砖厂关停年产3000万块砖生产线。区域削减措施来源详见表3-</w:t>
            </w:r>
            <w:r>
              <w:rPr>
                <w:rFonts w:hint="eastAsia" w:cs="Times New Roman"/>
                <w:color w:val="000000" w:themeColor="text1"/>
                <w:sz w:val="24"/>
                <w:highlight w:val="none"/>
                <w:lang w:val="en-US" w:eastAsia="zh-CN"/>
                <w14:textFill>
                  <w14:solidFill>
                    <w14:schemeClr w14:val="tx1"/>
                  </w14:solidFill>
                </w14:textFill>
              </w:rPr>
              <w:t>10</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，拟被替代的污染源污染物的削减量详见表3-1</w:t>
            </w:r>
            <w:r>
              <w:rPr>
                <w:rFonts w:hint="eastAsia" w:cs="Times New Roman"/>
                <w:color w:val="000000" w:themeColor="text1"/>
                <w:sz w:val="24"/>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p>
          <w:p w14:paraId="0577D3A6">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根据曲靖市生态环境局罗平分局2026年5月12日出具的《关于罗平县慧联青瓦厂年产3000万块砖生产线削减总量的承诺书》，罗平县慧联青瓦厂罗平阿岗镇青瓦制作技艺改造项目</w:t>
            </w:r>
            <w:r>
              <w:rPr>
                <w:rFonts w:hint="eastAsia" w:cs="Times New Roman"/>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非物质文化遗产</w:t>
            </w:r>
            <w:r>
              <w:rPr>
                <w:rFonts w:hint="eastAsia" w:cs="Times New Roman"/>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涉及的两项主要污染物排放总量指标分别为二氧化硫、氮氧化物。二氧化硫、氮氧化物排放量从罗平县阿岗镇慧联砖厂年产3000万块砖生产线关停削减量中调配</w:t>
            </w:r>
            <w:r>
              <w:rPr>
                <w:rFonts w:hint="eastAsia" w:cs="Times New Roman"/>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具体为二氧化硫23.</w:t>
            </w:r>
            <w:r>
              <w:rPr>
                <w:rFonts w:hint="eastAsia" w:cs="Times New Roman"/>
                <w:color w:val="000000" w:themeColor="text1"/>
                <w:sz w:val="24"/>
                <w:highlight w:val="none"/>
                <w:lang w:val="en-US" w:eastAsia="zh-CN"/>
                <w14:textFill>
                  <w14:solidFill>
                    <w14:schemeClr w14:val="tx1"/>
                  </w14:solidFill>
                </w14:textFill>
              </w:rPr>
              <w:t>71t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/a，氮氧化物20.62t/a。</w:t>
            </w:r>
          </w:p>
          <w:p w14:paraId="3F15BB7A">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企业已实施削减方案如下</w:t>
            </w:r>
            <w:r>
              <w:rPr>
                <w:rFonts w:hint="eastAsia" w:cs="Times New Roman"/>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罗平县阿岗镇慧联砖厂年产3000万块砖生产线</w:t>
            </w:r>
            <w:r>
              <w:rPr>
                <w:rFonts w:hint="eastAsia" w:cs="Times New Roman"/>
                <w:color w:val="000000" w:themeColor="text1"/>
                <w:sz w:val="24"/>
                <w:highlight w:val="none"/>
                <w:lang w:val="en-US" w:eastAsia="zh-CN"/>
                <w14:textFill>
                  <w14:solidFill>
                    <w14:schemeClr w14:val="tx1"/>
                  </w14:solidFill>
                </w14:textFill>
              </w:rPr>
              <w:t>已</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于2021年3月按照罗平县工业经贸和科技信息化局下达的关停通知关停并拆除了生产设备。曲靖市生态环境局罗平分局承诺以上企业削减方案</w:t>
            </w:r>
            <w:r>
              <w:rPr>
                <w:rFonts w:hint="eastAsia" w:cs="Times New Roman"/>
                <w:color w:val="000000" w:themeColor="text1"/>
                <w:sz w:val="24"/>
                <w:highlight w:val="none"/>
                <w:lang w:val="en-US" w:eastAsia="zh-CN"/>
                <w14:textFill>
                  <w14:solidFill>
                    <w14:schemeClr w14:val="tx1"/>
                  </w14:solidFill>
                </w14:textFill>
              </w:rPr>
              <w:t>已</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实施情况属实</w:t>
            </w:r>
            <w:r>
              <w:rPr>
                <w:rFonts w:hint="eastAsia" w:cs="Times New Roman"/>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且削减的污染物排放总量指标仅使用于罗平县慧联青瓦厂罗平阿岗镇膏瓦制作技艺造项目</w:t>
            </w:r>
            <w:r>
              <w:rPr>
                <w:rFonts w:hint="eastAsia" w:cs="Times New Roman"/>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非物质文化遗产</w:t>
            </w:r>
            <w:r>
              <w:rPr>
                <w:rFonts w:hint="eastAsia" w:cs="Times New Roman"/>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主要污染物排放指标。本项目改扩建完成后污染物排放量为</w:t>
            </w:r>
            <w:r>
              <w:rPr>
                <w:rFonts w:hint="eastAsia"/>
                <w:color w:val="000000" w:themeColor="text1"/>
                <w:sz w:val="24"/>
                <w:highlight w:val="none"/>
                <w14:textFill>
                  <w14:solidFill>
                    <w14:schemeClr w14:val="tx1"/>
                  </w14:solidFill>
                </w14:textFill>
              </w:rPr>
              <w:t>二氧化硫</w:t>
            </w:r>
            <w:r>
              <w:rPr>
                <w:rFonts w:hint="eastAsia"/>
                <w:color w:val="000000" w:themeColor="text1"/>
                <w:sz w:val="24"/>
                <w:highlight w:val="none"/>
                <w:lang w:val="en-US" w:eastAsia="zh-CN"/>
                <w14:textFill>
                  <w14:solidFill>
                    <w14:schemeClr w14:val="tx1"/>
                  </w14:solidFill>
                </w14:textFill>
              </w:rPr>
              <w:t>14.58</w:t>
            </w:r>
            <w:r>
              <w:rPr>
                <w:rFonts w:hint="eastAsia"/>
                <w:color w:val="000000" w:themeColor="text1"/>
                <w:sz w:val="24"/>
                <w:highlight w:val="none"/>
                <w14:textFill>
                  <w14:solidFill>
                    <w14:schemeClr w14:val="tx1"/>
                  </w14:solidFill>
                </w14:textFill>
              </w:rPr>
              <w:t>t/a、氮氧化物</w:t>
            </w:r>
            <w:r>
              <w:rPr>
                <w:rFonts w:hint="eastAsia"/>
                <w:color w:val="000000" w:themeColor="text1"/>
                <w:sz w:val="24"/>
                <w:highlight w:val="none"/>
                <w:lang w:val="en-US" w:eastAsia="zh-CN"/>
                <w14:textFill>
                  <w14:solidFill>
                    <w14:schemeClr w14:val="tx1"/>
                  </w14:solidFill>
                </w14:textFill>
              </w:rPr>
              <w:t>14.14</w:t>
            </w:r>
            <w:r>
              <w:rPr>
                <w:rFonts w:hint="eastAsia"/>
                <w:color w:val="000000" w:themeColor="text1"/>
                <w:sz w:val="24"/>
                <w:highlight w:val="none"/>
                <w14:textFill>
                  <w14:solidFill>
                    <w14:schemeClr w14:val="tx1"/>
                  </w14:solidFill>
                </w14:textFill>
              </w:rPr>
              <w:t>t/a</w:t>
            </w:r>
            <w:r>
              <w:rPr>
                <w:rFonts w:hint="eastAsia"/>
                <w:color w:val="000000" w:themeColor="text1"/>
                <w:sz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区域削减的主要污染物排放量大于本次改扩建完成后污染物的排放量，满足区域削减要求。</w:t>
            </w:r>
          </w:p>
          <w:p w14:paraId="465457AC">
            <w:pPr>
              <w:keepNext w:val="0"/>
              <w:keepLines w:val="0"/>
              <w:pageBreakBefore w:val="0"/>
              <w:widowControl w:val="0"/>
              <w:kinsoku/>
              <w:wordWrap/>
              <w:overflowPunct/>
              <w:topLinePunct w:val="0"/>
              <w:autoSpaceDE/>
              <w:autoSpaceDN/>
              <w:bidi w:val="0"/>
              <w:adjustRightInd w:val="0"/>
              <w:snapToGrid w:val="0"/>
              <w:spacing w:line="276" w:lineRule="auto"/>
              <w:ind w:firstLine="0" w:firstLineChars="0"/>
              <w:jc w:val="center"/>
              <w:textAlignment w:val="auto"/>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表3-</w:t>
            </w:r>
            <w:r>
              <w:rPr>
                <w:rFonts w:hint="eastAsia" w:cs="Times New Roman"/>
                <w:b/>
                <w:bCs/>
                <w:color w:val="000000" w:themeColor="text1"/>
                <w:sz w:val="24"/>
                <w:highlight w:val="none"/>
                <w:lang w:val="en-US" w:eastAsia="zh-CN"/>
                <w14:textFill>
                  <w14:solidFill>
                    <w14:schemeClr w14:val="tx1"/>
                  </w14:solidFill>
                </w14:textFill>
              </w:rPr>
              <w:t>10</w:t>
            </w: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 xml:space="preserve">  区域削减措施来源</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7"/>
              <w:gridCol w:w="3280"/>
              <w:gridCol w:w="2097"/>
            </w:tblGrid>
            <w:tr w14:paraId="44F9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82" w:type="dxa"/>
                  <w:gridSpan w:val="2"/>
                  <w:noWrap w:val="0"/>
                  <w:vAlign w:val="center"/>
                </w:tcPr>
                <w:p w14:paraId="45E3F9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区域削减源</w:t>
                  </w:r>
                </w:p>
              </w:tc>
              <w:tc>
                <w:tcPr>
                  <w:tcW w:w="2189" w:type="dxa"/>
                  <w:noWrap w:val="0"/>
                  <w:vAlign w:val="center"/>
                </w:tcPr>
                <w:p w14:paraId="501805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来源</w:t>
                  </w:r>
                </w:p>
              </w:tc>
            </w:tr>
            <w:tr w14:paraId="1969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6" w:type="dxa"/>
                  <w:noWrap w:val="0"/>
                  <w:vAlign w:val="center"/>
                </w:tcPr>
                <w:p w14:paraId="1F7370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罗平县阿岗镇慧联砖厂</w:t>
                  </w:r>
                </w:p>
              </w:tc>
              <w:tc>
                <w:tcPr>
                  <w:tcW w:w="3426" w:type="dxa"/>
                  <w:noWrap w:val="0"/>
                  <w:vAlign w:val="center"/>
                </w:tcPr>
                <w:p w14:paraId="22E183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年产3000万块砖生产线</w:t>
                  </w:r>
                </w:p>
              </w:tc>
              <w:tc>
                <w:tcPr>
                  <w:tcW w:w="2189" w:type="dxa"/>
                  <w:noWrap w:val="0"/>
                  <w:vAlign w:val="center"/>
                </w:tcPr>
                <w:p w14:paraId="6D6FA5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生产线关停</w:t>
                  </w:r>
                </w:p>
              </w:tc>
            </w:tr>
          </w:tbl>
          <w:p w14:paraId="05581585">
            <w:pPr>
              <w:keepNext w:val="0"/>
              <w:keepLines w:val="0"/>
              <w:pageBreakBefore w:val="0"/>
              <w:widowControl w:val="0"/>
              <w:kinsoku/>
              <w:wordWrap/>
              <w:overflowPunct/>
              <w:topLinePunct w:val="0"/>
              <w:autoSpaceDE/>
              <w:autoSpaceDN/>
              <w:bidi w:val="0"/>
              <w:adjustRightInd w:val="0"/>
              <w:snapToGrid w:val="0"/>
              <w:spacing w:line="276" w:lineRule="auto"/>
              <w:ind w:firstLine="0" w:firstLineChars="0"/>
              <w:jc w:val="center"/>
              <w:textAlignment w:val="auto"/>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表3-1</w:t>
            </w:r>
            <w:r>
              <w:rPr>
                <w:rFonts w:hint="eastAsia" w:cs="Times New Roman"/>
                <w:b/>
                <w:bCs/>
                <w:color w:val="000000" w:themeColor="text1"/>
                <w:sz w:val="24"/>
                <w:highlight w:val="none"/>
                <w:lang w:val="en-US" w:eastAsia="zh-CN"/>
                <w14:textFill>
                  <w14:solidFill>
                    <w14:schemeClr w14:val="tx1"/>
                  </w14:solidFill>
                </w14:textFill>
              </w:rPr>
              <w:t>1</w:t>
            </w: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 xml:space="preserve">  拟被替代的污染源污染物的削减量</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98"/>
              <w:gridCol w:w="2888"/>
              <w:gridCol w:w="2888"/>
            </w:tblGrid>
            <w:tr w14:paraId="6741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8" w:type="dxa"/>
                  <w:noWrap w:val="0"/>
                  <w:vAlign w:val="center"/>
                </w:tcPr>
                <w:p w14:paraId="542AB9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企业名称</w:t>
                  </w:r>
                </w:p>
              </w:tc>
              <w:tc>
                <w:tcPr>
                  <w:tcW w:w="5776" w:type="dxa"/>
                  <w:gridSpan w:val="2"/>
                  <w:noWrap w:val="0"/>
                  <w:vAlign w:val="center"/>
                </w:tcPr>
                <w:p w14:paraId="1BEBEE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罗平县阿岗镇慧联砖厂</w:t>
                  </w:r>
                </w:p>
              </w:tc>
            </w:tr>
            <w:tr w14:paraId="7440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8" w:type="dxa"/>
                  <w:noWrap w:val="0"/>
                  <w:vAlign w:val="center"/>
                </w:tcPr>
                <w:p w14:paraId="46FAC3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替代源</w:t>
                  </w:r>
                </w:p>
              </w:tc>
              <w:tc>
                <w:tcPr>
                  <w:tcW w:w="5776" w:type="dxa"/>
                  <w:gridSpan w:val="2"/>
                  <w:noWrap w:val="0"/>
                  <w:vAlign w:val="center"/>
                </w:tcPr>
                <w:p w14:paraId="7744D8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罗平县阿岗镇慧联砖厂关停年产3000万块砖生产线</w:t>
                  </w:r>
                </w:p>
              </w:tc>
            </w:tr>
            <w:tr w14:paraId="4B7D5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8" w:type="dxa"/>
                  <w:noWrap w:val="0"/>
                  <w:vAlign w:val="center"/>
                </w:tcPr>
                <w:p w14:paraId="51F359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污染物名称</w:t>
                  </w:r>
                </w:p>
              </w:tc>
              <w:tc>
                <w:tcPr>
                  <w:tcW w:w="2888" w:type="dxa"/>
                  <w:noWrap w:val="0"/>
                  <w:vAlign w:val="center"/>
                </w:tcPr>
                <w:p w14:paraId="18CB0C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SO</w:t>
                  </w:r>
                  <w:r>
                    <w:rPr>
                      <w:rFonts w:hint="eastAsia" w:ascii="Times New Roman" w:hAnsi="Times New Roman" w:eastAsia="宋体" w:cs="Times New Roman"/>
                      <w:color w:val="000000" w:themeColor="text1"/>
                      <w:sz w:val="21"/>
                      <w:szCs w:val="21"/>
                      <w:highlight w:val="none"/>
                      <w:vertAlign w:val="subscript"/>
                      <w:lang w:val="en-US" w:eastAsia="zh-CN"/>
                      <w14:textFill>
                        <w14:solidFill>
                          <w14:schemeClr w14:val="tx1"/>
                        </w14:solidFill>
                      </w14:textFill>
                    </w:rPr>
                    <w:t>2</w:t>
                  </w:r>
                </w:p>
              </w:tc>
              <w:tc>
                <w:tcPr>
                  <w:tcW w:w="2888" w:type="dxa"/>
                  <w:noWrap w:val="0"/>
                  <w:vAlign w:val="center"/>
                </w:tcPr>
                <w:p w14:paraId="7F5799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NO</w:t>
                  </w:r>
                  <w:r>
                    <w:rPr>
                      <w:rFonts w:hint="eastAsia" w:ascii="Times New Roman" w:hAnsi="Times New Roman" w:eastAsia="宋体" w:cs="Times New Roman"/>
                      <w:color w:val="000000" w:themeColor="text1"/>
                      <w:sz w:val="21"/>
                      <w:szCs w:val="21"/>
                      <w:highlight w:val="none"/>
                      <w:vertAlign w:val="subscript"/>
                      <w:lang w:val="en-US" w:eastAsia="zh-CN"/>
                      <w14:textFill>
                        <w14:solidFill>
                          <w14:schemeClr w14:val="tx1"/>
                        </w14:solidFill>
                      </w14:textFill>
                    </w:rPr>
                    <w:t>X</w:t>
                  </w:r>
                </w:p>
              </w:tc>
            </w:tr>
            <w:tr w14:paraId="2250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8" w:type="dxa"/>
                  <w:noWrap w:val="0"/>
                  <w:vAlign w:val="center"/>
                </w:tcPr>
                <w:p w14:paraId="5D88AC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核算总排放量（t/a）</w:t>
                  </w:r>
                </w:p>
              </w:tc>
              <w:tc>
                <w:tcPr>
                  <w:tcW w:w="2888" w:type="dxa"/>
                  <w:noWrap w:val="0"/>
                  <w:vAlign w:val="center"/>
                </w:tcPr>
                <w:p w14:paraId="20FEA1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23.71</w:t>
                  </w:r>
                </w:p>
              </w:tc>
              <w:tc>
                <w:tcPr>
                  <w:tcW w:w="2888" w:type="dxa"/>
                  <w:noWrap w:val="0"/>
                  <w:vAlign w:val="center"/>
                </w:tcPr>
                <w:p w14:paraId="0B77CC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20.62</w:t>
                  </w:r>
                </w:p>
              </w:tc>
            </w:tr>
            <w:tr w14:paraId="7391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8" w:type="dxa"/>
                  <w:noWrap w:val="0"/>
                  <w:vAlign w:val="center"/>
                </w:tcPr>
                <w:p w14:paraId="5D5440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已出让其他项目量（t/a）</w:t>
                  </w:r>
                </w:p>
              </w:tc>
              <w:tc>
                <w:tcPr>
                  <w:tcW w:w="2888" w:type="dxa"/>
                  <w:noWrap w:val="0"/>
                  <w:vAlign w:val="center"/>
                </w:tcPr>
                <w:p w14:paraId="63A51C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c>
                <w:tcPr>
                  <w:tcW w:w="2888" w:type="dxa"/>
                  <w:noWrap w:val="0"/>
                  <w:vAlign w:val="center"/>
                </w:tcPr>
                <w:p w14:paraId="46BC42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r>
            <w:tr w14:paraId="52E5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8" w:type="dxa"/>
                  <w:noWrap w:val="0"/>
                  <w:vAlign w:val="center"/>
                </w:tcPr>
                <w:p w14:paraId="657904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剩余削减量（t/a）</w:t>
                  </w:r>
                </w:p>
              </w:tc>
              <w:tc>
                <w:tcPr>
                  <w:tcW w:w="2888" w:type="dxa"/>
                  <w:noWrap w:val="0"/>
                  <w:vAlign w:val="center"/>
                </w:tcPr>
                <w:p w14:paraId="606EA7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23.71</w:t>
                  </w:r>
                </w:p>
              </w:tc>
              <w:tc>
                <w:tcPr>
                  <w:tcW w:w="2888" w:type="dxa"/>
                  <w:noWrap w:val="0"/>
                  <w:vAlign w:val="center"/>
                </w:tcPr>
                <w:p w14:paraId="0C4E85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20.62</w:t>
                  </w:r>
                </w:p>
              </w:tc>
            </w:tr>
            <w:tr w14:paraId="6BCAB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8" w:type="dxa"/>
                  <w:noWrap w:val="0"/>
                  <w:vAlign w:val="center"/>
                </w:tcPr>
                <w:p w14:paraId="1FA156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出让本项目量（t/a）</w:t>
                  </w:r>
                </w:p>
              </w:tc>
              <w:tc>
                <w:tcPr>
                  <w:tcW w:w="2888" w:type="dxa"/>
                  <w:noWrap w:val="0"/>
                  <w:vAlign w:val="center"/>
                </w:tcPr>
                <w:p w14:paraId="33A00B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23.71</w:t>
                  </w:r>
                </w:p>
              </w:tc>
              <w:tc>
                <w:tcPr>
                  <w:tcW w:w="2888" w:type="dxa"/>
                  <w:noWrap w:val="0"/>
                  <w:vAlign w:val="center"/>
                </w:tcPr>
                <w:p w14:paraId="73F872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20.62</w:t>
                  </w:r>
                </w:p>
              </w:tc>
            </w:tr>
            <w:tr w14:paraId="411B1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8" w:type="dxa"/>
                  <w:noWrap w:val="0"/>
                  <w:vAlign w:val="center"/>
                </w:tcPr>
                <w:p w14:paraId="29EE9E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本项目申请总量（t/a）</w:t>
                  </w:r>
                </w:p>
              </w:tc>
              <w:tc>
                <w:tcPr>
                  <w:tcW w:w="2888" w:type="dxa"/>
                  <w:noWrap w:val="0"/>
                  <w:vAlign w:val="center"/>
                </w:tcPr>
                <w:p w14:paraId="2F79E6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14.58</w:t>
                  </w:r>
                </w:p>
              </w:tc>
              <w:tc>
                <w:tcPr>
                  <w:tcW w:w="2888" w:type="dxa"/>
                  <w:noWrap w:val="0"/>
                  <w:vAlign w:val="center"/>
                </w:tcPr>
                <w:p w14:paraId="1F4E60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14.14</w:t>
                  </w:r>
                </w:p>
              </w:tc>
            </w:tr>
            <w:tr w14:paraId="3FA2A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8" w:type="dxa"/>
                  <w:noWrap w:val="0"/>
                  <w:vAlign w:val="center"/>
                </w:tcPr>
                <w:p w14:paraId="66E699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是否满足削减要求</w:t>
                  </w:r>
                </w:p>
              </w:tc>
              <w:tc>
                <w:tcPr>
                  <w:tcW w:w="2888" w:type="dxa"/>
                  <w:noWrap w:val="0"/>
                  <w:vAlign w:val="center"/>
                </w:tcPr>
                <w:p w14:paraId="38E023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满足</w:t>
                  </w:r>
                </w:p>
              </w:tc>
              <w:tc>
                <w:tcPr>
                  <w:tcW w:w="2888" w:type="dxa"/>
                  <w:noWrap w:val="0"/>
                  <w:vAlign w:val="center"/>
                </w:tcPr>
                <w:p w14:paraId="70880D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满足</w:t>
                  </w:r>
                </w:p>
              </w:tc>
            </w:tr>
            <w:tr w14:paraId="2689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8" w:type="dxa"/>
                  <w:noWrap w:val="0"/>
                  <w:vAlign w:val="center"/>
                </w:tcPr>
                <w:p w14:paraId="1EE2AB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拟被替代时间</w:t>
                  </w:r>
                </w:p>
              </w:tc>
              <w:tc>
                <w:tcPr>
                  <w:tcW w:w="5776" w:type="dxa"/>
                  <w:gridSpan w:val="2"/>
                  <w:noWrap w:val="0"/>
                  <w:vAlign w:val="center"/>
                </w:tcPr>
                <w:p w14:paraId="2C0B88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本项目取得环评批复前</w:t>
                  </w:r>
                </w:p>
              </w:tc>
            </w:tr>
            <w:tr w14:paraId="3AB58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8" w:type="dxa"/>
                  <w:noWrap w:val="0"/>
                  <w:vAlign w:val="center"/>
                </w:tcPr>
                <w:p w14:paraId="3F7283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完成时限</w:t>
                  </w:r>
                </w:p>
              </w:tc>
              <w:tc>
                <w:tcPr>
                  <w:tcW w:w="5776" w:type="dxa"/>
                  <w:gridSpan w:val="2"/>
                  <w:noWrap w:val="0"/>
                  <w:vAlign w:val="center"/>
                </w:tcPr>
                <w:p w14:paraId="4612C2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已完成</w:t>
                  </w:r>
                </w:p>
              </w:tc>
            </w:tr>
            <w:tr w14:paraId="7403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8" w:type="dxa"/>
                  <w:noWrap w:val="0"/>
                  <w:vAlign w:val="center"/>
                </w:tcPr>
                <w:p w14:paraId="473F64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责任主体</w:t>
                  </w:r>
                </w:p>
              </w:tc>
              <w:tc>
                <w:tcPr>
                  <w:tcW w:w="5776" w:type="dxa"/>
                  <w:gridSpan w:val="2"/>
                  <w:noWrap w:val="0"/>
                  <w:vAlign w:val="center"/>
                </w:tcPr>
                <w:p w14:paraId="1B9937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罗平县阿岗镇慧联砖厂</w:t>
                  </w:r>
                </w:p>
              </w:tc>
            </w:tr>
          </w:tbl>
          <w:p w14:paraId="1636B8DE">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②完成时限和责任主体</w:t>
            </w:r>
          </w:p>
          <w:p w14:paraId="4AB197BE">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a.罗平县阿岗镇慧联砖厂年产3000万块砖生产线已于2021年3月关停，以后</w:t>
            </w:r>
            <w:r>
              <w:rPr>
                <w:rFonts w:hint="eastAsia" w:cs="Times New Roman"/>
                <w:color w:val="000000" w:themeColor="text1"/>
                <w:sz w:val="24"/>
                <w:highlight w:val="none"/>
                <w:lang w:val="en-US" w:eastAsia="zh-CN"/>
                <w14:textFill>
                  <w14:solidFill>
                    <w14:schemeClr w14:val="tx1"/>
                  </w14:solidFill>
                </w14:textFill>
              </w:rPr>
              <w:t>不再</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生产，关停责任主体为罗平县阿岗镇慧联砖厂。</w:t>
            </w:r>
          </w:p>
          <w:p w14:paraId="701F76C9">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b.曲靖市生态环境局罗平分局、罗平县人民政府负责对罗平县阿岗镇慧联砖厂年产3000万块砖生产线关停核算出的污染物排放量进行认可。</w:t>
            </w:r>
          </w:p>
          <w:p w14:paraId="2FBB0B89">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c.罗平县慧联青瓦厂是控制污染物排放的责任主体，应积极推动落实区域削减方案，全部削减措施应在建设项目取得排污许可证前完成。建设项目申领排污许可证时，应说明区域削减措施落实情况并附具证明材料，对其完整性、真实性负责。未提交区域削减措施落实情况证明材料的，排污许可审核部门不予核发排污许可证。</w:t>
            </w:r>
          </w:p>
          <w:p w14:paraId="0609EF88">
            <w:pPr>
              <w:keepNext w:val="0"/>
              <w:keepLines w:val="0"/>
              <w:pageBreakBefore w:val="0"/>
              <w:kinsoku/>
              <w:wordWrap/>
              <w:overflowPunct/>
              <w:topLinePunct w:val="0"/>
              <w:bidi w:val="0"/>
              <w:spacing w:line="360" w:lineRule="auto"/>
              <w:ind w:firstLine="480" w:firstLineChars="200"/>
              <w:textAlignment w:val="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2、废水</w:t>
            </w:r>
            <w:r>
              <w:rPr>
                <w:rFonts w:hint="eastAsia"/>
                <w:color w:val="000000" w:themeColor="text1"/>
                <w:sz w:val="24"/>
                <w:highlight w:val="none"/>
                <w:lang w:eastAsia="zh-CN"/>
                <w14:textFill>
                  <w14:solidFill>
                    <w14:schemeClr w14:val="tx1"/>
                  </w14:solidFill>
                </w14:textFill>
              </w:rPr>
              <w:t>：</w:t>
            </w:r>
            <w:r>
              <w:rPr>
                <w:rFonts w:hint="eastAsia" w:ascii="Times New Roman" w:hAnsi="Times New Roman" w:eastAsia="宋体" w:cs="宋体"/>
                <w:color w:val="000000" w:themeColor="text1"/>
                <w:sz w:val="24"/>
                <w:lang w:val="en-US" w:eastAsia="zh-CN"/>
                <w14:textFill>
                  <w14:solidFill>
                    <w14:schemeClr w14:val="tx1"/>
                  </w14:solidFill>
                </w14:textFill>
              </w:rPr>
              <w:t>项目搅拌用水随产品带走；炉窑冷却降温水高温蒸发；</w:t>
            </w:r>
            <w:r>
              <w:rPr>
                <w:rFonts w:hint="eastAsia"/>
                <w:color w:val="000000" w:themeColor="text1"/>
                <w:sz w:val="24"/>
                <w:lang w:val="en-US" w:eastAsia="zh-CN"/>
                <w14:textFill>
                  <w14:solidFill>
                    <w14:schemeClr w14:val="tx1"/>
                  </w14:solidFill>
                </w14:textFill>
              </w:rPr>
              <w:t>脱硫废水设置</w:t>
            </w:r>
            <w:r>
              <w:rPr>
                <w:rFonts w:hint="eastAsia"/>
                <w:color w:val="000000" w:themeColor="text1"/>
                <w:sz w:val="24"/>
                <w14:textFill>
                  <w14:solidFill>
                    <w14:schemeClr w14:val="tx1"/>
                  </w14:solidFill>
                </w14:textFill>
              </w:rPr>
              <w:t>1个容积为80m</w:t>
            </w:r>
            <w:r>
              <w:rPr>
                <w:rFonts w:hint="eastAsia"/>
                <w:color w:val="000000" w:themeColor="text1"/>
                <w:sz w:val="24"/>
                <w:vertAlign w:val="superscript"/>
                <w14:textFill>
                  <w14:solidFill>
                    <w14:schemeClr w14:val="tx1"/>
                  </w14:solidFill>
                </w14:textFill>
              </w:rPr>
              <w:t>3</w:t>
            </w:r>
            <w:r>
              <w:rPr>
                <w:rFonts w:hint="eastAsia"/>
                <w:color w:val="000000" w:themeColor="text1"/>
                <w:sz w:val="24"/>
                <w:lang w:val="en-US" w:eastAsia="zh-CN"/>
                <w14:textFill>
                  <w14:solidFill>
                    <w14:schemeClr w14:val="tx1"/>
                  </w14:solidFill>
                </w14:textFill>
              </w:rPr>
              <w:t>的循环沉淀池中和絮凝</w:t>
            </w:r>
            <w:r>
              <w:rPr>
                <w:rFonts w:hint="eastAsia"/>
                <w:color w:val="000000" w:themeColor="text1"/>
                <w:sz w:val="24"/>
                <w14:textFill>
                  <w14:solidFill>
                    <w14:schemeClr w14:val="tx1"/>
                  </w14:solidFill>
                </w14:textFill>
              </w:rPr>
              <w:t>沉淀</w:t>
            </w:r>
            <w:r>
              <w:rPr>
                <w:rFonts w:hint="eastAsia"/>
                <w:color w:val="000000" w:themeColor="text1"/>
                <w:sz w:val="24"/>
                <w:lang w:val="en-US" w:eastAsia="zh-CN"/>
                <w14:textFill>
                  <w14:solidFill>
                    <w14:schemeClr w14:val="tx1"/>
                  </w14:solidFill>
                </w14:textFill>
              </w:rPr>
              <w:t>处理</w:t>
            </w:r>
            <w:r>
              <w:rPr>
                <w:rFonts w:hint="eastAsia"/>
                <w:color w:val="000000" w:themeColor="text1"/>
                <w:sz w:val="24"/>
                <w14:textFill>
                  <w14:solidFill>
                    <w14:schemeClr w14:val="tx1"/>
                  </w14:solidFill>
                </w14:textFill>
              </w:rPr>
              <w:t>后全部回用于</w:t>
            </w:r>
            <w:r>
              <w:rPr>
                <w:rFonts w:hint="eastAsia"/>
                <w:color w:val="000000" w:themeColor="text1"/>
                <w:sz w:val="24"/>
                <w:lang w:val="en-US" w:eastAsia="zh-CN"/>
                <w14:textFill>
                  <w14:solidFill>
                    <w14:schemeClr w14:val="tx1"/>
                  </w14:solidFill>
                </w14:textFill>
              </w:rPr>
              <w:t>搅拌用水</w:t>
            </w:r>
            <w:r>
              <w:rPr>
                <w:rFonts w:hint="eastAsia"/>
                <w:color w:val="000000" w:themeColor="text1"/>
                <w:sz w:val="24"/>
                <w14:textFill>
                  <w14:solidFill>
                    <w14:schemeClr w14:val="tx1"/>
                  </w14:solidFill>
                </w14:textFill>
              </w:rPr>
              <w:t>，不外排</w:t>
            </w:r>
            <w:r>
              <w:rPr>
                <w:rFonts w:hint="eastAsia" w:ascii="Times New Roman" w:hAnsi="Times New Roman" w:eastAsia="宋体" w:cs="宋体"/>
                <w:color w:val="000000" w:themeColor="text1"/>
                <w:sz w:val="24"/>
                <w:lang w:val="en-US" w:eastAsia="zh-CN"/>
                <w14:textFill>
                  <w14:solidFill>
                    <w14:schemeClr w14:val="tx1"/>
                  </w14:solidFill>
                </w14:textFill>
              </w:rPr>
              <w:t>。</w:t>
            </w:r>
            <w:r>
              <w:rPr>
                <w:rFonts w:hint="eastAsia" w:ascii="Times New Roman" w:hAnsi="Times New Roman" w:eastAsia="宋体" w:cs="宋体"/>
                <w:color w:val="000000" w:themeColor="text1"/>
                <w:sz w:val="24"/>
                <w:highlight w:val="none"/>
                <w14:textFill>
                  <w14:solidFill>
                    <w14:schemeClr w14:val="tx1"/>
                  </w14:solidFill>
                </w14:textFill>
              </w:rPr>
              <w:t>生活区生活污水设置1个容积为10m</w:t>
            </w:r>
            <w:r>
              <w:rPr>
                <w:rFonts w:hint="eastAsia" w:ascii="Times New Roman" w:hAnsi="Times New Roman" w:eastAsia="宋体" w:cs="宋体"/>
                <w:color w:val="000000" w:themeColor="text1"/>
                <w:sz w:val="24"/>
                <w:highlight w:val="none"/>
                <w:vertAlign w:val="superscript"/>
                <w14:textFill>
                  <w14:solidFill>
                    <w14:schemeClr w14:val="tx1"/>
                  </w14:solidFill>
                </w14:textFill>
              </w:rPr>
              <w:t>3</w:t>
            </w:r>
            <w:r>
              <w:rPr>
                <w:rFonts w:hint="eastAsia" w:ascii="Times New Roman" w:hAnsi="Times New Roman" w:eastAsia="宋体" w:cs="宋体"/>
                <w:color w:val="000000" w:themeColor="text1"/>
                <w:sz w:val="24"/>
                <w:highlight w:val="none"/>
                <w14:textFill>
                  <w14:solidFill>
                    <w14:schemeClr w14:val="tx1"/>
                  </w14:solidFill>
                </w14:textFill>
              </w:rPr>
              <w:t>的化粪池处理后定期清掏用作农肥。</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初</w:t>
            </w:r>
            <w:r>
              <w:rPr>
                <w:rFonts w:hint="eastAsia" w:ascii="Times New Roman" w:hAnsi="Times New Roman" w:eastAsia="宋体" w:cs="宋体"/>
                <w:color w:val="000000" w:themeColor="text1"/>
                <w:sz w:val="24"/>
                <w:highlight w:val="none"/>
                <w14:textFill>
                  <w14:solidFill>
                    <w14:schemeClr w14:val="tx1"/>
                  </w14:solidFill>
                </w14:textFill>
              </w:rPr>
              <w:t>期雨水设置有1个容积为20m</w:t>
            </w:r>
            <w:r>
              <w:rPr>
                <w:rFonts w:hint="eastAsia" w:ascii="Times New Roman" w:hAnsi="Times New Roman" w:eastAsia="宋体" w:cs="宋体"/>
                <w:color w:val="000000" w:themeColor="text1"/>
                <w:sz w:val="24"/>
                <w:highlight w:val="none"/>
                <w:vertAlign w:val="superscript"/>
                <w14:textFill>
                  <w14:solidFill>
                    <w14:schemeClr w14:val="tx1"/>
                  </w14:solidFill>
                </w14:textFill>
              </w:rPr>
              <w:t>3</w:t>
            </w:r>
            <w:r>
              <w:rPr>
                <w:rFonts w:hint="eastAsia" w:ascii="Times New Roman" w:hAnsi="Times New Roman" w:eastAsia="宋体" w:cs="宋体"/>
                <w:color w:val="000000" w:themeColor="text1"/>
                <w:sz w:val="24"/>
                <w:highlight w:val="none"/>
                <w14:textFill>
                  <w14:solidFill>
                    <w14:schemeClr w14:val="tx1"/>
                  </w14:solidFill>
                </w14:textFill>
              </w:rPr>
              <w:t>的</w:t>
            </w:r>
            <w:r>
              <w:rPr>
                <w:rFonts w:hint="eastAsia" w:ascii="Times New Roman" w:hAnsi="Times New Roman" w:eastAsia="宋体" w:cs="宋体"/>
                <w:color w:val="000000" w:themeColor="text1"/>
                <w:sz w:val="24"/>
                <w:highlight w:val="none"/>
                <w:lang w:eastAsia="zh-CN"/>
                <w14:textFill>
                  <w14:solidFill>
                    <w14:schemeClr w14:val="tx1"/>
                  </w14:solidFill>
                </w14:textFill>
              </w:rPr>
              <w:t>初期雨水收集池收集沉淀后全部回用于项目洒水降尘用水及搅拌用水，</w:t>
            </w:r>
            <w:r>
              <w:rPr>
                <w:rFonts w:hint="eastAsia" w:ascii="Times New Roman" w:hAnsi="Times New Roman" w:eastAsia="宋体" w:cs="宋体"/>
                <w:color w:val="000000" w:themeColor="text1"/>
                <w:sz w:val="24"/>
                <w:highlight w:val="none"/>
                <w:lang w:val="en-US" w:eastAsia="zh-CN"/>
                <w14:textFill>
                  <w14:solidFill>
                    <w14:schemeClr w14:val="tx1"/>
                  </w14:solidFill>
                </w14:textFill>
              </w:rPr>
              <w:t>项目无外排废水</w:t>
            </w:r>
            <w:r>
              <w:rPr>
                <w:rFonts w:hint="eastAsia"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w:t>
            </w:r>
            <w:r>
              <w:rPr>
                <w:rFonts w:hint="eastAsia"/>
                <w:color w:val="000000" w:themeColor="text1"/>
                <w:sz w:val="24"/>
                <w:highlight w:val="none"/>
                <w14:textFill>
                  <w14:solidFill>
                    <w14:schemeClr w14:val="tx1"/>
                  </w14:solidFill>
                </w14:textFill>
              </w:rPr>
              <w:t>不设总量控制指标。</w:t>
            </w:r>
          </w:p>
          <w:p w14:paraId="1AAFAC31">
            <w:pPr>
              <w:keepNext w:val="0"/>
              <w:keepLines w:val="0"/>
              <w:pageBreakBefore w:val="0"/>
              <w:kinsoku/>
              <w:wordWrap/>
              <w:overflowPunct/>
              <w:topLinePunct w:val="0"/>
              <w:bidi w:val="0"/>
              <w:adjustRightInd w:val="0"/>
              <w:snapToGrid/>
              <w:spacing w:line="360" w:lineRule="auto"/>
              <w:ind w:left="0" w:leftChars="0" w:firstLine="480" w:firstLineChars="200"/>
              <w:jc w:val="both"/>
              <w:textAlignment w:val="auto"/>
              <w:rPr>
                <w:color w:val="000000" w:themeColor="text1"/>
                <w:sz w:val="24"/>
                <w14:textFill>
                  <w14:solidFill>
                    <w14:schemeClr w14:val="tx1"/>
                  </w14:solidFill>
                </w14:textFill>
              </w:rPr>
            </w:pPr>
            <w:r>
              <w:rPr>
                <w:color w:val="000000" w:themeColor="text1"/>
                <w:sz w:val="24"/>
                <w14:textFill>
                  <w14:solidFill>
                    <w14:schemeClr w14:val="tx1"/>
                  </w14:solidFill>
                </w14:textFill>
              </w:rPr>
              <w:t>3、固体废物</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处置率100%</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不设总量控制指标</w:t>
            </w:r>
            <w:r>
              <w:rPr>
                <w:color w:val="000000" w:themeColor="text1"/>
                <w:sz w:val="24"/>
                <w14:textFill>
                  <w14:solidFill>
                    <w14:schemeClr w14:val="tx1"/>
                  </w14:solidFill>
                </w14:textFill>
              </w:rPr>
              <w:t>。</w:t>
            </w:r>
          </w:p>
          <w:p w14:paraId="3A199E58">
            <w:pPr>
              <w:keepNext w:val="0"/>
              <w:keepLines w:val="0"/>
              <w:pageBreakBefore w:val="0"/>
              <w:kinsoku/>
              <w:wordWrap/>
              <w:overflowPunct/>
              <w:topLinePunct w:val="0"/>
              <w:bidi w:val="0"/>
              <w:adjustRightInd w:val="0"/>
              <w:snapToGrid/>
              <w:spacing w:line="360" w:lineRule="auto"/>
              <w:ind w:left="0" w:leftChars="0" w:firstLine="480" w:firstLineChars="200"/>
              <w:jc w:val="both"/>
              <w:textAlignment w:val="auto"/>
              <w:rPr>
                <w:color w:val="000000" w:themeColor="text1"/>
                <w:sz w:val="24"/>
                <w14:textFill>
                  <w14:solidFill>
                    <w14:schemeClr w14:val="tx1"/>
                  </w14:solidFill>
                </w14:textFill>
              </w:rPr>
            </w:pPr>
          </w:p>
          <w:p w14:paraId="05F146AD">
            <w:pPr>
              <w:keepNext w:val="0"/>
              <w:keepLines w:val="0"/>
              <w:pageBreakBefore w:val="0"/>
              <w:kinsoku/>
              <w:wordWrap/>
              <w:overflowPunct/>
              <w:topLinePunct w:val="0"/>
              <w:bidi w:val="0"/>
              <w:adjustRightInd w:val="0"/>
              <w:snapToGrid/>
              <w:spacing w:line="360" w:lineRule="auto"/>
              <w:ind w:left="0" w:leftChars="0" w:firstLine="480" w:firstLineChars="200"/>
              <w:jc w:val="both"/>
              <w:textAlignment w:val="auto"/>
              <w:rPr>
                <w:color w:val="000000" w:themeColor="text1"/>
                <w:sz w:val="24"/>
                <w14:textFill>
                  <w14:solidFill>
                    <w14:schemeClr w14:val="tx1"/>
                  </w14:solidFill>
                </w14:textFill>
              </w:rPr>
            </w:pPr>
          </w:p>
          <w:p w14:paraId="3636AF0D">
            <w:pPr>
              <w:keepNext w:val="0"/>
              <w:keepLines w:val="0"/>
              <w:pageBreakBefore w:val="0"/>
              <w:kinsoku/>
              <w:wordWrap/>
              <w:overflowPunct/>
              <w:topLinePunct w:val="0"/>
              <w:bidi w:val="0"/>
              <w:adjustRightInd w:val="0"/>
              <w:snapToGrid/>
              <w:spacing w:line="360" w:lineRule="auto"/>
              <w:ind w:left="0" w:leftChars="0" w:firstLine="480" w:firstLineChars="200"/>
              <w:jc w:val="both"/>
              <w:textAlignment w:val="auto"/>
              <w:rPr>
                <w:color w:val="000000" w:themeColor="text1"/>
                <w:sz w:val="24"/>
                <w14:textFill>
                  <w14:solidFill>
                    <w14:schemeClr w14:val="tx1"/>
                  </w14:solidFill>
                </w14:textFill>
              </w:rPr>
            </w:pPr>
          </w:p>
          <w:p w14:paraId="4CEEC859">
            <w:pPr>
              <w:keepNext w:val="0"/>
              <w:keepLines w:val="0"/>
              <w:pageBreakBefore w:val="0"/>
              <w:kinsoku/>
              <w:wordWrap/>
              <w:overflowPunct/>
              <w:topLinePunct w:val="0"/>
              <w:bidi w:val="0"/>
              <w:adjustRightInd w:val="0"/>
              <w:snapToGrid/>
              <w:spacing w:line="360" w:lineRule="auto"/>
              <w:jc w:val="both"/>
              <w:textAlignment w:val="auto"/>
              <w:rPr>
                <w:color w:val="000000" w:themeColor="text1"/>
                <w:sz w:val="24"/>
                <w14:textFill>
                  <w14:solidFill>
                    <w14:schemeClr w14:val="tx1"/>
                  </w14:solidFill>
                </w14:textFill>
              </w:rPr>
            </w:pPr>
          </w:p>
          <w:p w14:paraId="08F9A680">
            <w:pPr>
              <w:keepNext w:val="0"/>
              <w:keepLines w:val="0"/>
              <w:pageBreakBefore w:val="0"/>
              <w:kinsoku/>
              <w:wordWrap/>
              <w:overflowPunct/>
              <w:topLinePunct w:val="0"/>
              <w:bidi w:val="0"/>
              <w:adjustRightInd w:val="0"/>
              <w:snapToGrid/>
              <w:spacing w:line="360" w:lineRule="auto"/>
              <w:jc w:val="both"/>
              <w:textAlignment w:val="auto"/>
              <w:rPr>
                <w:color w:val="000000" w:themeColor="text1"/>
                <w:sz w:val="24"/>
                <w14:textFill>
                  <w14:solidFill>
                    <w14:schemeClr w14:val="tx1"/>
                  </w14:solidFill>
                </w14:textFill>
              </w:rPr>
            </w:pPr>
          </w:p>
          <w:p w14:paraId="379568EB">
            <w:pPr>
              <w:keepNext w:val="0"/>
              <w:keepLines w:val="0"/>
              <w:pageBreakBefore w:val="0"/>
              <w:kinsoku/>
              <w:wordWrap/>
              <w:overflowPunct/>
              <w:topLinePunct w:val="0"/>
              <w:bidi w:val="0"/>
              <w:adjustRightInd w:val="0"/>
              <w:snapToGrid/>
              <w:spacing w:line="360" w:lineRule="auto"/>
              <w:jc w:val="both"/>
              <w:textAlignment w:val="auto"/>
              <w:rPr>
                <w:color w:val="000000" w:themeColor="text1"/>
                <w:sz w:val="24"/>
                <w14:textFill>
                  <w14:solidFill>
                    <w14:schemeClr w14:val="tx1"/>
                  </w14:solidFill>
                </w14:textFill>
              </w:rPr>
            </w:pPr>
          </w:p>
          <w:p w14:paraId="0E69E483">
            <w:pPr>
              <w:keepNext w:val="0"/>
              <w:keepLines w:val="0"/>
              <w:pageBreakBefore w:val="0"/>
              <w:kinsoku/>
              <w:wordWrap/>
              <w:overflowPunct/>
              <w:topLinePunct w:val="0"/>
              <w:bidi w:val="0"/>
              <w:adjustRightInd w:val="0"/>
              <w:snapToGrid/>
              <w:spacing w:line="360" w:lineRule="auto"/>
              <w:jc w:val="both"/>
              <w:textAlignment w:val="auto"/>
              <w:rPr>
                <w:color w:val="000000" w:themeColor="text1"/>
                <w:sz w:val="24"/>
                <w14:textFill>
                  <w14:solidFill>
                    <w14:schemeClr w14:val="tx1"/>
                  </w14:solidFill>
                </w14:textFill>
              </w:rPr>
            </w:pPr>
          </w:p>
          <w:p w14:paraId="0F31AE64">
            <w:pPr>
              <w:keepNext w:val="0"/>
              <w:keepLines w:val="0"/>
              <w:pageBreakBefore w:val="0"/>
              <w:kinsoku/>
              <w:wordWrap/>
              <w:overflowPunct/>
              <w:topLinePunct w:val="0"/>
              <w:bidi w:val="0"/>
              <w:adjustRightInd w:val="0"/>
              <w:snapToGrid/>
              <w:spacing w:line="360" w:lineRule="auto"/>
              <w:jc w:val="both"/>
              <w:textAlignment w:val="auto"/>
              <w:rPr>
                <w:color w:val="000000" w:themeColor="text1"/>
                <w:sz w:val="24"/>
                <w14:textFill>
                  <w14:solidFill>
                    <w14:schemeClr w14:val="tx1"/>
                  </w14:solidFill>
                </w14:textFill>
              </w:rPr>
            </w:pPr>
          </w:p>
          <w:p w14:paraId="441ADD3F">
            <w:pPr>
              <w:keepNext w:val="0"/>
              <w:keepLines w:val="0"/>
              <w:pageBreakBefore w:val="0"/>
              <w:kinsoku/>
              <w:wordWrap/>
              <w:overflowPunct/>
              <w:topLinePunct w:val="0"/>
              <w:bidi w:val="0"/>
              <w:adjustRightInd w:val="0"/>
              <w:snapToGrid/>
              <w:spacing w:line="360" w:lineRule="auto"/>
              <w:jc w:val="both"/>
              <w:textAlignment w:val="auto"/>
              <w:rPr>
                <w:color w:val="000000" w:themeColor="text1"/>
                <w:sz w:val="24"/>
                <w14:textFill>
                  <w14:solidFill>
                    <w14:schemeClr w14:val="tx1"/>
                  </w14:solidFill>
                </w14:textFill>
              </w:rPr>
            </w:pPr>
          </w:p>
          <w:p w14:paraId="08DF1627">
            <w:pPr>
              <w:keepNext w:val="0"/>
              <w:keepLines w:val="0"/>
              <w:pageBreakBefore w:val="0"/>
              <w:kinsoku/>
              <w:wordWrap/>
              <w:overflowPunct/>
              <w:topLinePunct w:val="0"/>
              <w:bidi w:val="0"/>
              <w:adjustRightInd w:val="0"/>
              <w:snapToGrid/>
              <w:spacing w:line="360" w:lineRule="auto"/>
              <w:jc w:val="both"/>
              <w:textAlignment w:val="auto"/>
              <w:rPr>
                <w:color w:val="000000" w:themeColor="text1"/>
                <w:sz w:val="24"/>
                <w14:textFill>
                  <w14:solidFill>
                    <w14:schemeClr w14:val="tx1"/>
                  </w14:solidFill>
                </w14:textFill>
              </w:rPr>
            </w:pPr>
          </w:p>
          <w:p w14:paraId="15F380F6">
            <w:pPr>
              <w:keepNext w:val="0"/>
              <w:keepLines w:val="0"/>
              <w:pageBreakBefore w:val="0"/>
              <w:kinsoku/>
              <w:wordWrap/>
              <w:overflowPunct/>
              <w:topLinePunct w:val="0"/>
              <w:bidi w:val="0"/>
              <w:adjustRightInd w:val="0"/>
              <w:snapToGrid/>
              <w:spacing w:line="360" w:lineRule="auto"/>
              <w:jc w:val="both"/>
              <w:textAlignment w:val="auto"/>
              <w:rPr>
                <w:color w:val="000000" w:themeColor="text1"/>
                <w:sz w:val="24"/>
                <w14:textFill>
                  <w14:solidFill>
                    <w14:schemeClr w14:val="tx1"/>
                  </w14:solidFill>
                </w14:textFill>
              </w:rPr>
            </w:pPr>
          </w:p>
          <w:p w14:paraId="0DF2F25F">
            <w:pPr>
              <w:keepNext w:val="0"/>
              <w:keepLines w:val="0"/>
              <w:pageBreakBefore w:val="0"/>
              <w:kinsoku/>
              <w:wordWrap/>
              <w:overflowPunct/>
              <w:topLinePunct w:val="0"/>
              <w:bidi w:val="0"/>
              <w:adjustRightInd w:val="0"/>
              <w:snapToGrid/>
              <w:spacing w:line="360" w:lineRule="auto"/>
              <w:jc w:val="both"/>
              <w:textAlignment w:val="auto"/>
              <w:rPr>
                <w:color w:val="000000" w:themeColor="text1"/>
                <w:sz w:val="24"/>
                <w14:textFill>
                  <w14:solidFill>
                    <w14:schemeClr w14:val="tx1"/>
                  </w14:solidFill>
                </w14:textFill>
              </w:rPr>
            </w:pPr>
          </w:p>
          <w:p w14:paraId="0FE5E655">
            <w:pPr>
              <w:keepNext w:val="0"/>
              <w:keepLines w:val="0"/>
              <w:pageBreakBefore w:val="0"/>
              <w:kinsoku/>
              <w:wordWrap/>
              <w:overflowPunct/>
              <w:topLinePunct w:val="0"/>
              <w:bidi w:val="0"/>
              <w:adjustRightInd w:val="0"/>
              <w:snapToGrid/>
              <w:spacing w:line="360" w:lineRule="auto"/>
              <w:jc w:val="both"/>
              <w:textAlignment w:val="auto"/>
              <w:rPr>
                <w:color w:val="000000" w:themeColor="text1"/>
                <w:sz w:val="24"/>
                <w14:textFill>
                  <w14:solidFill>
                    <w14:schemeClr w14:val="tx1"/>
                  </w14:solidFill>
                </w14:textFill>
              </w:rPr>
            </w:pPr>
          </w:p>
          <w:p w14:paraId="73EF213D">
            <w:pPr>
              <w:keepNext w:val="0"/>
              <w:keepLines w:val="0"/>
              <w:pageBreakBefore w:val="0"/>
              <w:kinsoku/>
              <w:wordWrap/>
              <w:overflowPunct/>
              <w:topLinePunct w:val="0"/>
              <w:bidi w:val="0"/>
              <w:adjustRightInd w:val="0"/>
              <w:snapToGrid/>
              <w:spacing w:line="360" w:lineRule="auto"/>
              <w:jc w:val="both"/>
              <w:textAlignment w:val="auto"/>
              <w:rPr>
                <w:color w:val="000000" w:themeColor="text1"/>
                <w:sz w:val="24"/>
                <w14:textFill>
                  <w14:solidFill>
                    <w14:schemeClr w14:val="tx1"/>
                  </w14:solidFill>
                </w14:textFill>
              </w:rPr>
            </w:pPr>
          </w:p>
          <w:p w14:paraId="77F9894A">
            <w:pPr>
              <w:keepNext w:val="0"/>
              <w:keepLines w:val="0"/>
              <w:pageBreakBefore w:val="0"/>
              <w:kinsoku/>
              <w:wordWrap/>
              <w:overflowPunct/>
              <w:topLinePunct w:val="0"/>
              <w:bidi w:val="0"/>
              <w:adjustRightInd w:val="0"/>
              <w:snapToGrid/>
              <w:spacing w:line="360" w:lineRule="auto"/>
              <w:jc w:val="both"/>
              <w:textAlignment w:val="auto"/>
              <w:rPr>
                <w:color w:val="000000" w:themeColor="text1"/>
                <w:sz w:val="24"/>
                <w14:textFill>
                  <w14:solidFill>
                    <w14:schemeClr w14:val="tx1"/>
                  </w14:solidFill>
                </w14:textFill>
              </w:rPr>
            </w:pPr>
          </w:p>
          <w:p w14:paraId="665081F0">
            <w:pPr>
              <w:keepNext w:val="0"/>
              <w:keepLines w:val="0"/>
              <w:pageBreakBefore w:val="0"/>
              <w:kinsoku/>
              <w:wordWrap/>
              <w:overflowPunct/>
              <w:topLinePunct w:val="0"/>
              <w:bidi w:val="0"/>
              <w:adjustRightInd w:val="0"/>
              <w:snapToGrid/>
              <w:spacing w:line="360" w:lineRule="auto"/>
              <w:jc w:val="both"/>
              <w:textAlignment w:val="auto"/>
              <w:rPr>
                <w:color w:val="000000" w:themeColor="text1"/>
                <w:sz w:val="24"/>
                <w14:textFill>
                  <w14:solidFill>
                    <w14:schemeClr w14:val="tx1"/>
                  </w14:solidFill>
                </w14:textFill>
              </w:rPr>
            </w:pPr>
          </w:p>
          <w:p w14:paraId="7D7AF898">
            <w:pPr>
              <w:keepNext w:val="0"/>
              <w:keepLines w:val="0"/>
              <w:pageBreakBefore w:val="0"/>
              <w:kinsoku/>
              <w:wordWrap/>
              <w:overflowPunct/>
              <w:topLinePunct w:val="0"/>
              <w:bidi w:val="0"/>
              <w:adjustRightInd w:val="0"/>
              <w:snapToGrid/>
              <w:spacing w:line="360" w:lineRule="auto"/>
              <w:jc w:val="both"/>
              <w:textAlignment w:val="auto"/>
              <w:rPr>
                <w:color w:val="000000" w:themeColor="text1"/>
                <w:sz w:val="24"/>
                <w14:textFill>
                  <w14:solidFill>
                    <w14:schemeClr w14:val="tx1"/>
                  </w14:solidFill>
                </w14:textFill>
              </w:rPr>
            </w:pPr>
          </w:p>
          <w:p w14:paraId="2511E78D">
            <w:pPr>
              <w:keepNext w:val="0"/>
              <w:keepLines w:val="0"/>
              <w:pageBreakBefore w:val="0"/>
              <w:kinsoku/>
              <w:wordWrap/>
              <w:overflowPunct/>
              <w:topLinePunct w:val="0"/>
              <w:bidi w:val="0"/>
              <w:adjustRightInd w:val="0"/>
              <w:snapToGrid/>
              <w:spacing w:line="360" w:lineRule="auto"/>
              <w:jc w:val="both"/>
              <w:textAlignment w:val="auto"/>
              <w:rPr>
                <w:color w:val="000000" w:themeColor="text1"/>
                <w:sz w:val="24"/>
                <w14:textFill>
                  <w14:solidFill>
                    <w14:schemeClr w14:val="tx1"/>
                  </w14:solidFill>
                </w14:textFill>
              </w:rPr>
            </w:pPr>
          </w:p>
        </w:tc>
      </w:tr>
    </w:tbl>
    <w:p w14:paraId="27C9F641">
      <w:pPr>
        <w:pStyle w:val="2"/>
        <w:keepNext/>
        <w:keepLines w:val="0"/>
        <w:pageBreakBefore w:val="0"/>
        <w:widowControl w:val="0"/>
        <w:kinsoku/>
        <w:wordWrap/>
        <w:overflowPunct w:val="0"/>
        <w:topLinePunct w:val="0"/>
        <w:autoSpaceDE/>
        <w:autoSpaceDN/>
        <w:bidi w:val="0"/>
        <w:adjustRightInd/>
        <w:snapToGrid w:val="0"/>
        <w:spacing w:line="260" w:lineRule="auto"/>
        <w:ind w:left="0" w:firstLine="0"/>
        <w:jc w:val="center"/>
        <w:textAlignment w:val="auto"/>
        <w:rPr>
          <w:rFonts w:ascii="黑体" w:hAnsi="黑体" w:eastAsia="黑体"/>
          <w:snapToGrid w:val="0"/>
          <w:color w:val="000000" w:themeColor="text1"/>
          <w:sz w:val="30"/>
          <w:szCs w:val="30"/>
          <w14:textFill>
            <w14:solidFill>
              <w14:schemeClr w14:val="tx1"/>
            </w14:solidFill>
          </w14:textFill>
        </w:rPr>
      </w:pPr>
      <w:r>
        <w:rPr>
          <w:rFonts w:ascii="黑体" w:hAnsi="黑体" w:eastAsia="黑体"/>
          <w:snapToGrid w:val="0"/>
          <w:color w:val="000000" w:themeColor="text1"/>
          <w:sz w:val="36"/>
          <w:szCs w:val="36"/>
          <w14:textFill>
            <w14:solidFill>
              <w14:schemeClr w14:val="tx1"/>
            </w14:solidFill>
          </w14:textFill>
        </w:rPr>
        <w:br w:type="page"/>
      </w:r>
      <w:bookmarkStart w:id="7" w:name="_Toc28669"/>
      <w:r>
        <w:rPr>
          <w:rFonts w:hint="eastAsia" w:ascii="Times New Roman" w:hAnsi="Times New Roman" w:eastAsia="宋体" w:cs="Times New Roman"/>
          <w:color w:val="000000" w:themeColor="text1"/>
          <w14:textFill>
            <w14:solidFill>
              <w14:schemeClr w14:val="tx1"/>
            </w14:solidFill>
          </w14:textFill>
        </w:rPr>
        <w:t>四、主要环境影响和保护措施</w:t>
      </w:r>
      <w:bookmarkEnd w:id="7"/>
    </w:p>
    <w:tbl>
      <w:tblPr>
        <w:tblStyle w:val="28"/>
        <w:tblW w:w="92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29"/>
        <w:gridCol w:w="8712"/>
      </w:tblGrid>
      <w:tr w14:paraId="7CEDEA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511" w:type="dxa"/>
            <w:noWrap w:val="0"/>
            <w:tcMar>
              <w:left w:w="28" w:type="dxa"/>
              <w:right w:w="28" w:type="dxa"/>
            </w:tcMar>
            <w:vAlign w:val="center"/>
          </w:tcPr>
          <w:p w14:paraId="1368CFC6">
            <w:pPr>
              <w:adjustRightInd w:val="0"/>
              <w:snapToGrid w:val="0"/>
              <w:jc w:val="center"/>
              <w:rPr>
                <w:rFonts w:ascii="Times New Roman" w:hAnsi="Times New Roman"/>
                <w:bCs/>
                <w:color w:val="000000" w:themeColor="text1"/>
                <w:kern w:val="2"/>
                <w:sz w:val="21"/>
                <w:szCs w:val="21"/>
                <w14:textFill>
                  <w14:solidFill>
                    <w14:schemeClr w14:val="tx1"/>
                  </w14:solidFill>
                </w14:textFill>
              </w:rPr>
            </w:pPr>
            <w:r>
              <w:rPr>
                <w:rFonts w:ascii="Times New Roman" w:hAnsi="Times New Roman" w:eastAsia="宋体" w:cs="Times New Roman"/>
                <w:bCs/>
                <w:color w:val="000000" w:themeColor="text1"/>
                <w:kern w:val="0"/>
                <w:sz w:val="24"/>
                <w:szCs w:val="21"/>
                <w14:textFill>
                  <w14:solidFill>
                    <w14:schemeClr w14:val="tx1"/>
                  </w14:solidFill>
                </w14:textFill>
              </w:rPr>
              <w:t>施工期环境保护措施</w:t>
            </w:r>
          </w:p>
        </w:tc>
        <w:tc>
          <w:tcPr>
            <w:tcW w:w="8414" w:type="dxa"/>
            <w:noWrap w:val="0"/>
            <w:vAlign w:val="center"/>
          </w:tcPr>
          <w:p w14:paraId="1FA6BFBF">
            <w:pPr>
              <w:adjustRightInd w:val="0"/>
              <w:snapToGrid w:val="0"/>
              <w:spacing w:line="360" w:lineRule="auto"/>
              <w:rPr>
                <w:rFonts w:hint="default" w:eastAsia="宋体"/>
                <w:b/>
                <w:bCs w:val="0"/>
                <w:color w:val="000000" w:themeColor="text1"/>
                <w:sz w:val="24"/>
                <w:lang w:val="en-US" w:eastAsia="zh-CN"/>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1、施工期环境保护措施</w:t>
            </w:r>
          </w:p>
          <w:p w14:paraId="154E80F8">
            <w:pPr>
              <w:adjustRightInd w:val="0"/>
              <w:snapToGrid w:val="0"/>
              <w:spacing w:line="360" w:lineRule="auto"/>
              <w:ind w:firstLine="480" w:firstLineChars="200"/>
              <w:rPr>
                <w:rFonts w:hint="default" w:eastAsia="宋体"/>
                <w:bCs/>
                <w:color w:val="000000" w:themeColor="text1"/>
                <w:sz w:val="24"/>
                <w:lang w:val="en-US" w:eastAsia="zh-CN"/>
                <w14:textFill>
                  <w14:solidFill>
                    <w14:schemeClr w14:val="tx1"/>
                  </w14:solidFill>
                </w14:textFill>
              </w:rPr>
            </w:pPr>
            <w:r>
              <w:rPr>
                <w:bCs/>
                <w:color w:val="000000" w:themeColor="text1"/>
                <w:sz w:val="24"/>
                <w14:textFill>
                  <w14:solidFill>
                    <w14:schemeClr w14:val="tx1"/>
                  </w14:solidFill>
                </w14:textFill>
              </w:rPr>
              <w:t>本项目在</w:t>
            </w:r>
            <w:r>
              <w:rPr>
                <w:rFonts w:hint="eastAsia"/>
                <w:color w:val="000000" w:themeColor="text1"/>
                <w:sz w:val="24"/>
                <w:lang w:val="en-US" w:eastAsia="zh-CN"/>
                <w14:textFill>
                  <w14:solidFill>
                    <w14:schemeClr w14:val="tx1"/>
                  </w14:solidFill>
                </w14:textFill>
              </w:rPr>
              <w:t>现有项目占地范围内</w:t>
            </w:r>
            <w:r>
              <w:rPr>
                <w:rFonts w:hint="eastAsia"/>
                <w:bCs/>
                <w:color w:val="000000" w:themeColor="text1"/>
                <w:sz w:val="24"/>
                <w14:textFill>
                  <w14:solidFill>
                    <w14:schemeClr w14:val="tx1"/>
                  </w14:solidFill>
                </w14:textFill>
              </w:rPr>
              <w:t>进行建设</w:t>
            </w:r>
            <w:r>
              <w:rPr>
                <w:bCs/>
                <w:color w:val="000000" w:themeColor="text1"/>
                <w:sz w:val="24"/>
                <w14:textFill>
                  <w14:solidFill>
                    <w14:schemeClr w14:val="tx1"/>
                  </w14:solidFill>
                </w14:textFill>
              </w:rPr>
              <w:t>，施工期主要为</w:t>
            </w:r>
            <w:r>
              <w:rPr>
                <w:rFonts w:hint="eastAsia"/>
                <w:bCs/>
                <w:color w:val="000000" w:themeColor="text1"/>
                <w:sz w:val="24"/>
                <w14:textFill>
                  <w14:solidFill>
                    <w14:schemeClr w14:val="tx1"/>
                  </w14:solidFill>
                </w14:textFill>
              </w:rPr>
              <w:t>场地清理、</w:t>
            </w:r>
            <w:r>
              <w:rPr>
                <w:rFonts w:hint="eastAsia"/>
                <w:bCs/>
                <w:color w:val="000000" w:themeColor="text1"/>
                <w:sz w:val="24"/>
                <w:lang w:val="en-US" w:eastAsia="zh-CN"/>
                <w14:textFill>
                  <w14:solidFill>
                    <w14:schemeClr w14:val="tx1"/>
                  </w14:solidFill>
                </w14:textFill>
              </w:rPr>
              <w:t>新建</w:t>
            </w:r>
            <w:r>
              <w:rPr>
                <w:rFonts w:hint="eastAsia"/>
                <w:color w:val="000000" w:themeColor="text1"/>
                <w:sz w:val="24"/>
                <w:szCs w:val="24"/>
                <w:lang w:val="en-US" w:eastAsia="zh-CN"/>
                <w14:textFill>
                  <w14:solidFill>
                    <w14:schemeClr w14:val="tx1"/>
                  </w14:solidFill>
                </w14:textFill>
              </w:rPr>
              <w:t>1座4门青瓦烧制窑，对原有项目5座圆窑进行修葺以及配套烟气收集处理设施的建设</w:t>
            </w:r>
            <w:r>
              <w:rPr>
                <w:rFonts w:hint="eastAsia"/>
                <w:bCs/>
                <w:color w:val="000000" w:themeColor="text1"/>
                <w:sz w:val="24"/>
                <w14:textFill>
                  <w14:solidFill>
                    <w14:schemeClr w14:val="tx1"/>
                  </w14:solidFill>
                </w14:textFill>
              </w:rPr>
              <w:t>，施工</w:t>
            </w:r>
            <w:r>
              <w:rPr>
                <w:bCs/>
                <w:color w:val="000000" w:themeColor="text1"/>
                <w:sz w:val="24"/>
                <w14:textFill>
                  <w14:solidFill>
                    <w14:schemeClr w14:val="tx1"/>
                  </w14:solidFill>
                </w14:textFill>
              </w:rPr>
              <w:t>过</w:t>
            </w:r>
            <w:r>
              <w:rPr>
                <w:rFonts w:hint="eastAsia"/>
                <w:bCs/>
                <w:color w:val="000000" w:themeColor="text1"/>
                <w:sz w:val="24"/>
                <w:lang w:eastAsia="zh-CN"/>
                <w14:textFill>
                  <w14:solidFill>
                    <w14:schemeClr w14:val="tx1"/>
                  </w14:solidFill>
                </w14:textFill>
              </w:rPr>
              <w:t>程中</w:t>
            </w:r>
            <w:r>
              <w:rPr>
                <w:bCs/>
                <w:color w:val="000000" w:themeColor="text1"/>
                <w:sz w:val="24"/>
                <w14:textFill>
                  <w14:solidFill>
                    <w14:schemeClr w14:val="tx1"/>
                  </w14:solidFill>
                </w14:textFill>
              </w:rPr>
              <w:t>产生</w:t>
            </w:r>
            <w:r>
              <w:rPr>
                <w:rFonts w:hint="eastAsia"/>
                <w:bCs/>
                <w:color w:val="000000" w:themeColor="text1"/>
                <w:sz w:val="24"/>
                <w14:textFill>
                  <w14:solidFill>
                    <w14:schemeClr w14:val="tx1"/>
                  </w14:solidFill>
                </w14:textFill>
              </w:rPr>
              <w:t>少量扬尘、</w:t>
            </w:r>
            <w:r>
              <w:rPr>
                <w:bCs/>
                <w:color w:val="000000" w:themeColor="text1"/>
                <w:sz w:val="24"/>
                <w14:textFill>
                  <w14:solidFill>
                    <w14:schemeClr w14:val="tx1"/>
                  </w14:solidFill>
                </w14:textFill>
              </w:rPr>
              <w:t>噪声</w:t>
            </w:r>
            <w:r>
              <w:rPr>
                <w:rFonts w:hint="eastAsia"/>
                <w:bCs/>
                <w:color w:val="000000" w:themeColor="text1"/>
                <w:sz w:val="24"/>
                <w14:textFill>
                  <w14:solidFill>
                    <w14:schemeClr w14:val="tx1"/>
                  </w14:solidFill>
                </w14:textFill>
              </w:rPr>
              <w:t>、废水、建筑废料和设备包装废料</w:t>
            </w:r>
            <w:r>
              <w:rPr>
                <w:bCs/>
                <w:color w:val="000000" w:themeColor="text1"/>
                <w:sz w:val="24"/>
                <w14:textFill>
                  <w14:solidFill>
                    <w14:schemeClr w14:val="tx1"/>
                  </w14:solidFill>
                </w14:textFill>
              </w:rPr>
              <w:t>等垃圾</w:t>
            </w:r>
            <w:r>
              <w:rPr>
                <w:rFonts w:hint="eastAsia"/>
                <w:bCs/>
                <w:color w:val="000000" w:themeColor="text1"/>
                <w:sz w:val="24"/>
                <w14:textFill>
                  <w14:solidFill>
                    <w14:schemeClr w14:val="tx1"/>
                  </w14:solidFill>
                </w14:textFill>
              </w:rPr>
              <w:t>，本项目施工期短，</w:t>
            </w:r>
            <w:r>
              <w:rPr>
                <w:rFonts w:hint="eastAsia"/>
                <w:bCs/>
                <w:color w:val="000000" w:themeColor="text1"/>
                <w:sz w:val="24"/>
                <w:lang w:val="en-US" w:eastAsia="zh-CN"/>
                <w14:textFill>
                  <w14:solidFill>
                    <w14:schemeClr w14:val="tx1"/>
                  </w14:solidFill>
                </w14:textFill>
              </w:rPr>
              <w:t>建设单位</w:t>
            </w:r>
            <w:r>
              <w:rPr>
                <w:rFonts w:hint="eastAsia"/>
                <w:bCs/>
                <w:color w:val="000000" w:themeColor="text1"/>
                <w:sz w:val="24"/>
                <w14:textFill>
                  <w14:solidFill>
                    <w14:schemeClr w14:val="tx1"/>
                  </w14:solidFill>
                </w14:textFill>
              </w:rPr>
              <w:t>在施工过</w:t>
            </w:r>
            <w:r>
              <w:rPr>
                <w:rFonts w:hint="eastAsia"/>
                <w:bCs/>
                <w:color w:val="000000" w:themeColor="text1"/>
                <w:sz w:val="24"/>
                <w:lang w:eastAsia="zh-CN"/>
                <w14:textFill>
                  <w14:solidFill>
                    <w14:schemeClr w14:val="tx1"/>
                  </w14:solidFill>
                </w14:textFill>
              </w:rPr>
              <w:t>程中</w:t>
            </w:r>
            <w:r>
              <w:rPr>
                <w:rFonts w:hint="eastAsia"/>
                <w:bCs/>
                <w:color w:val="000000" w:themeColor="text1"/>
                <w:sz w:val="24"/>
                <w14:textFill>
                  <w14:solidFill>
                    <w14:schemeClr w14:val="tx1"/>
                  </w14:solidFill>
                </w14:textFill>
              </w:rPr>
              <w:t>采取合理的污染防治措施，随着施工期的结束环境影响也将消除。截至本次重新报批环评介入时，</w:t>
            </w:r>
            <w:r>
              <w:rPr>
                <w:rFonts w:hint="eastAsia"/>
                <w:b w:val="0"/>
                <w:bCs w:val="0"/>
                <w:color w:val="000000" w:themeColor="text1"/>
                <w:sz w:val="24"/>
                <w:szCs w:val="24"/>
                <w:lang w:val="en-US" w:eastAsia="zh-CN"/>
                <w14:textFill>
                  <w14:solidFill>
                    <w14:schemeClr w14:val="tx1"/>
                  </w14:solidFill>
                </w14:textFill>
              </w:rPr>
              <w:t>已建成1座4门古建青瓦烧制窑（仿古窑）及配套烟气收集设施</w:t>
            </w:r>
            <w:r>
              <w:rPr>
                <w:rFonts w:hint="eastAsia"/>
                <w:color w:val="000000" w:themeColor="text1"/>
                <w:sz w:val="24"/>
                <w:szCs w:val="24"/>
                <w:lang w:val="en-US" w:eastAsia="zh-CN"/>
                <w14:textFill>
                  <w14:solidFill>
                    <w14:schemeClr w14:val="tx1"/>
                  </w14:solidFill>
                </w14:textFill>
              </w:rPr>
              <w:t>，其余内容均未建</w:t>
            </w:r>
            <w:r>
              <w:rPr>
                <w:rFonts w:hint="eastAsia"/>
                <w:bCs/>
                <w:color w:val="000000" w:themeColor="text1"/>
                <w:sz w:val="24"/>
                <w:lang w:eastAsia="zh-CN"/>
                <w14:textFill>
                  <w14:solidFill>
                    <w14:schemeClr w14:val="tx1"/>
                  </w14:solidFill>
                </w14:textFill>
              </w:rPr>
              <w:t>。</w:t>
            </w:r>
            <w:r>
              <w:rPr>
                <w:rFonts w:hint="eastAsia"/>
                <w:bCs/>
                <w:color w:val="000000" w:themeColor="text1"/>
                <w:sz w:val="24"/>
                <w:lang w:val="en-US" w:eastAsia="zh-CN"/>
                <w14:textFill>
                  <w14:solidFill>
                    <w14:schemeClr w14:val="tx1"/>
                  </w14:solidFill>
                </w14:textFill>
              </w:rPr>
              <w:t>施工期环境保护措施如下所示：</w:t>
            </w:r>
          </w:p>
          <w:p w14:paraId="5C4760F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b/>
                <w:color w:val="000000" w:themeColor="text1"/>
                <w:sz w:val="24"/>
                <w:lang w:val="en-US" w:eastAsia="zh-CN"/>
                <w14:textFill>
                  <w14:solidFill>
                    <w14:schemeClr w14:val="tx1"/>
                  </w14:solidFill>
                </w14:textFill>
              </w:rPr>
            </w:pPr>
            <w:r>
              <w:rPr>
                <w:rFonts w:hint="eastAsia"/>
                <w:b/>
                <w:color w:val="000000" w:themeColor="text1"/>
                <w:sz w:val="24"/>
                <w:lang w:val="en-US" w:eastAsia="zh-CN"/>
                <w14:textFill>
                  <w14:solidFill>
                    <w14:schemeClr w14:val="tx1"/>
                  </w14:solidFill>
                </w14:textFill>
              </w:rPr>
              <w:t>1.1已建工程施工期回顾性分析</w:t>
            </w:r>
          </w:p>
          <w:p w14:paraId="245A61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b/>
                <w:color w:val="000000" w:themeColor="text1"/>
                <w:sz w:val="24"/>
                <w:lang w:val="en-US" w:eastAsia="zh-CN"/>
                <w14:textFill>
                  <w14:solidFill>
                    <w14:schemeClr w14:val="tx1"/>
                  </w14:solidFill>
                </w14:textFill>
              </w:rPr>
            </w:pPr>
            <w:r>
              <w:rPr>
                <w:rFonts w:hint="eastAsia"/>
                <w:b w:val="0"/>
                <w:bCs/>
                <w:color w:val="000000" w:themeColor="text1"/>
                <w:sz w:val="24"/>
                <w:lang w:val="en-US" w:eastAsia="zh-CN"/>
                <w14:textFill>
                  <w14:solidFill>
                    <w14:schemeClr w14:val="tx1"/>
                  </w14:solidFill>
                </w14:textFill>
              </w:rPr>
              <w:t>项目已建的1座4门青瓦烧制窑施工过程中会产生少量扬尘、噪声、施工废水和建筑废料，其中施工扬尘主要为建筑材料装卸堆存过程的装卸扬尘和风蚀扬尘，通过采取洒水降尘、建筑材料覆盖土工布等措施，产生的粉尘对周边环境影响较小。施工过程中产生的盥洗废水和</w:t>
            </w:r>
            <w:r>
              <w:rPr>
                <w:rFonts w:hint="eastAsia" w:ascii="Times New Roman" w:hAnsi="Times New Roman" w:eastAsia="宋体" w:cs="Times New Roman"/>
                <w:b w:val="0"/>
                <w:bCs/>
                <w:color w:val="000000" w:themeColor="text1"/>
                <w:sz w:val="24"/>
                <w:lang w:val="en-US" w:eastAsia="zh-CN"/>
                <w14:textFill>
                  <w14:solidFill>
                    <w14:schemeClr w14:val="tx1"/>
                  </w14:solidFill>
                </w14:textFill>
              </w:rPr>
              <w:t>施工废水用桶收集沉淀回用于施工期场地洒水降尘。施工噪声通过采取低噪声设备，合理安排施工时间等措施，项目施工期短，施工噪声随着施工期的结束而结束。施工过</w:t>
            </w:r>
            <w:r>
              <w:rPr>
                <w:rFonts w:hint="eastAsia" w:cs="Times New Roman"/>
                <w:b w:val="0"/>
                <w:bCs/>
                <w:color w:val="000000" w:themeColor="text1"/>
                <w:sz w:val="24"/>
                <w:lang w:val="en-US" w:eastAsia="zh-CN"/>
                <w14:textFill>
                  <w14:solidFill>
                    <w14:schemeClr w14:val="tx1"/>
                  </w14:solidFill>
                </w14:textFill>
              </w:rPr>
              <w:t>程中</w:t>
            </w:r>
            <w:r>
              <w:rPr>
                <w:rFonts w:hint="eastAsia" w:ascii="Times New Roman" w:hAnsi="Times New Roman" w:eastAsia="宋体" w:cs="Times New Roman"/>
                <w:b w:val="0"/>
                <w:bCs/>
                <w:color w:val="000000" w:themeColor="text1"/>
                <w:sz w:val="24"/>
                <w:lang w:val="en-US" w:eastAsia="zh-CN"/>
                <w14:textFill>
                  <w14:solidFill>
                    <w14:schemeClr w14:val="tx1"/>
                  </w14:solidFill>
                </w14:textFill>
              </w:rPr>
              <w:t>产生的建筑废料，能回收利用的回收利用，不能回收利用的委托资质单位清运到当地城建部门指定的建筑垃圾堆放场，产生的生活垃圾经厂区内生活垃圾箱收集，由环卫部门定期清运处置。结合本次现场踏勘情况核实，工程施工阶段已全部结束，施工过程产生的各类污染物均已清理处置完毕。工程建设期间，未出现施工扬尘扰民等环境影响问题，也未接到相关环保投诉。</w:t>
            </w:r>
          </w:p>
          <w:p w14:paraId="66F4EBE7">
            <w:pPr>
              <w:keepNext w:val="0"/>
              <w:keepLines w:val="0"/>
              <w:pageBreakBefore w:val="0"/>
              <w:widowControl w:val="0"/>
              <w:tabs>
                <w:tab w:val="center" w:pos="4248"/>
              </w:tabs>
              <w:kinsoku/>
              <w:wordWrap/>
              <w:overflowPunct/>
              <w:topLinePunct w:val="0"/>
              <w:autoSpaceDE/>
              <w:autoSpaceDN/>
              <w:bidi w:val="0"/>
              <w:adjustRightInd w:val="0"/>
              <w:snapToGrid w:val="0"/>
              <w:spacing w:line="360" w:lineRule="auto"/>
              <w:ind w:firstLine="482" w:firstLineChars="200"/>
              <w:textAlignment w:val="auto"/>
              <w:rPr>
                <w:rFonts w:hint="default"/>
                <w:b/>
                <w:color w:val="000000" w:themeColor="text1"/>
                <w:sz w:val="24"/>
                <w:lang w:val="en-US" w:eastAsia="zh-CN"/>
                <w14:textFill>
                  <w14:solidFill>
                    <w14:schemeClr w14:val="tx1"/>
                  </w14:solidFill>
                </w14:textFill>
              </w:rPr>
            </w:pPr>
            <w:r>
              <w:rPr>
                <w:rFonts w:hint="eastAsia"/>
                <w:b/>
                <w:color w:val="000000" w:themeColor="text1"/>
                <w:sz w:val="24"/>
                <w:lang w:val="en-US" w:eastAsia="zh-CN"/>
                <w14:textFill>
                  <w14:solidFill>
                    <w14:schemeClr w14:val="tx1"/>
                  </w14:solidFill>
                </w14:textFill>
              </w:rPr>
              <w:t>1.2未建工程施工期环境保护措施</w:t>
            </w:r>
          </w:p>
          <w:p w14:paraId="41E802C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b/>
                <w:color w:val="000000" w:themeColor="text1"/>
                <w:sz w:val="24"/>
                <w:lang w:val="en-US" w:eastAsia="zh-CN"/>
                <w14:textFill>
                  <w14:solidFill>
                    <w14:schemeClr w14:val="tx1"/>
                  </w14:solidFill>
                </w14:textFill>
              </w:rPr>
            </w:pPr>
            <w:r>
              <w:rPr>
                <w:rFonts w:hint="eastAsia"/>
                <w:b w:val="0"/>
                <w:bCs/>
                <w:color w:val="000000" w:themeColor="text1"/>
                <w:sz w:val="24"/>
                <w:lang w:val="en-US" w:eastAsia="zh-CN"/>
                <w14:textFill>
                  <w14:solidFill>
                    <w14:schemeClr w14:val="tx1"/>
                  </w14:solidFill>
                </w14:textFill>
              </w:rPr>
              <w:t>项目现阶段尚未动工的建设内容，以现有圆窑修葺、配套环境保护设施安装为主。施工阶段产生的污染物主要包括：圆窑修葺作业产生的少量施工扬尘、施工废水、机械噪声与建筑垃圾；配套环保设施安装过程中产生的施工废水、废弃建材等固体废物。</w:t>
            </w:r>
          </w:p>
          <w:p w14:paraId="21C943C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color w:val="000000" w:themeColor="text1"/>
                <w14:textFill>
                  <w14:solidFill>
                    <w14:schemeClr w14:val="tx1"/>
                  </w14:solidFill>
                </w14:textFill>
              </w:rPr>
            </w:pPr>
            <w:r>
              <w:rPr>
                <w:rFonts w:hint="eastAsia"/>
                <w:b/>
                <w:color w:val="000000" w:themeColor="text1"/>
                <w:sz w:val="24"/>
                <w:lang w:eastAsia="zh-CN"/>
                <w14:textFill>
                  <w14:solidFill>
                    <w14:schemeClr w14:val="tx1"/>
                  </w14:solidFill>
                </w14:textFill>
              </w:rPr>
              <w:t>（</w:t>
            </w:r>
            <w:r>
              <w:rPr>
                <w:rFonts w:hint="eastAsia"/>
                <w:b/>
                <w:color w:val="000000" w:themeColor="text1"/>
                <w:sz w:val="24"/>
                <w:lang w:val="en-US" w:eastAsia="zh-CN"/>
                <w14:textFill>
                  <w14:solidFill>
                    <w14:schemeClr w14:val="tx1"/>
                  </w14:solidFill>
                </w14:textFill>
              </w:rPr>
              <w:t>1</w:t>
            </w:r>
            <w:r>
              <w:rPr>
                <w:rFonts w:hint="eastAsia"/>
                <w:b/>
                <w:color w:val="000000" w:themeColor="text1"/>
                <w:sz w:val="24"/>
                <w:lang w:eastAsia="zh-CN"/>
                <w14:textFill>
                  <w14:solidFill>
                    <w14:schemeClr w14:val="tx1"/>
                  </w14:solidFill>
                </w14:textFill>
              </w:rPr>
              <w:t>）</w:t>
            </w:r>
            <w:r>
              <w:rPr>
                <w:b/>
                <w:color w:val="000000" w:themeColor="text1"/>
                <w:sz w:val="24"/>
                <w14:textFill>
                  <w14:solidFill>
                    <w14:schemeClr w14:val="tx1"/>
                  </w14:solidFill>
                </w14:textFill>
              </w:rPr>
              <w:t>环境空气保护措施</w:t>
            </w:r>
          </w:p>
          <w:p w14:paraId="011DF212">
            <w:pPr>
              <w:pStyle w:val="82"/>
              <w:keepNext w:val="0"/>
              <w:keepLines w:val="0"/>
              <w:pageBreakBefore w:val="0"/>
              <w:widowControl w:val="0"/>
              <w:kinsoku/>
              <w:wordWrap/>
              <w:overflowPunct/>
              <w:topLinePunct w:val="0"/>
              <w:autoSpaceDE/>
              <w:autoSpaceDN/>
              <w:bidi w:val="0"/>
              <w:adjustRightInd w:val="0"/>
              <w:snapToGrid w:val="0"/>
              <w:ind w:firstLine="480" w:firstLineChars="200"/>
              <w:textAlignment w:val="auto"/>
              <w:outlineLvl w:val="2"/>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①安排施工人员定期对施工场地洒水以减少扬尘量，洒水次数根据天气状况而定，若遇到大风或干燥天气可适当增加洒水次数，及时清扫运输路面，保持路面清洁</w:t>
            </w:r>
            <w:r>
              <w:rPr>
                <w:color w:val="000000" w:themeColor="text1"/>
                <w:lang w:val="zh-CN"/>
                <w14:textFill>
                  <w14:solidFill>
                    <w14:schemeClr w14:val="tx1"/>
                  </w14:solidFill>
                </w14:textFill>
              </w:rPr>
              <w:t>；</w:t>
            </w:r>
          </w:p>
          <w:p w14:paraId="0DCBE825">
            <w:pPr>
              <w:pStyle w:val="82"/>
              <w:keepNext w:val="0"/>
              <w:keepLines w:val="0"/>
              <w:pageBreakBefore w:val="0"/>
              <w:widowControl w:val="0"/>
              <w:kinsoku/>
              <w:wordWrap/>
              <w:overflowPunct/>
              <w:topLinePunct w:val="0"/>
              <w:autoSpaceDE/>
              <w:autoSpaceDN/>
              <w:bidi w:val="0"/>
              <w:adjustRightInd w:val="0"/>
              <w:snapToGrid w:val="0"/>
              <w:ind w:firstLine="480" w:firstLineChars="200"/>
              <w:textAlignment w:val="auto"/>
              <w:outlineLvl w:val="2"/>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②施工场地粉（粒）状料堆应尽量选在避风处，并采用密闭式防尘网遮盖，防止大量扬尘产生，粉状物料装卸时禁止凌空抛洒。</w:t>
            </w:r>
          </w:p>
          <w:p w14:paraId="5D51EB90">
            <w:pPr>
              <w:pStyle w:val="82"/>
              <w:keepNext w:val="0"/>
              <w:keepLines w:val="0"/>
              <w:pageBreakBefore w:val="0"/>
              <w:widowControl w:val="0"/>
              <w:kinsoku/>
              <w:wordWrap/>
              <w:overflowPunct/>
              <w:topLinePunct w:val="0"/>
              <w:autoSpaceDE/>
              <w:autoSpaceDN/>
              <w:bidi w:val="0"/>
              <w:adjustRightInd w:val="0"/>
              <w:snapToGrid w:val="0"/>
              <w:ind w:firstLine="480" w:firstLineChars="200"/>
              <w:textAlignment w:val="auto"/>
              <w:outlineLvl w:val="2"/>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③工程渣土、建筑垃圾应当及时清运；在场地内堆存的，应当采用密闭式防尘网遮盖</w:t>
            </w:r>
            <w:r>
              <w:rPr>
                <w:color w:val="000000" w:themeColor="text1"/>
                <w:lang w:val="zh-CN"/>
                <w14:textFill>
                  <w14:solidFill>
                    <w14:schemeClr w14:val="tx1"/>
                  </w14:solidFill>
                </w14:textFill>
              </w:rPr>
              <w:t>。</w:t>
            </w:r>
          </w:p>
          <w:p w14:paraId="1D8C3C28">
            <w:pPr>
              <w:pStyle w:val="82"/>
              <w:keepNext w:val="0"/>
              <w:keepLines w:val="0"/>
              <w:pageBreakBefore w:val="0"/>
              <w:widowControl w:val="0"/>
              <w:kinsoku/>
              <w:wordWrap/>
              <w:overflowPunct/>
              <w:topLinePunct w:val="0"/>
              <w:autoSpaceDE/>
              <w:autoSpaceDN/>
              <w:bidi w:val="0"/>
              <w:adjustRightInd w:val="0"/>
              <w:snapToGrid w:val="0"/>
              <w:ind w:firstLine="480" w:firstLineChars="200"/>
              <w:textAlignment w:val="auto"/>
              <w:outlineLvl w:val="2"/>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④运输垃圾、渣土、砂石等散装物料的车辆应当采取密闭措施防止物料遗撒造成扬尘污染，并按照规定路线行驶。</w:t>
            </w:r>
          </w:p>
          <w:p w14:paraId="0E2A3B30">
            <w:pPr>
              <w:keepNext w:val="0"/>
              <w:keepLines w:val="0"/>
              <w:pageBreakBefore w:val="0"/>
              <w:widowControl w:val="0"/>
              <w:kinsoku/>
              <w:wordWrap/>
              <w:overflowPunct/>
              <w:topLinePunct w:val="0"/>
              <w:autoSpaceDE/>
              <w:autoSpaceDN/>
              <w:bidi w:val="0"/>
              <w:spacing w:line="360" w:lineRule="auto"/>
              <w:ind w:firstLine="482" w:firstLineChars="200"/>
              <w:textAlignment w:val="auto"/>
              <w:rPr>
                <w:color w:val="000000" w:themeColor="text1"/>
                <w:kern w:val="0"/>
                <w:sz w:val="24"/>
                <w14:textFill>
                  <w14:solidFill>
                    <w14:schemeClr w14:val="tx1"/>
                  </w14:solidFill>
                </w14:textFill>
              </w:rPr>
            </w:pPr>
            <w:r>
              <w:rPr>
                <w:rFonts w:hint="eastAsia"/>
                <w:b/>
                <w:color w:val="000000" w:themeColor="text1"/>
                <w:sz w:val="24"/>
                <w:lang w:val="en-US" w:eastAsia="zh-CN"/>
                <w14:textFill>
                  <w14:solidFill>
                    <w14:schemeClr w14:val="tx1"/>
                  </w14:solidFill>
                </w14:textFill>
              </w:rPr>
              <w:t>（2）</w:t>
            </w:r>
            <w:r>
              <w:rPr>
                <w:b/>
                <w:color w:val="000000" w:themeColor="text1"/>
                <w:sz w:val="24"/>
                <w14:textFill>
                  <w14:solidFill>
                    <w14:schemeClr w14:val="tx1"/>
                  </w14:solidFill>
                </w14:textFill>
              </w:rPr>
              <w:t>废水处置措施</w:t>
            </w:r>
          </w:p>
          <w:p w14:paraId="799E4BBF">
            <w:pPr>
              <w:pStyle w:val="82"/>
              <w:keepNext w:val="0"/>
              <w:keepLines w:val="0"/>
              <w:pageBreakBefore w:val="0"/>
              <w:widowControl w:val="0"/>
              <w:kinsoku/>
              <w:wordWrap/>
              <w:overflowPunct/>
              <w:topLinePunct w:val="0"/>
              <w:autoSpaceDE/>
              <w:autoSpaceDN/>
              <w:bidi w:val="0"/>
              <w:adjustRightInd w:val="0"/>
              <w:snapToGrid w:val="0"/>
              <w:ind w:firstLine="480" w:firstLineChars="200"/>
              <w:textAlignment w:val="auto"/>
              <w:outlineLvl w:val="2"/>
              <w:rPr>
                <w:color w:val="000000" w:themeColor="text1"/>
                <w:kern w:val="0"/>
                <w14:textFill>
                  <w14:solidFill>
                    <w14:schemeClr w14:val="tx1"/>
                  </w14:solidFill>
                </w14:textFill>
              </w:rPr>
            </w:pPr>
            <w:r>
              <w:rPr>
                <w:color w:val="000000" w:themeColor="text1"/>
                <w:szCs w:val="21"/>
                <w14:textFill>
                  <w14:solidFill>
                    <w14:schemeClr w14:val="tx1"/>
                  </w14:solidFill>
                </w14:textFill>
              </w:rPr>
              <w:t>施工期废水主要为施工人员生活污水及施工废水。施工人员不在厂区内食宿，生活污水主要为洗手产生的污水，</w:t>
            </w:r>
            <w:r>
              <w:rPr>
                <w:rFonts w:hint="eastAsia"/>
                <w:color w:val="000000" w:themeColor="text1"/>
                <w:szCs w:val="21"/>
                <w14:textFill>
                  <w14:solidFill>
                    <w14:schemeClr w14:val="tx1"/>
                  </w14:solidFill>
                </w14:textFill>
              </w:rPr>
              <w:t>由厂区已建成化粪池处理后</w:t>
            </w:r>
            <w:r>
              <w:rPr>
                <w:rFonts w:hint="eastAsia"/>
                <w:color w:val="000000" w:themeColor="text1"/>
                <w:szCs w:val="21"/>
                <w:lang w:val="en-US" w:eastAsia="zh-CN"/>
                <w14:textFill>
                  <w14:solidFill>
                    <w14:schemeClr w14:val="tx1"/>
                  </w14:solidFill>
                </w14:textFill>
              </w:rPr>
              <w:t>定期清掏作农肥</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施工废水</w:t>
            </w:r>
            <w:r>
              <w:rPr>
                <w:color w:val="000000" w:themeColor="text1"/>
                <w:kern w:val="0"/>
                <w14:textFill>
                  <w14:solidFill>
                    <w14:schemeClr w14:val="tx1"/>
                  </w14:solidFill>
                </w14:textFill>
              </w:rPr>
              <w:t>主要污染物均为SS</w:t>
            </w:r>
            <w:r>
              <w:rPr>
                <w:rFonts w:hint="eastAsia"/>
                <w:color w:val="000000" w:themeColor="text1"/>
                <w:kern w:val="0"/>
                <w14:textFill>
                  <w14:solidFill>
                    <w14:schemeClr w14:val="tx1"/>
                  </w14:solidFill>
                </w14:textFill>
              </w:rPr>
              <w:t>，用桶收集沉淀回用于施工期场地洒水降尘</w:t>
            </w:r>
            <w:r>
              <w:rPr>
                <w:color w:val="000000" w:themeColor="text1"/>
                <w:kern w:val="0"/>
                <w14:textFill>
                  <w14:solidFill>
                    <w14:schemeClr w14:val="tx1"/>
                  </w14:solidFill>
                </w14:textFill>
              </w:rPr>
              <w:t>。</w:t>
            </w:r>
          </w:p>
          <w:p w14:paraId="22C9233A">
            <w:pPr>
              <w:pStyle w:val="82"/>
              <w:keepNext w:val="0"/>
              <w:keepLines w:val="0"/>
              <w:pageBreakBefore w:val="0"/>
              <w:widowControl w:val="0"/>
              <w:kinsoku/>
              <w:wordWrap/>
              <w:overflowPunct/>
              <w:topLinePunct w:val="0"/>
              <w:autoSpaceDE/>
              <w:autoSpaceDN/>
              <w:bidi w:val="0"/>
              <w:adjustRightInd w:val="0"/>
              <w:snapToGrid w:val="0"/>
              <w:ind w:firstLine="482" w:firstLineChars="200"/>
              <w:textAlignment w:val="auto"/>
              <w:outlineLvl w:val="2"/>
              <w:rPr>
                <w:b/>
                <w:color w:val="000000" w:themeColor="text1"/>
                <w:szCs w:val="24"/>
                <w14:textFill>
                  <w14:solidFill>
                    <w14:schemeClr w14:val="tx1"/>
                  </w14:solidFill>
                </w14:textFill>
              </w:rPr>
            </w:pPr>
            <w:r>
              <w:rPr>
                <w:rFonts w:hint="eastAsia"/>
                <w:b/>
                <w:color w:val="000000" w:themeColor="text1"/>
                <w:szCs w:val="24"/>
                <w:lang w:val="en-US" w:eastAsia="zh-CN"/>
                <w14:textFill>
                  <w14:solidFill>
                    <w14:schemeClr w14:val="tx1"/>
                  </w14:solidFill>
                </w14:textFill>
              </w:rPr>
              <w:t>（3）</w:t>
            </w:r>
            <w:r>
              <w:rPr>
                <w:b/>
                <w:color w:val="000000" w:themeColor="text1"/>
                <w:szCs w:val="24"/>
                <w14:textFill>
                  <w14:solidFill>
                    <w14:schemeClr w14:val="tx1"/>
                  </w14:solidFill>
                </w14:textFill>
              </w:rPr>
              <w:t>噪声</w:t>
            </w:r>
            <w:r>
              <w:rPr>
                <w:rFonts w:hint="eastAsia"/>
                <w:b/>
                <w:color w:val="000000" w:themeColor="text1"/>
                <w:szCs w:val="24"/>
                <w:lang w:val="en-US" w:eastAsia="zh-CN"/>
                <w14:textFill>
                  <w14:solidFill>
                    <w14:schemeClr w14:val="tx1"/>
                  </w14:solidFill>
                </w14:textFill>
              </w:rPr>
              <w:t>防治</w:t>
            </w:r>
            <w:r>
              <w:rPr>
                <w:rFonts w:hint="eastAsia"/>
                <w:b/>
                <w:color w:val="000000" w:themeColor="text1"/>
                <w:szCs w:val="24"/>
                <w14:textFill>
                  <w14:solidFill>
                    <w14:schemeClr w14:val="tx1"/>
                  </w14:solidFill>
                </w14:textFill>
              </w:rPr>
              <w:t>措施</w:t>
            </w:r>
          </w:p>
          <w:p w14:paraId="60222802">
            <w:pPr>
              <w:pStyle w:val="82"/>
              <w:keepNext w:val="0"/>
              <w:keepLines w:val="0"/>
              <w:pageBreakBefore w:val="0"/>
              <w:widowControl w:val="0"/>
              <w:kinsoku/>
              <w:wordWrap/>
              <w:overflowPunct/>
              <w:topLinePunct w:val="0"/>
              <w:autoSpaceDE/>
              <w:autoSpaceDN/>
              <w:bidi w:val="0"/>
              <w:adjustRightInd w:val="0"/>
              <w:snapToGrid w:val="0"/>
              <w:ind w:firstLine="480" w:firstLineChars="200"/>
              <w:textAlignment w:val="auto"/>
              <w:outlineLvl w:val="2"/>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①选用低噪声设备，施工设备定期进行维护保养，避免因设备故障产生高噪声的现象，同时对现场工作人员进行培训，严格按操作规范使用各类机械；</w:t>
            </w:r>
          </w:p>
          <w:p w14:paraId="35CE27EF">
            <w:pPr>
              <w:pStyle w:val="82"/>
              <w:keepNext w:val="0"/>
              <w:keepLines w:val="0"/>
              <w:pageBreakBefore w:val="0"/>
              <w:widowControl w:val="0"/>
              <w:kinsoku/>
              <w:wordWrap/>
              <w:overflowPunct/>
              <w:topLinePunct w:val="0"/>
              <w:autoSpaceDE/>
              <w:autoSpaceDN/>
              <w:bidi w:val="0"/>
              <w:adjustRightInd w:val="0"/>
              <w:snapToGrid w:val="0"/>
              <w:ind w:firstLine="480" w:firstLineChars="200"/>
              <w:textAlignment w:val="auto"/>
              <w:outlineLvl w:val="2"/>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②合理布局施工设备，在不影响施工的情况下将噪声设备尽量不集中安排；固定的机械设备尽量入棚操作，对高噪声且固定设备加装减震垫；</w:t>
            </w:r>
          </w:p>
          <w:p w14:paraId="61E35097">
            <w:pPr>
              <w:pStyle w:val="82"/>
              <w:keepNext w:val="0"/>
              <w:keepLines w:val="0"/>
              <w:pageBreakBefore w:val="0"/>
              <w:widowControl w:val="0"/>
              <w:kinsoku/>
              <w:wordWrap/>
              <w:overflowPunct/>
              <w:topLinePunct w:val="0"/>
              <w:autoSpaceDE/>
              <w:autoSpaceDN/>
              <w:bidi w:val="0"/>
              <w:adjustRightInd w:val="0"/>
              <w:snapToGrid w:val="0"/>
              <w:ind w:firstLine="480" w:firstLineChars="200"/>
              <w:textAlignment w:val="auto"/>
              <w:outlineLvl w:val="2"/>
              <w:rPr>
                <w:rFonts w:hint="eastAsia" w:eastAsia="宋体"/>
                <w:color w:val="000000" w:themeColor="text1"/>
                <w:szCs w:val="24"/>
                <w:lang w:eastAsia="zh-CN"/>
                <w14:textFill>
                  <w14:solidFill>
                    <w14:schemeClr w14:val="tx1"/>
                  </w14:solidFill>
                </w14:textFill>
              </w:rPr>
            </w:pPr>
            <w:r>
              <w:rPr>
                <w:rFonts w:hint="eastAsia"/>
                <w:color w:val="000000" w:themeColor="text1"/>
                <w:szCs w:val="24"/>
                <w14:textFill>
                  <w14:solidFill>
                    <w14:schemeClr w14:val="tx1"/>
                  </w14:solidFill>
                </w14:textFill>
              </w:rPr>
              <w:t>③合理布置施工作业面和安排施工时间</w:t>
            </w:r>
            <w:r>
              <w:rPr>
                <w:rFonts w:hint="eastAsia"/>
                <w:color w:val="000000" w:themeColor="text1"/>
                <w:szCs w:val="24"/>
                <w:lang w:eastAsia="zh-CN"/>
                <w14:textFill>
                  <w14:solidFill>
                    <w14:schemeClr w14:val="tx1"/>
                  </w14:solidFill>
                </w14:textFill>
              </w:rPr>
              <w:t>；</w:t>
            </w:r>
          </w:p>
          <w:p w14:paraId="72090F45">
            <w:pPr>
              <w:pStyle w:val="82"/>
              <w:keepNext w:val="0"/>
              <w:keepLines w:val="0"/>
              <w:pageBreakBefore w:val="0"/>
              <w:widowControl w:val="0"/>
              <w:kinsoku/>
              <w:wordWrap/>
              <w:overflowPunct/>
              <w:topLinePunct w:val="0"/>
              <w:autoSpaceDE/>
              <w:autoSpaceDN/>
              <w:bidi w:val="0"/>
              <w:adjustRightInd w:val="0"/>
              <w:snapToGrid w:val="0"/>
              <w:ind w:firstLine="480" w:firstLineChars="200"/>
              <w:textAlignment w:val="auto"/>
              <w:outlineLvl w:val="2"/>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④应强化行车管理制度，运输车辆限速行驶，保证场内运输畅通，减少噪声对周围保护目标的影响；</w:t>
            </w:r>
          </w:p>
          <w:p w14:paraId="3480B490">
            <w:pPr>
              <w:pStyle w:val="82"/>
              <w:keepNext w:val="0"/>
              <w:keepLines w:val="0"/>
              <w:pageBreakBefore w:val="0"/>
              <w:widowControl w:val="0"/>
              <w:kinsoku/>
              <w:wordWrap/>
              <w:overflowPunct/>
              <w:topLinePunct w:val="0"/>
              <w:autoSpaceDE/>
              <w:autoSpaceDN/>
              <w:bidi w:val="0"/>
              <w:adjustRightInd w:val="0"/>
              <w:snapToGrid w:val="0"/>
              <w:ind w:firstLine="480" w:firstLineChars="200"/>
              <w:textAlignment w:val="auto"/>
              <w:outlineLvl w:val="2"/>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⑤施工材料运输车辆经过村庄时低速、禁鸣。</w:t>
            </w:r>
          </w:p>
          <w:p w14:paraId="5A7B4982">
            <w:pPr>
              <w:pStyle w:val="82"/>
              <w:keepNext w:val="0"/>
              <w:keepLines w:val="0"/>
              <w:pageBreakBefore w:val="0"/>
              <w:widowControl w:val="0"/>
              <w:kinsoku/>
              <w:wordWrap/>
              <w:overflowPunct/>
              <w:topLinePunct w:val="0"/>
              <w:autoSpaceDE/>
              <w:autoSpaceDN/>
              <w:bidi w:val="0"/>
              <w:adjustRightInd w:val="0"/>
              <w:snapToGrid w:val="0"/>
              <w:ind w:firstLine="482" w:firstLineChars="200"/>
              <w:textAlignment w:val="auto"/>
              <w:outlineLvl w:val="2"/>
              <w:rPr>
                <w:b/>
                <w:color w:val="000000" w:themeColor="text1"/>
                <w:szCs w:val="24"/>
                <w14:textFill>
                  <w14:solidFill>
                    <w14:schemeClr w14:val="tx1"/>
                  </w14:solidFill>
                </w14:textFill>
              </w:rPr>
            </w:pPr>
            <w:r>
              <w:rPr>
                <w:rFonts w:hint="eastAsia"/>
                <w:b/>
                <w:color w:val="000000" w:themeColor="text1"/>
                <w:szCs w:val="24"/>
                <w:lang w:val="en-US" w:eastAsia="zh-CN"/>
                <w14:textFill>
                  <w14:solidFill>
                    <w14:schemeClr w14:val="tx1"/>
                  </w14:solidFill>
                </w14:textFill>
              </w:rPr>
              <w:t>（4）</w:t>
            </w:r>
            <w:r>
              <w:rPr>
                <w:b/>
                <w:color w:val="000000" w:themeColor="text1"/>
                <w:szCs w:val="24"/>
                <w14:textFill>
                  <w14:solidFill>
                    <w14:schemeClr w14:val="tx1"/>
                  </w14:solidFill>
                </w14:textFill>
              </w:rPr>
              <w:t>固废</w:t>
            </w:r>
            <w:r>
              <w:rPr>
                <w:rFonts w:hint="eastAsia"/>
                <w:b/>
                <w:color w:val="000000" w:themeColor="text1"/>
                <w:szCs w:val="24"/>
                <w14:textFill>
                  <w14:solidFill>
                    <w14:schemeClr w14:val="tx1"/>
                  </w14:solidFill>
                </w14:textFill>
              </w:rPr>
              <w:t>处置措施</w:t>
            </w:r>
          </w:p>
          <w:p w14:paraId="74E1E16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bCs/>
                <w:color w:val="000000" w:themeColor="text1"/>
                <w:spacing w:val="-10"/>
                <w:szCs w:val="21"/>
                <w14:textFill>
                  <w14:solidFill>
                    <w14:schemeClr w14:val="tx1"/>
                  </w14:solidFill>
                </w14:textFill>
              </w:rPr>
            </w:pPr>
            <w:r>
              <w:rPr>
                <w:bCs/>
                <w:color w:val="000000" w:themeColor="text1"/>
                <w:sz w:val="24"/>
                <w14:textFill>
                  <w14:solidFill>
                    <w14:schemeClr w14:val="tx1"/>
                  </w14:solidFill>
                </w14:textFill>
              </w:rPr>
              <w:t>本项目施工期产生的</w:t>
            </w:r>
            <w:r>
              <w:rPr>
                <w:rFonts w:hint="eastAsia" w:ascii="Times New Roman" w:hAnsi="Times New Roman" w:eastAsia="宋体" w:cs="Times New Roman"/>
                <w:bCs/>
                <w:color w:val="000000" w:themeColor="text1"/>
                <w:sz w:val="24"/>
                <w:lang w:val="en-US" w:eastAsia="zh-CN"/>
                <w14:textFill>
                  <w14:solidFill>
                    <w14:schemeClr w14:val="tx1"/>
                  </w14:solidFill>
                </w14:textFill>
              </w:rPr>
              <w:t>废砖块、</w:t>
            </w:r>
            <w:r>
              <w:rPr>
                <w:bCs/>
                <w:color w:val="000000" w:themeColor="text1"/>
                <w:sz w:val="24"/>
                <w14:textFill>
                  <w14:solidFill>
                    <w14:schemeClr w14:val="tx1"/>
                  </w14:solidFill>
                </w14:textFill>
              </w:rPr>
              <w:t>设备包装材料等</w:t>
            </w:r>
            <w:r>
              <w:rPr>
                <w:rFonts w:hint="eastAsia"/>
                <w:bCs/>
                <w:color w:val="000000" w:themeColor="text1"/>
                <w:sz w:val="24"/>
                <w14:textFill>
                  <w14:solidFill>
                    <w14:schemeClr w14:val="tx1"/>
                  </w14:solidFill>
                </w14:textFill>
              </w:rPr>
              <w:t>施工垃圾</w:t>
            </w:r>
            <w:r>
              <w:rPr>
                <w:bCs/>
                <w:color w:val="000000" w:themeColor="text1"/>
                <w:sz w:val="24"/>
                <w14:textFill>
                  <w14:solidFill>
                    <w14:schemeClr w14:val="tx1"/>
                  </w14:solidFill>
                </w14:textFill>
              </w:rPr>
              <w:t>分类集中堆存，能回收利用的部分，回收重复利用；不能回收利用的部分委托资质单位清运到当地城建部门指定的建筑垃圾堆放场</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施工人员生活垃圾经</w:t>
            </w:r>
            <w:r>
              <w:rPr>
                <w:rFonts w:hint="eastAsia"/>
                <w:bCs/>
                <w:color w:val="000000" w:themeColor="text1"/>
                <w:sz w:val="24"/>
                <w:lang w:val="en-US" w:eastAsia="zh-CN"/>
                <w14:textFill>
                  <w14:solidFill>
                    <w14:schemeClr w14:val="tx1"/>
                  </w14:solidFill>
                </w14:textFill>
              </w:rPr>
              <w:t>厂区</w:t>
            </w:r>
            <w:r>
              <w:rPr>
                <w:bCs/>
                <w:color w:val="000000" w:themeColor="text1"/>
                <w:sz w:val="24"/>
                <w14:textFill>
                  <w14:solidFill>
                    <w14:schemeClr w14:val="tx1"/>
                  </w14:solidFill>
                </w14:textFill>
              </w:rPr>
              <w:t>内生活垃圾</w:t>
            </w:r>
            <w:r>
              <w:rPr>
                <w:rFonts w:hint="eastAsia"/>
                <w:bCs/>
                <w:color w:val="000000" w:themeColor="text1"/>
                <w:sz w:val="24"/>
                <w:lang w:val="en-US" w:eastAsia="zh-CN"/>
                <w14:textFill>
                  <w14:solidFill>
                    <w14:schemeClr w14:val="tx1"/>
                  </w14:solidFill>
                </w14:textFill>
              </w:rPr>
              <w:t>箱</w:t>
            </w:r>
            <w:r>
              <w:rPr>
                <w:bCs/>
                <w:color w:val="000000" w:themeColor="text1"/>
                <w:sz w:val="24"/>
                <w14:textFill>
                  <w14:solidFill>
                    <w14:schemeClr w14:val="tx1"/>
                  </w14:solidFill>
                </w14:textFill>
              </w:rPr>
              <w:t>收集，由环卫部门定期清运处置</w:t>
            </w:r>
            <w:r>
              <w:rPr>
                <w:rFonts w:hint="eastAsia"/>
                <w:bCs/>
                <w:color w:val="000000" w:themeColor="text1"/>
                <w:sz w:val="24"/>
                <w14:textFill>
                  <w14:solidFill>
                    <w14:schemeClr w14:val="tx1"/>
                  </w14:solidFill>
                </w14:textFill>
              </w:rPr>
              <w:t>。</w:t>
            </w:r>
          </w:p>
        </w:tc>
      </w:tr>
      <w:tr w14:paraId="2EEBCE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1" w:type="dxa"/>
            <w:noWrap w:val="0"/>
            <w:tcMar>
              <w:left w:w="28" w:type="dxa"/>
              <w:right w:w="28" w:type="dxa"/>
            </w:tcMar>
            <w:vAlign w:val="center"/>
          </w:tcPr>
          <w:p w14:paraId="1F603945">
            <w:pPr>
              <w:adjustRightInd w:val="0"/>
              <w:snapToGrid w:val="0"/>
              <w:jc w:val="center"/>
              <w:rPr>
                <w:bCs/>
                <w:color w:val="000000" w:themeColor="text1"/>
                <w:kern w:val="0"/>
                <w:sz w:val="24"/>
                <w:szCs w:val="21"/>
                <w14:textFill>
                  <w14:solidFill>
                    <w14:schemeClr w14:val="tx1"/>
                  </w14:solidFill>
                </w14:textFill>
              </w:rPr>
            </w:pPr>
            <w:r>
              <w:rPr>
                <w:bCs/>
                <w:color w:val="000000" w:themeColor="text1"/>
                <w:kern w:val="0"/>
                <w:sz w:val="24"/>
                <w:szCs w:val="21"/>
                <w14:textFill>
                  <w14:solidFill>
                    <w14:schemeClr w14:val="tx1"/>
                  </w14:solidFill>
                </w14:textFill>
              </w:rPr>
              <w:t>运营</w:t>
            </w:r>
          </w:p>
          <w:p w14:paraId="5D23B9C0">
            <w:pPr>
              <w:adjustRightInd w:val="0"/>
              <w:snapToGrid w:val="0"/>
              <w:jc w:val="center"/>
              <w:rPr>
                <w:bCs/>
                <w:color w:val="000000" w:themeColor="text1"/>
                <w:kern w:val="0"/>
                <w:sz w:val="24"/>
                <w:szCs w:val="21"/>
                <w14:textFill>
                  <w14:solidFill>
                    <w14:schemeClr w14:val="tx1"/>
                  </w14:solidFill>
                </w14:textFill>
              </w:rPr>
            </w:pPr>
            <w:r>
              <w:rPr>
                <w:bCs/>
                <w:color w:val="000000" w:themeColor="text1"/>
                <w:kern w:val="0"/>
                <w:sz w:val="24"/>
                <w:szCs w:val="21"/>
                <w14:textFill>
                  <w14:solidFill>
                    <w14:schemeClr w14:val="tx1"/>
                  </w14:solidFill>
                </w14:textFill>
              </w:rPr>
              <w:t>期环</w:t>
            </w:r>
          </w:p>
          <w:p w14:paraId="08E89C4A">
            <w:pPr>
              <w:adjustRightInd w:val="0"/>
              <w:snapToGrid w:val="0"/>
              <w:jc w:val="center"/>
              <w:rPr>
                <w:bCs/>
                <w:color w:val="000000" w:themeColor="text1"/>
                <w:kern w:val="0"/>
                <w:sz w:val="24"/>
                <w:szCs w:val="21"/>
                <w14:textFill>
                  <w14:solidFill>
                    <w14:schemeClr w14:val="tx1"/>
                  </w14:solidFill>
                </w14:textFill>
              </w:rPr>
            </w:pPr>
            <w:r>
              <w:rPr>
                <w:bCs/>
                <w:color w:val="000000" w:themeColor="text1"/>
                <w:kern w:val="0"/>
                <w:sz w:val="24"/>
                <w:szCs w:val="21"/>
                <w14:textFill>
                  <w14:solidFill>
                    <w14:schemeClr w14:val="tx1"/>
                  </w14:solidFill>
                </w14:textFill>
              </w:rPr>
              <w:t>境影</w:t>
            </w:r>
          </w:p>
          <w:p w14:paraId="20C4B8EC">
            <w:pPr>
              <w:adjustRightInd w:val="0"/>
              <w:snapToGrid w:val="0"/>
              <w:jc w:val="center"/>
              <w:rPr>
                <w:bCs/>
                <w:color w:val="000000" w:themeColor="text1"/>
                <w:kern w:val="0"/>
                <w:sz w:val="24"/>
                <w:szCs w:val="21"/>
                <w14:textFill>
                  <w14:solidFill>
                    <w14:schemeClr w14:val="tx1"/>
                  </w14:solidFill>
                </w14:textFill>
              </w:rPr>
            </w:pPr>
            <w:r>
              <w:rPr>
                <w:bCs/>
                <w:color w:val="000000" w:themeColor="text1"/>
                <w:kern w:val="0"/>
                <w:sz w:val="24"/>
                <w:szCs w:val="21"/>
                <w14:textFill>
                  <w14:solidFill>
                    <w14:schemeClr w14:val="tx1"/>
                  </w14:solidFill>
                </w14:textFill>
              </w:rPr>
              <w:t>响和</w:t>
            </w:r>
          </w:p>
          <w:p w14:paraId="5B142E28">
            <w:pPr>
              <w:adjustRightInd w:val="0"/>
              <w:snapToGrid w:val="0"/>
              <w:jc w:val="center"/>
              <w:rPr>
                <w:bCs/>
                <w:color w:val="000000" w:themeColor="text1"/>
                <w:szCs w:val="21"/>
                <w14:textFill>
                  <w14:solidFill>
                    <w14:schemeClr w14:val="tx1"/>
                  </w14:solidFill>
                </w14:textFill>
              </w:rPr>
            </w:pPr>
            <w:r>
              <w:rPr>
                <w:bCs/>
                <w:color w:val="000000" w:themeColor="text1"/>
                <w:kern w:val="0"/>
                <w:sz w:val="24"/>
                <w:szCs w:val="21"/>
                <w14:textFill>
                  <w14:solidFill>
                    <w14:schemeClr w14:val="tx1"/>
                  </w14:solidFill>
                </w14:textFill>
              </w:rPr>
              <w:t>保护</w:t>
            </w:r>
          </w:p>
          <w:p w14:paraId="3B0ACD38">
            <w:pPr>
              <w:pStyle w:val="24"/>
              <w:adjustRightInd w:val="0"/>
              <w:snapToGrid w:val="0"/>
              <w:spacing w:before="0" w:beforeAutospacing="0" w:after="0" w:afterAutospacing="0"/>
              <w:jc w:val="center"/>
              <w:rPr>
                <w:rFonts w:ascii="Times New Roman" w:hAnsi="Times New Roman"/>
                <w:color w:val="000000" w:themeColor="text1"/>
                <w:kern w:val="2"/>
                <w:sz w:val="21"/>
                <w:szCs w:val="21"/>
                <w14:textFill>
                  <w14:solidFill>
                    <w14:schemeClr w14:val="tx1"/>
                  </w14:solidFill>
                </w14:textFill>
              </w:rPr>
            </w:pPr>
            <w:r>
              <w:rPr>
                <w:rFonts w:ascii="Times New Roman" w:hAnsi="Times New Roman"/>
                <w:bCs/>
                <w:color w:val="000000" w:themeColor="text1"/>
                <w:szCs w:val="21"/>
                <w14:textFill>
                  <w14:solidFill>
                    <w14:schemeClr w14:val="tx1"/>
                  </w14:solidFill>
                </w14:textFill>
              </w:rPr>
              <w:t>措施</w:t>
            </w:r>
          </w:p>
        </w:tc>
        <w:tc>
          <w:tcPr>
            <w:tcW w:w="8414" w:type="dxa"/>
            <w:noWrap w:val="0"/>
            <w:vAlign w:val="center"/>
          </w:tcPr>
          <w:p w14:paraId="6FA309D9">
            <w:pPr>
              <w:widowControl/>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项目运营期对环境产生的影响主要有废水、废气、噪声、固体废物。</w:t>
            </w:r>
          </w:p>
          <w:p w14:paraId="16A87BDF">
            <w:pPr>
              <w:widowControl/>
              <w:spacing w:line="360" w:lineRule="auto"/>
              <w:jc w:val="left"/>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1、废气</w:t>
            </w:r>
          </w:p>
          <w:p w14:paraId="530327A3">
            <w:pPr>
              <w:widowControl/>
              <w:spacing w:line="360" w:lineRule="auto"/>
              <w:ind w:firstLine="482" w:firstLineChars="200"/>
              <w:jc w:val="left"/>
              <w:rPr>
                <w:rFonts w:hint="default" w:eastAsia="宋体"/>
                <w:b/>
                <w:bCs/>
                <w:color w:val="000000" w:themeColor="text1"/>
                <w:sz w:val="24"/>
                <w:lang w:val="en-US" w:eastAsia="zh-CN"/>
                <w14:textFill>
                  <w14:solidFill>
                    <w14:schemeClr w14:val="tx1"/>
                  </w14:solidFill>
                </w14:textFill>
              </w:rPr>
            </w:pPr>
            <w:r>
              <w:rPr>
                <w:b/>
                <w:bCs/>
                <w:color w:val="000000" w:themeColor="text1"/>
                <w:sz w:val="24"/>
                <w14:textFill>
                  <w14:solidFill>
                    <w14:schemeClr w14:val="tx1"/>
                  </w14:solidFill>
                </w14:textFill>
              </w:rPr>
              <w:t>1.1</w:t>
            </w:r>
            <w:r>
              <w:rPr>
                <w:rFonts w:hint="eastAsia"/>
                <w:b/>
                <w:bCs/>
                <w:color w:val="000000" w:themeColor="text1"/>
                <w:sz w:val="24"/>
                <w:lang w:val="en-US" w:eastAsia="zh-CN"/>
                <w14:textFill>
                  <w14:solidFill>
                    <w14:schemeClr w14:val="tx1"/>
                  </w14:solidFill>
                </w14:textFill>
              </w:rPr>
              <w:t>废气产排污节点、污染物及污染防治设施信息</w:t>
            </w:r>
          </w:p>
          <w:p w14:paraId="5304840B">
            <w:pPr>
              <w:keepNext w:val="0"/>
              <w:keepLines w:val="0"/>
              <w:pageBreakBefore w:val="0"/>
              <w:widowControl w:val="0"/>
              <w:kinsoku/>
              <w:wordWrap/>
              <w:overflowPunct/>
              <w:topLinePunct w:val="0"/>
              <w:autoSpaceDE/>
              <w:autoSpaceDN/>
              <w:bidi w:val="0"/>
              <w:adjustRightInd w:val="0"/>
              <w:snapToGrid w:val="0"/>
              <w:spacing w:line="276" w:lineRule="auto"/>
              <w:ind w:firstLine="0" w:firstLineChars="0"/>
              <w:jc w:val="center"/>
              <w:textAlignment w:val="auto"/>
              <w:rPr>
                <w:rFonts w:hint="default" w:eastAsia="宋体"/>
                <w:b/>
                <w:bCs/>
                <w:color w:val="000000" w:themeColor="text1"/>
                <w:sz w:val="24"/>
                <w:szCs w:val="21"/>
                <w:vertAlign w:val="baseline"/>
                <w:lang w:val="en-US" w:eastAsia="zh-CN"/>
                <w14:textFill>
                  <w14:solidFill>
                    <w14:schemeClr w14:val="tx1"/>
                  </w14:solidFill>
                </w14:textFill>
              </w:rPr>
            </w:pPr>
            <w:r>
              <w:rPr>
                <w:rFonts w:hint="eastAsia"/>
                <w:b/>
                <w:bCs/>
                <w:color w:val="000000" w:themeColor="text1"/>
                <w:sz w:val="24"/>
                <w:szCs w:val="21"/>
                <w:lang w:val="en-US" w:eastAsia="zh-CN"/>
                <w14:textFill>
                  <w14:solidFill>
                    <w14:schemeClr w14:val="tx1"/>
                  </w14:solidFill>
                </w14:textFill>
              </w:rPr>
              <w:t xml:space="preserve">表4-1  </w:t>
            </w:r>
            <w:r>
              <w:rPr>
                <w:rFonts w:hint="eastAsia"/>
                <w:b/>
                <w:bCs/>
                <w:color w:val="000000" w:themeColor="text1"/>
                <w:sz w:val="24"/>
                <w:lang w:val="en-US" w:eastAsia="zh-CN"/>
                <w14:textFill>
                  <w14:solidFill>
                    <w14:schemeClr w14:val="tx1"/>
                  </w14:solidFill>
                </w14:textFill>
              </w:rPr>
              <w:t>废气产排污节点、污染物及污染防治设施信息表</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684"/>
              <w:gridCol w:w="708"/>
              <w:gridCol w:w="708"/>
              <w:gridCol w:w="584"/>
              <w:gridCol w:w="723"/>
              <w:gridCol w:w="723"/>
              <w:gridCol w:w="814"/>
              <w:gridCol w:w="588"/>
              <w:gridCol w:w="767"/>
              <w:gridCol w:w="723"/>
              <w:gridCol w:w="723"/>
            </w:tblGrid>
            <w:tr w14:paraId="5220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dxa"/>
                  <w:vMerge w:val="restart"/>
                  <w:vAlign w:val="center"/>
                </w:tcPr>
                <w:p w14:paraId="08A97326">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产污设施编号</w:t>
                  </w:r>
                </w:p>
              </w:tc>
              <w:tc>
                <w:tcPr>
                  <w:tcW w:w="684" w:type="dxa"/>
                  <w:vMerge w:val="restart"/>
                  <w:vAlign w:val="center"/>
                </w:tcPr>
                <w:p w14:paraId="42234827">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产污设施名称</w:t>
                  </w:r>
                </w:p>
              </w:tc>
              <w:tc>
                <w:tcPr>
                  <w:tcW w:w="708" w:type="dxa"/>
                  <w:vMerge w:val="restart"/>
                  <w:vAlign w:val="center"/>
                </w:tcPr>
                <w:p w14:paraId="6A8787D6">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对应产污节点名称</w:t>
                  </w:r>
                </w:p>
              </w:tc>
              <w:tc>
                <w:tcPr>
                  <w:tcW w:w="708" w:type="dxa"/>
                  <w:vMerge w:val="restart"/>
                  <w:vAlign w:val="center"/>
                </w:tcPr>
                <w:p w14:paraId="120C02E6">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污染物种类</w:t>
                  </w:r>
                </w:p>
              </w:tc>
              <w:tc>
                <w:tcPr>
                  <w:tcW w:w="584" w:type="dxa"/>
                  <w:vMerge w:val="restart"/>
                  <w:vAlign w:val="center"/>
                </w:tcPr>
                <w:p w14:paraId="03A77F40">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排放形式</w:t>
                  </w:r>
                </w:p>
              </w:tc>
              <w:tc>
                <w:tcPr>
                  <w:tcW w:w="2848" w:type="dxa"/>
                  <w:gridSpan w:val="4"/>
                  <w:vAlign w:val="center"/>
                </w:tcPr>
                <w:p w14:paraId="0E8E0C15">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污染治理设施</w:t>
                  </w:r>
                </w:p>
              </w:tc>
              <w:tc>
                <w:tcPr>
                  <w:tcW w:w="767" w:type="dxa"/>
                  <w:vMerge w:val="restart"/>
                  <w:vAlign w:val="center"/>
                </w:tcPr>
                <w:p w14:paraId="76CED3C2">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有组织排放口编号</w:t>
                  </w:r>
                </w:p>
              </w:tc>
              <w:tc>
                <w:tcPr>
                  <w:tcW w:w="723" w:type="dxa"/>
                  <w:vMerge w:val="restart"/>
                  <w:vAlign w:val="center"/>
                </w:tcPr>
                <w:p w14:paraId="0AD97DCE">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有组织排放口名称</w:t>
                  </w:r>
                </w:p>
              </w:tc>
              <w:tc>
                <w:tcPr>
                  <w:tcW w:w="723" w:type="dxa"/>
                  <w:vMerge w:val="restart"/>
                  <w:vAlign w:val="center"/>
                </w:tcPr>
                <w:p w14:paraId="117D9CA1">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排放口类型</w:t>
                  </w:r>
                </w:p>
              </w:tc>
            </w:tr>
            <w:tr w14:paraId="0318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dxa"/>
                  <w:vMerge w:val="continue"/>
                  <w:vAlign w:val="center"/>
                </w:tcPr>
                <w:p w14:paraId="3E2D8DC0">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684" w:type="dxa"/>
                  <w:vMerge w:val="continue"/>
                  <w:vAlign w:val="center"/>
                </w:tcPr>
                <w:p w14:paraId="35883BF8">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08" w:type="dxa"/>
                  <w:vMerge w:val="continue"/>
                  <w:vAlign w:val="center"/>
                </w:tcPr>
                <w:p w14:paraId="79DFB4D9">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08" w:type="dxa"/>
                  <w:vMerge w:val="continue"/>
                  <w:vAlign w:val="center"/>
                </w:tcPr>
                <w:p w14:paraId="7D15A428">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584" w:type="dxa"/>
                  <w:vMerge w:val="continue"/>
                  <w:vAlign w:val="center"/>
                </w:tcPr>
                <w:p w14:paraId="490D7F4E">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Align w:val="center"/>
                </w:tcPr>
                <w:p w14:paraId="7D9BF133">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污染治理设施编号</w:t>
                  </w:r>
                </w:p>
              </w:tc>
              <w:tc>
                <w:tcPr>
                  <w:tcW w:w="723" w:type="dxa"/>
                  <w:vAlign w:val="center"/>
                </w:tcPr>
                <w:p w14:paraId="7CDF083F">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污染治理设施名称</w:t>
                  </w:r>
                </w:p>
              </w:tc>
              <w:tc>
                <w:tcPr>
                  <w:tcW w:w="814" w:type="dxa"/>
                  <w:vAlign w:val="center"/>
                </w:tcPr>
                <w:p w14:paraId="34938A23">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污染治理设施工艺</w:t>
                  </w:r>
                </w:p>
              </w:tc>
              <w:tc>
                <w:tcPr>
                  <w:tcW w:w="588" w:type="dxa"/>
                  <w:vAlign w:val="center"/>
                </w:tcPr>
                <w:p w14:paraId="0CFE68DC">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是否为可行技术</w:t>
                  </w:r>
                </w:p>
              </w:tc>
              <w:tc>
                <w:tcPr>
                  <w:tcW w:w="767" w:type="dxa"/>
                  <w:vMerge w:val="continue"/>
                  <w:vAlign w:val="center"/>
                </w:tcPr>
                <w:p w14:paraId="73096D53">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4B6E1451">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08D4E8F2">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r>
            <w:tr w14:paraId="22500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dxa"/>
                  <w:vAlign w:val="center"/>
                </w:tcPr>
                <w:p w14:paraId="751AA01C">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MF001</w:t>
                  </w:r>
                </w:p>
              </w:tc>
              <w:tc>
                <w:tcPr>
                  <w:tcW w:w="684" w:type="dxa"/>
                  <w:vAlign w:val="center"/>
                </w:tcPr>
                <w:p w14:paraId="36B1E8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原料堆场</w:t>
                  </w:r>
                </w:p>
              </w:tc>
              <w:tc>
                <w:tcPr>
                  <w:tcW w:w="708" w:type="dxa"/>
                  <w:vAlign w:val="center"/>
                </w:tcPr>
                <w:p w14:paraId="432D1AB4">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堆场</w:t>
                  </w:r>
                </w:p>
              </w:tc>
              <w:tc>
                <w:tcPr>
                  <w:tcW w:w="708" w:type="dxa"/>
                  <w:vAlign w:val="center"/>
                </w:tcPr>
                <w:p w14:paraId="426F776F">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颗粒物</w:t>
                  </w:r>
                </w:p>
              </w:tc>
              <w:tc>
                <w:tcPr>
                  <w:tcW w:w="584" w:type="dxa"/>
                  <w:vAlign w:val="center"/>
                </w:tcPr>
                <w:p w14:paraId="78D2976E">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无组织</w:t>
                  </w:r>
                </w:p>
              </w:tc>
              <w:tc>
                <w:tcPr>
                  <w:tcW w:w="723" w:type="dxa"/>
                  <w:vAlign w:val="center"/>
                </w:tcPr>
                <w:p w14:paraId="708C4015">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w:t>
                  </w:r>
                </w:p>
              </w:tc>
              <w:tc>
                <w:tcPr>
                  <w:tcW w:w="723" w:type="dxa"/>
                  <w:vAlign w:val="center"/>
                </w:tcPr>
                <w:p w14:paraId="26851AF0">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半封闭围挡+喷雾除尘</w:t>
                  </w:r>
                </w:p>
              </w:tc>
              <w:tc>
                <w:tcPr>
                  <w:tcW w:w="814" w:type="dxa"/>
                  <w:vAlign w:val="center"/>
                </w:tcPr>
                <w:p w14:paraId="4DE7EB48">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半封闭料场</w:t>
                  </w:r>
                </w:p>
              </w:tc>
              <w:tc>
                <w:tcPr>
                  <w:tcW w:w="588" w:type="dxa"/>
                  <w:vAlign w:val="center"/>
                </w:tcPr>
                <w:p w14:paraId="7115BA8A">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是</w:t>
                  </w:r>
                </w:p>
              </w:tc>
              <w:tc>
                <w:tcPr>
                  <w:tcW w:w="767" w:type="dxa"/>
                  <w:vAlign w:val="center"/>
                </w:tcPr>
                <w:p w14:paraId="7F56D9E2">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w:t>
                  </w:r>
                </w:p>
              </w:tc>
              <w:tc>
                <w:tcPr>
                  <w:tcW w:w="723" w:type="dxa"/>
                  <w:vAlign w:val="center"/>
                </w:tcPr>
                <w:p w14:paraId="41123D72">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w:t>
                  </w:r>
                </w:p>
              </w:tc>
              <w:tc>
                <w:tcPr>
                  <w:tcW w:w="723" w:type="dxa"/>
                  <w:vAlign w:val="center"/>
                </w:tcPr>
                <w:p w14:paraId="76B60185">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w:t>
                  </w:r>
                </w:p>
              </w:tc>
            </w:tr>
            <w:tr w14:paraId="7B0E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dxa"/>
                  <w:vAlign w:val="center"/>
                </w:tcPr>
                <w:p w14:paraId="3A5C6A36">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MF002</w:t>
                  </w:r>
                </w:p>
              </w:tc>
              <w:tc>
                <w:tcPr>
                  <w:tcW w:w="684" w:type="dxa"/>
                  <w:vAlign w:val="center"/>
                </w:tcPr>
                <w:p w14:paraId="3C8E32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风选粉碎机</w:t>
                  </w:r>
                </w:p>
              </w:tc>
              <w:tc>
                <w:tcPr>
                  <w:tcW w:w="708" w:type="dxa"/>
                  <w:vAlign w:val="center"/>
                </w:tcPr>
                <w:p w14:paraId="7467B75E">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破碎</w:t>
                  </w:r>
                </w:p>
              </w:tc>
              <w:tc>
                <w:tcPr>
                  <w:tcW w:w="708" w:type="dxa"/>
                  <w:vMerge w:val="restart"/>
                  <w:vAlign w:val="center"/>
                </w:tcPr>
                <w:p w14:paraId="231EE0FA">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颗粒物</w:t>
                  </w:r>
                </w:p>
              </w:tc>
              <w:tc>
                <w:tcPr>
                  <w:tcW w:w="584" w:type="dxa"/>
                  <w:vMerge w:val="restart"/>
                  <w:vAlign w:val="center"/>
                </w:tcPr>
                <w:p w14:paraId="44F415BF">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有组织</w:t>
                  </w:r>
                </w:p>
                <w:p w14:paraId="17602BDC">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有</w:t>
                  </w:r>
                </w:p>
              </w:tc>
              <w:tc>
                <w:tcPr>
                  <w:tcW w:w="723" w:type="dxa"/>
                  <w:vMerge w:val="restart"/>
                  <w:vAlign w:val="center"/>
                </w:tcPr>
                <w:p w14:paraId="51DBB603">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TA001</w:t>
                  </w:r>
                </w:p>
              </w:tc>
              <w:tc>
                <w:tcPr>
                  <w:tcW w:w="723" w:type="dxa"/>
                  <w:vMerge w:val="restart"/>
                  <w:vAlign w:val="center"/>
                </w:tcPr>
                <w:p w14:paraId="1224A93F">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脉冲</w:t>
                  </w:r>
                  <w:r>
                    <w:rPr>
                      <w:rFonts w:hint="eastAsia" w:cs="Times New Roman" w:eastAsiaTheme="minorEastAsia"/>
                      <w:b w:val="0"/>
                      <w:bCs w:val="0"/>
                      <w:color w:val="000000" w:themeColor="text1"/>
                      <w:sz w:val="21"/>
                      <w:szCs w:val="21"/>
                      <w:vertAlign w:val="baseline"/>
                      <w:lang w:val="en-US" w:eastAsia="zh-CN"/>
                      <w14:textFill>
                        <w14:solidFill>
                          <w14:schemeClr w14:val="tx1"/>
                        </w14:solidFill>
                      </w14:textFill>
                    </w:rPr>
                    <w:t>袋式</w:t>
                  </w: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除尘器</w:t>
                  </w:r>
                </w:p>
              </w:tc>
              <w:tc>
                <w:tcPr>
                  <w:tcW w:w="814" w:type="dxa"/>
                  <w:vMerge w:val="restart"/>
                  <w:vAlign w:val="center"/>
                </w:tcPr>
                <w:p w14:paraId="301EB4C1">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袋式除尘</w:t>
                  </w:r>
                </w:p>
              </w:tc>
              <w:tc>
                <w:tcPr>
                  <w:tcW w:w="588" w:type="dxa"/>
                  <w:vMerge w:val="restart"/>
                  <w:vAlign w:val="center"/>
                </w:tcPr>
                <w:p w14:paraId="37670D44">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是</w:t>
                  </w:r>
                </w:p>
              </w:tc>
              <w:tc>
                <w:tcPr>
                  <w:tcW w:w="767" w:type="dxa"/>
                  <w:vMerge w:val="restart"/>
                  <w:vAlign w:val="center"/>
                </w:tcPr>
                <w:p w14:paraId="47626589">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DA00</w:t>
                  </w:r>
                  <w:r>
                    <w:rPr>
                      <w:rFonts w:hint="eastAsia" w:cs="Times New Roman" w:eastAsiaTheme="minorEastAsia"/>
                      <w:b w:val="0"/>
                      <w:bCs w:val="0"/>
                      <w:color w:val="000000" w:themeColor="text1"/>
                      <w:sz w:val="21"/>
                      <w:szCs w:val="21"/>
                      <w:vertAlign w:val="baseline"/>
                      <w:lang w:val="en-US" w:eastAsia="zh-CN"/>
                      <w14:textFill>
                        <w14:solidFill>
                          <w14:schemeClr w14:val="tx1"/>
                        </w14:solidFill>
                      </w14:textFill>
                    </w:rPr>
                    <w:t>2</w:t>
                  </w:r>
                </w:p>
              </w:tc>
              <w:tc>
                <w:tcPr>
                  <w:tcW w:w="723" w:type="dxa"/>
                  <w:vMerge w:val="restart"/>
                  <w:vAlign w:val="center"/>
                </w:tcPr>
                <w:p w14:paraId="6E047238">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原料制备排放口</w:t>
                  </w:r>
                </w:p>
              </w:tc>
              <w:tc>
                <w:tcPr>
                  <w:tcW w:w="723" w:type="dxa"/>
                  <w:vMerge w:val="restart"/>
                  <w:vAlign w:val="center"/>
                </w:tcPr>
                <w:p w14:paraId="33A8ECDD">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一般排放口</w:t>
                  </w:r>
                </w:p>
              </w:tc>
            </w:tr>
            <w:tr w14:paraId="4E93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dxa"/>
                  <w:vAlign w:val="center"/>
                </w:tcPr>
                <w:p w14:paraId="491AF198">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MF003</w:t>
                  </w:r>
                </w:p>
              </w:tc>
              <w:tc>
                <w:tcPr>
                  <w:tcW w:w="684" w:type="dxa"/>
                  <w:vAlign w:val="center"/>
                </w:tcPr>
                <w:p w14:paraId="72C42D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筛分机</w:t>
                  </w:r>
                </w:p>
              </w:tc>
              <w:tc>
                <w:tcPr>
                  <w:tcW w:w="708" w:type="dxa"/>
                  <w:vAlign w:val="center"/>
                </w:tcPr>
                <w:p w14:paraId="3852CC92">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筛分</w:t>
                  </w:r>
                </w:p>
              </w:tc>
              <w:tc>
                <w:tcPr>
                  <w:tcW w:w="708" w:type="dxa"/>
                  <w:vMerge w:val="continue"/>
                  <w:vAlign w:val="center"/>
                </w:tcPr>
                <w:p w14:paraId="2D2AC6AA">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584" w:type="dxa"/>
                  <w:vMerge w:val="continue"/>
                  <w:vAlign w:val="center"/>
                </w:tcPr>
                <w:p w14:paraId="1B58CEC1">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38D0E437">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7EA4AEE9">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814" w:type="dxa"/>
                  <w:vMerge w:val="continue"/>
                  <w:vAlign w:val="center"/>
                </w:tcPr>
                <w:p w14:paraId="069AD062">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588" w:type="dxa"/>
                  <w:vMerge w:val="continue"/>
                  <w:vAlign w:val="center"/>
                </w:tcPr>
                <w:p w14:paraId="180E1129">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67" w:type="dxa"/>
                  <w:vMerge w:val="continue"/>
                  <w:vAlign w:val="center"/>
                </w:tcPr>
                <w:p w14:paraId="0D346D43">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72EADE8B">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035255EE">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r>
            <w:tr w14:paraId="01A2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dxa"/>
                  <w:vAlign w:val="center"/>
                </w:tcPr>
                <w:p w14:paraId="4CBE8898">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MF004</w:t>
                  </w:r>
                </w:p>
              </w:tc>
              <w:tc>
                <w:tcPr>
                  <w:tcW w:w="684" w:type="dxa"/>
                  <w:vAlign w:val="center"/>
                </w:tcPr>
                <w:p w14:paraId="079A23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粉磨机</w:t>
                  </w:r>
                </w:p>
              </w:tc>
              <w:tc>
                <w:tcPr>
                  <w:tcW w:w="708" w:type="dxa"/>
                  <w:vAlign w:val="center"/>
                </w:tcPr>
                <w:p w14:paraId="3E8CC8C6">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粉磨</w:t>
                  </w:r>
                </w:p>
              </w:tc>
              <w:tc>
                <w:tcPr>
                  <w:tcW w:w="708" w:type="dxa"/>
                  <w:vMerge w:val="continue"/>
                  <w:vAlign w:val="center"/>
                </w:tcPr>
                <w:p w14:paraId="494B176B">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584" w:type="dxa"/>
                  <w:vMerge w:val="continue"/>
                  <w:vAlign w:val="center"/>
                </w:tcPr>
                <w:p w14:paraId="4276A5C9">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1C6BD419">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5F24C00B">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814" w:type="dxa"/>
                  <w:vMerge w:val="continue"/>
                  <w:vAlign w:val="center"/>
                </w:tcPr>
                <w:p w14:paraId="119F5C2B">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588" w:type="dxa"/>
                  <w:vMerge w:val="continue"/>
                  <w:vAlign w:val="center"/>
                </w:tcPr>
                <w:p w14:paraId="455BF9BD">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67" w:type="dxa"/>
                  <w:vMerge w:val="continue"/>
                  <w:vAlign w:val="center"/>
                </w:tcPr>
                <w:p w14:paraId="0F49E1C5">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5EE2EF7E">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1EE3344F">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r>
            <w:tr w14:paraId="40359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dxa"/>
                  <w:vAlign w:val="center"/>
                </w:tcPr>
                <w:p w14:paraId="62F303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MF011</w:t>
                  </w:r>
                </w:p>
              </w:tc>
              <w:tc>
                <w:tcPr>
                  <w:tcW w:w="684" w:type="dxa"/>
                  <w:vAlign w:val="center"/>
                </w:tcPr>
                <w:p w14:paraId="5FE061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1#仿古窑</w:t>
                  </w:r>
                </w:p>
              </w:tc>
              <w:tc>
                <w:tcPr>
                  <w:tcW w:w="708" w:type="dxa"/>
                  <w:vMerge w:val="restart"/>
                  <w:vAlign w:val="center"/>
                </w:tcPr>
                <w:p w14:paraId="13DF5F34">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窑烧成</w:t>
                  </w:r>
                </w:p>
                <w:p w14:paraId="5C113D7C">
                  <w:pPr>
                    <w:keepNext w:val="0"/>
                    <w:keepLines w:val="0"/>
                    <w:pageBreakBefore w:val="0"/>
                    <w:widowControl w:val="0"/>
                    <w:kinsoku/>
                    <w:wordWrap/>
                    <w:overflowPunct/>
                    <w:topLinePunct w:val="0"/>
                    <w:autoSpaceDE/>
                    <w:autoSpaceDN/>
                    <w:bidi w:val="0"/>
                    <w:adjustRightInd w:val="0"/>
                    <w:snapToGrid w:val="0"/>
                    <w:spacing w:line="276" w:lineRule="auto"/>
                    <w:jc w:val="both"/>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08" w:type="dxa"/>
                  <w:vAlign w:val="center"/>
                </w:tcPr>
                <w:p w14:paraId="35002055">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颗粒物</w:t>
                  </w:r>
                </w:p>
              </w:tc>
              <w:tc>
                <w:tcPr>
                  <w:tcW w:w="584" w:type="dxa"/>
                  <w:vMerge w:val="restart"/>
                  <w:vAlign w:val="center"/>
                </w:tcPr>
                <w:p w14:paraId="4F7BD193">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有组织</w:t>
                  </w:r>
                </w:p>
              </w:tc>
              <w:tc>
                <w:tcPr>
                  <w:tcW w:w="723" w:type="dxa"/>
                  <w:vAlign w:val="center"/>
                </w:tcPr>
                <w:p w14:paraId="2F128069">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TA002</w:t>
                  </w:r>
                </w:p>
              </w:tc>
              <w:tc>
                <w:tcPr>
                  <w:tcW w:w="723" w:type="dxa"/>
                  <w:vAlign w:val="center"/>
                </w:tcPr>
                <w:p w14:paraId="1367EE64">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脉冲</w:t>
                  </w:r>
                  <w:r>
                    <w:rPr>
                      <w:rFonts w:hint="eastAsia" w:cs="Times New Roman" w:eastAsiaTheme="minorEastAsia"/>
                      <w:b w:val="0"/>
                      <w:bCs w:val="0"/>
                      <w:color w:val="000000" w:themeColor="text1"/>
                      <w:sz w:val="21"/>
                      <w:szCs w:val="21"/>
                      <w:vertAlign w:val="baseline"/>
                      <w:lang w:val="en-US" w:eastAsia="zh-CN"/>
                      <w14:textFill>
                        <w14:solidFill>
                          <w14:schemeClr w14:val="tx1"/>
                        </w14:solidFill>
                      </w14:textFill>
                    </w:rPr>
                    <w:t>袋式</w:t>
                  </w: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除尘器</w:t>
                  </w:r>
                </w:p>
              </w:tc>
              <w:tc>
                <w:tcPr>
                  <w:tcW w:w="814" w:type="dxa"/>
                  <w:vAlign w:val="center"/>
                </w:tcPr>
                <w:p w14:paraId="59BE89AA">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袋式除尘</w:t>
                  </w:r>
                </w:p>
              </w:tc>
              <w:tc>
                <w:tcPr>
                  <w:tcW w:w="588" w:type="dxa"/>
                  <w:vAlign w:val="center"/>
                </w:tcPr>
                <w:p w14:paraId="21F50A80">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是</w:t>
                  </w:r>
                </w:p>
              </w:tc>
              <w:tc>
                <w:tcPr>
                  <w:tcW w:w="767" w:type="dxa"/>
                  <w:vMerge w:val="restart"/>
                  <w:vAlign w:val="center"/>
                </w:tcPr>
                <w:p w14:paraId="65718AFC">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DA00</w:t>
                  </w:r>
                  <w:r>
                    <w:rPr>
                      <w:rFonts w:hint="eastAsia" w:cs="Times New Roman" w:eastAsiaTheme="minorEastAsia"/>
                      <w:b w:val="0"/>
                      <w:bCs w:val="0"/>
                      <w:color w:val="000000" w:themeColor="text1"/>
                      <w:sz w:val="21"/>
                      <w:szCs w:val="21"/>
                      <w:vertAlign w:val="baseline"/>
                      <w:lang w:val="en-US" w:eastAsia="zh-CN"/>
                      <w14:textFill>
                        <w14:solidFill>
                          <w14:schemeClr w14:val="tx1"/>
                        </w14:solidFill>
                      </w14:textFill>
                    </w:rPr>
                    <w:t>1</w:t>
                  </w:r>
                </w:p>
              </w:tc>
              <w:tc>
                <w:tcPr>
                  <w:tcW w:w="723" w:type="dxa"/>
                  <w:vMerge w:val="restart"/>
                  <w:vAlign w:val="center"/>
                </w:tcPr>
                <w:p w14:paraId="215FDC80">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窑烟囱</w:t>
                  </w:r>
                </w:p>
              </w:tc>
              <w:tc>
                <w:tcPr>
                  <w:tcW w:w="723" w:type="dxa"/>
                  <w:vMerge w:val="restart"/>
                  <w:vAlign w:val="center"/>
                </w:tcPr>
                <w:p w14:paraId="51CEEBFB">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一般排放口</w:t>
                  </w:r>
                </w:p>
              </w:tc>
            </w:tr>
            <w:tr w14:paraId="3E191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dxa"/>
                  <w:vAlign w:val="center"/>
                </w:tcPr>
                <w:p w14:paraId="50067D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MF012</w:t>
                  </w:r>
                </w:p>
              </w:tc>
              <w:tc>
                <w:tcPr>
                  <w:tcW w:w="684" w:type="dxa"/>
                  <w:vAlign w:val="center"/>
                </w:tcPr>
                <w:p w14:paraId="57589C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2#仿古窑</w:t>
                  </w:r>
                </w:p>
              </w:tc>
              <w:tc>
                <w:tcPr>
                  <w:tcW w:w="708" w:type="dxa"/>
                  <w:vMerge w:val="continue"/>
                  <w:vAlign w:val="center"/>
                </w:tcPr>
                <w:p w14:paraId="0747E89E">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08" w:type="dxa"/>
                  <w:vAlign w:val="center"/>
                </w:tcPr>
                <w:p w14:paraId="2BC2D14C">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二氧化硫</w:t>
                  </w:r>
                </w:p>
              </w:tc>
              <w:tc>
                <w:tcPr>
                  <w:tcW w:w="584" w:type="dxa"/>
                  <w:vMerge w:val="continue"/>
                  <w:vAlign w:val="center"/>
                </w:tcPr>
                <w:p w14:paraId="1AC5E883">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Align w:val="center"/>
                </w:tcPr>
                <w:p w14:paraId="0E7AE98C">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TA003</w:t>
                  </w:r>
                </w:p>
              </w:tc>
              <w:tc>
                <w:tcPr>
                  <w:tcW w:w="723" w:type="dxa"/>
                  <w:vAlign w:val="center"/>
                </w:tcPr>
                <w:p w14:paraId="536AAF1C">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脱硫塔</w:t>
                  </w:r>
                </w:p>
              </w:tc>
              <w:tc>
                <w:tcPr>
                  <w:tcW w:w="814" w:type="dxa"/>
                  <w:vAlign w:val="center"/>
                </w:tcPr>
                <w:p w14:paraId="1D578076">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石灰石-石膏法</w:t>
                  </w:r>
                  <w:r>
                    <w:rPr>
                      <w:rFonts w:hint="eastAsia" w:cs="Times New Roman" w:eastAsiaTheme="minorEastAsia"/>
                      <w:b w:val="0"/>
                      <w:bCs w:val="0"/>
                      <w:color w:val="000000" w:themeColor="text1"/>
                      <w:sz w:val="21"/>
                      <w:szCs w:val="21"/>
                      <w:vertAlign w:val="baseline"/>
                      <w:lang w:val="en-US" w:eastAsia="zh-CN"/>
                      <w14:textFill>
                        <w14:solidFill>
                          <w14:schemeClr w14:val="tx1"/>
                        </w14:solidFill>
                      </w14:textFill>
                    </w:rPr>
                    <w:t>湿法</w:t>
                  </w: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脱硫</w:t>
                  </w:r>
                </w:p>
              </w:tc>
              <w:tc>
                <w:tcPr>
                  <w:tcW w:w="588" w:type="dxa"/>
                  <w:vAlign w:val="center"/>
                </w:tcPr>
                <w:p w14:paraId="38486695">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是</w:t>
                  </w:r>
                </w:p>
              </w:tc>
              <w:tc>
                <w:tcPr>
                  <w:tcW w:w="767" w:type="dxa"/>
                  <w:vMerge w:val="continue"/>
                  <w:vAlign w:val="center"/>
                </w:tcPr>
                <w:p w14:paraId="7D3C7BB0">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6D7914DA">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5B3A22CA">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r>
            <w:tr w14:paraId="5BB9F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29" w:type="dxa"/>
                  <w:vAlign w:val="center"/>
                </w:tcPr>
                <w:p w14:paraId="603A34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MF013</w:t>
                  </w:r>
                </w:p>
              </w:tc>
              <w:tc>
                <w:tcPr>
                  <w:tcW w:w="684" w:type="dxa"/>
                  <w:vAlign w:val="center"/>
                </w:tcPr>
                <w:p w14:paraId="7C8969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3#仿古窑</w:t>
                  </w:r>
                </w:p>
              </w:tc>
              <w:tc>
                <w:tcPr>
                  <w:tcW w:w="708" w:type="dxa"/>
                  <w:vMerge w:val="continue"/>
                  <w:vAlign w:val="center"/>
                </w:tcPr>
                <w:p w14:paraId="5F98A746">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08" w:type="dxa"/>
                  <w:vMerge w:val="restart"/>
                  <w:vAlign w:val="center"/>
                </w:tcPr>
                <w:p w14:paraId="4D0BDB96">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氮氧化物</w:t>
                  </w:r>
                </w:p>
              </w:tc>
              <w:tc>
                <w:tcPr>
                  <w:tcW w:w="584" w:type="dxa"/>
                  <w:vMerge w:val="continue"/>
                  <w:vAlign w:val="center"/>
                </w:tcPr>
                <w:p w14:paraId="65173F27">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restart"/>
                  <w:vAlign w:val="center"/>
                </w:tcPr>
                <w:p w14:paraId="6AAACCF5">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w:t>
                  </w:r>
                </w:p>
              </w:tc>
              <w:tc>
                <w:tcPr>
                  <w:tcW w:w="723" w:type="dxa"/>
                  <w:vMerge w:val="restart"/>
                  <w:vAlign w:val="center"/>
                </w:tcPr>
                <w:p w14:paraId="7BDFD5F4">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w:t>
                  </w:r>
                </w:p>
              </w:tc>
              <w:tc>
                <w:tcPr>
                  <w:tcW w:w="814" w:type="dxa"/>
                  <w:vMerge w:val="restart"/>
                  <w:vAlign w:val="center"/>
                </w:tcPr>
                <w:p w14:paraId="20FCCCED">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w:t>
                  </w:r>
                </w:p>
              </w:tc>
              <w:tc>
                <w:tcPr>
                  <w:tcW w:w="588" w:type="dxa"/>
                  <w:vMerge w:val="restart"/>
                  <w:vAlign w:val="center"/>
                </w:tcPr>
                <w:p w14:paraId="54C3D4B0">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w:t>
                  </w:r>
                </w:p>
              </w:tc>
              <w:tc>
                <w:tcPr>
                  <w:tcW w:w="767" w:type="dxa"/>
                  <w:vMerge w:val="continue"/>
                  <w:vAlign w:val="center"/>
                </w:tcPr>
                <w:p w14:paraId="67EF36CE">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1B44DDDC">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5D344A8B">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r>
            <w:tr w14:paraId="4B370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dxa"/>
                  <w:vAlign w:val="center"/>
                </w:tcPr>
                <w:p w14:paraId="5BB46E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MF014</w:t>
                  </w:r>
                </w:p>
              </w:tc>
              <w:tc>
                <w:tcPr>
                  <w:tcW w:w="684" w:type="dxa"/>
                  <w:vAlign w:val="center"/>
                </w:tcPr>
                <w:p w14:paraId="5D9BA8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4#仿古窑</w:t>
                  </w:r>
                </w:p>
              </w:tc>
              <w:tc>
                <w:tcPr>
                  <w:tcW w:w="708" w:type="dxa"/>
                  <w:vMerge w:val="continue"/>
                  <w:vAlign w:val="center"/>
                </w:tcPr>
                <w:p w14:paraId="3B2811D8">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08" w:type="dxa"/>
                  <w:vMerge w:val="continue"/>
                  <w:vAlign w:val="center"/>
                </w:tcPr>
                <w:p w14:paraId="4A0EF55D">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584" w:type="dxa"/>
                  <w:vMerge w:val="continue"/>
                  <w:vAlign w:val="center"/>
                </w:tcPr>
                <w:p w14:paraId="2FC8583B">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261D6AF7">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7D82696A">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814" w:type="dxa"/>
                  <w:vMerge w:val="continue"/>
                  <w:vAlign w:val="center"/>
                </w:tcPr>
                <w:p w14:paraId="07E1C2AC">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588" w:type="dxa"/>
                  <w:vMerge w:val="continue"/>
                  <w:vAlign w:val="center"/>
                </w:tcPr>
                <w:p w14:paraId="101B135B">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67" w:type="dxa"/>
                  <w:vMerge w:val="continue"/>
                  <w:vAlign w:val="center"/>
                </w:tcPr>
                <w:p w14:paraId="591A8691">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0120926E">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6291B044">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r>
            <w:tr w14:paraId="0D4B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dxa"/>
                  <w:vAlign w:val="center"/>
                </w:tcPr>
                <w:p w14:paraId="252DF3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MF015</w:t>
                  </w:r>
                </w:p>
              </w:tc>
              <w:tc>
                <w:tcPr>
                  <w:tcW w:w="684" w:type="dxa"/>
                  <w:vAlign w:val="center"/>
                </w:tcPr>
                <w:p w14:paraId="390785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5#仿古窑</w:t>
                  </w:r>
                </w:p>
              </w:tc>
              <w:tc>
                <w:tcPr>
                  <w:tcW w:w="708" w:type="dxa"/>
                  <w:vMerge w:val="continue"/>
                  <w:vAlign w:val="center"/>
                </w:tcPr>
                <w:p w14:paraId="0B5D0BD7">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08" w:type="dxa"/>
                  <w:vMerge w:val="restart"/>
                  <w:vAlign w:val="center"/>
                </w:tcPr>
                <w:p w14:paraId="266E865F">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氟化物</w:t>
                  </w:r>
                </w:p>
              </w:tc>
              <w:tc>
                <w:tcPr>
                  <w:tcW w:w="584" w:type="dxa"/>
                  <w:vMerge w:val="continue"/>
                  <w:vAlign w:val="center"/>
                </w:tcPr>
                <w:p w14:paraId="07C1F697">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restart"/>
                  <w:vAlign w:val="center"/>
                </w:tcPr>
                <w:p w14:paraId="126126F9">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w:t>
                  </w:r>
                </w:p>
              </w:tc>
              <w:tc>
                <w:tcPr>
                  <w:tcW w:w="723" w:type="dxa"/>
                  <w:vMerge w:val="restart"/>
                  <w:vAlign w:val="center"/>
                </w:tcPr>
                <w:p w14:paraId="07348E9E">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w:t>
                  </w:r>
                </w:p>
              </w:tc>
              <w:tc>
                <w:tcPr>
                  <w:tcW w:w="814" w:type="dxa"/>
                  <w:vMerge w:val="restart"/>
                  <w:vAlign w:val="center"/>
                </w:tcPr>
                <w:p w14:paraId="081F0E42">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w:t>
                  </w:r>
                </w:p>
              </w:tc>
              <w:tc>
                <w:tcPr>
                  <w:tcW w:w="588" w:type="dxa"/>
                  <w:vMerge w:val="restart"/>
                  <w:vAlign w:val="center"/>
                </w:tcPr>
                <w:p w14:paraId="538F540A">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w:t>
                  </w:r>
                </w:p>
              </w:tc>
              <w:tc>
                <w:tcPr>
                  <w:tcW w:w="767" w:type="dxa"/>
                  <w:vMerge w:val="continue"/>
                  <w:vAlign w:val="center"/>
                </w:tcPr>
                <w:p w14:paraId="17F688BB">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769E442E">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18E0BC6D">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r>
            <w:tr w14:paraId="2C76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dxa"/>
                  <w:vAlign w:val="center"/>
                </w:tcPr>
                <w:p w14:paraId="2DDE6E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MF016</w:t>
                  </w:r>
                </w:p>
              </w:tc>
              <w:tc>
                <w:tcPr>
                  <w:tcW w:w="684" w:type="dxa"/>
                  <w:vAlign w:val="center"/>
                </w:tcPr>
                <w:p w14:paraId="186F85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vertAlign w:val="baseline"/>
                      <w:lang w:val="en-US" w:eastAsia="zh-CN"/>
                      <w14:textFill>
                        <w14:solidFill>
                          <w14:schemeClr w14:val="tx1"/>
                        </w14:solidFill>
                      </w14:textFill>
                    </w:rPr>
                    <w:t>6#仿古窑</w:t>
                  </w:r>
                </w:p>
              </w:tc>
              <w:tc>
                <w:tcPr>
                  <w:tcW w:w="708" w:type="dxa"/>
                  <w:vMerge w:val="continue"/>
                  <w:vAlign w:val="center"/>
                </w:tcPr>
                <w:p w14:paraId="7A3B05BB">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08" w:type="dxa"/>
                  <w:vMerge w:val="continue"/>
                  <w:vAlign w:val="center"/>
                </w:tcPr>
                <w:p w14:paraId="1D43586C">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584" w:type="dxa"/>
                  <w:vMerge w:val="continue"/>
                  <w:vAlign w:val="center"/>
                </w:tcPr>
                <w:p w14:paraId="4D1D617F">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3665392E">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397C6424">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814" w:type="dxa"/>
                  <w:vMerge w:val="continue"/>
                  <w:vAlign w:val="center"/>
                </w:tcPr>
                <w:p w14:paraId="3C1CA04C">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588" w:type="dxa"/>
                  <w:vMerge w:val="continue"/>
                  <w:vAlign w:val="center"/>
                </w:tcPr>
                <w:p w14:paraId="0828BDA8">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67" w:type="dxa"/>
                  <w:vMerge w:val="continue"/>
                  <w:vAlign w:val="center"/>
                </w:tcPr>
                <w:p w14:paraId="176A0B4E">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771A42AC">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723" w:type="dxa"/>
                  <w:vMerge w:val="continue"/>
                  <w:vAlign w:val="center"/>
                </w:tcPr>
                <w:p w14:paraId="19CA5FB4">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r>
          </w:tbl>
          <w:p w14:paraId="77A9D735">
            <w:pPr>
              <w:adjustRightInd w:val="0"/>
              <w:snapToGrid w:val="0"/>
              <w:spacing w:line="360" w:lineRule="auto"/>
              <w:ind w:firstLine="482" w:firstLineChars="200"/>
              <w:rPr>
                <w:rFonts w:hint="default"/>
                <w:b/>
                <w:bCs/>
                <w:color w:val="000000" w:themeColor="text1"/>
                <w:sz w:val="24"/>
                <w:shd w:val="clear" w:color="auto" w:fill="FFFFFF"/>
                <w:lang w:val="en-US" w:eastAsia="zh-CN"/>
                <w14:textFill>
                  <w14:solidFill>
                    <w14:schemeClr w14:val="tx1"/>
                  </w14:solidFill>
                </w14:textFill>
              </w:rPr>
            </w:pPr>
            <w:r>
              <w:rPr>
                <w:rFonts w:hint="eastAsia"/>
                <w:b/>
                <w:bCs/>
                <w:color w:val="000000" w:themeColor="text1"/>
                <w:sz w:val="24"/>
                <w:shd w:val="clear" w:color="auto" w:fill="FFFFFF"/>
                <w:lang w:val="en-US" w:eastAsia="zh-CN"/>
                <w14:textFill>
                  <w14:solidFill>
                    <w14:schemeClr w14:val="tx1"/>
                  </w14:solidFill>
                </w14:textFill>
              </w:rPr>
              <w:t>1.2污染物核算及达标排放分析</w:t>
            </w:r>
          </w:p>
          <w:p w14:paraId="76ED5EDA">
            <w:pPr>
              <w:adjustRightInd w:val="0"/>
              <w:snapToGrid w:val="0"/>
              <w:spacing w:line="360" w:lineRule="auto"/>
              <w:ind w:firstLine="482" w:firstLineChars="200"/>
              <w:rPr>
                <w:rFonts w:hint="default"/>
                <w:b/>
                <w:bCs/>
                <w:color w:val="000000" w:themeColor="text1"/>
                <w:sz w:val="24"/>
                <w:lang w:val="en-US" w:eastAsia="zh-CN"/>
                <w14:textFill>
                  <w14:solidFill>
                    <w14:schemeClr w14:val="tx1"/>
                  </w14:solidFill>
                </w14:textFill>
              </w:rPr>
            </w:pPr>
            <w:r>
              <w:rPr>
                <w:rFonts w:hint="eastAsia"/>
                <w:b/>
                <w:bCs/>
                <w:color w:val="000000" w:themeColor="text1"/>
                <w:sz w:val="24"/>
                <w:lang w:val="en-US" w:eastAsia="zh-CN"/>
                <w14:textFill>
                  <w14:solidFill>
                    <w14:schemeClr w14:val="tx1"/>
                  </w14:solidFill>
                </w14:textFill>
              </w:rPr>
              <w:t>1.2.1有组织废气</w:t>
            </w:r>
          </w:p>
          <w:p w14:paraId="2BA2BE3B">
            <w:pPr>
              <w:adjustRightInd w:val="0"/>
              <w:snapToGrid w:val="0"/>
              <w:spacing w:line="360" w:lineRule="auto"/>
              <w:ind w:firstLine="482" w:firstLineChars="200"/>
              <w:rPr>
                <w:rFonts w:hint="default"/>
                <w:b/>
                <w:bCs/>
                <w:color w:val="000000" w:themeColor="text1"/>
                <w:sz w:val="24"/>
                <w:lang w:val="en-US" w:eastAsia="zh-CN"/>
                <w14:textFill>
                  <w14:solidFill>
                    <w14:schemeClr w14:val="tx1"/>
                  </w14:solidFill>
                </w14:textFill>
              </w:rPr>
            </w:pPr>
            <w:r>
              <w:rPr>
                <w:rFonts w:hint="eastAsia"/>
                <w:b/>
                <w:bCs/>
                <w:color w:val="000000" w:themeColor="text1"/>
                <w:sz w:val="24"/>
                <w:lang w:val="en-US" w:eastAsia="zh-CN"/>
                <w14:textFill>
                  <w14:solidFill>
                    <w14:schemeClr w14:val="tx1"/>
                  </w14:solidFill>
                </w14:textFill>
              </w:rPr>
              <w:t>（1）原料制备工段废气（G1）-DA002排放口</w:t>
            </w:r>
          </w:p>
          <w:p w14:paraId="40EF83B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项目原料制备工序包括破碎、筛分、粉磨，污染物颗粒物产生量参照</w:t>
            </w:r>
            <w:r>
              <w:rPr>
                <w:rFonts w:hint="eastAsia"/>
                <w:bCs/>
                <w:color w:val="000000" w:themeColor="text1"/>
                <w:sz w:val="24"/>
                <w:szCs w:val="24"/>
                <w14:textFill>
                  <w14:solidFill>
                    <w14:schemeClr w14:val="tx1"/>
                  </w14:solidFill>
                </w14:textFill>
              </w:rPr>
              <w:t>《排放源统计调查产排污核算方法和系数手册》</w:t>
            </w:r>
            <w:r>
              <w:rPr>
                <w:rFonts w:hint="eastAsia"/>
                <w:bCs/>
                <w:color w:val="000000" w:themeColor="text1"/>
                <w:sz w:val="24"/>
                <w:szCs w:val="24"/>
                <w:lang w:val="en-US" w:eastAsia="zh-CN"/>
                <w14:textFill>
                  <w14:solidFill>
                    <w14:schemeClr w14:val="tx1"/>
                  </w14:solidFill>
                </w14:textFill>
              </w:rPr>
              <w:t>3031粘土砖瓦及建筑砌块制造</w:t>
            </w:r>
            <w:r>
              <w:rPr>
                <w:rFonts w:hint="eastAsia"/>
                <w:bCs/>
                <w:color w:val="000000" w:themeColor="text1"/>
                <w:sz w:val="24"/>
                <w:szCs w:val="24"/>
                <w14:textFill>
                  <w14:solidFill>
                    <w14:schemeClr w14:val="tx1"/>
                  </w14:solidFill>
                </w14:textFill>
              </w:rPr>
              <w:t>系数表</w:t>
            </w:r>
            <w:r>
              <w:rPr>
                <w:rFonts w:hint="eastAsia"/>
                <w:bCs/>
                <w:color w:val="000000" w:themeColor="text1"/>
                <w:sz w:val="24"/>
                <w:szCs w:val="24"/>
                <w:lang w:val="en-US" w:eastAsia="zh-CN"/>
                <w14:textFill>
                  <w14:solidFill>
                    <w14:schemeClr w14:val="tx1"/>
                  </w14:solidFill>
                </w14:textFill>
              </w:rPr>
              <w:t>进行核算，产污系数如下表所示：</w:t>
            </w:r>
          </w:p>
          <w:p w14:paraId="375880A0">
            <w:pPr>
              <w:jc w:val="center"/>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表</w:t>
            </w:r>
            <w:r>
              <w:rPr>
                <w:rFonts w:hint="eastAsia"/>
                <w:b/>
                <w:bCs/>
                <w:color w:val="000000" w:themeColor="text1"/>
                <w:sz w:val="24"/>
                <w14:textFill>
                  <w14:solidFill>
                    <w14:schemeClr w14:val="tx1"/>
                  </w14:solidFill>
                </w14:textFill>
              </w:rPr>
              <w:t>4-</w:t>
            </w:r>
            <w:r>
              <w:rPr>
                <w:rFonts w:hint="eastAsia"/>
                <w:b/>
                <w:bCs/>
                <w:color w:val="000000" w:themeColor="text1"/>
                <w:sz w:val="24"/>
                <w:lang w:val="en-US" w:eastAsia="zh-CN"/>
                <w14:textFill>
                  <w14:solidFill>
                    <w14:schemeClr w14:val="tx1"/>
                  </w14:solidFill>
                </w14:textFill>
              </w:rPr>
              <w:t>2</w:t>
            </w:r>
            <w:r>
              <w:rPr>
                <w:rFonts w:hint="eastAsia"/>
                <w:b/>
                <w:bCs/>
                <w:color w:val="000000" w:themeColor="text1"/>
                <w:sz w:val="24"/>
                <w14:textFill>
                  <w14:solidFill>
                    <w14:schemeClr w14:val="tx1"/>
                  </w14:solidFill>
                </w14:textFill>
              </w:rPr>
              <w:t xml:space="preserve"> </w:t>
            </w:r>
            <w:r>
              <w:rPr>
                <w:b/>
                <w:bCs/>
                <w:color w:val="000000" w:themeColor="text1"/>
                <w:sz w:val="24"/>
                <w14:textFill>
                  <w14:solidFill>
                    <w14:schemeClr w14:val="tx1"/>
                  </w14:solidFill>
                </w14:textFill>
              </w:rPr>
              <w:t xml:space="preserve">  </w:t>
            </w:r>
            <w:r>
              <w:rPr>
                <w:rFonts w:hint="eastAsia"/>
                <w:b/>
                <w:bCs/>
                <w:color w:val="000000" w:themeColor="text1"/>
                <w:sz w:val="24"/>
                <w14:textFill>
                  <w14:solidFill>
                    <w14:schemeClr w14:val="tx1"/>
                  </w14:solidFill>
                </w14:textFill>
              </w:rPr>
              <w:t>粘土砖瓦及建筑砌块制造系数表</w:t>
            </w:r>
          </w:p>
          <w:tbl>
            <w:tblPr>
              <w:tblStyle w:val="28"/>
              <w:tblW w:w="8674"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909"/>
              <w:gridCol w:w="898"/>
              <w:gridCol w:w="1049"/>
              <w:gridCol w:w="958"/>
              <w:gridCol w:w="1686"/>
              <w:gridCol w:w="1611"/>
              <w:gridCol w:w="1563"/>
            </w:tblGrid>
            <w:tr w14:paraId="2613C24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1089" w:hRule="atLeast"/>
                <w:jc w:val="center"/>
              </w:trPr>
              <w:tc>
                <w:tcPr>
                  <w:tcW w:w="524" w:type="pct"/>
                  <w:noWrap w:val="0"/>
                  <w:vAlign w:val="center"/>
                </w:tcPr>
                <w:p w14:paraId="5F35624D">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产品名称</w:t>
                  </w:r>
                </w:p>
              </w:tc>
              <w:tc>
                <w:tcPr>
                  <w:tcW w:w="517" w:type="pct"/>
                  <w:noWrap w:val="0"/>
                  <w:vAlign w:val="center"/>
                </w:tcPr>
                <w:p w14:paraId="383B3537">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原料名称</w:t>
                  </w:r>
                </w:p>
              </w:tc>
              <w:tc>
                <w:tcPr>
                  <w:tcW w:w="604" w:type="pct"/>
                  <w:noWrap w:val="0"/>
                  <w:vAlign w:val="center"/>
                </w:tcPr>
                <w:p w14:paraId="64C5F7A8">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工艺名称</w:t>
                  </w:r>
                </w:p>
              </w:tc>
              <w:tc>
                <w:tcPr>
                  <w:tcW w:w="552" w:type="pct"/>
                  <w:noWrap w:val="0"/>
                  <w:vAlign w:val="center"/>
                </w:tcPr>
                <w:p w14:paraId="71D97F96">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规模等级</w:t>
                  </w:r>
                </w:p>
              </w:tc>
              <w:tc>
                <w:tcPr>
                  <w:tcW w:w="971" w:type="pct"/>
                  <w:noWrap w:val="0"/>
                  <w:vAlign w:val="center"/>
                </w:tcPr>
                <w:p w14:paraId="6DB38028">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污染物指标</w:t>
                  </w:r>
                </w:p>
              </w:tc>
              <w:tc>
                <w:tcPr>
                  <w:tcW w:w="928" w:type="pct"/>
                  <w:noWrap w:val="0"/>
                  <w:vAlign w:val="center"/>
                </w:tcPr>
                <w:p w14:paraId="4316D817">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单位</w:t>
                  </w:r>
                </w:p>
              </w:tc>
              <w:tc>
                <w:tcPr>
                  <w:tcW w:w="900" w:type="pct"/>
                  <w:noWrap w:val="0"/>
                  <w:vAlign w:val="center"/>
                </w:tcPr>
                <w:p w14:paraId="0027EA5D">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产污系数</w:t>
                  </w:r>
                </w:p>
              </w:tc>
            </w:tr>
            <w:tr w14:paraId="138E929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948" w:hRule="exact"/>
                <w:jc w:val="center"/>
              </w:trPr>
              <w:tc>
                <w:tcPr>
                  <w:tcW w:w="524" w:type="pct"/>
                  <w:vMerge w:val="restart"/>
                  <w:noWrap w:val="0"/>
                  <w:vAlign w:val="center"/>
                </w:tcPr>
                <w:p w14:paraId="12CD6269">
                  <w:pPr>
                    <w:adjustRightInd w:val="0"/>
                    <w:snapToGrid w:val="0"/>
                    <w:jc w:val="center"/>
                    <w:rPr>
                      <w:rFonts w:hint="default"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烧结类砖瓦及建筑砌块、煤矸石砖、蒸养砖等</w:t>
                  </w:r>
                </w:p>
              </w:tc>
              <w:tc>
                <w:tcPr>
                  <w:tcW w:w="517" w:type="pct"/>
                  <w:vMerge w:val="restart"/>
                  <w:noWrap w:val="0"/>
                  <w:vAlign w:val="center"/>
                </w:tcPr>
                <w:p w14:paraId="0410DDCD">
                  <w:pPr>
                    <w:adjustRightInd w:val="0"/>
                    <w:snapToGrid w:val="0"/>
                    <w:jc w:val="center"/>
                    <w:rPr>
                      <w:rFonts w:hint="default"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粘土、页岩、粉煤灰、污泥等</w:t>
                  </w:r>
                </w:p>
              </w:tc>
              <w:tc>
                <w:tcPr>
                  <w:tcW w:w="604" w:type="pct"/>
                  <w:vMerge w:val="restart"/>
                  <w:noWrap w:val="0"/>
                  <w:vAlign w:val="center"/>
                </w:tcPr>
                <w:p w14:paraId="150C6AEF">
                  <w:pPr>
                    <w:adjustRightInd w:val="0"/>
                    <w:snapToGrid w:val="0"/>
                    <w:jc w:val="center"/>
                    <w:rPr>
                      <w:rFonts w:hint="default"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破碎、筛分、成型干燥</w:t>
                  </w:r>
                </w:p>
              </w:tc>
              <w:tc>
                <w:tcPr>
                  <w:tcW w:w="552" w:type="pct"/>
                  <w:vMerge w:val="restart"/>
                  <w:noWrap w:val="0"/>
                  <w:vAlign w:val="center"/>
                </w:tcPr>
                <w:p w14:paraId="63FEEF6B">
                  <w:pPr>
                    <w:adjustRightInd w:val="0"/>
                    <w:snapToGrid w:val="0"/>
                    <w:jc w:val="center"/>
                    <w:rPr>
                      <w:rFonts w:hint="default" w:eastAsia="宋体"/>
                      <w:bCs/>
                      <w:color w:val="000000" w:themeColor="text1"/>
                      <w:szCs w:val="21"/>
                      <w:lang w:val="en-US" w:eastAsia="zh-CN"/>
                      <w14:textFill>
                        <w14:solidFill>
                          <w14:schemeClr w14:val="tx1"/>
                        </w14:solidFill>
                      </w14:textFill>
                    </w:rPr>
                  </w:pPr>
                  <w:r>
                    <w:rPr>
                      <w:rFonts w:hint="eastAsia" w:eastAsia="宋体"/>
                      <w:bCs/>
                      <w:color w:val="000000" w:themeColor="text1"/>
                      <w:szCs w:val="21"/>
                      <w:lang w:val="en-US" w:eastAsia="zh-CN"/>
                      <w14:textFill>
                        <w14:solidFill>
                          <w14:schemeClr w14:val="tx1"/>
                        </w14:solidFill>
                      </w14:textFill>
                    </w:rPr>
                    <w:t>所有规模</w:t>
                  </w:r>
                </w:p>
              </w:tc>
              <w:tc>
                <w:tcPr>
                  <w:tcW w:w="971" w:type="pct"/>
                  <w:noWrap w:val="0"/>
                  <w:vAlign w:val="center"/>
                </w:tcPr>
                <w:p w14:paraId="122C14DE">
                  <w:pPr>
                    <w:adjustRightInd w:val="0"/>
                    <w:snapToGrid w:val="0"/>
                    <w:jc w:val="center"/>
                    <w:rPr>
                      <w:rFonts w:hint="default"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工业废气量（除窑炉外工艺废气）</w:t>
                  </w:r>
                </w:p>
              </w:tc>
              <w:tc>
                <w:tcPr>
                  <w:tcW w:w="928" w:type="pct"/>
                  <w:noWrap w:val="0"/>
                  <w:vAlign w:val="center"/>
                </w:tcPr>
                <w:p w14:paraId="35E3B740">
                  <w:pPr>
                    <w:adjustRightInd w:val="0"/>
                    <w:snapToGrid w:val="0"/>
                    <w:jc w:val="center"/>
                    <w:rPr>
                      <w:rFonts w:hint="default" w:eastAsia="宋体"/>
                      <w:bCs/>
                      <w:color w:val="000000" w:themeColor="text1"/>
                      <w:szCs w:val="21"/>
                      <w:lang w:val="en-US" w:eastAsia="zh-CN"/>
                      <w14:textFill>
                        <w14:solidFill>
                          <w14:schemeClr w14:val="tx1"/>
                        </w14:solidFill>
                      </w14:textFill>
                    </w:rPr>
                  </w:pPr>
                  <w:r>
                    <w:rPr>
                      <w:bCs/>
                      <w:color w:val="000000" w:themeColor="text1"/>
                      <w:szCs w:val="21"/>
                      <w14:textFill>
                        <w14:solidFill>
                          <w14:schemeClr w14:val="tx1"/>
                        </w14:solidFill>
                      </w14:textFill>
                    </w:rPr>
                    <w:t>标立方米/</w:t>
                  </w:r>
                  <w:r>
                    <w:rPr>
                      <w:rFonts w:hint="eastAsia"/>
                      <w:bCs/>
                      <w:color w:val="000000" w:themeColor="text1"/>
                      <w:szCs w:val="21"/>
                      <w:lang w:val="en-US" w:eastAsia="zh-CN"/>
                      <w14:textFill>
                        <w14:solidFill>
                          <w14:schemeClr w14:val="tx1"/>
                        </w14:solidFill>
                      </w14:textFill>
                    </w:rPr>
                    <w:t>万块标砖</w:t>
                  </w:r>
                </w:p>
              </w:tc>
              <w:tc>
                <w:tcPr>
                  <w:tcW w:w="900" w:type="pct"/>
                  <w:noWrap w:val="0"/>
                  <w:vAlign w:val="center"/>
                </w:tcPr>
                <w:p w14:paraId="35A9B218">
                  <w:pPr>
                    <w:adjustRightInd w:val="0"/>
                    <w:snapToGrid w:val="0"/>
                    <w:jc w:val="center"/>
                    <w:rPr>
                      <w:rFonts w:hint="default"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8290</w:t>
                  </w:r>
                </w:p>
              </w:tc>
            </w:tr>
            <w:tr w14:paraId="03B6CE5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761" w:hRule="atLeast"/>
                <w:jc w:val="center"/>
              </w:trPr>
              <w:tc>
                <w:tcPr>
                  <w:tcW w:w="524" w:type="pct"/>
                  <w:vMerge w:val="continue"/>
                  <w:noWrap w:val="0"/>
                  <w:vAlign w:val="center"/>
                </w:tcPr>
                <w:p w14:paraId="37D34FE7">
                  <w:pPr>
                    <w:adjustRightInd w:val="0"/>
                    <w:snapToGrid w:val="0"/>
                    <w:jc w:val="center"/>
                    <w:rPr>
                      <w:bCs/>
                      <w:color w:val="000000" w:themeColor="text1"/>
                      <w:szCs w:val="21"/>
                      <w14:textFill>
                        <w14:solidFill>
                          <w14:schemeClr w14:val="tx1"/>
                        </w14:solidFill>
                      </w14:textFill>
                    </w:rPr>
                  </w:pPr>
                </w:p>
              </w:tc>
              <w:tc>
                <w:tcPr>
                  <w:tcW w:w="517" w:type="pct"/>
                  <w:vMerge w:val="continue"/>
                  <w:noWrap w:val="0"/>
                  <w:vAlign w:val="center"/>
                </w:tcPr>
                <w:p w14:paraId="7818F73F">
                  <w:pPr>
                    <w:adjustRightInd w:val="0"/>
                    <w:snapToGrid w:val="0"/>
                    <w:jc w:val="center"/>
                    <w:rPr>
                      <w:bCs/>
                      <w:color w:val="000000" w:themeColor="text1"/>
                      <w:szCs w:val="21"/>
                      <w14:textFill>
                        <w14:solidFill>
                          <w14:schemeClr w14:val="tx1"/>
                        </w14:solidFill>
                      </w14:textFill>
                    </w:rPr>
                  </w:pPr>
                </w:p>
              </w:tc>
              <w:tc>
                <w:tcPr>
                  <w:tcW w:w="604" w:type="pct"/>
                  <w:vMerge w:val="continue"/>
                  <w:noWrap w:val="0"/>
                  <w:vAlign w:val="center"/>
                </w:tcPr>
                <w:p w14:paraId="42ED6D77">
                  <w:pPr>
                    <w:adjustRightInd w:val="0"/>
                    <w:snapToGrid w:val="0"/>
                    <w:jc w:val="center"/>
                    <w:rPr>
                      <w:bCs/>
                      <w:color w:val="000000" w:themeColor="text1"/>
                      <w:szCs w:val="21"/>
                      <w14:textFill>
                        <w14:solidFill>
                          <w14:schemeClr w14:val="tx1"/>
                        </w14:solidFill>
                      </w14:textFill>
                    </w:rPr>
                  </w:pPr>
                </w:p>
              </w:tc>
              <w:tc>
                <w:tcPr>
                  <w:tcW w:w="552" w:type="pct"/>
                  <w:vMerge w:val="continue"/>
                  <w:noWrap w:val="0"/>
                  <w:vAlign w:val="center"/>
                </w:tcPr>
                <w:p w14:paraId="78FD411B">
                  <w:pPr>
                    <w:adjustRightInd w:val="0"/>
                    <w:snapToGrid w:val="0"/>
                    <w:jc w:val="center"/>
                    <w:rPr>
                      <w:bCs/>
                      <w:color w:val="000000" w:themeColor="text1"/>
                      <w:szCs w:val="21"/>
                      <w14:textFill>
                        <w14:solidFill>
                          <w14:schemeClr w14:val="tx1"/>
                        </w14:solidFill>
                      </w14:textFill>
                    </w:rPr>
                  </w:pPr>
                </w:p>
              </w:tc>
              <w:tc>
                <w:tcPr>
                  <w:tcW w:w="971" w:type="pct"/>
                  <w:vMerge w:val="restart"/>
                  <w:noWrap w:val="0"/>
                  <w:vAlign w:val="center"/>
                </w:tcPr>
                <w:p w14:paraId="7C516D82">
                  <w:pPr>
                    <w:adjustRightInd w:val="0"/>
                    <w:snapToGrid w:val="0"/>
                    <w:jc w:val="center"/>
                    <w:rPr>
                      <w:rFonts w:hint="eastAsia" w:eastAsia="宋体"/>
                      <w:bCs/>
                      <w:color w:val="000000" w:themeColor="text1"/>
                      <w:szCs w:val="21"/>
                      <w:lang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颗粒物（除窑炉外工艺废气）</w:t>
                  </w:r>
                </w:p>
              </w:tc>
              <w:tc>
                <w:tcPr>
                  <w:tcW w:w="928" w:type="pct"/>
                  <w:vMerge w:val="restart"/>
                  <w:noWrap w:val="0"/>
                  <w:vAlign w:val="center"/>
                </w:tcPr>
                <w:p w14:paraId="7D300F7D">
                  <w:pPr>
                    <w:adjustRightInd w:val="0"/>
                    <w:snapToGrid w:val="0"/>
                    <w:jc w:val="center"/>
                    <w:rPr>
                      <w:rFonts w:hint="eastAsia" w:eastAsia="宋体"/>
                      <w:bCs/>
                      <w:color w:val="000000" w:themeColor="text1"/>
                      <w:szCs w:val="21"/>
                      <w:lang w:eastAsia="zh-CN"/>
                      <w14:textFill>
                        <w14:solidFill>
                          <w14:schemeClr w14:val="tx1"/>
                        </w14:solidFill>
                      </w14:textFill>
                    </w:rPr>
                  </w:pPr>
                  <w:r>
                    <w:rPr>
                      <w:bCs/>
                      <w:color w:val="000000" w:themeColor="text1"/>
                      <w:szCs w:val="21"/>
                      <w14:textFill>
                        <w14:solidFill>
                          <w14:schemeClr w14:val="tx1"/>
                        </w14:solidFill>
                      </w14:textFill>
                    </w:rPr>
                    <w:t>千克/</w:t>
                  </w:r>
                  <w:r>
                    <w:rPr>
                      <w:rFonts w:hint="eastAsia"/>
                      <w:bCs/>
                      <w:color w:val="000000" w:themeColor="text1"/>
                      <w:szCs w:val="21"/>
                      <w:lang w:val="en-US" w:eastAsia="zh-CN"/>
                      <w14:textFill>
                        <w14:solidFill>
                          <w14:schemeClr w14:val="tx1"/>
                        </w14:solidFill>
                      </w14:textFill>
                    </w:rPr>
                    <w:t>万块标砖</w:t>
                  </w:r>
                </w:p>
              </w:tc>
              <w:tc>
                <w:tcPr>
                  <w:tcW w:w="900" w:type="pct"/>
                  <w:vMerge w:val="restart"/>
                  <w:noWrap w:val="0"/>
                  <w:vAlign w:val="center"/>
                </w:tcPr>
                <w:p w14:paraId="78500F8A">
                  <w:pPr>
                    <w:adjustRightInd w:val="0"/>
                    <w:snapToGrid w:val="0"/>
                    <w:jc w:val="center"/>
                    <w:rPr>
                      <w:rFonts w:hint="default"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1.23</w:t>
                  </w:r>
                </w:p>
              </w:tc>
            </w:tr>
            <w:tr w14:paraId="58EF182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761" w:hRule="atLeast"/>
                <w:jc w:val="center"/>
              </w:trPr>
              <w:tc>
                <w:tcPr>
                  <w:tcW w:w="524" w:type="pct"/>
                  <w:vMerge w:val="continue"/>
                  <w:noWrap w:val="0"/>
                  <w:vAlign w:val="center"/>
                </w:tcPr>
                <w:p w14:paraId="675D5B5F">
                  <w:pPr>
                    <w:adjustRightInd w:val="0"/>
                    <w:snapToGrid w:val="0"/>
                    <w:jc w:val="center"/>
                    <w:rPr>
                      <w:color w:val="000000" w:themeColor="text1"/>
                      <w14:textFill>
                        <w14:solidFill>
                          <w14:schemeClr w14:val="tx1"/>
                        </w14:solidFill>
                      </w14:textFill>
                    </w:rPr>
                  </w:pPr>
                </w:p>
              </w:tc>
              <w:tc>
                <w:tcPr>
                  <w:tcW w:w="517" w:type="pct"/>
                  <w:vMerge w:val="continue"/>
                  <w:noWrap w:val="0"/>
                  <w:vAlign w:val="center"/>
                </w:tcPr>
                <w:p w14:paraId="467C7BD1">
                  <w:pPr>
                    <w:adjustRightInd w:val="0"/>
                    <w:snapToGrid w:val="0"/>
                    <w:jc w:val="center"/>
                    <w:rPr>
                      <w:color w:val="000000" w:themeColor="text1"/>
                      <w14:textFill>
                        <w14:solidFill>
                          <w14:schemeClr w14:val="tx1"/>
                        </w14:solidFill>
                      </w14:textFill>
                    </w:rPr>
                  </w:pPr>
                </w:p>
              </w:tc>
              <w:tc>
                <w:tcPr>
                  <w:tcW w:w="604" w:type="pct"/>
                  <w:vMerge w:val="continue"/>
                  <w:noWrap w:val="0"/>
                  <w:vAlign w:val="center"/>
                </w:tcPr>
                <w:p w14:paraId="2C8F78A1">
                  <w:pPr>
                    <w:adjustRightInd w:val="0"/>
                    <w:snapToGrid w:val="0"/>
                    <w:jc w:val="center"/>
                    <w:rPr>
                      <w:color w:val="000000" w:themeColor="text1"/>
                      <w14:textFill>
                        <w14:solidFill>
                          <w14:schemeClr w14:val="tx1"/>
                        </w14:solidFill>
                      </w14:textFill>
                    </w:rPr>
                  </w:pPr>
                </w:p>
              </w:tc>
              <w:tc>
                <w:tcPr>
                  <w:tcW w:w="552" w:type="pct"/>
                  <w:vMerge w:val="continue"/>
                  <w:noWrap w:val="0"/>
                  <w:vAlign w:val="center"/>
                </w:tcPr>
                <w:p w14:paraId="2B9ECF29">
                  <w:pPr>
                    <w:adjustRightInd w:val="0"/>
                    <w:snapToGrid w:val="0"/>
                    <w:jc w:val="center"/>
                    <w:rPr>
                      <w:color w:val="000000" w:themeColor="text1"/>
                      <w14:textFill>
                        <w14:solidFill>
                          <w14:schemeClr w14:val="tx1"/>
                        </w14:solidFill>
                      </w14:textFill>
                    </w:rPr>
                  </w:pPr>
                </w:p>
              </w:tc>
              <w:tc>
                <w:tcPr>
                  <w:tcW w:w="971" w:type="pct"/>
                  <w:vMerge w:val="continue"/>
                  <w:noWrap w:val="0"/>
                  <w:vAlign w:val="center"/>
                </w:tcPr>
                <w:p w14:paraId="29B5FE3D">
                  <w:pPr>
                    <w:adjustRightInd w:val="0"/>
                    <w:snapToGrid w:val="0"/>
                    <w:jc w:val="center"/>
                    <w:rPr>
                      <w:color w:val="000000" w:themeColor="text1"/>
                      <w14:textFill>
                        <w14:solidFill>
                          <w14:schemeClr w14:val="tx1"/>
                        </w14:solidFill>
                      </w14:textFill>
                    </w:rPr>
                  </w:pPr>
                </w:p>
              </w:tc>
              <w:tc>
                <w:tcPr>
                  <w:tcW w:w="928" w:type="pct"/>
                  <w:vMerge w:val="continue"/>
                  <w:noWrap w:val="0"/>
                  <w:vAlign w:val="center"/>
                </w:tcPr>
                <w:p w14:paraId="619FF182">
                  <w:pPr>
                    <w:adjustRightInd w:val="0"/>
                    <w:snapToGrid w:val="0"/>
                    <w:jc w:val="center"/>
                    <w:rPr>
                      <w:color w:val="000000" w:themeColor="text1"/>
                      <w14:textFill>
                        <w14:solidFill>
                          <w14:schemeClr w14:val="tx1"/>
                        </w14:solidFill>
                      </w14:textFill>
                    </w:rPr>
                  </w:pPr>
                </w:p>
              </w:tc>
              <w:tc>
                <w:tcPr>
                  <w:tcW w:w="900" w:type="pct"/>
                  <w:vMerge w:val="continue"/>
                  <w:noWrap w:val="0"/>
                  <w:vAlign w:val="center"/>
                </w:tcPr>
                <w:p w14:paraId="795E6700">
                  <w:pPr>
                    <w:adjustRightInd w:val="0"/>
                    <w:snapToGrid w:val="0"/>
                    <w:jc w:val="center"/>
                    <w:rPr>
                      <w:color w:val="000000" w:themeColor="text1"/>
                      <w14:textFill>
                        <w14:solidFill>
                          <w14:schemeClr w14:val="tx1"/>
                        </w14:solidFill>
                      </w14:textFill>
                    </w:rPr>
                  </w:pPr>
                </w:p>
              </w:tc>
            </w:tr>
            <w:tr w14:paraId="4B09E03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761" w:hRule="atLeast"/>
                <w:jc w:val="center"/>
              </w:trPr>
              <w:tc>
                <w:tcPr>
                  <w:tcW w:w="524" w:type="pct"/>
                  <w:vMerge w:val="continue"/>
                  <w:noWrap w:val="0"/>
                  <w:vAlign w:val="center"/>
                </w:tcPr>
                <w:p w14:paraId="58E92E65">
                  <w:pPr>
                    <w:adjustRightInd w:val="0"/>
                    <w:snapToGrid w:val="0"/>
                    <w:jc w:val="center"/>
                    <w:rPr>
                      <w:rFonts w:hint="eastAsia"/>
                      <w:bCs/>
                      <w:color w:val="000000" w:themeColor="text1"/>
                      <w:szCs w:val="21"/>
                      <w:lang w:val="en-US" w:eastAsia="zh-CN"/>
                      <w14:textFill>
                        <w14:solidFill>
                          <w14:schemeClr w14:val="tx1"/>
                        </w14:solidFill>
                      </w14:textFill>
                    </w:rPr>
                  </w:pPr>
                </w:p>
              </w:tc>
              <w:tc>
                <w:tcPr>
                  <w:tcW w:w="517" w:type="pct"/>
                  <w:vMerge w:val="continue"/>
                  <w:noWrap w:val="0"/>
                  <w:vAlign w:val="center"/>
                </w:tcPr>
                <w:p w14:paraId="429D0CB3">
                  <w:pPr>
                    <w:adjustRightInd w:val="0"/>
                    <w:snapToGrid w:val="0"/>
                    <w:jc w:val="center"/>
                    <w:rPr>
                      <w:rFonts w:hint="eastAsia"/>
                      <w:bCs/>
                      <w:color w:val="000000" w:themeColor="text1"/>
                      <w:szCs w:val="21"/>
                      <w:lang w:val="en-US" w:eastAsia="zh-CN"/>
                      <w14:textFill>
                        <w14:solidFill>
                          <w14:schemeClr w14:val="tx1"/>
                        </w14:solidFill>
                      </w14:textFill>
                    </w:rPr>
                  </w:pPr>
                </w:p>
              </w:tc>
              <w:tc>
                <w:tcPr>
                  <w:tcW w:w="604" w:type="pct"/>
                  <w:vMerge w:val="continue"/>
                  <w:noWrap w:val="0"/>
                  <w:vAlign w:val="center"/>
                </w:tcPr>
                <w:p w14:paraId="20E4CA0D">
                  <w:pPr>
                    <w:adjustRightInd w:val="0"/>
                    <w:snapToGrid w:val="0"/>
                    <w:jc w:val="center"/>
                    <w:rPr>
                      <w:rFonts w:hint="eastAsia"/>
                      <w:bCs/>
                      <w:color w:val="000000" w:themeColor="text1"/>
                      <w:szCs w:val="21"/>
                      <w:lang w:val="en-US" w:eastAsia="zh-CN"/>
                      <w14:textFill>
                        <w14:solidFill>
                          <w14:schemeClr w14:val="tx1"/>
                        </w14:solidFill>
                      </w14:textFill>
                    </w:rPr>
                  </w:pPr>
                </w:p>
              </w:tc>
              <w:tc>
                <w:tcPr>
                  <w:tcW w:w="552" w:type="pct"/>
                  <w:vMerge w:val="continue"/>
                  <w:noWrap w:val="0"/>
                  <w:vAlign w:val="center"/>
                </w:tcPr>
                <w:p w14:paraId="6B2C0210">
                  <w:pPr>
                    <w:adjustRightInd w:val="0"/>
                    <w:snapToGrid w:val="0"/>
                    <w:jc w:val="center"/>
                    <w:rPr>
                      <w:rFonts w:hint="eastAsia"/>
                      <w:bCs/>
                      <w:color w:val="000000" w:themeColor="text1"/>
                      <w:szCs w:val="21"/>
                      <w:lang w:val="en-US" w:eastAsia="zh-CN"/>
                      <w14:textFill>
                        <w14:solidFill>
                          <w14:schemeClr w14:val="tx1"/>
                        </w14:solidFill>
                      </w14:textFill>
                    </w:rPr>
                  </w:pPr>
                </w:p>
              </w:tc>
              <w:tc>
                <w:tcPr>
                  <w:tcW w:w="971" w:type="pct"/>
                  <w:vMerge w:val="continue"/>
                  <w:noWrap w:val="0"/>
                  <w:vAlign w:val="center"/>
                </w:tcPr>
                <w:p w14:paraId="6B47CB68">
                  <w:pPr>
                    <w:adjustRightInd w:val="0"/>
                    <w:snapToGrid w:val="0"/>
                    <w:jc w:val="center"/>
                    <w:rPr>
                      <w:rFonts w:hint="eastAsia"/>
                      <w:bCs/>
                      <w:color w:val="000000" w:themeColor="text1"/>
                      <w:szCs w:val="21"/>
                      <w:lang w:val="en-US" w:eastAsia="zh-CN"/>
                      <w14:textFill>
                        <w14:solidFill>
                          <w14:schemeClr w14:val="tx1"/>
                        </w14:solidFill>
                      </w14:textFill>
                    </w:rPr>
                  </w:pPr>
                </w:p>
              </w:tc>
              <w:tc>
                <w:tcPr>
                  <w:tcW w:w="928" w:type="pct"/>
                  <w:vMerge w:val="continue"/>
                  <w:noWrap w:val="0"/>
                  <w:vAlign w:val="center"/>
                </w:tcPr>
                <w:p w14:paraId="04F00521">
                  <w:pPr>
                    <w:adjustRightInd w:val="0"/>
                    <w:snapToGrid w:val="0"/>
                    <w:jc w:val="center"/>
                    <w:rPr>
                      <w:rFonts w:hint="eastAsia"/>
                      <w:bCs/>
                      <w:color w:val="000000" w:themeColor="text1"/>
                      <w:szCs w:val="21"/>
                      <w:lang w:val="en-US" w:eastAsia="zh-CN"/>
                      <w14:textFill>
                        <w14:solidFill>
                          <w14:schemeClr w14:val="tx1"/>
                        </w14:solidFill>
                      </w14:textFill>
                    </w:rPr>
                  </w:pPr>
                </w:p>
              </w:tc>
              <w:tc>
                <w:tcPr>
                  <w:tcW w:w="900" w:type="pct"/>
                  <w:vMerge w:val="continue"/>
                  <w:noWrap w:val="0"/>
                  <w:vAlign w:val="center"/>
                </w:tcPr>
                <w:p w14:paraId="7558F5D5">
                  <w:pPr>
                    <w:adjustRightInd w:val="0"/>
                    <w:snapToGrid w:val="0"/>
                    <w:jc w:val="center"/>
                    <w:rPr>
                      <w:rFonts w:hint="eastAsia"/>
                      <w:bCs/>
                      <w:color w:val="000000" w:themeColor="text1"/>
                      <w:szCs w:val="21"/>
                      <w:lang w:val="en-US" w:eastAsia="zh-CN"/>
                      <w14:textFill>
                        <w14:solidFill>
                          <w14:schemeClr w14:val="tx1"/>
                        </w14:solidFill>
                      </w14:textFill>
                    </w:rPr>
                  </w:pPr>
                </w:p>
              </w:tc>
            </w:tr>
          </w:tbl>
          <w:p w14:paraId="1BD55D8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bCs/>
                <w:color w:val="000000" w:themeColor="text1"/>
                <w:sz w:val="24"/>
                <w:szCs w:val="24"/>
                <w:lang w:val="en-US" w:eastAsia="zh-CN"/>
                <w14:textFill>
                  <w14:solidFill>
                    <w14:schemeClr w14:val="tx1"/>
                  </w14:solidFill>
                </w14:textFill>
              </w:rPr>
              <w:t>根据《烧结普通砖》（GB/T5101-2017），标准砖公称尺寸为240×115×53mm，一块标准砖的重量大约为2.63kg</w:t>
            </w:r>
            <w:r>
              <w:rPr>
                <w:rFonts w:hint="eastAsia" w:cs="Times New Roman"/>
                <w:bCs/>
                <w:color w:val="000000" w:themeColor="text1"/>
                <w:sz w:val="24"/>
                <w:szCs w:val="24"/>
                <w:lang w:val="en-US" w:eastAsia="zh-CN"/>
                <w14:textFill>
                  <w14:solidFill>
                    <w14:schemeClr w14:val="tx1"/>
                  </w14:solidFill>
                </w14:textFill>
              </w:rPr>
              <w:t>。</w:t>
            </w:r>
            <w:r>
              <w:rPr>
                <w:rFonts w:hint="default" w:ascii="Times New Roman" w:hAnsi="Times New Roman" w:cs="Times New Roman"/>
                <w:bCs/>
                <w:color w:val="000000" w:themeColor="text1"/>
                <w:sz w:val="24"/>
                <w:szCs w:val="24"/>
                <w:lang w:val="en-US" w:eastAsia="zh-CN"/>
                <w14:textFill>
                  <w14:solidFill>
                    <w14:schemeClr w14:val="tx1"/>
                  </w14:solidFill>
                </w14:textFill>
              </w:rPr>
              <w:t>改扩建完成后项目</w:t>
            </w:r>
            <w:r>
              <w:rPr>
                <w:rFonts w:hint="default" w:ascii="Times New Roman" w:hAnsi="Times New Roman" w:cs="Times New Roman"/>
                <w:color w:val="000000" w:themeColor="text1"/>
                <w:spacing w:val="-2"/>
                <w:sz w:val="24"/>
                <w:szCs w:val="24"/>
                <w:lang w:val="en-US" w:eastAsia="zh-CN"/>
                <w14:textFill>
                  <w14:solidFill>
                    <w14:schemeClr w14:val="tx1"/>
                  </w14:solidFill>
                </w14:textFill>
              </w:rPr>
              <w:t>年产3000万片青瓦，</w:t>
            </w:r>
            <w:r>
              <w:rPr>
                <w:rFonts w:hint="eastAsia" w:cs="Times New Roman"/>
                <w:color w:val="000000" w:themeColor="text1"/>
                <w:spacing w:val="-2"/>
                <w:sz w:val="24"/>
                <w:szCs w:val="24"/>
                <w:lang w:val="en-US" w:eastAsia="zh-CN"/>
                <w14:textFill>
                  <w14:solidFill>
                    <w14:schemeClr w14:val="tx1"/>
                  </w14:solidFill>
                </w14:textFill>
              </w:rPr>
              <w:t>折算为标砖</w:t>
            </w:r>
            <w:r>
              <w:rPr>
                <w:rFonts w:hint="default" w:ascii="Times New Roman" w:hAnsi="Times New Roman" w:cs="Times New Roman"/>
                <w:color w:val="000000" w:themeColor="text1"/>
                <w:spacing w:val="-3"/>
                <w:sz w:val="24"/>
                <w:szCs w:val="24"/>
                <w:lang w:val="en-US" w:eastAsia="zh-CN"/>
                <w14:textFill>
                  <w14:solidFill>
                    <w14:schemeClr w14:val="tx1"/>
                  </w14:solidFill>
                </w14:textFill>
              </w:rPr>
              <w:t>约</w:t>
            </w:r>
            <w:r>
              <w:rPr>
                <w:rFonts w:hint="eastAsia" w:cs="Times New Roman"/>
                <w:color w:val="000000" w:themeColor="text1"/>
                <w:spacing w:val="-3"/>
                <w:sz w:val="24"/>
                <w:szCs w:val="24"/>
                <w:lang w:val="en-US" w:eastAsia="zh-CN"/>
                <w14:textFill>
                  <w14:solidFill>
                    <w14:schemeClr w14:val="tx1"/>
                  </w14:solidFill>
                </w14:textFill>
              </w:rPr>
              <w:t>4340</w:t>
            </w:r>
            <w:r>
              <w:rPr>
                <w:rFonts w:hint="default" w:ascii="Times New Roman" w:hAnsi="Times New Roman" w:cs="Times New Roman"/>
                <w:color w:val="000000" w:themeColor="text1"/>
                <w:spacing w:val="-3"/>
                <w:sz w:val="24"/>
                <w:szCs w:val="24"/>
                <w:lang w:val="en-US" w:eastAsia="zh-CN"/>
                <w14:textFill>
                  <w14:solidFill>
                    <w14:schemeClr w14:val="tx1"/>
                  </w14:solidFill>
                </w14:textFill>
              </w:rPr>
              <w:t>万块。</w:t>
            </w:r>
            <w:r>
              <w:rPr>
                <w:rFonts w:hint="eastAsia" w:cs="Times New Roman"/>
                <w:color w:val="000000" w:themeColor="text1"/>
                <w:spacing w:val="-3"/>
                <w:sz w:val="24"/>
                <w:szCs w:val="24"/>
                <w:lang w:val="en-US" w:eastAsia="zh-CN"/>
                <w14:textFill>
                  <w14:solidFill>
                    <w14:schemeClr w14:val="tx1"/>
                  </w14:solidFill>
                </w14:textFill>
              </w:rPr>
              <w:t>本次改扩建后项目原料制备工段破碎、筛分各设置1个集气罩（收集效率不低于60%）收集，粉磨废气设置管道收集，进入1套脉冲袋式除尘器（处理效率不低于90%）处理后设置1根高15m的排气筒（DA002）排放，原料制备工段</w:t>
            </w:r>
            <w:r>
              <w:rPr>
                <w:rFonts w:hint="eastAsia" w:ascii="Times New Roman" w:hAnsi="Times New Roman" w:cs="Times New Roman"/>
                <w:color w:val="000000" w:themeColor="text1"/>
                <w:spacing w:val="-3"/>
                <w:sz w:val="24"/>
                <w:szCs w:val="24"/>
                <w:lang w:val="en-US" w:eastAsia="zh-CN"/>
                <w14:textFill>
                  <w14:solidFill>
                    <w14:schemeClr w14:val="tx1"/>
                  </w14:solidFill>
                </w14:textFill>
              </w:rPr>
              <w:t>年工作时间为4800h</w:t>
            </w:r>
            <w:r>
              <w:rPr>
                <w:rFonts w:hint="eastAsia" w:cs="Times New Roman"/>
                <w:color w:val="000000" w:themeColor="text1"/>
                <w:spacing w:val="-3"/>
                <w:sz w:val="24"/>
                <w:szCs w:val="24"/>
                <w:lang w:val="en-US" w:eastAsia="zh-CN"/>
                <w14:textFill>
                  <w14:solidFill>
                    <w14:schemeClr w14:val="tx1"/>
                  </w14:solidFill>
                </w14:textFill>
              </w:rPr>
              <w:t>。</w:t>
            </w:r>
            <w:r>
              <w:rPr>
                <w:rFonts w:hint="eastAsia" w:ascii="Times New Roman" w:hAnsi="Times New Roman" w:cs="Times New Roman"/>
                <w:color w:val="000000" w:themeColor="text1"/>
                <w:spacing w:val="-3"/>
                <w:sz w:val="24"/>
                <w:szCs w:val="24"/>
                <w:lang w:val="en-US" w:eastAsia="zh-CN"/>
                <w14:textFill>
                  <w14:solidFill>
                    <w14:schemeClr w14:val="tx1"/>
                  </w14:solidFill>
                </w14:textFill>
              </w:rPr>
              <w:t>根据上表产污系数，</w:t>
            </w:r>
            <w:r>
              <w:rPr>
                <w:rFonts w:hint="eastAsia" w:ascii="Times New Roman" w:hAnsi="Times New Roman" w:cs="Times New Roman"/>
                <w:b w:val="0"/>
                <w:bCs w:val="0"/>
                <w:color w:val="000000" w:themeColor="text1"/>
                <w:spacing w:val="-3"/>
                <w:sz w:val="24"/>
                <w:szCs w:val="24"/>
                <w:lang w:val="en-US" w:eastAsia="zh-CN"/>
                <w14:textFill>
                  <w14:solidFill>
                    <w14:schemeClr w14:val="tx1"/>
                  </w14:solidFill>
                </w14:textFill>
              </w:rPr>
              <w:t>项目</w:t>
            </w:r>
            <w:r>
              <w:rPr>
                <w:rFonts w:hint="eastAsia"/>
                <w:b w:val="0"/>
                <w:bCs w:val="0"/>
                <w:color w:val="000000" w:themeColor="text1"/>
                <w:sz w:val="24"/>
                <w:lang w:val="en-US" w:eastAsia="zh-CN"/>
                <w14:textFill>
                  <w14:solidFill>
                    <w14:schemeClr w14:val="tx1"/>
                  </w14:solidFill>
                </w14:textFill>
              </w:rPr>
              <w:t>原料制备工段废气产排情况如下所示：</w:t>
            </w:r>
          </w:p>
          <w:p w14:paraId="269211BE">
            <w:pPr>
              <w:keepNext w:val="0"/>
              <w:keepLines w:val="0"/>
              <w:pageBreakBefore w:val="0"/>
              <w:widowControl w:val="0"/>
              <w:kinsoku/>
              <w:wordWrap/>
              <w:overflowPunct/>
              <w:topLinePunct w:val="0"/>
              <w:autoSpaceDE/>
              <w:autoSpaceDN/>
              <w:bidi w:val="0"/>
              <w:adjustRightInd w:val="0"/>
              <w:snapToGrid w:val="0"/>
              <w:spacing w:line="276" w:lineRule="auto"/>
              <w:ind w:firstLine="0" w:firstLineChars="0"/>
              <w:jc w:val="center"/>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b/>
                <w:bCs/>
                <w:color w:val="000000" w:themeColor="text1"/>
                <w:sz w:val="24"/>
                <w:szCs w:val="24"/>
                <w:lang w:val="en-US" w:eastAsia="zh-CN"/>
                <w14:textFill>
                  <w14:solidFill>
                    <w14:schemeClr w14:val="tx1"/>
                  </w14:solidFill>
                </w14:textFill>
              </w:rPr>
              <w:t>表4-</w:t>
            </w:r>
            <w:r>
              <w:rPr>
                <w:rFonts w:hint="eastAsia" w:cs="Times New Roman" w:eastAsiaTheme="minorEastAsia"/>
                <w:b/>
                <w:bCs/>
                <w:color w:val="000000" w:themeColor="text1"/>
                <w:sz w:val="24"/>
                <w:szCs w:val="24"/>
                <w:lang w:val="en-US" w:eastAsia="zh-CN"/>
                <w14:textFill>
                  <w14:solidFill>
                    <w14:schemeClr w14:val="tx1"/>
                  </w14:solidFill>
                </w14:textFill>
              </w:rPr>
              <w:t>3</w:t>
            </w:r>
            <w:r>
              <w:rPr>
                <w:rFonts w:hint="eastAsia" w:ascii="Times New Roman" w:hAnsi="Times New Roman" w:cs="Times New Roman" w:eastAsiaTheme="minorEastAsia"/>
                <w:b/>
                <w:bCs/>
                <w:color w:val="000000" w:themeColor="text1"/>
                <w:sz w:val="24"/>
                <w:szCs w:val="24"/>
                <w:lang w:val="en-US" w:eastAsia="zh-CN"/>
                <w14:textFill>
                  <w14:solidFill>
                    <w14:schemeClr w14:val="tx1"/>
                  </w14:solidFill>
                </w14:textFill>
              </w:rPr>
              <w:t xml:space="preserve">  项目原料制备工段废气产排情况一览表</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914"/>
              <w:gridCol w:w="799"/>
              <w:gridCol w:w="727"/>
              <w:gridCol w:w="663"/>
              <w:gridCol w:w="663"/>
              <w:gridCol w:w="551"/>
              <w:gridCol w:w="926"/>
              <w:gridCol w:w="802"/>
              <w:gridCol w:w="738"/>
              <w:gridCol w:w="859"/>
            </w:tblGrid>
            <w:tr w14:paraId="27425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vMerge w:val="restart"/>
                  <w:noWrap w:val="0"/>
                  <w:vAlign w:val="center"/>
                </w:tcPr>
                <w:p w14:paraId="6DF99825">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污染物</w:t>
                  </w:r>
                </w:p>
              </w:tc>
              <w:tc>
                <w:tcPr>
                  <w:tcW w:w="2440" w:type="dxa"/>
                  <w:gridSpan w:val="3"/>
                  <w:noWrap w:val="0"/>
                  <w:vAlign w:val="center"/>
                </w:tcPr>
                <w:p w14:paraId="27CF4467">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产生情况</w:t>
                  </w:r>
                </w:p>
              </w:tc>
              <w:tc>
                <w:tcPr>
                  <w:tcW w:w="663" w:type="dxa"/>
                  <w:vMerge w:val="restart"/>
                  <w:noWrap w:val="0"/>
                  <w:vAlign w:val="center"/>
                </w:tcPr>
                <w:p w14:paraId="67DE95AE">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收集效率</w:t>
                  </w:r>
                </w:p>
              </w:tc>
              <w:tc>
                <w:tcPr>
                  <w:tcW w:w="663" w:type="dxa"/>
                  <w:vMerge w:val="restart"/>
                  <w:noWrap w:val="0"/>
                  <w:vAlign w:val="center"/>
                </w:tcPr>
                <w:p w14:paraId="580EDEF0">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治理措施</w:t>
                  </w:r>
                </w:p>
              </w:tc>
              <w:tc>
                <w:tcPr>
                  <w:tcW w:w="551" w:type="dxa"/>
                  <w:vMerge w:val="restart"/>
                  <w:noWrap w:val="0"/>
                  <w:vAlign w:val="center"/>
                </w:tcPr>
                <w:p w14:paraId="064CDAEC">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去除率</w:t>
                  </w:r>
                </w:p>
              </w:tc>
              <w:tc>
                <w:tcPr>
                  <w:tcW w:w="2466" w:type="dxa"/>
                  <w:gridSpan w:val="3"/>
                  <w:noWrap w:val="0"/>
                  <w:vAlign w:val="center"/>
                </w:tcPr>
                <w:p w14:paraId="2633CB74">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排放情况</w:t>
                  </w:r>
                </w:p>
              </w:tc>
              <w:tc>
                <w:tcPr>
                  <w:tcW w:w="859" w:type="dxa"/>
                  <w:vMerge w:val="restart"/>
                  <w:noWrap w:val="0"/>
                  <w:vAlign w:val="center"/>
                </w:tcPr>
                <w:p w14:paraId="6B771778">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排放去向</w:t>
                  </w:r>
                </w:p>
              </w:tc>
            </w:tr>
            <w:tr w14:paraId="778D0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1032" w:type="dxa"/>
                  <w:vMerge w:val="continue"/>
                  <w:noWrap w:val="0"/>
                  <w:vAlign w:val="center"/>
                </w:tcPr>
                <w:p w14:paraId="2AABD4FC">
                  <w:pPr>
                    <w:adjustRightInd w:val="0"/>
                    <w:snapToGrid w:val="0"/>
                    <w:jc w:val="center"/>
                    <w:rPr>
                      <w:rFonts w:hint="eastAsia"/>
                      <w:color w:val="000000" w:themeColor="text1"/>
                      <w:sz w:val="18"/>
                      <w:szCs w:val="18"/>
                      <w14:textFill>
                        <w14:solidFill>
                          <w14:schemeClr w14:val="tx1"/>
                        </w14:solidFill>
                      </w14:textFill>
                    </w:rPr>
                  </w:pPr>
                </w:p>
              </w:tc>
              <w:tc>
                <w:tcPr>
                  <w:tcW w:w="914" w:type="dxa"/>
                  <w:noWrap w:val="0"/>
                  <w:vAlign w:val="center"/>
                </w:tcPr>
                <w:p w14:paraId="42C47CF3">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产生浓度（mg/m</w:t>
                  </w:r>
                  <w:r>
                    <w:rPr>
                      <w:rFonts w:hint="eastAsia"/>
                      <w:color w:val="000000" w:themeColor="text1"/>
                      <w:sz w:val="18"/>
                      <w:szCs w:val="18"/>
                      <w:vertAlign w:val="superscript"/>
                      <w14:textFill>
                        <w14:solidFill>
                          <w14:schemeClr w14:val="tx1"/>
                        </w14:solidFill>
                      </w14:textFill>
                    </w:rPr>
                    <w:t>3</w:t>
                  </w:r>
                  <w:r>
                    <w:rPr>
                      <w:rFonts w:hint="eastAsia"/>
                      <w:color w:val="000000" w:themeColor="text1"/>
                      <w:sz w:val="18"/>
                      <w:szCs w:val="18"/>
                      <w14:textFill>
                        <w14:solidFill>
                          <w14:schemeClr w14:val="tx1"/>
                        </w14:solidFill>
                      </w14:textFill>
                    </w:rPr>
                    <w:t>）</w:t>
                  </w:r>
                </w:p>
              </w:tc>
              <w:tc>
                <w:tcPr>
                  <w:tcW w:w="799" w:type="dxa"/>
                  <w:noWrap w:val="0"/>
                  <w:vAlign w:val="center"/>
                </w:tcPr>
                <w:p w14:paraId="4633A92A">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产生速率（kg/h）</w:t>
                  </w:r>
                </w:p>
              </w:tc>
              <w:tc>
                <w:tcPr>
                  <w:tcW w:w="727" w:type="dxa"/>
                  <w:noWrap w:val="0"/>
                  <w:vAlign w:val="center"/>
                </w:tcPr>
                <w:p w14:paraId="0D8F1698">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产生量（t/a）</w:t>
                  </w:r>
                </w:p>
              </w:tc>
              <w:tc>
                <w:tcPr>
                  <w:tcW w:w="663" w:type="dxa"/>
                  <w:vMerge w:val="continue"/>
                  <w:noWrap w:val="0"/>
                  <w:vAlign w:val="center"/>
                </w:tcPr>
                <w:p w14:paraId="069C1CE4">
                  <w:pPr>
                    <w:adjustRightInd w:val="0"/>
                    <w:snapToGrid w:val="0"/>
                    <w:jc w:val="center"/>
                    <w:rPr>
                      <w:rFonts w:hint="eastAsia"/>
                      <w:color w:val="000000" w:themeColor="text1"/>
                      <w:sz w:val="18"/>
                      <w:szCs w:val="18"/>
                      <w14:textFill>
                        <w14:solidFill>
                          <w14:schemeClr w14:val="tx1"/>
                        </w14:solidFill>
                      </w14:textFill>
                    </w:rPr>
                  </w:pPr>
                </w:p>
              </w:tc>
              <w:tc>
                <w:tcPr>
                  <w:tcW w:w="663" w:type="dxa"/>
                  <w:vMerge w:val="continue"/>
                  <w:noWrap w:val="0"/>
                  <w:vAlign w:val="center"/>
                </w:tcPr>
                <w:p w14:paraId="3134C130">
                  <w:pPr>
                    <w:adjustRightInd w:val="0"/>
                    <w:snapToGrid w:val="0"/>
                    <w:jc w:val="center"/>
                    <w:rPr>
                      <w:rFonts w:hint="eastAsia"/>
                      <w:color w:val="000000" w:themeColor="text1"/>
                      <w:sz w:val="18"/>
                      <w:szCs w:val="18"/>
                      <w14:textFill>
                        <w14:solidFill>
                          <w14:schemeClr w14:val="tx1"/>
                        </w14:solidFill>
                      </w14:textFill>
                    </w:rPr>
                  </w:pPr>
                </w:p>
              </w:tc>
              <w:tc>
                <w:tcPr>
                  <w:tcW w:w="551" w:type="dxa"/>
                  <w:vMerge w:val="continue"/>
                  <w:noWrap w:val="0"/>
                  <w:vAlign w:val="center"/>
                </w:tcPr>
                <w:p w14:paraId="030696D7">
                  <w:pPr>
                    <w:adjustRightInd w:val="0"/>
                    <w:snapToGrid w:val="0"/>
                    <w:jc w:val="center"/>
                    <w:rPr>
                      <w:rFonts w:hint="eastAsia"/>
                      <w:color w:val="000000" w:themeColor="text1"/>
                      <w:sz w:val="18"/>
                      <w:szCs w:val="18"/>
                      <w14:textFill>
                        <w14:solidFill>
                          <w14:schemeClr w14:val="tx1"/>
                        </w14:solidFill>
                      </w14:textFill>
                    </w:rPr>
                  </w:pPr>
                </w:p>
              </w:tc>
              <w:tc>
                <w:tcPr>
                  <w:tcW w:w="926" w:type="dxa"/>
                  <w:noWrap w:val="0"/>
                  <w:vAlign w:val="center"/>
                </w:tcPr>
                <w:p w14:paraId="6C4679F2">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排放浓度（mg/m</w:t>
                  </w:r>
                  <w:r>
                    <w:rPr>
                      <w:rFonts w:hint="eastAsia"/>
                      <w:color w:val="000000" w:themeColor="text1"/>
                      <w:sz w:val="18"/>
                      <w:szCs w:val="18"/>
                      <w:vertAlign w:val="superscript"/>
                      <w14:textFill>
                        <w14:solidFill>
                          <w14:schemeClr w14:val="tx1"/>
                        </w14:solidFill>
                      </w14:textFill>
                    </w:rPr>
                    <w:t>3</w:t>
                  </w:r>
                  <w:r>
                    <w:rPr>
                      <w:rFonts w:hint="eastAsia"/>
                      <w:color w:val="000000" w:themeColor="text1"/>
                      <w:sz w:val="18"/>
                      <w:szCs w:val="18"/>
                      <w14:textFill>
                        <w14:solidFill>
                          <w14:schemeClr w14:val="tx1"/>
                        </w14:solidFill>
                      </w14:textFill>
                    </w:rPr>
                    <w:t>）</w:t>
                  </w:r>
                </w:p>
              </w:tc>
              <w:tc>
                <w:tcPr>
                  <w:tcW w:w="802" w:type="dxa"/>
                  <w:noWrap w:val="0"/>
                  <w:vAlign w:val="center"/>
                </w:tcPr>
                <w:p w14:paraId="70DA9B93">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排放速率（kg/h）</w:t>
                  </w:r>
                </w:p>
              </w:tc>
              <w:tc>
                <w:tcPr>
                  <w:tcW w:w="738" w:type="dxa"/>
                  <w:noWrap w:val="0"/>
                  <w:vAlign w:val="center"/>
                </w:tcPr>
                <w:p w14:paraId="6CAEA236">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排放量（t/a）</w:t>
                  </w:r>
                </w:p>
              </w:tc>
              <w:tc>
                <w:tcPr>
                  <w:tcW w:w="859" w:type="dxa"/>
                  <w:vMerge w:val="continue"/>
                  <w:noWrap w:val="0"/>
                  <w:vAlign w:val="center"/>
                </w:tcPr>
                <w:p w14:paraId="04EC2E87">
                  <w:pPr>
                    <w:adjustRightInd w:val="0"/>
                    <w:snapToGrid w:val="0"/>
                    <w:jc w:val="center"/>
                    <w:rPr>
                      <w:rFonts w:hint="eastAsia"/>
                      <w:color w:val="000000" w:themeColor="text1"/>
                      <w:sz w:val="18"/>
                      <w:szCs w:val="18"/>
                      <w14:textFill>
                        <w14:solidFill>
                          <w14:schemeClr w14:val="tx1"/>
                        </w14:solidFill>
                      </w14:textFill>
                    </w:rPr>
                  </w:pPr>
                </w:p>
              </w:tc>
            </w:tr>
            <w:tr w14:paraId="64B3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noWrap w:val="0"/>
                  <w:vAlign w:val="center"/>
                </w:tcPr>
                <w:p w14:paraId="5D7BA6F1">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工业废气量</w:t>
                  </w:r>
                  <w:r>
                    <w:rPr>
                      <w:rFonts w:hint="eastAsia"/>
                      <w:color w:val="000000" w:themeColor="text1"/>
                      <w:sz w:val="18"/>
                      <w:szCs w:val="18"/>
                      <w14:textFill>
                        <w14:solidFill>
                          <w14:schemeClr w14:val="tx1"/>
                        </w14:solidFill>
                      </w14:textFill>
                    </w:rPr>
                    <w:t>（万</w:t>
                  </w:r>
                  <w:r>
                    <w:rPr>
                      <w:rFonts w:hint="eastAsia"/>
                      <w:color w:val="000000" w:themeColor="text1"/>
                      <w:sz w:val="18"/>
                      <w:szCs w:val="18"/>
                      <w:lang w:val="en-US" w:eastAsia="zh-CN"/>
                      <w14:textFill>
                        <w14:solidFill>
                          <w14:schemeClr w14:val="tx1"/>
                        </w14:solidFill>
                      </w14:textFill>
                    </w:rPr>
                    <w:t>N</w:t>
                  </w:r>
                  <w:r>
                    <w:rPr>
                      <w:rFonts w:hint="eastAsia"/>
                      <w:color w:val="000000" w:themeColor="text1"/>
                      <w:sz w:val="18"/>
                      <w:szCs w:val="18"/>
                      <w14:textFill>
                        <w14:solidFill>
                          <w14:schemeClr w14:val="tx1"/>
                        </w14:solidFill>
                      </w14:textFill>
                    </w:rPr>
                    <w:t>m</w:t>
                  </w:r>
                  <w:r>
                    <w:rPr>
                      <w:rFonts w:hint="eastAsia"/>
                      <w:color w:val="000000" w:themeColor="text1"/>
                      <w:sz w:val="18"/>
                      <w:szCs w:val="18"/>
                      <w:vertAlign w:val="superscript"/>
                      <w14:textFill>
                        <w14:solidFill>
                          <w14:schemeClr w14:val="tx1"/>
                        </w14:solidFill>
                      </w14:textFill>
                    </w:rPr>
                    <w:t>3</w:t>
                  </w:r>
                  <w:r>
                    <w:rPr>
                      <w:rFonts w:hint="eastAsia"/>
                      <w:color w:val="000000" w:themeColor="text1"/>
                      <w:sz w:val="18"/>
                      <w:szCs w:val="18"/>
                      <w14:textFill>
                        <w14:solidFill>
                          <w14:schemeClr w14:val="tx1"/>
                        </w14:solidFill>
                      </w14:textFill>
                    </w:rPr>
                    <w:t>/a）</w:t>
                  </w:r>
                </w:p>
              </w:tc>
              <w:tc>
                <w:tcPr>
                  <w:tcW w:w="2440" w:type="dxa"/>
                  <w:gridSpan w:val="3"/>
                  <w:noWrap w:val="0"/>
                  <w:vAlign w:val="center"/>
                </w:tcPr>
                <w:p w14:paraId="03B2F709">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3597.86</w:t>
                  </w:r>
                </w:p>
              </w:tc>
              <w:tc>
                <w:tcPr>
                  <w:tcW w:w="663" w:type="dxa"/>
                  <w:noWrap w:val="0"/>
                  <w:vAlign w:val="center"/>
                </w:tcPr>
                <w:p w14:paraId="5D18BA7B">
                  <w:pPr>
                    <w:adjustRightInd w:val="0"/>
                    <w:snapToGrid w:val="0"/>
                    <w:jc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w:t>
                  </w:r>
                </w:p>
              </w:tc>
              <w:tc>
                <w:tcPr>
                  <w:tcW w:w="663" w:type="dxa"/>
                  <w:vMerge w:val="restart"/>
                  <w:noWrap w:val="0"/>
                  <w:vAlign w:val="center"/>
                </w:tcPr>
                <w:p w14:paraId="70D0482F">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脉冲</w:t>
                  </w:r>
                  <w:r>
                    <w:rPr>
                      <w:rFonts w:hint="eastAsia"/>
                      <w:color w:val="000000" w:themeColor="text1"/>
                      <w:sz w:val="18"/>
                      <w:szCs w:val="18"/>
                      <w:lang w:val="en-US" w:eastAsia="zh-CN"/>
                      <w14:textFill>
                        <w14:solidFill>
                          <w14:schemeClr w14:val="tx1"/>
                        </w14:solidFill>
                      </w14:textFill>
                    </w:rPr>
                    <w:t>袋式</w:t>
                  </w:r>
                  <w:r>
                    <w:rPr>
                      <w:rFonts w:hint="eastAsia" w:eastAsia="宋体"/>
                      <w:color w:val="000000" w:themeColor="text1"/>
                      <w:sz w:val="18"/>
                      <w:szCs w:val="18"/>
                      <w:lang w:val="en-US" w:eastAsia="zh-CN"/>
                      <w14:textFill>
                        <w14:solidFill>
                          <w14:schemeClr w14:val="tx1"/>
                        </w14:solidFill>
                      </w14:textFill>
                    </w:rPr>
                    <w:t>除尘器</w:t>
                  </w:r>
                </w:p>
              </w:tc>
              <w:tc>
                <w:tcPr>
                  <w:tcW w:w="551" w:type="dxa"/>
                  <w:noWrap w:val="0"/>
                  <w:vAlign w:val="center"/>
                </w:tcPr>
                <w:p w14:paraId="10E8F703">
                  <w:pPr>
                    <w:adjustRightInd w:val="0"/>
                    <w:snapToGrid w:val="0"/>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w:t>
                  </w:r>
                </w:p>
              </w:tc>
              <w:tc>
                <w:tcPr>
                  <w:tcW w:w="2466" w:type="dxa"/>
                  <w:gridSpan w:val="3"/>
                  <w:noWrap w:val="0"/>
                  <w:vAlign w:val="center"/>
                </w:tcPr>
                <w:p w14:paraId="15C2B7EC">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3597.86</w:t>
                  </w:r>
                </w:p>
              </w:tc>
              <w:tc>
                <w:tcPr>
                  <w:tcW w:w="859" w:type="dxa"/>
                  <w:vMerge w:val="restart"/>
                  <w:noWrap w:val="0"/>
                  <w:vAlign w:val="center"/>
                </w:tcPr>
                <w:p w14:paraId="6F3FB865">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设置1根</w:t>
                  </w:r>
                  <w:r>
                    <w:rPr>
                      <w:rFonts w:hint="eastAsia"/>
                      <w:color w:val="000000" w:themeColor="text1"/>
                      <w:sz w:val="18"/>
                      <w:szCs w:val="18"/>
                      <w:lang w:val="en-US" w:eastAsia="zh-CN"/>
                      <w14:textFill>
                        <w14:solidFill>
                          <w14:schemeClr w14:val="tx1"/>
                        </w14:solidFill>
                      </w14:textFill>
                    </w:rPr>
                    <w:t>15</w:t>
                  </w:r>
                  <w:r>
                    <w:rPr>
                      <w:rFonts w:hint="eastAsia"/>
                      <w:color w:val="000000" w:themeColor="text1"/>
                      <w:sz w:val="18"/>
                      <w:szCs w:val="18"/>
                      <w14:textFill>
                        <w14:solidFill>
                          <w14:schemeClr w14:val="tx1"/>
                        </w14:solidFill>
                      </w14:textFill>
                    </w:rPr>
                    <w:t>m高的排气筒（DA00</w:t>
                  </w:r>
                  <w:r>
                    <w:rPr>
                      <w:rFonts w:hint="eastAsia"/>
                      <w:color w:val="000000" w:themeColor="text1"/>
                      <w:sz w:val="18"/>
                      <w:szCs w:val="18"/>
                      <w:lang w:val="en-US" w:eastAsia="zh-CN"/>
                      <w14:textFill>
                        <w14:solidFill>
                          <w14:schemeClr w14:val="tx1"/>
                        </w14:solidFill>
                      </w14:textFill>
                    </w:rPr>
                    <w:t>2</w:t>
                  </w:r>
                  <w:r>
                    <w:rPr>
                      <w:rFonts w:hint="eastAsia"/>
                      <w:color w:val="000000" w:themeColor="text1"/>
                      <w:sz w:val="18"/>
                      <w:szCs w:val="18"/>
                      <w14:textFill>
                        <w14:solidFill>
                          <w14:schemeClr w14:val="tx1"/>
                        </w14:solidFill>
                      </w14:textFill>
                    </w:rPr>
                    <w:t>）排放</w:t>
                  </w:r>
                </w:p>
              </w:tc>
            </w:tr>
            <w:tr w14:paraId="56DE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2" w:type="dxa"/>
                  <w:noWrap w:val="0"/>
                  <w:vAlign w:val="center"/>
                </w:tcPr>
                <w:p w14:paraId="3E232846">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颗粒物</w:t>
                  </w:r>
                </w:p>
              </w:tc>
              <w:tc>
                <w:tcPr>
                  <w:tcW w:w="914" w:type="dxa"/>
                  <w:noWrap w:val="0"/>
                  <w:vAlign w:val="center"/>
                </w:tcPr>
                <w:p w14:paraId="6F16F33E">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148.4</w:t>
                  </w:r>
                </w:p>
              </w:tc>
              <w:tc>
                <w:tcPr>
                  <w:tcW w:w="799" w:type="dxa"/>
                  <w:noWrap w:val="0"/>
                  <w:vAlign w:val="center"/>
                </w:tcPr>
                <w:p w14:paraId="4CA5B2DF">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1.112</w:t>
                  </w:r>
                </w:p>
              </w:tc>
              <w:tc>
                <w:tcPr>
                  <w:tcW w:w="727" w:type="dxa"/>
                  <w:noWrap w:val="0"/>
                  <w:vAlign w:val="center"/>
                </w:tcPr>
                <w:p w14:paraId="5478FAE2">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5.34</w:t>
                  </w:r>
                </w:p>
              </w:tc>
              <w:tc>
                <w:tcPr>
                  <w:tcW w:w="663" w:type="dxa"/>
                  <w:noWrap w:val="0"/>
                  <w:vAlign w:val="center"/>
                </w:tcPr>
                <w:p w14:paraId="5171CCF5">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60%</w:t>
                  </w:r>
                </w:p>
              </w:tc>
              <w:tc>
                <w:tcPr>
                  <w:tcW w:w="663" w:type="dxa"/>
                  <w:vMerge w:val="continue"/>
                  <w:noWrap w:val="0"/>
                  <w:vAlign w:val="center"/>
                </w:tcPr>
                <w:p w14:paraId="3F96EBFD">
                  <w:pPr>
                    <w:adjustRightInd w:val="0"/>
                    <w:snapToGrid w:val="0"/>
                    <w:jc w:val="center"/>
                    <w:rPr>
                      <w:color w:val="000000" w:themeColor="text1"/>
                      <w:sz w:val="18"/>
                      <w:szCs w:val="18"/>
                      <w14:textFill>
                        <w14:solidFill>
                          <w14:schemeClr w14:val="tx1"/>
                        </w14:solidFill>
                      </w14:textFill>
                    </w:rPr>
                  </w:pPr>
                </w:p>
              </w:tc>
              <w:tc>
                <w:tcPr>
                  <w:tcW w:w="551" w:type="dxa"/>
                  <w:noWrap w:val="0"/>
                  <w:vAlign w:val="center"/>
                </w:tcPr>
                <w:p w14:paraId="09BB30C1">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90</w:t>
                  </w:r>
                  <w:r>
                    <w:rPr>
                      <w:rFonts w:hint="eastAsia"/>
                      <w:color w:val="000000" w:themeColor="text1"/>
                      <w:sz w:val="18"/>
                      <w:szCs w:val="18"/>
                      <w14:textFill>
                        <w14:solidFill>
                          <w14:schemeClr w14:val="tx1"/>
                        </w14:solidFill>
                      </w14:textFill>
                    </w:rPr>
                    <w:t>%</w:t>
                  </w:r>
                </w:p>
              </w:tc>
              <w:tc>
                <w:tcPr>
                  <w:tcW w:w="926" w:type="dxa"/>
                  <w:noWrap w:val="0"/>
                  <w:vAlign w:val="center"/>
                </w:tcPr>
                <w:p w14:paraId="2C138E33">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8.89</w:t>
                  </w:r>
                </w:p>
              </w:tc>
              <w:tc>
                <w:tcPr>
                  <w:tcW w:w="802" w:type="dxa"/>
                  <w:noWrap w:val="0"/>
                  <w:vAlign w:val="center"/>
                </w:tcPr>
                <w:p w14:paraId="1D6FE5A5">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0.067</w:t>
                  </w:r>
                </w:p>
              </w:tc>
              <w:tc>
                <w:tcPr>
                  <w:tcW w:w="738" w:type="dxa"/>
                  <w:noWrap w:val="0"/>
                  <w:vAlign w:val="center"/>
                </w:tcPr>
                <w:p w14:paraId="502B6DCF">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0.32</w:t>
                  </w:r>
                </w:p>
              </w:tc>
              <w:tc>
                <w:tcPr>
                  <w:tcW w:w="859" w:type="dxa"/>
                  <w:vMerge w:val="continue"/>
                  <w:noWrap w:val="0"/>
                  <w:vAlign w:val="center"/>
                </w:tcPr>
                <w:p w14:paraId="220FD930">
                  <w:pPr>
                    <w:adjustRightInd w:val="0"/>
                    <w:snapToGrid w:val="0"/>
                    <w:jc w:val="center"/>
                    <w:rPr>
                      <w:color w:val="000000" w:themeColor="text1"/>
                      <w:sz w:val="18"/>
                      <w:szCs w:val="18"/>
                      <w14:textFill>
                        <w14:solidFill>
                          <w14:schemeClr w14:val="tx1"/>
                        </w14:solidFill>
                      </w14:textFill>
                    </w:rPr>
                  </w:pPr>
                </w:p>
              </w:tc>
            </w:tr>
          </w:tbl>
          <w:p w14:paraId="5EE6DCCD">
            <w:pPr>
              <w:adjustRightInd w:val="0"/>
              <w:snapToGrid w:val="0"/>
              <w:spacing w:line="360" w:lineRule="auto"/>
              <w:ind w:firstLine="482" w:firstLineChars="200"/>
              <w:rPr>
                <w:rFonts w:hint="eastAsia"/>
                <w:b/>
                <w:bCs/>
                <w:color w:val="000000" w:themeColor="text1"/>
                <w:sz w:val="24"/>
                <w:shd w:val="clear" w:color="auto" w:fill="FFFFFF"/>
                <w14:textFill>
                  <w14:solidFill>
                    <w14:schemeClr w14:val="tx1"/>
                  </w14:solidFill>
                </w14:textFill>
              </w:rPr>
            </w:pPr>
            <w:r>
              <w:rPr>
                <w:rFonts w:hint="eastAsia"/>
                <w:b/>
                <w:bCs/>
                <w:color w:val="000000" w:themeColor="text1"/>
                <w:sz w:val="24"/>
                <w:lang w:val="en-US" w:eastAsia="zh-CN"/>
                <w14:textFill>
                  <w14:solidFill>
                    <w14:schemeClr w14:val="tx1"/>
                  </w14:solidFill>
                </w14:textFill>
              </w:rPr>
              <w:t>（2）炉窑废气</w:t>
            </w:r>
            <w:r>
              <w:rPr>
                <w:rFonts w:hint="eastAsia"/>
                <w:b/>
                <w:bCs/>
                <w:color w:val="000000" w:themeColor="text1"/>
                <w:sz w:val="24"/>
                <w:shd w:val="clear" w:color="auto" w:fill="FFFFFF"/>
                <w14:textFill>
                  <w14:solidFill>
                    <w14:schemeClr w14:val="tx1"/>
                  </w14:solidFill>
                </w14:textFill>
              </w:rPr>
              <w:t>（G</w:t>
            </w:r>
            <w:r>
              <w:rPr>
                <w:rFonts w:hint="eastAsia"/>
                <w:b/>
                <w:bCs/>
                <w:color w:val="000000" w:themeColor="text1"/>
                <w:sz w:val="24"/>
                <w:shd w:val="clear" w:color="auto" w:fill="FFFFFF"/>
                <w:lang w:val="en-US" w:eastAsia="zh-CN"/>
                <w14:textFill>
                  <w14:solidFill>
                    <w14:schemeClr w14:val="tx1"/>
                  </w14:solidFill>
                </w14:textFill>
              </w:rPr>
              <w:t>2</w:t>
            </w:r>
            <w:r>
              <w:rPr>
                <w:rFonts w:hint="eastAsia"/>
                <w:b/>
                <w:bCs/>
                <w:color w:val="000000" w:themeColor="text1"/>
                <w:sz w:val="24"/>
                <w:shd w:val="clear" w:color="auto" w:fill="FFFFFF"/>
                <w14:textFill>
                  <w14:solidFill>
                    <w14:schemeClr w14:val="tx1"/>
                  </w14:solidFill>
                </w14:textFill>
              </w:rPr>
              <w:t>）</w:t>
            </w:r>
            <w:r>
              <w:rPr>
                <w:rFonts w:hint="eastAsia"/>
                <w:b/>
                <w:bCs/>
                <w:color w:val="000000" w:themeColor="text1"/>
                <w:sz w:val="24"/>
                <w:lang w:val="en-US" w:eastAsia="zh-CN"/>
                <w14:textFill>
                  <w14:solidFill>
                    <w14:schemeClr w14:val="tx1"/>
                  </w14:solidFill>
                </w14:textFill>
              </w:rPr>
              <w:t>-DA001排放口</w:t>
            </w:r>
          </w:p>
          <w:p w14:paraId="31D9FB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根据建设单位提供的资料，项目窑体内部结构为全封闭的，窑体无与外界连接的孔洞。</w:t>
            </w:r>
            <w:r>
              <w:rPr>
                <w:rFonts w:hint="default" w:ascii="Times New Roman" w:hAnsi="Times New Roman" w:eastAsia="宋体" w:cs="Times New Roman"/>
                <w:color w:val="000000" w:themeColor="text1"/>
                <w:sz w:val="24"/>
                <w:szCs w:val="24"/>
                <w14:textFill>
                  <w14:solidFill>
                    <w14:schemeClr w14:val="tx1"/>
                  </w14:solidFill>
                </w14:textFill>
              </w:rPr>
              <w:t>项目</w:t>
            </w:r>
            <w:r>
              <w:rPr>
                <w:rFonts w:hint="default" w:ascii="Times New Roman" w:hAnsi="Times New Roman" w:eastAsia="宋体" w:cs="Times New Roman"/>
                <w:color w:val="000000" w:themeColor="text1"/>
                <w:sz w:val="24"/>
                <w:szCs w:val="24"/>
                <w:lang w:eastAsia="zh-CN"/>
                <w14:textFill>
                  <w14:solidFill>
                    <w14:schemeClr w14:val="tx1"/>
                  </w14:solidFill>
                </w14:textFill>
              </w:rPr>
              <w:t>改建</w:t>
            </w:r>
            <w:r>
              <w:rPr>
                <w:rFonts w:hint="default" w:ascii="Times New Roman" w:hAnsi="Times New Roman" w:eastAsia="宋体" w:cs="Times New Roman"/>
                <w:color w:val="000000" w:themeColor="text1"/>
                <w:sz w:val="24"/>
                <w:szCs w:val="24"/>
                <w14:textFill>
                  <w14:solidFill>
                    <w14:schemeClr w14:val="tx1"/>
                  </w14:solidFill>
                </w14:textFill>
              </w:rPr>
              <w:t>完成后</w:t>
            </w:r>
            <w:r>
              <w:rPr>
                <w:rFonts w:hint="eastAsia"/>
                <w:color w:val="000000" w:themeColor="text1"/>
                <w:sz w:val="24"/>
                <w:szCs w:val="24"/>
                <w:lang w:val="en-US" w:eastAsia="zh-CN"/>
                <w14:textFill>
                  <w14:solidFill>
                    <w14:schemeClr w14:val="tx1"/>
                  </w14:solidFill>
                </w14:textFill>
              </w:rPr>
              <w:t>青瓦烧制过程产生的炉窑废气通过烟气收集管道收集后设置1套“高温脉冲袋式除尘+脱硫塔（石灰石石膏法）”处理后，由1根15m高的排气筒（</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DA00</w:t>
            </w:r>
            <w:r>
              <w:rPr>
                <w:rFonts w:hint="eastAsia" w:cs="Times New Roman"/>
                <w:color w:val="000000" w:themeColor="text1"/>
                <w:sz w:val="24"/>
                <w:szCs w:val="24"/>
                <w:lang w:val="en-US" w:eastAsia="zh-CN"/>
                <w14:textFill>
                  <w14:solidFill>
                    <w14:schemeClr w14:val="tx1"/>
                  </w14:solidFill>
                </w14:textFill>
              </w:rPr>
              <w:t>1</w:t>
            </w:r>
            <w:r>
              <w:rPr>
                <w:rFonts w:hint="eastAsia"/>
                <w:color w:val="000000" w:themeColor="text1"/>
                <w:sz w:val="24"/>
                <w:szCs w:val="24"/>
                <w:lang w:val="en-US" w:eastAsia="zh-CN"/>
                <w14:textFill>
                  <w14:solidFill>
                    <w14:schemeClr w14:val="tx1"/>
                  </w14:solidFill>
                </w14:textFill>
              </w:rPr>
              <w:t>）排放，其中高温脉冲袋式除尘器的除尘效率不低于90%，脱硫塔的处理效率不低于80%。</w:t>
            </w:r>
          </w:p>
          <w:p w14:paraId="39AB3CD4">
            <w:pPr>
              <w:pStyle w:val="82"/>
              <w:adjustRightInd w:val="0"/>
              <w:snapToGrid w:val="0"/>
              <w:ind w:firstLine="482" w:firstLineChars="200"/>
              <w:outlineLvl w:val="2"/>
              <w:rPr>
                <w:rFonts w:hint="default" w:eastAsia="宋体"/>
                <w:b/>
                <w:bCs/>
                <w:color w:val="000000" w:themeColor="text1"/>
                <w:szCs w:val="24"/>
                <w:lang w:val="en-US" w:eastAsia="zh-CN"/>
                <w14:textFill>
                  <w14:solidFill>
                    <w14:schemeClr w14:val="tx1"/>
                  </w14:solidFill>
                </w14:textFill>
              </w:rPr>
            </w:pPr>
            <w:r>
              <w:rPr>
                <w:rFonts w:hint="eastAsia"/>
                <w:b/>
                <w:bCs/>
                <w:color w:val="000000" w:themeColor="text1"/>
                <w:szCs w:val="24"/>
                <w:lang w:eastAsia="zh-CN"/>
                <w14:textFill>
                  <w14:solidFill>
                    <w14:schemeClr w14:val="tx1"/>
                  </w14:solidFill>
                </w14:textFill>
              </w:rPr>
              <w:t>①</w:t>
            </w:r>
            <w:r>
              <w:rPr>
                <w:rFonts w:hint="eastAsia"/>
                <w:b/>
                <w:bCs/>
                <w:color w:val="000000" w:themeColor="text1"/>
                <w:szCs w:val="24"/>
                <w:lang w:val="en-US" w:eastAsia="zh-CN"/>
                <w14:textFill>
                  <w14:solidFill>
                    <w14:schemeClr w14:val="tx1"/>
                  </w14:solidFill>
                </w14:textFill>
              </w:rPr>
              <w:t>颗粒物、二氧化硫、氮氧化物</w:t>
            </w:r>
          </w:p>
          <w:p w14:paraId="2CB9D340">
            <w:pPr>
              <w:adjustRightInd w:val="0"/>
              <w:snapToGrid w:val="0"/>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本次改扩建后燃料为生物质，因燃生物质颗粒工业炉窑无产排污核算方法，本次环评参考</w:t>
            </w:r>
            <w:r>
              <w:rPr>
                <w:rFonts w:hint="eastAsia"/>
                <w:bCs/>
                <w:color w:val="000000" w:themeColor="text1"/>
                <w:sz w:val="24"/>
                <w:szCs w:val="24"/>
                <w14:textFill>
                  <w14:solidFill>
                    <w14:schemeClr w14:val="tx1"/>
                  </w14:solidFill>
                </w14:textFill>
              </w:rPr>
              <w:t>《排放源统计调查产排污核算方法和系数手册》</w:t>
            </w:r>
            <w:r>
              <w:rPr>
                <w:rFonts w:hint="eastAsia"/>
                <w:bCs/>
                <w:color w:val="000000" w:themeColor="text1"/>
                <w:sz w:val="24"/>
                <w:szCs w:val="24"/>
                <w:lang w:val="en-US" w:eastAsia="zh-CN"/>
                <w14:textFill>
                  <w14:solidFill>
                    <w14:schemeClr w14:val="tx1"/>
                  </w14:solidFill>
                </w14:textFill>
              </w:rPr>
              <w:t>3031粘土砖瓦及建筑砌块制造</w:t>
            </w:r>
            <w:r>
              <w:rPr>
                <w:rFonts w:hint="eastAsia"/>
                <w:bCs/>
                <w:color w:val="000000" w:themeColor="text1"/>
                <w:sz w:val="24"/>
                <w:szCs w:val="24"/>
                <w14:textFill>
                  <w14:solidFill>
                    <w14:schemeClr w14:val="tx1"/>
                  </w14:solidFill>
                </w14:textFill>
              </w:rPr>
              <w:t>系数表</w:t>
            </w:r>
            <w:r>
              <w:rPr>
                <w:rFonts w:hint="eastAsia"/>
                <w:bCs/>
                <w:color w:val="000000" w:themeColor="text1"/>
                <w:sz w:val="24"/>
                <w:szCs w:val="24"/>
                <w:lang w:val="en-US" w:eastAsia="zh-CN"/>
                <w14:textFill>
                  <w14:solidFill>
                    <w14:schemeClr w14:val="tx1"/>
                  </w14:solidFill>
                </w14:textFill>
              </w:rPr>
              <w:t>中燃煤砖瓦工业焙烧炉窑</w:t>
            </w:r>
            <w:r>
              <w:rPr>
                <w:rFonts w:hint="eastAsia"/>
                <w:bCs/>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计算</w:t>
            </w:r>
            <w:r>
              <w:rPr>
                <w:rFonts w:hint="eastAsia"/>
                <w:color w:val="000000" w:themeColor="text1"/>
                <w:sz w:val="24"/>
                <w:szCs w:val="24"/>
                <w:lang w:val="en-US" w:eastAsia="zh-CN"/>
                <w14:textFill>
                  <w14:solidFill>
                    <w14:schemeClr w14:val="tx1"/>
                  </w14:solidFill>
                </w14:textFill>
              </w:rPr>
              <w:t>工业炉窑废气量、颗粒物、氮氧化物的</w:t>
            </w:r>
            <w:r>
              <w:rPr>
                <w:color w:val="000000" w:themeColor="text1"/>
                <w:sz w:val="24"/>
                <w:szCs w:val="24"/>
                <w14:textFill>
                  <w14:solidFill>
                    <w14:schemeClr w14:val="tx1"/>
                  </w14:solidFill>
                </w14:textFill>
              </w:rPr>
              <w:t>产生量</w:t>
            </w:r>
            <w:r>
              <w:rPr>
                <w:rFonts w:hint="eastAsia"/>
                <w:color w:val="000000" w:themeColor="text1"/>
                <w:sz w:val="24"/>
                <w:szCs w:val="24"/>
                <w14:textFill>
                  <w14:solidFill>
                    <w14:schemeClr w14:val="tx1"/>
                  </w14:solidFill>
                </w14:textFill>
              </w:rPr>
              <w:t>，产污系数</w:t>
            </w:r>
            <w:r>
              <w:rPr>
                <w:color w:val="000000" w:themeColor="text1"/>
                <w:sz w:val="24"/>
                <w:szCs w:val="24"/>
                <w14:textFill>
                  <w14:solidFill>
                    <w14:schemeClr w14:val="tx1"/>
                  </w14:solidFill>
                </w14:textFill>
              </w:rPr>
              <w:t>见下表。</w:t>
            </w:r>
          </w:p>
          <w:p w14:paraId="59D0B958">
            <w:pPr>
              <w:jc w:val="center"/>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表</w:t>
            </w:r>
            <w:r>
              <w:rPr>
                <w:rFonts w:hint="eastAsia"/>
                <w:b/>
                <w:bCs/>
                <w:color w:val="000000" w:themeColor="text1"/>
                <w:sz w:val="24"/>
                <w14:textFill>
                  <w14:solidFill>
                    <w14:schemeClr w14:val="tx1"/>
                  </w14:solidFill>
                </w14:textFill>
              </w:rPr>
              <w:t>4-</w:t>
            </w:r>
            <w:r>
              <w:rPr>
                <w:rFonts w:hint="eastAsia"/>
                <w:b/>
                <w:bCs/>
                <w:color w:val="000000" w:themeColor="text1"/>
                <w:sz w:val="24"/>
                <w:lang w:val="en-US" w:eastAsia="zh-CN"/>
                <w14:textFill>
                  <w14:solidFill>
                    <w14:schemeClr w14:val="tx1"/>
                  </w14:solidFill>
                </w14:textFill>
              </w:rPr>
              <w:t>4</w:t>
            </w:r>
            <w:r>
              <w:rPr>
                <w:rFonts w:hint="eastAsia"/>
                <w:b/>
                <w:bCs/>
                <w:color w:val="000000" w:themeColor="text1"/>
                <w:sz w:val="24"/>
                <w14:textFill>
                  <w14:solidFill>
                    <w14:schemeClr w14:val="tx1"/>
                  </w14:solidFill>
                </w14:textFill>
              </w:rPr>
              <w:t xml:space="preserve"> </w:t>
            </w:r>
            <w:r>
              <w:rPr>
                <w:b/>
                <w:bCs/>
                <w:color w:val="000000" w:themeColor="text1"/>
                <w:sz w:val="24"/>
                <w14:textFill>
                  <w14:solidFill>
                    <w14:schemeClr w14:val="tx1"/>
                  </w14:solidFill>
                </w14:textFill>
              </w:rPr>
              <w:t xml:space="preserve">  </w:t>
            </w:r>
            <w:r>
              <w:rPr>
                <w:rFonts w:hint="eastAsia"/>
                <w:b/>
                <w:bCs/>
                <w:color w:val="000000" w:themeColor="text1"/>
                <w:sz w:val="24"/>
                <w14:textFill>
                  <w14:solidFill>
                    <w14:schemeClr w14:val="tx1"/>
                  </w14:solidFill>
                </w14:textFill>
              </w:rPr>
              <w:t>粘土砖瓦及建筑砌块制造系数表</w:t>
            </w:r>
          </w:p>
          <w:tbl>
            <w:tblPr>
              <w:tblStyle w:val="28"/>
              <w:tblW w:w="8674"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909"/>
              <w:gridCol w:w="898"/>
              <w:gridCol w:w="1049"/>
              <w:gridCol w:w="958"/>
              <w:gridCol w:w="1484"/>
              <w:gridCol w:w="1813"/>
              <w:gridCol w:w="1563"/>
            </w:tblGrid>
            <w:tr w14:paraId="46304D3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1089" w:hRule="atLeast"/>
                <w:jc w:val="center"/>
              </w:trPr>
              <w:tc>
                <w:tcPr>
                  <w:tcW w:w="524" w:type="pct"/>
                  <w:noWrap w:val="0"/>
                  <w:vAlign w:val="center"/>
                </w:tcPr>
                <w:p w14:paraId="2A7F531B">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产品名称</w:t>
                  </w:r>
                </w:p>
              </w:tc>
              <w:tc>
                <w:tcPr>
                  <w:tcW w:w="517" w:type="pct"/>
                  <w:noWrap w:val="0"/>
                  <w:vAlign w:val="center"/>
                </w:tcPr>
                <w:p w14:paraId="77824460">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原料名称</w:t>
                  </w:r>
                </w:p>
              </w:tc>
              <w:tc>
                <w:tcPr>
                  <w:tcW w:w="604" w:type="pct"/>
                  <w:noWrap w:val="0"/>
                  <w:vAlign w:val="center"/>
                </w:tcPr>
                <w:p w14:paraId="60DB9395">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工艺名称</w:t>
                  </w:r>
                </w:p>
              </w:tc>
              <w:tc>
                <w:tcPr>
                  <w:tcW w:w="552" w:type="pct"/>
                  <w:noWrap w:val="0"/>
                  <w:vAlign w:val="center"/>
                </w:tcPr>
                <w:p w14:paraId="762137DF">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规模等级</w:t>
                  </w:r>
                </w:p>
              </w:tc>
              <w:tc>
                <w:tcPr>
                  <w:tcW w:w="855" w:type="pct"/>
                  <w:noWrap w:val="0"/>
                  <w:vAlign w:val="center"/>
                </w:tcPr>
                <w:p w14:paraId="7C1DE405">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污染物指标</w:t>
                  </w:r>
                </w:p>
              </w:tc>
              <w:tc>
                <w:tcPr>
                  <w:tcW w:w="1044" w:type="pct"/>
                  <w:noWrap w:val="0"/>
                  <w:vAlign w:val="center"/>
                </w:tcPr>
                <w:p w14:paraId="6ACC4346">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单位</w:t>
                  </w:r>
                </w:p>
              </w:tc>
              <w:tc>
                <w:tcPr>
                  <w:tcW w:w="900" w:type="pct"/>
                  <w:noWrap w:val="0"/>
                  <w:vAlign w:val="center"/>
                </w:tcPr>
                <w:p w14:paraId="3F11C237">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产污系数</w:t>
                  </w:r>
                </w:p>
              </w:tc>
            </w:tr>
            <w:tr w14:paraId="21FED4F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707" w:hRule="exact"/>
                <w:jc w:val="center"/>
              </w:trPr>
              <w:tc>
                <w:tcPr>
                  <w:tcW w:w="524" w:type="pct"/>
                  <w:vMerge w:val="restart"/>
                  <w:noWrap w:val="0"/>
                  <w:vAlign w:val="center"/>
                </w:tcPr>
                <w:p w14:paraId="55484678">
                  <w:pPr>
                    <w:adjustRightInd w:val="0"/>
                    <w:snapToGrid w:val="0"/>
                    <w:jc w:val="center"/>
                    <w:rPr>
                      <w:rFonts w:hint="default"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烧结类砖瓦及建筑砌块</w:t>
                  </w:r>
                </w:p>
              </w:tc>
              <w:tc>
                <w:tcPr>
                  <w:tcW w:w="517" w:type="pct"/>
                  <w:vMerge w:val="restart"/>
                  <w:noWrap w:val="0"/>
                  <w:vAlign w:val="center"/>
                </w:tcPr>
                <w:p w14:paraId="0AD81753">
                  <w:pPr>
                    <w:adjustRightInd w:val="0"/>
                    <w:snapToGrid w:val="0"/>
                    <w:jc w:val="center"/>
                    <w:rPr>
                      <w:rFonts w:hint="default"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粘土、页岩、粉煤灰、污泥等</w:t>
                  </w:r>
                </w:p>
              </w:tc>
              <w:tc>
                <w:tcPr>
                  <w:tcW w:w="604" w:type="pct"/>
                  <w:vMerge w:val="restart"/>
                  <w:noWrap w:val="0"/>
                  <w:vAlign w:val="center"/>
                </w:tcPr>
                <w:p w14:paraId="4EEC9AD0">
                  <w:pPr>
                    <w:adjustRightInd w:val="0"/>
                    <w:snapToGrid w:val="0"/>
                    <w:jc w:val="center"/>
                    <w:rPr>
                      <w:rFonts w:hint="default"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砖瓦工业焙烧炉窑（单条）（燃煤等）</w:t>
                  </w:r>
                </w:p>
              </w:tc>
              <w:tc>
                <w:tcPr>
                  <w:tcW w:w="552" w:type="pct"/>
                  <w:vMerge w:val="restart"/>
                  <w:noWrap w:val="0"/>
                  <w:vAlign w:val="center"/>
                </w:tcPr>
                <w:p w14:paraId="723383F2">
                  <w:pPr>
                    <w:adjustRightInd w:val="0"/>
                    <w:snapToGrid w:val="0"/>
                    <w:jc w:val="center"/>
                    <w:rPr>
                      <w:rFonts w:hint="default"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＜5000万块标砖/年</w:t>
                  </w:r>
                </w:p>
              </w:tc>
              <w:tc>
                <w:tcPr>
                  <w:tcW w:w="855" w:type="pct"/>
                  <w:noWrap w:val="0"/>
                  <w:vAlign w:val="center"/>
                </w:tcPr>
                <w:p w14:paraId="1B76D195">
                  <w:pPr>
                    <w:adjustRightInd w:val="0"/>
                    <w:snapToGrid w:val="0"/>
                    <w:jc w:val="center"/>
                    <w:rPr>
                      <w:rFonts w:hint="eastAsia" w:eastAsia="宋体"/>
                      <w:bCs/>
                      <w:color w:val="000000" w:themeColor="text1"/>
                      <w:szCs w:val="21"/>
                      <w:lang w:eastAsia="zh-CN"/>
                      <w14:textFill>
                        <w14:solidFill>
                          <w14:schemeClr w14:val="tx1"/>
                        </w14:solidFill>
                      </w14:textFill>
                    </w:rPr>
                  </w:pPr>
                  <w:r>
                    <w:rPr>
                      <w:bCs/>
                      <w:color w:val="000000" w:themeColor="text1"/>
                      <w:szCs w:val="21"/>
                      <w14:textFill>
                        <w14:solidFill>
                          <w14:schemeClr w14:val="tx1"/>
                        </w14:solidFill>
                      </w14:textFill>
                    </w:rPr>
                    <w:t>工业废气</w:t>
                  </w:r>
                  <w:r>
                    <w:rPr>
                      <w:rFonts w:hint="eastAsia"/>
                      <w:bCs/>
                      <w:color w:val="000000" w:themeColor="text1"/>
                      <w:szCs w:val="21"/>
                      <w14:textFill>
                        <w14:solidFill>
                          <w14:schemeClr w14:val="tx1"/>
                        </w14:solidFill>
                      </w14:textFill>
                    </w:rPr>
                    <w:t>量</w:t>
                  </w:r>
                </w:p>
              </w:tc>
              <w:tc>
                <w:tcPr>
                  <w:tcW w:w="1044" w:type="pct"/>
                  <w:noWrap w:val="0"/>
                  <w:vAlign w:val="center"/>
                </w:tcPr>
                <w:p w14:paraId="61C22AA7">
                  <w:pPr>
                    <w:adjustRightInd w:val="0"/>
                    <w:snapToGrid w:val="0"/>
                    <w:jc w:val="center"/>
                    <w:rPr>
                      <w:rFonts w:hint="default" w:eastAsia="宋体"/>
                      <w:bCs/>
                      <w:color w:val="000000" w:themeColor="text1"/>
                      <w:szCs w:val="21"/>
                      <w:lang w:val="en-US" w:eastAsia="zh-CN"/>
                      <w14:textFill>
                        <w14:solidFill>
                          <w14:schemeClr w14:val="tx1"/>
                        </w14:solidFill>
                      </w14:textFill>
                    </w:rPr>
                  </w:pPr>
                  <w:r>
                    <w:rPr>
                      <w:bCs/>
                      <w:color w:val="000000" w:themeColor="text1"/>
                      <w:szCs w:val="21"/>
                      <w14:textFill>
                        <w14:solidFill>
                          <w14:schemeClr w14:val="tx1"/>
                        </w14:solidFill>
                      </w14:textFill>
                    </w:rPr>
                    <w:t>标立方米/</w:t>
                  </w:r>
                  <w:r>
                    <w:rPr>
                      <w:rFonts w:hint="eastAsia"/>
                      <w:bCs/>
                      <w:color w:val="000000" w:themeColor="text1"/>
                      <w:szCs w:val="21"/>
                      <w:lang w:val="en-US" w:eastAsia="zh-CN"/>
                      <w14:textFill>
                        <w14:solidFill>
                          <w14:schemeClr w14:val="tx1"/>
                        </w14:solidFill>
                      </w14:textFill>
                    </w:rPr>
                    <w:t>万块标砖</w:t>
                  </w:r>
                </w:p>
              </w:tc>
              <w:tc>
                <w:tcPr>
                  <w:tcW w:w="900" w:type="pct"/>
                  <w:noWrap w:val="0"/>
                  <w:vAlign w:val="center"/>
                </w:tcPr>
                <w:p w14:paraId="17240BB0">
                  <w:pPr>
                    <w:adjustRightInd w:val="0"/>
                    <w:snapToGrid w:val="0"/>
                    <w:jc w:val="center"/>
                    <w:rPr>
                      <w:rFonts w:hint="default"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48610</w:t>
                  </w:r>
                </w:p>
              </w:tc>
            </w:tr>
            <w:tr w14:paraId="5A11DDF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623" w:hRule="exact"/>
                <w:jc w:val="center"/>
              </w:trPr>
              <w:tc>
                <w:tcPr>
                  <w:tcW w:w="524" w:type="pct"/>
                  <w:vMerge w:val="continue"/>
                  <w:noWrap w:val="0"/>
                  <w:vAlign w:val="center"/>
                </w:tcPr>
                <w:p w14:paraId="322AC042">
                  <w:pPr>
                    <w:adjustRightInd w:val="0"/>
                    <w:snapToGrid w:val="0"/>
                    <w:jc w:val="center"/>
                    <w:rPr>
                      <w:bCs/>
                      <w:color w:val="000000" w:themeColor="text1"/>
                      <w:szCs w:val="21"/>
                      <w14:textFill>
                        <w14:solidFill>
                          <w14:schemeClr w14:val="tx1"/>
                        </w14:solidFill>
                      </w14:textFill>
                    </w:rPr>
                  </w:pPr>
                </w:p>
              </w:tc>
              <w:tc>
                <w:tcPr>
                  <w:tcW w:w="517" w:type="pct"/>
                  <w:vMerge w:val="continue"/>
                  <w:noWrap w:val="0"/>
                  <w:vAlign w:val="center"/>
                </w:tcPr>
                <w:p w14:paraId="0A546D58">
                  <w:pPr>
                    <w:adjustRightInd w:val="0"/>
                    <w:snapToGrid w:val="0"/>
                    <w:jc w:val="center"/>
                    <w:rPr>
                      <w:bCs/>
                      <w:color w:val="000000" w:themeColor="text1"/>
                      <w:szCs w:val="21"/>
                      <w14:textFill>
                        <w14:solidFill>
                          <w14:schemeClr w14:val="tx1"/>
                        </w14:solidFill>
                      </w14:textFill>
                    </w:rPr>
                  </w:pPr>
                </w:p>
              </w:tc>
              <w:tc>
                <w:tcPr>
                  <w:tcW w:w="604" w:type="pct"/>
                  <w:vMerge w:val="continue"/>
                  <w:noWrap w:val="0"/>
                  <w:vAlign w:val="center"/>
                </w:tcPr>
                <w:p w14:paraId="2557E9F3">
                  <w:pPr>
                    <w:adjustRightInd w:val="0"/>
                    <w:snapToGrid w:val="0"/>
                    <w:jc w:val="center"/>
                    <w:rPr>
                      <w:bCs/>
                      <w:color w:val="000000" w:themeColor="text1"/>
                      <w:szCs w:val="21"/>
                      <w14:textFill>
                        <w14:solidFill>
                          <w14:schemeClr w14:val="tx1"/>
                        </w14:solidFill>
                      </w14:textFill>
                    </w:rPr>
                  </w:pPr>
                </w:p>
              </w:tc>
              <w:tc>
                <w:tcPr>
                  <w:tcW w:w="552" w:type="pct"/>
                  <w:vMerge w:val="continue"/>
                  <w:noWrap w:val="0"/>
                  <w:vAlign w:val="center"/>
                </w:tcPr>
                <w:p w14:paraId="29841284">
                  <w:pPr>
                    <w:adjustRightInd w:val="0"/>
                    <w:snapToGrid w:val="0"/>
                    <w:jc w:val="center"/>
                    <w:rPr>
                      <w:bCs/>
                      <w:color w:val="000000" w:themeColor="text1"/>
                      <w:szCs w:val="21"/>
                      <w14:textFill>
                        <w14:solidFill>
                          <w14:schemeClr w14:val="tx1"/>
                        </w14:solidFill>
                      </w14:textFill>
                    </w:rPr>
                  </w:pPr>
                </w:p>
              </w:tc>
              <w:tc>
                <w:tcPr>
                  <w:tcW w:w="855" w:type="pct"/>
                  <w:noWrap w:val="0"/>
                  <w:vAlign w:val="center"/>
                </w:tcPr>
                <w:p w14:paraId="71385449">
                  <w:pPr>
                    <w:adjustRightInd w:val="0"/>
                    <w:snapToGrid w:val="0"/>
                    <w:jc w:val="center"/>
                    <w:rPr>
                      <w:rFonts w:hint="eastAsia" w:eastAsia="宋体"/>
                      <w:bCs/>
                      <w:color w:val="000000" w:themeColor="text1"/>
                      <w:szCs w:val="21"/>
                      <w:lang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颗粒物</w:t>
                  </w:r>
                </w:p>
              </w:tc>
              <w:tc>
                <w:tcPr>
                  <w:tcW w:w="1044" w:type="pct"/>
                  <w:noWrap w:val="0"/>
                  <w:vAlign w:val="center"/>
                </w:tcPr>
                <w:p w14:paraId="45EA2721">
                  <w:pPr>
                    <w:adjustRightInd w:val="0"/>
                    <w:snapToGrid w:val="0"/>
                    <w:jc w:val="center"/>
                    <w:rPr>
                      <w:rFonts w:hint="eastAsia" w:eastAsia="宋体"/>
                      <w:bCs/>
                      <w:color w:val="000000" w:themeColor="text1"/>
                      <w:szCs w:val="21"/>
                      <w:lang w:eastAsia="zh-CN"/>
                      <w14:textFill>
                        <w14:solidFill>
                          <w14:schemeClr w14:val="tx1"/>
                        </w14:solidFill>
                      </w14:textFill>
                    </w:rPr>
                  </w:pPr>
                  <w:r>
                    <w:rPr>
                      <w:bCs/>
                      <w:color w:val="000000" w:themeColor="text1"/>
                      <w:szCs w:val="21"/>
                      <w14:textFill>
                        <w14:solidFill>
                          <w14:schemeClr w14:val="tx1"/>
                        </w14:solidFill>
                      </w14:textFill>
                    </w:rPr>
                    <w:t>千克/</w:t>
                  </w:r>
                  <w:r>
                    <w:rPr>
                      <w:rFonts w:hint="eastAsia"/>
                      <w:bCs/>
                      <w:color w:val="000000" w:themeColor="text1"/>
                      <w:szCs w:val="21"/>
                      <w:lang w:val="en-US" w:eastAsia="zh-CN"/>
                      <w14:textFill>
                        <w14:solidFill>
                          <w14:schemeClr w14:val="tx1"/>
                        </w14:solidFill>
                      </w14:textFill>
                    </w:rPr>
                    <w:t>万块标砖</w:t>
                  </w:r>
                </w:p>
              </w:tc>
              <w:tc>
                <w:tcPr>
                  <w:tcW w:w="900" w:type="pct"/>
                  <w:noWrap w:val="0"/>
                  <w:vAlign w:val="center"/>
                </w:tcPr>
                <w:p w14:paraId="394DDDFF">
                  <w:pPr>
                    <w:adjustRightInd w:val="0"/>
                    <w:snapToGrid w:val="0"/>
                    <w:jc w:val="center"/>
                    <w:rPr>
                      <w:rFonts w:hint="default"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6.08</w:t>
                  </w:r>
                </w:p>
              </w:tc>
            </w:tr>
            <w:tr w14:paraId="10AE28B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524" w:type="pct"/>
                  <w:vMerge w:val="continue"/>
                  <w:noWrap w:val="0"/>
                  <w:vAlign w:val="center"/>
                </w:tcPr>
                <w:p w14:paraId="55B47A41">
                  <w:pPr>
                    <w:adjustRightInd w:val="0"/>
                    <w:snapToGrid w:val="0"/>
                    <w:jc w:val="center"/>
                    <w:rPr>
                      <w:bCs/>
                      <w:color w:val="000000" w:themeColor="text1"/>
                      <w:szCs w:val="21"/>
                      <w14:textFill>
                        <w14:solidFill>
                          <w14:schemeClr w14:val="tx1"/>
                        </w14:solidFill>
                      </w14:textFill>
                    </w:rPr>
                  </w:pPr>
                </w:p>
              </w:tc>
              <w:tc>
                <w:tcPr>
                  <w:tcW w:w="517" w:type="pct"/>
                  <w:vMerge w:val="continue"/>
                  <w:noWrap w:val="0"/>
                  <w:vAlign w:val="center"/>
                </w:tcPr>
                <w:p w14:paraId="089AA1DC">
                  <w:pPr>
                    <w:adjustRightInd w:val="0"/>
                    <w:snapToGrid w:val="0"/>
                    <w:jc w:val="center"/>
                    <w:rPr>
                      <w:bCs/>
                      <w:color w:val="000000" w:themeColor="text1"/>
                      <w:szCs w:val="21"/>
                      <w14:textFill>
                        <w14:solidFill>
                          <w14:schemeClr w14:val="tx1"/>
                        </w14:solidFill>
                      </w14:textFill>
                    </w:rPr>
                  </w:pPr>
                </w:p>
              </w:tc>
              <w:tc>
                <w:tcPr>
                  <w:tcW w:w="604" w:type="pct"/>
                  <w:vMerge w:val="continue"/>
                  <w:noWrap w:val="0"/>
                  <w:vAlign w:val="center"/>
                </w:tcPr>
                <w:p w14:paraId="662DB7A0">
                  <w:pPr>
                    <w:adjustRightInd w:val="0"/>
                    <w:snapToGrid w:val="0"/>
                    <w:jc w:val="center"/>
                    <w:rPr>
                      <w:bCs/>
                      <w:color w:val="000000" w:themeColor="text1"/>
                      <w:szCs w:val="21"/>
                      <w14:textFill>
                        <w14:solidFill>
                          <w14:schemeClr w14:val="tx1"/>
                        </w14:solidFill>
                      </w14:textFill>
                    </w:rPr>
                  </w:pPr>
                </w:p>
              </w:tc>
              <w:tc>
                <w:tcPr>
                  <w:tcW w:w="552" w:type="pct"/>
                  <w:vMerge w:val="continue"/>
                  <w:noWrap w:val="0"/>
                  <w:vAlign w:val="center"/>
                </w:tcPr>
                <w:p w14:paraId="55DFD9B4">
                  <w:pPr>
                    <w:adjustRightInd w:val="0"/>
                    <w:snapToGrid w:val="0"/>
                    <w:jc w:val="center"/>
                    <w:rPr>
                      <w:bCs/>
                      <w:color w:val="000000" w:themeColor="text1"/>
                      <w:szCs w:val="21"/>
                      <w14:textFill>
                        <w14:solidFill>
                          <w14:schemeClr w14:val="tx1"/>
                        </w14:solidFill>
                      </w14:textFill>
                    </w:rPr>
                  </w:pPr>
                </w:p>
              </w:tc>
              <w:tc>
                <w:tcPr>
                  <w:tcW w:w="855" w:type="pct"/>
                  <w:vMerge w:val="restart"/>
                  <w:noWrap w:val="0"/>
                  <w:vAlign w:val="center"/>
                </w:tcPr>
                <w:p w14:paraId="5A143929">
                  <w:pPr>
                    <w:adjustRightInd w:val="0"/>
                    <w:snapToGrid w:val="0"/>
                    <w:jc w:val="center"/>
                    <w:rPr>
                      <w:rFonts w:hint="default"/>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二氧化硫</w:t>
                  </w:r>
                </w:p>
              </w:tc>
              <w:tc>
                <w:tcPr>
                  <w:tcW w:w="1044" w:type="pct"/>
                  <w:vMerge w:val="restart"/>
                  <w:noWrap w:val="0"/>
                  <w:vAlign w:val="center"/>
                </w:tcPr>
                <w:p w14:paraId="67D5F7EF">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千克/</w:t>
                  </w:r>
                  <w:r>
                    <w:rPr>
                      <w:rFonts w:hint="eastAsia"/>
                      <w:bCs/>
                      <w:color w:val="000000" w:themeColor="text1"/>
                      <w:szCs w:val="21"/>
                      <w:lang w:val="en-US" w:eastAsia="zh-CN"/>
                      <w14:textFill>
                        <w14:solidFill>
                          <w14:schemeClr w14:val="tx1"/>
                        </w14:solidFill>
                      </w14:textFill>
                    </w:rPr>
                    <w:t>万块标砖</w:t>
                  </w:r>
                </w:p>
              </w:tc>
              <w:tc>
                <w:tcPr>
                  <w:tcW w:w="900" w:type="pct"/>
                  <w:vMerge w:val="restart"/>
                  <w:noWrap w:val="0"/>
                  <w:vAlign w:val="center"/>
                </w:tcPr>
                <w:p w14:paraId="72E6135B">
                  <w:pPr>
                    <w:adjustRightInd w:val="0"/>
                    <w:snapToGrid w:val="0"/>
                    <w:jc w:val="center"/>
                    <w:rPr>
                      <w:rFonts w:hint="default"/>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16.8</w:t>
                  </w:r>
                </w:p>
              </w:tc>
            </w:tr>
            <w:tr w14:paraId="501616E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524" w:type="pct"/>
                  <w:vMerge w:val="continue"/>
                  <w:noWrap w:val="0"/>
                  <w:vAlign w:val="center"/>
                </w:tcPr>
                <w:p w14:paraId="3A0C0F40">
                  <w:pPr>
                    <w:adjustRightInd w:val="0"/>
                    <w:snapToGrid w:val="0"/>
                    <w:jc w:val="center"/>
                    <w:rPr>
                      <w:color w:val="000000" w:themeColor="text1"/>
                      <w14:textFill>
                        <w14:solidFill>
                          <w14:schemeClr w14:val="tx1"/>
                        </w14:solidFill>
                      </w14:textFill>
                    </w:rPr>
                  </w:pPr>
                </w:p>
              </w:tc>
              <w:tc>
                <w:tcPr>
                  <w:tcW w:w="517" w:type="pct"/>
                  <w:vMerge w:val="continue"/>
                  <w:noWrap w:val="0"/>
                  <w:vAlign w:val="center"/>
                </w:tcPr>
                <w:p w14:paraId="73935174">
                  <w:pPr>
                    <w:adjustRightInd w:val="0"/>
                    <w:snapToGrid w:val="0"/>
                    <w:jc w:val="center"/>
                    <w:rPr>
                      <w:color w:val="000000" w:themeColor="text1"/>
                      <w14:textFill>
                        <w14:solidFill>
                          <w14:schemeClr w14:val="tx1"/>
                        </w14:solidFill>
                      </w14:textFill>
                    </w:rPr>
                  </w:pPr>
                </w:p>
              </w:tc>
              <w:tc>
                <w:tcPr>
                  <w:tcW w:w="604" w:type="pct"/>
                  <w:vMerge w:val="continue"/>
                  <w:noWrap w:val="0"/>
                  <w:vAlign w:val="center"/>
                </w:tcPr>
                <w:p w14:paraId="5E811FAC">
                  <w:pPr>
                    <w:adjustRightInd w:val="0"/>
                    <w:snapToGrid w:val="0"/>
                    <w:jc w:val="center"/>
                    <w:rPr>
                      <w:color w:val="000000" w:themeColor="text1"/>
                      <w14:textFill>
                        <w14:solidFill>
                          <w14:schemeClr w14:val="tx1"/>
                        </w14:solidFill>
                      </w14:textFill>
                    </w:rPr>
                  </w:pPr>
                </w:p>
              </w:tc>
              <w:tc>
                <w:tcPr>
                  <w:tcW w:w="552" w:type="pct"/>
                  <w:vMerge w:val="continue"/>
                  <w:noWrap w:val="0"/>
                  <w:vAlign w:val="center"/>
                </w:tcPr>
                <w:p w14:paraId="3A92D302">
                  <w:pPr>
                    <w:adjustRightInd w:val="0"/>
                    <w:snapToGrid w:val="0"/>
                    <w:jc w:val="center"/>
                    <w:rPr>
                      <w:color w:val="000000" w:themeColor="text1"/>
                      <w14:textFill>
                        <w14:solidFill>
                          <w14:schemeClr w14:val="tx1"/>
                        </w14:solidFill>
                      </w14:textFill>
                    </w:rPr>
                  </w:pPr>
                </w:p>
              </w:tc>
              <w:tc>
                <w:tcPr>
                  <w:tcW w:w="855" w:type="pct"/>
                  <w:vMerge w:val="continue"/>
                  <w:noWrap w:val="0"/>
                  <w:vAlign w:val="center"/>
                </w:tcPr>
                <w:p w14:paraId="76B84B3E">
                  <w:pPr>
                    <w:adjustRightInd w:val="0"/>
                    <w:snapToGrid w:val="0"/>
                    <w:jc w:val="center"/>
                    <w:rPr>
                      <w:color w:val="000000" w:themeColor="text1"/>
                      <w14:textFill>
                        <w14:solidFill>
                          <w14:schemeClr w14:val="tx1"/>
                        </w14:solidFill>
                      </w14:textFill>
                    </w:rPr>
                  </w:pPr>
                </w:p>
              </w:tc>
              <w:tc>
                <w:tcPr>
                  <w:tcW w:w="1044" w:type="pct"/>
                  <w:vMerge w:val="continue"/>
                  <w:noWrap w:val="0"/>
                  <w:vAlign w:val="center"/>
                </w:tcPr>
                <w:p w14:paraId="21094DDB">
                  <w:pPr>
                    <w:adjustRightInd w:val="0"/>
                    <w:snapToGrid w:val="0"/>
                    <w:jc w:val="center"/>
                    <w:rPr>
                      <w:color w:val="000000" w:themeColor="text1"/>
                      <w14:textFill>
                        <w14:solidFill>
                          <w14:schemeClr w14:val="tx1"/>
                        </w14:solidFill>
                      </w14:textFill>
                    </w:rPr>
                  </w:pPr>
                </w:p>
              </w:tc>
              <w:tc>
                <w:tcPr>
                  <w:tcW w:w="900" w:type="pct"/>
                  <w:vMerge w:val="continue"/>
                  <w:noWrap w:val="0"/>
                  <w:vAlign w:val="center"/>
                </w:tcPr>
                <w:p w14:paraId="15B1426A">
                  <w:pPr>
                    <w:adjustRightInd w:val="0"/>
                    <w:snapToGrid w:val="0"/>
                    <w:jc w:val="center"/>
                    <w:rPr>
                      <w:color w:val="000000" w:themeColor="text1"/>
                      <w14:textFill>
                        <w14:solidFill>
                          <w14:schemeClr w14:val="tx1"/>
                        </w14:solidFill>
                      </w14:textFill>
                    </w:rPr>
                  </w:pPr>
                </w:p>
              </w:tc>
            </w:tr>
            <w:tr w14:paraId="4859F82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524" w:type="pct"/>
                  <w:vMerge w:val="continue"/>
                  <w:noWrap w:val="0"/>
                  <w:vAlign w:val="center"/>
                </w:tcPr>
                <w:p w14:paraId="01048F0E">
                  <w:pPr>
                    <w:adjustRightInd w:val="0"/>
                    <w:snapToGrid w:val="0"/>
                    <w:jc w:val="center"/>
                    <w:rPr>
                      <w:rFonts w:hint="eastAsia"/>
                      <w:bCs/>
                      <w:color w:val="000000" w:themeColor="text1"/>
                      <w:szCs w:val="21"/>
                      <w:lang w:val="en-US" w:eastAsia="zh-CN"/>
                      <w14:textFill>
                        <w14:solidFill>
                          <w14:schemeClr w14:val="tx1"/>
                        </w14:solidFill>
                      </w14:textFill>
                    </w:rPr>
                  </w:pPr>
                </w:p>
              </w:tc>
              <w:tc>
                <w:tcPr>
                  <w:tcW w:w="517" w:type="pct"/>
                  <w:vMerge w:val="continue"/>
                  <w:noWrap w:val="0"/>
                  <w:vAlign w:val="center"/>
                </w:tcPr>
                <w:p w14:paraId="71C8E392">
                  <w:pPr>
                    <w:adjustRightInd w:val="0"/>
                    <w:snapToGrid w:val="0"/>
                    <w:jc w:val="center"/>
                    <w:rPr>
                      <w:rFonts w:hint="eastAsia"/>
                      <w:bCs/>
                      <w:color w:val="000000" w:themeColor="text1"/>
                      <w:szCs w:val="21"/>
                      <w:lang w:val="en-US" w:eastAsia="zh-CN"/>
                      <w14:textFill>
                        <w14:solidFill>
                          <w14:schemeClr w14:val="tx1"/>
                        </w14:solidFill>
                      </w14:textFill>
                    </w:rPr>
                  </w:pPr>
                </w:p>
              </w:tc>
              <w:tc>
                <w:tcPr>
                  <w:tcW w:w="604" w:type="pct"/>
                  <w:vMerge w:val="continue"/>
                  <w:noWrap w:val="0"/>
                  <w:vAlign w:val="center"/>
                </w:tcPr>
                <w:p w14:paraId="62617670">
                  <w:pPr>
                    <w:adjustRightInd w:val="0"/>
                    <w:snapToGrid w:val="0"/>
                    <w:jc w:val="center"/>
                    <w:rPr>
                      <w:rFonts w:hint="eastAsia"/>
                      <w:bCs/>
                      <w:color w:val="000000" w:themeColor="text1"/>
                      <w:szCs w:val="21"/>
                      <w:lang w:val="en-US" w:eastAsia="zh-CN"/>
                      <w14:textFill>
                        <w14:solidFill>
                          <w14:schemeClr w14:val="tx1"/>
                        </w14:solidFill>
                      </w14:textFill>
                    </w:rPr>
                  </w:pPr>
                </w:p>
              </w:tc>
              <w:tc>
                <w:tcPr>
                  <w:tcW w:w="552" w:type="pct"/>
                  <w:vMerge w:val="continue"/>
                  <w:noWrap w:val="0"/>
                  <w:vAlign w:val="center"/>
                </w:tcPr>
                <w:p w14:paraId="24F695E0">
                  <w:pPr>
                    <w:adjustRightInd w:val="0"/>
                    <w:snapToGrid w:val="0"/>
                    <w:jc w:val="center"/>
                    <w:rPr>
                      <w:rFonts w:hint="eastAsia"/>
                      <w:bCs/>
                      <w:color w:val="000000" w:themeColor="text1"/>
                      <w:szCs w:val="21"/>
                      <w:lang w:val="en-US" w:eastAsia="zh-CN"/>
                      <w14:textFill>
                        <w14:solidFill>
                          <w14:schemeClr w14:val="tx1"/>
                        </w14:solidFill>
                      </w14:textFill>
                    </w:rPr>
                  </w:pPr>
                </w:p>
              </w:tc>
              <w:tc>
                <w:tcPr>
                  <w:tcW w:w="855" w:type="pct"/>
                  <w:vMerge w:val="continue"/>
                  <w:noWrap w:val="0"/>
                  <w:vAlign w:val="center"/>
                </w:tcPr>
                <w:p w14:paraId="027B74F1">
                  <w:pPr>
                    <w:adjustRightInd w:val="0"/>
                    <w:snapToGrid w:val="0"/>
                    <w:jc w:val="center"/>
                    <w:rPr>
                      <w:rFonts w:hint="eastAsia"/>
                      <w:bCs/>
                      <w:color w:val="000000" w:themeColor="text1"/>
                      <w:szCs w:val="21"/>
                      <w:lang w:val="en-US" w:eastAsia="zh-CN"/>
                      <w14:textFill>
                        <w14:solidFill>
                          <w14:schemeClr w14:val="tx1"/>
                        </w14:solidFill>
                      </w14:textFill>
                    </w:rPr>
                  </w:pPr>
                </w:p>
              </w:tc>
              <w:tc>
                <w:tcPr>
                  <w:tcW w:w="1044" w:type="pct"/>
                  <w:vMerge w:val="continue"/>
                  <w:noWrap w:val="0"/>
                  <w:vAlign w:val="center"/>
                </w:tcPr>
                <w:p w14:paraId="6BF18C58">
                  <w:pPr>
                    <w:adjustRightInd w:val="0"/>
                    <w:snapToGrid w:val="0"/>
                    <w:jc w:val="center"/>
                    <w:rPr>
                      <w:rFonts w:hint="eastAsia"/>
                      <w:bCs/>
                      <w:color w:val="000000" w:themeColor="text1"/>
                      <w:szCs w:val="21"/>
                      <w:lang w:val="en-US" w:eastAsia="zh-CN"/>
                      <w14:textFill>
                        <w14:solidFill>
                          <w14:schemeClr w14:val="tx1"/>
                        </w14:solidFill>
                      </w14:textFill>
                    </w:rPr>
                  </w:pPr>
                </w:p>
              </w:tc>
              <w:tc>
                <w:tcPr>
                  <w:tcW w:w="900" w:type="pct"/>
                  <w:vMerge w:val="continue"/>
                  <w:noWrap w:val="0"/>
                  <w:vAlign w:val="center"/>
                </w:tcPr>
                <w:p w14:paraId="5AE1B4B9">
                  <w:pPr>
                    <w:adjustRightInd w:val="0"/>
                    <w:snapToGrid w:val="0"/>
                    <w:jc w:val="center"/>
                    <w:rPr>
                      <w:rFonts w:hint="eastAsia"/>
                      <w:bCs/>
                      <w:color w:val="000000" w:themeColor="text1"/>
                      <w:szCs w:val="21"/>
                      <w:lang w:val="en-US" w:eastAsia="zh-CN"/>
                      <w14:textFill>
                        <w14:solidFill>
                          <w14:schemeClr w14:val="tx1"/>
                        </w14:solidFill>
                      </w14:textFill>
                    </w:rPr>
                  </w:pPr>
                </w:p>
              </w:tc>
            </w:tr>
            <w:tr w14:paraId="4B37958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1277" w:hRule="exact"/>
                <w:jc w:val="center"/>
              </w:trPr>
              <w:tc>
                <w:tcPr>
                  <w:tcW w:w="524" w:type="pct"/>
                  <w:vMerge w:val="continue"/>
                  <w:noWrap w:val="0"/>
                  <w:vAlign w:val="center"/>
                </w:tcPr>
                <w:p w14:paraId="685AA8FE">
                  <w:pPr>
                    <w:adjustRightInd w:val="0"/>
                    <w:snapToGrid w:val="0"/>
                    <w:jc w:val="center"/>
                    <w:rPr>
                      <w:bCs/>
                      <w:color w:val="000000" w:themeColor="text1"/>
                      <w:szCs w:val="21"/>
                      <w14:textFill>
                        <w14:solidFill>
                          <w14:schemeClr w14:val="tx1"/>
                        </w14:solidFill>
                      </w14:textFill>
                    </w:rPr>
                  </w:pPr>
                </w:p>
              </w:tc>
              <w:tc>
                <w:tcPr>
                  <w:tcW w:w="517" w:type="pct"/>
                  <w:vMerge w:val="continue"/>
                  <w:noWrap w:val="0"/>
                  <w:vAlign w:val="center"/>
                </w:tcPr>
                <w:p w14:paraId="53E63798">
                  <w:pPr>
                    <w:adjustRightInd w:val="0"/>
                    <w:snapToGrid w:val="0"/>
                    <w:jc w:val="center"/>
                    <w:rPr>
                      <w:bCs/>
                      <w:color w:val="000000" w:themeColor="text1"/>
                      <w:szCs w:val="21"/>
                      <w14:textFill>
                        <w14:solidFill>
                          <w14:schemeClr w14:val="tx1"/>
                        </w14:solidFill>
                      </w14:textFill>
                    </w:rPr>
                  </w:pPr>
                </w:p>
              </w:tc>
              <w:tc>
                <w:tcPr>
                  <w:tcW w:w="604" w:type="pct"/>
                  <w:vMerge w:val="continue"/>
                  <w:noWrap w:val="0"/>
                  <w:vAlign w:val="center"/>
                </w:tcPr>
                <w:p w14:paraId="6062B711">
                  <w:pPr>
                    <w:adjustRightInd w:val="0"/>
                    <w:snapToGrid w:val="0"/>
                    <w:jc w:val="center"/>
                    <w:rPr>
                      <w:bCs/>
                      <w:color w:val="000000" w:themeColor="text1"/>
                      <w:szCs w:val="21"/>
                      <w14:textFill>
                        <w14:solidFill>
                          <w14:schemeClr w14:val="tx1"/>
                        </w14:solidFill>
                      </w14:textFill>
                    </w:rPr>
                  </w:pPr>
                </w:p>
              </w:tc>
              <w:tc>
                <w:tcPr>
                  <w:tcW w:w="552" w:type="pct"/>
                  <w:vMerge w:val="continue"/>
                  <w:noWrap w:val="0"/>
                  <w:vAlign w:val="center"/>
                </w:tcPr>
                <w:p w14:paraId="6EEEE191">
                  <w:pPr>
                    <w:adjustRightInd w:val="0"/>
                    <w:snapToGrid w:val="0"/>
                    <w:jc w:val="center"/>
                    <w:rPr>
                      <w:bCs/>
                      <w:color w:val="000000" w:themeColor="text1"/>
                      <w:szCs w:val="21"/>
                      <w14:textFill>
                        <w14:solidFill>
                          <w14:schemeClr w14:val="tx1"/>
                        </w14:solidFill>
                      </w14:textFill>
                    </w:rPr>
                  </w:pPr>
                </w:p>
              </w:tc>
              <w:tc>
                <w:tcPr>
                  <w:tcW w:w="855" w:type="pct"/>
                  <w:noWrap w:val="0"/>
                  <w:vAlign w:val="center"/>
                </w:tcPr>
                <w:p w14:paraId="412E1873">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氮氧化物</w:t>
                  </w:r>
                </w:p>
              </w:tc>
              <w:tc>
                <w:tcPr>
                  <w:tcW w:w="1044" w:type="pct"/>
                  <w:noWrap w:val="0"/>
                  <w:vAlign w:val="center"/>
                </w:tcPr>
                <w:p w14:paraId="28282278">
                  <w:pPr>
                    <w:adjustRightInd w:val="0"/>
                    <w:snapToGrid w:val="0"/>
                    <w:jc w:val="center"/>
                    <w:rPr>
                      <w:rFonts w:hint="default" w:eastAsia="宋体"/>
                      <w:bCs/>
                      <w:color w:val="000000" w:themeColor="text1"/>
                      <w:szCs w:val="21"/>
                      <w:lang w:val="en-US" w:eastAsia="zh-CN"/>
                      <w14:textFill>
                        <w14:solidFill>
                          <w14:schemeClr w14:val="tx1"/>
                        </w14:solidFill>
                      </w14:textFill>
                    </w:rPr>
                  </w:pPr>
                  <w:r>
                    <w:rPr>
                      <w:bCs/>
                      <w:color w:val="000000" w:themeColor="text1"/>
                      <w:szCs w:val="21"/>
                      <w14:textFill>
                        <w14:solidFill>
                          <w14:schemeClr w14:val="tx1"/>
                        </w14:solidFill>
                      </w14:textFill>
                    </w:rPr>
                    <w:t>千克/</w:t>
                  </w:r>
                  <w:r>
                    <w:rPr>
                      <w:rFonts w:hint="eastAsia"/>
                      <w:bCs/>
                      <w:color w:val="000000" w:themeColor="text1"/>
                      <w:szCs w:val="21"/>
                      <w:lang w:val="en-US" w:eastAsia="zh-CN"/>
                      <w14:textFill>
                        <w14:solidFill>
                          <w14:schemeClr w14:val="tx1"/>
                        </w14:solidFill>
                      </w14:textFill>
                    </w:rPr>
                    <w:t>万块标砖</w:t>
                  </w:r>
                </w:p>
              </w:tc>
              <w:tc>
                <w:tcPr>
                  <w:tcW w:w="900" w:type="pct"/>
                  <w:noWrap w:val="0"/>
                  <w:vAlign w:val="center"/>
                </w:tcPr>
                <w:p w14:paraId="565F37BA">
                  <w:pPr>
                    <w:adjustRightInd w:val="0"/>
                    <w:snapToGrid w:val="0"/>
                    <w:jc w:val="center"/>
                    <w:rPr>
                      <w:rFonts w:hint="default"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3.26</w:t>
                  </w:r>
                </w:p>
              </w:tc>
            </w:tr>
          </w:tbl>
          <w:p w14:paraId="22353941">
            <w:pPr>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ind w:leftChars="0" w:right="0" w:rightChars="0" w:firstLine="480" w:firstLineChars="200"/>
              <w:jc w:val="both"/>
              <w:textAlignment w:val="auto"/>
              <w:outlineLvl w:val="9"/>
              <w:rPr>
                <w:b/>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lang w:val="en-US" w:eastAsia="zh-CN"/>
                <w14:textFill>
                  <w14:solidFill>
                    <w14:schemeClr w14:val="tx1"/>
                  </w14:solidFill>
                </w14:textFill>
              </w:rPr>
              <w:t>根据《烧结普通砖》（GB/T5101-2017），标准砖公称尺寸为240×115×53mm，一块标准砖的重量大约为2.63kg</w:t>
            </w:r>
            <w:r>
              <w:rPr>
                <w:rFonts w:hint="eastAsia" w:cs="Times New Roman"/>
                <w:bCs/>
                <w:color w:val="000000" w:themeColor="text1"/>
                <w:sz w:val="24"/>
                <w:szCs w:val="24"/>
                <w:lang w:val="en-US" w:eastAsia="zh-CN"/>
                <w14:textFill>
                  <w14:solidFill>
                    <w14:schemeClr w14:val="tx1"/>
                  </w14:solidFill>
                </w14:textFill>
              </w:rPr>
              <w:t>。</w:t>
            </w:r>
            <w:r>
              <w:rPr>
                <w:rFonts w:hint="default" w:ascii="Times New Roman" w:hAnsi="Times New Roman" w:cs="Times New Roman"/>
                <w:bCs/>
                <w:color w:val="000000" w:themeColor="text1"/>
                <w:sz w:val="24"/>
                <w:szCs w:val="24"/>
                <w:lang w:val="en-US" w:eastAsia="zh-CN"/>
                <w14:textFill>
                  <w14:solidFill>
                    <w14:schemeClr w14:val="tx1"/>
                  </w14:solidFill>
                </w14:textFill>
              </w:rPr>
              <w:t>改扩建完成后项目</w:t>
            </w:r>
            <w:r>
              <w:rPr>
                <w:rFonts w:hint="default" w:ascii="Times New Roman" w:hAnsi="Times New Roman" w:cs="Times New Roman"/>
                <w:color w:val="000000" w:themeColor="text1"/>
                <w:spacing w:val="-2"/>
                <w:sz w:val="24"/>
                <w:szCs w:val="24"/>
                <w:lang w:val="en-US" w:eastAsia="zh-CN"/>
                <w14:textFill>
                  <w14:solidFill>
                    <w14:schemeClr w14:val="tx1"/>
                  </w14:solidFill>
                </w14:textFill>
              </w:rPr>
              <w:t>年产3000万片青瓦，</w:t>
            </w:r>
            <w:r>
              <w:rPr>
                <w:rFonts w:hint="eastAsia" w:cs="Times New Roman"/>
                <w:color w:val="000000" w:themeColor="text1"/>
                <w:spacing w:val="-2"/>
                <w:sz w:val="24"/>
                <w:szCs w:val="24"/>
                <w:lang w:val="en-US" w:eastAsia="zh-CN"/>
                <w14:textFill>
                  <w14:solidFill>
                    <w14:schemeClr w14:val="tx1"/>
                  </w14:solidFill>
                </w14:textFill>
              </w:rPr>
              <w:t>折算为标砖</w:t>
            </w:r>
            <w:r>
              <w:rPr>
                <w:rFonts w:hint="default" w:ascii="Times New Roman" w:hAnsi="Times New Roman" w:cs="Times New Roman"/>
                <w:color w:val="000000" w:themeColor="text1"/>
                <w:spacing w:val="-3"/>
                <w:sz w:val="24"/>
                <w:szCs w:val="24"/>
                <w:lang w:val="en-US" w:eastAsia="zh-CN"/>
                <w14:textFill>
                  <w14:solidFill>
                    <w14:schemeClr w14:val="tx1"/>
                  </w14:solidFill>
                </w14:textFill>
              </w:rPr>
              <w:t>约</w:t>
            </w:r>
            <w:r>
              <w:rPr>
                <w:rFonts w:hint="eastAsia" w:cs="Times New Roman"/>
                <w:color w:val="000000" w:themeColor="text1"/>
                <w:spacing w:val="-3"/>
                <w:sz w:val="24"/>
                <w:szCs w:val="24"/>
                <w:lang w:val="en-US" w:eastAsia="zh-CN"/>
                <w14:textFill>
                  <w14:solidFill>
                    <w14:schemeClr w14:val="tx1"/>
                  </w14:solidFill>
                </w14:textFill>
              </w:rPr>
              <w:t>4340</w:t>
            </w:r>
            <w:r>
              <w:rPr>
                <w:rFonts w:hint="default" w:ascii="Times New Roman" w:hAnsi="Times New Roman" w:cs="Times New Roman"/>
                <w:color w:val="000000" w:themeColor="text1"/>
                <w:spacing w:val="-3"/>
                <w:sz w:val="24"/>
                <w:szCs w:val="24"/>
                <w:lang w:val="en-US" w:eastAsia="zh-CN"/>
                <w14:textFill>
                  <w14:solidFill>
                    <w14:schemeClr w14:val="tx1"/>
                  </w14:solidFill>
                </w14:textFill>
              </w:rPr>
              <w:t>万块。</w:t>
            </w:r>
            <w:r>
              <w:rPr>
                <w:color w:val="000000" w:themeColor="text1"/>
                <w:sz w:val="24"/>
                <w:szCs w:val="24"/>
                <w14:textFill>
                  <w14:solidFill>
                    <w14:schemeClr w14:val="tx1"/>
                  </w14:solidFill>
                </w14:textFill>
              </w:rPr>
              <w:t>根据上表中的产排污系数结合本项目的情况，</w:t>
            </w:r>
            <w:r>
              <w:rPr>
                <w:rFonts w:hint="eastAsia"/>
                <w:color w:val="000000" w:themeColor="text1"/>
                <w:sz w:val="24"/>
                <w:szCs w:val="24"/>
                <w:lang w:val="en-US" w:eastAsia="zh-CN"/>
                <w14:textFill>
                  <w14:solidFill>
                    <w14:schemeClr w14:val="tx1"/>
                  </w14:solidFill>
                </w14:textFill>
              </w:rPr>
              <w:t>项目每窑烧制周期为30d，</w:t>
            </w:r>
            <w:r>
              <w:rPr>
                <w:rFonts w:hint="eastAsia" w:ascii="Times New Roman" w:hAnsi="Times New Roman" w:eastAsia="宋体" w:cs="宋体"/>
                <w:color w:val="000000" w:themeColor="text1"/>
                <w:spacing w:val="0"/>
                <w:kern w:val="0"/>
                <w:sz w:val="24"/>
                <w:szCs w:val="24"/>
                <w:lang w:val="en-US" w:eastAsia="zh-CN"/>
                <w14:textFill>
                  <w14:solidFill>
                    <w14:schemeClr w14:val="tx1"/>
                  </w14:solidFill>
                </w14:textFill>
              </w:rPr>
              <w:t>降温时间约为7d，降温冷却期间烧结窑处于停火状态，则炉窑燃料燃烧时间为230d。</w:t>
            </w:r>
            <w:r>
              <w:rPr>
                <w:rFonts w:hint="eastAsia"/>
                <w:color w:val="000000" w:themeColor="text1"/>
                <w:sz w:val="24"/>
                <w:szCs w:val="24"/>
                <w:lang w:val="en-US" w:eastAsia="zh-CN"/>
                <w14:textFill>
                  <w14:solidFill>
                    <w14:schemeClr w14:val="tx1"/>
                  </w14:solidFill>
                </w14:textFill>
              </w:rPr>
              <w:t>改扩建完成后烧结炉窑</w:t>
            </w:r>
            <w:r>
              <w:rPr>
                <w:color w:val="000000" w:themeColor="text1"/>
                <w:sz w:val="24"/>
                <w:szCs w:val="24"/>
                <w14:textFill>
                  <w14:solidFill>
                    <w14:schemeClr w14:val="tx1"/>
                  </w14:solidFill>
                </w14:textFill>
              </w:rPr>
              <w:t>中大气污染物的产生量见下表。</w:t>
            </w:r>
          </w:p>
          <w:p w14:paraId="13D51678">
            <w:pPr>
              <w:adjustRightInd w:val="0"/>
              <w:snapToGrid w:val="0"/>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表</w:t>
            </w:r>
            <w:r>
              <w:rPr>
                <w:rFonts w:hint="eastAsia"/>
                <w:b/>
                <w:color w:val="000000" w:themeColor="text1"/>
                <w:sz w:val="24"/>
                <w14:textFill>
                  <w14:solidFill>
                    <w14:schemeClr w14:val="tx1"/>
                  </w14:solidFill>
                </w14:textFill>
              </w:rPr>
              <w:t>4</w:t>
            </w:r>
            <w:r>
              <w:rPr>
                <w:b/>
                <w:color w:val="000000" w:themeColor="text1"/>
                <w:sz w:val="24"/>
                <w14:textFill>
                  <w14:solidFill>
                    <w14:schemeClr w14:val="tx1"/>
                  </w14:solidFill>
                </w14:textFill>
              </w:rPr>
              <w:t>-</w:t>
            </w:r>
            <w:r>
              <w:rPr>
                <w:rFonts w:hint="eastAsia"/>
                <w:b/>
                <w:color w:val="000000" w:themeColor="text1"/>
                <w:sz w:val="24"/>
                <w:lang w:val="en-US" w:eastAsia="zh-CN"/>
                <w14:textFill>
                  <w14:solidFill>
                    <w14:schemeClr w14:val="tx1"/>
                  </w14:solidFill>
                </w14:textFill>
              </w:rPr>
              <w:t>5</w:t>
            </w:r>
            <w:r>
              <w:rPr>
                <w:b/>
                <w:color w:val="000000" w:themeColor="text1"/>
                <w:sz w:val="24"/>
                <w14:textFill>
                  <w14:solidFill>
                    <w14:schemeClr w14:val="tx1"/>
                  </w14:solidFill>
                </w14:textFill>
              </w:rPr>
              <w:t xml:space="preserve">  </w:t>
            </w:r>
            <w:r>
              <w:rPr>
                <w:rFonts w:hint="eastAsia"/>
                <w:b/>
                <w:color w:val="000000" w:themeColor="text1"/>
                <w:sz w:val="24"/>
                <w14:textFill>
                  <w14:solidFill>
                    <w14:schemeClr w14:val="tx1"/>
                  </w14:solidFill>
                </w14:textFill>
              </w:rPr>
              <w:t xml:space="preserve"> </w:t>
            </w:r>
            <w:r>
              <w:rPr>
                <w:rFonts w:hint="eastAsia"/>
                <w:b/>
                <w:color w:val="000000" w:themeColor="text1"/>
                <w:sz w:val="24"/>
                <w:lang w:val="en-US" w:eastAsia="zh-CN"/>
                <w14:textFill>
                  <w14:solidFill>
                    <w14:schemeClr w14:val="tx1"/>
                  </w14:solidFill>
                </w14:textFill>
              </w:rPr>
              <w:t>改扩建完成后炉窑</w:t>
            </w:r>
            <w:r>
              <w:rPr>
                <w:b/>
                <w:color w:val="000000" w:themeColor="text1"/>
                <w:sz w:val="24"/>
                <w14:textFill>
                  <w14:solidFill>
                    <w14:schemeClr w14:val="tx1"/>
                  </w14:solidFill>
                </w14:textFill>
              </w:rPr>
              <w:t>废气</w:t>
            </w:r>
            <w:r>
              <w:rPr>
                <w:rFonts w:hint="eastAsia"/>
                <w:b/>
                <w:color w:val="000000" w:themeColor="text1"/>
                <w:sz w:val="24"/>
                <w14:textFill>
                  <w14:solidFill>
                    <w14:schemeClr w14:val="tx1"/>
                  </w14:solidFill>
                </w14:textFill>
              </w:rPr>
              <w:t>（DA00</w:t>
            </w:r>
            <w:r>
              <w:rPr>
                <w:rFonts w:hint="eastAsia"/>
                <w:b/>
                <w:color w:val="000000" w:themeColor="text1"/>
                <w:sz w:val="24"/>
                <w:lang w:val="en-US" w:eastAsia="zh-CN"/>
                <w14:textFill>
                  <w14:solidFill>
                    <w14:schemeClr w14:val="tx1"/>
                  </w14:solidFill>
                </w14:textFill>
              </w:rPr>
              <w:t>1</w:t>
            </w:r>
            <w:r>
              <w:rPr>
                <w:rFonts w:hint="eastAsia"/>
                <w:b/>
                <w:color w:val="000000" w:themeColor="text1"/>
                <w:sz w:val="24"/>
                <w14:textFill>
                  <w14:solidFill>
                    <w14:schemeClr w14:val="tx1"/>
                  </w14:solidFill>
                </w14:textFill>
              </w:rPr>
              <w:t>）</w:t>
            </w:r>
            <w:r>
              <w:rPr>
                <w:rFonts w:hint="eastAsia"/>
                <w:b/>
                <w:color w:val="000000" w:themeColor="text1"/>
                <w:sz w:val="24"/>
                <w:lang w:val="en-US" w:eastAsia="zh-CN"/>
                <w14:textFill>
                  <w14:solidFill>
                    <w14:schemeClr w14:val="tx1"/>
                  </w14:solidFill>
                </w14:textFill>
              </w:rPr>
              <w:t>污染物</w:t>
            </w:r>
            <w:r>
              <w:rPr>
                <w:b/>
                <w:color w:val="000000" w:themeColor="text1"/>
                <w:sz w:val="24"/>
                <w14:textFill>
                  <w14:solidFill>
                    <w14:schemeClr w14:val="tx1"/>
                  </w14:solidFill>
                </w14:textFill>
              </w:rPr>
              <w:t>产</w:t>
            </w:r>
            <w:r>
              <w:rPr>
                <w:rFonts w:hint="eastAsia"/>
                <w:b/>
                <w:color w:val="000000" w:themeColor="text1"/>
                <w:sz w:val="24"/>
                <w14:textFill>
                  <w14:solidFill>
                    <w14:schemeClr w14:val="tx1"/>
                  </w14:solidFill>
                </w14:textFill>
              </w:rPr>
              <w:t>排</w:t>
            </w:r>
            <w:r>
              <w:rPr>
                <w:b/>
                <w:color w:val="000000" w:themeColor="text1"/>
                <w:sz w:val="24"/>
                <w14:textFill>
                  <w14:solidFill>
                    <w14:schemeClr w14:val="tx1"/>
                  </w14:solidFill>
                </w14:textFill>
              </w:rPr>
              <w:t>情况</w:t>
            </w:r>
            <w:r>
              <w:rPr>
                <w:rFonts w:hint="eastAsia"/>
                <w:b/>
                <w:color w:val="000000" w:themeColor="text1"/>
                <w:sz w:val="24"/>
                <w14:textFill>
                  <w14:solidFill>
                    <w14:schemeClr w14:val="tx1"/>
                  </w14:solidFill>
                </w14:textFill>
              </w:rPr>
              <w:t>一览</w:t>
            </w:r>
            <w:r>
              <w:rPr>
                <w:b/>
                <w:color w:val="000000" w:themeColor="text1"/>
                <w:sz w:val="24"/>
                <w14:textFill>
                  <w14:solidFill>
                    <w14:schemeClr w14:val="tx1"/>
                  </w14:solidFill>
                </w14:textFill>
              </w:rPr>
              <w:t>表</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934"/>
              <w:gridCol w:w="766"/>
              <w:gridCol w:w="722"/>
              <w:gridCol w:w="657"/>
              <w:gridCol w:w="785"/>
              <w:gridCol w:w="558"/>
              <w:gridCol w:w="846"/>
              <w:gridCol w:w="796"/>
              <w:gridCol w:w="854"/>
              <w:gridCol w:w="731"/>
            </w:tblGrid>
            <w:tr w14:paraId="5C2E2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5" w:type="dxa"/>
                  <w:vMerge w:val="restart"/>
                  <w:noWrap w:val="0"/>
                  <w:vAlign w:val="center"/>
                </w:tcPr>
                <w:p w14:paraId="0C6D77C8">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污染物</w:t>
                  </w:r>
                </w:p>
              </w:tc>
              <w:tc>
                <w:tcPr>
                  <w:tcW w:w="2422" w:type="dxa"/>
                  <w:gridSpan w:val="3"/>
                  <w:noWrap w:val="0"/>
                  <w:vAlign w:val="center"/>
                </w:tcPr>
                <w:p w14:paraId="00F5DD01">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产生情况</w:t>
                  </w:r>
                </w:p>
              </w:tc>
              <w:tc>
                <w:tcPr>
                  <w:tcW w:w="657" w:type="dxa"/>
                  <w:vMerge w:val="restart"/>
                  <w:noWrap w:val="0"/>
                  <w:vAlign w:val="center"/>
                </w:tcPr>
                <w:p w14:paraId="1E57E538">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收集效率</w:t>
                  </w:r>
                </w:p>
              </w:tc>
              <w:tc>
                <w:tcPr>
                  <w:tcW w:w="785" w:type="dxa"/>
                  <w:vMerge w:val="restart"/>
                  <w:noWrap w:val="0"/>
                  <w:vAlign w:val="center"/>
                </w:tcPr>
                <w:p w14:paraId="127B66B4">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治理措施</w:t>
                  </w:r>
                </w:p>
              </w:tc>
              <w:tc>
                <w:tcPr>
                  <w:tcW w:w="558" w:type="dxa"/>
                  <w:vMerge w:val="restart"/>
                  <w:noWrap w:val="0"/>
                  <w:vAlign w:val="center"/>
                </w:tcPr>
                <w:p w14:paraId="6DEC9133">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去除率</w:t>
                  </w:r>
                </w:p>
              </w:tc>
              <w:tc>
                <w:tcPr>
                  <w:tcW w:w="2496" w:type="dxa"/>
                  <w:gridSpan w:val="3"/>
                  <w:noWrap w:val="0"/>
                  <w:vAlign w:val="center"/>
                </w:tcPr>
                <w:p w14:paraId="462CAA14">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排放情况</w:t>
                  </w:r>
                </w:p>
              </w:tc>
              <w:tc>
                <w:tcPr>
                  <w:tcW w:w="731" w:type="dxa"/>
                  <w:vMerge w:val="restart"/>
                  <w:noWrap w:val="0"/>
                  <w:vAlign w:val="center"/>
                </w:tcPr>
                <w:p w14:paraId="733F9F04">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排放去向</w:t>
                  </w:r>
                </w:p>
              </w:tc>
            </w:tr>
            <w:tr w14:paraId="1BD3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1025" w:type="dxa"/>
                  <w:vMerge w:val="continue"/>
                  <w:noWrap w:val="0"/>
                  <w:vAlign w:val="center"/>
                </w:tcPr>
                <w:p w14:paraId="38B5FAE9">
                  <w:pPr>
                    <w:adjustRightInd w:val="0"/>
                    <w:snapToGrid w:val="0"/>
                    <w:jc w:val="center"/>
                    <w:rPr>
                      <w:rFonts w:hint="eastAsia"/>
                      <w:color w:val="000000" w:themeColor="text1"/>
                      <w:sz w:val="18"/>
                      <w:szCs w:val="18"/>
                      <w14:textFill>
                        <w14:solidFill>
                          <w14:schemeClr w14:val="tx1"/>
                        </w14:solidFill>
                      </w14:textFill>
                    </w:rPr>
                  </w:pPr>
                </w:p>
              </w:tc>
              <w:tc>
                <w:tcPr>
                  <w:tcW w:w="934" w:type="dxa"/>
                  <w:noWrap w:val="0"/>
                  <w:vAlign w:val="center"/>
                </w:tcPr>
                <w:p w14:paraId="2CD3705C">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产生浓度（mg/m</w:t>
                  </w:r>
                  <w:r>
                    <w:rPr>
                      <w:rFonts w:hint="eastAsia"/>
                      <w:color w:val="000000" w:themeColor="text1"/>
                      <w:sz w:val="18"/>
                      <w:szCs w:val="18"/>
                      <w:vertAlign w:val="superscript"/>
                      <w14:textFill>
                        <w14:solidFill>
                          <w14:schemeClr w14:val="tx1"/>
                        </w14:solidFill>
                      </w14:textFill>
                    </w:rPr>
                    <w:t>3</w:t>
                  </w:r>
                  <w:r>
                    <w:rPr>
                      <w:rFonts w:hint="eastAsia"/>
                      <w:color w:val="000000" w:themeColor="text1"/>
                      <w:sz w:val="18"/>
                      <w:szCs w:val="18"/>
                      <w14:textFill>
                        <w14:solidFill>
                          <w14:schemeClr w14:val="tx1"/>
                        </w14:solidFill>
                      </w14:textFill>
                    </w:rPr>
                    <w:t>）</w:t>
                  </w:r>
                </w:p>
              </w:tc>
              <w:tc>
                <w:tcPr>
                  <w:tcW w:w="766" w:type="dxa"/>
                  <w:noWrap w:val="0"/>
                  <w:vAlign w:val="center"/>
                </w:tcPr>
                <w:p w14:paraId="4F078CDC">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产生速率（kg/h）</w:t>
                  </w:r>
                </w:p>
              </w:tc>
              <w:tc>
                <w:tcPr>
                  <w:tcW w:w="722" w:type="dxa"/>
                  <w:noWrap w:val="0"/>
                  <w:vAlign w:val="center"/>
                </w:tcPr>
                <w:p w14:paraId="2C613F67">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产生量（t/a）</w:t>
                  </w:r>
                </w:p>
              </w:tc>
              <w:tc>
                <w:tcPr>
                  <w:tcW w:w="657" w:type="dxa"/>
                  <w:vMerge w:val="continue"/>
                  <w:noWrap w:val="0"/>
                  <w:vAlign w:val="center"/>
                </w:tcPr>
                <w:p w14:paraId="22EBEFD9">
                  <w:pPr>
                    <w:adjustRightInd w:val="0"/>
                    <w:snapToGrid w:val="0"/>
                    <w:jc w:val="center"/>
                    <w:rPr>
                      <w:rFonts w:hint="eastAsia"/>
                      <w:color w:val="000000" w:themeColor="text1"/>
                      <w:sz w:val="18"/>
                      <w:szCs w:val="18"/>
                      <w14:textFill>
                        <w14:solidFill>
                          <w14:schemeClr w14:val="tx1"/>
                        </w14:solidFill>
                      </w14:textFill>
                    </w:rPr>
                  </w:pPr>
                </w:p>
              </w:tc>
              <w:tc>
                <w:tcPr>
                  <w:tcW w:w="785" w:type="dxa"/>
                  <w:vMerge w:val="continue"/>
                  <w:noWrap w:val="0"/>
                  <w:vAlign w:val="center"/>
                </w:tcPr>
                <w:p w14:paraId="5681B3CF">
                  <w:pPr>
                    <w:adjustRightInd w:val="0"/>
                    <w:snapToGrid w:val="0"/>
                    <w:jc w:val="center"/>
                    <w:rPr>
                      <w:rFonts w:hint="eastAsia"/>
                      <w:color w:val="000000" w:themeColor="text1"/>
                      <w:sz w:val="18"/>
                      <w:szCs w:val="18"/>
                      <w14:textFill>
                        <w14:solidFill>
                          <w14:schemeClr w14:val="tx1"/>
                        </w14:solidFill>
                      </w14:textFill>
                    </w:rPr>
                  </w:pPr>
                </w:p>
              </w:tc>
              <w:tc>
                <w:tcPr>
                  <w:tcW w:w="558" w:type="dxa"/>
                  <w:vMerge w:val="continue"/>
                  <w:noWrap w:val="0"/>
                  <w:vAlign w:val="center"/>
                </w:tcPr>
                <w:p w14:paraId="618C9CD4">
                  <w:pPr>
                    <w:adjustRightInd w:val="0"/>
                    <w:snapToGrid w:val="0"/>
                    <w:jc w:val="center"/>
                    <w:rPr>
                      <w:rFonts w:hint="eastAsia"/>
                      <w:color w:val="000000" w:themeColor="text1"/>
                      <w:sz w:val="18"/>
                      <w:szCs w:val="18"/>
                      <w14:textFill>
                        <w14:solidFill>
                          <w14:schemeClr w14:val="tx1"/>
                        </w14:solidFill>
                      </w14:textFill>
                    </w:rPr>
                  </w:pPr>
                </w:p>
              </w:tc>
              <w:tc>
                <w:tcPr>
                  <w:tcW w:w="846" w:type="dxa"/>
                  <w:noWrap w:val="0"/>
                  <w:vAlign w:val="center"/>
                </w:tcPr>
                <w:p w14:paraId="467E949D">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排放浓度（mg/m</w:t>
                  </w:r>
                  <w:r>
                    <w:rPr>
                      <w:rFonts w:hint="eastAsia"/>
                      <w:color w:val="000000" w:themeColor="text1"/>
                      <w:sz w:val="18"/>
                      <w:szCs w:val="18"/>
                      <w:vertAlign w:val="superscript"/>
                      <w14:textFill>
                        <w14:solidFill>
                          <w14:schemeClr w14:val="tx1"/>
                        </w14:solidFill>
                      </w14:textFill>
                    </w:rPr>
                    <w:t>3</w:t>
                  </w:r>
                  <w:r>
                    <w:rPr>
                      <w:rFonts w:hint="eastAsia"/>
                      <w:color w:val="000000" w:themeColor="text1"/>
                      <w:sz w:val="18"/>
                      <w:szCs w:val="18"/>
                      <w14:textFill>
                        <w14:solidFill>
                          <w14:schemeClr w14:val="tx1"/>
                        </w14:solidFill>
                      </w14:textFill>
                    </w:rPr>
                    <w:t>）</w:t>
                  </w:r>
                </w:p>
              </w:tc>
              <w:tc>
                <w:tcPr>
                  <w:tcW w:w="796" w:type="dxa"/>
                  <w:noWrap w:val="0"/>
                  <w:vAlign w:val="center"/>
                </w:tcPr>
                <w:p w14:paraId="29D74D34">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排放速率（kg/h）</w:t>
                  </w:r>
                </w:p>
              </w:tc>
              <w:tc>
                <w:tcPr>
                  <w:tcW w:w="854" w:type="dxa"/>
                  <w:noWrap w:val="0"/>
                  <w:vAlign w:val="center"/>
                </w:tcPr>
                <w:p w14:paraId="464B452A">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排放量（t/a）</w:t>
                  </w:r>
                </w:p>
              </w:tc>
              <w:tc>
                <w:tcPr>
                  <w:tcW w:w="731" w:type="dxa"/>
                  <w:vMerge w:val="continue"/>
                  <w:noWrap w:val="0"/>
                  <w:vAlign w:val="center"/>
                </w:tcPr>
                <w:p w14:paraId="248E12BB">
                  <w:pPr>
                    <w:adjustRightInd w:val="0"/>
                    <w:snapToGrid w:val="0"/>
                    <w:jc w:val="center"/>
                    <w:rPr>
                      <w:rFonts w:hint="eastAsia"/>
                      <w:color w:val="000000" w:themeColor="text1"/>
                      <w:sz w:val="18"/>
                      <w:szCs w:val="18"/>
                      <w14:textFill>
                        <w14:solidFill>
                          <w14:schemeClr w14:val="tx1"/>
                        </w14:solidFill>
                      </w14:textFill>
                    </w:rPr>
                  </w:pPr>
                </w:p>
              </w:tc>
            </w:tr>
            <w:tr w14:paraId="47CF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5" w:type="dxa"/>
                  <w:noWrap w:val="0"/>
                  <w:vAlign w:val="center"/>
                </w:tcPr>
                <w:p w14:paraId="22D942B1">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工业废气量</w:t>
                  </w:r>
                  <w:r>
                    <w:rPr>
                      <w:rFonts w:hint="eastAsia"/>
                      <w:color w:val="000000" w:themeColor="text1"/>
                      <w:sz w:val="18"/>
                      <w:szCs w:val="18"/>
                      <w14:textFill>
                        <w14:solidFill>
                          <w14:schemeClr w14:val="tx1"/>
                        </w14:solidFill>
                      </w14:textFill>
                    </w:rPr>
                    <w:t>（万</w:t>
                  </w:r>
                  <w:r>
                    <w:rPr>
                      <w:rFonts w:hint="eastAsia"/>
                      <w:color w:val="000000" w:themeColor="text1"/>
                      <w:sz w:val="18"/>
                      <w:szCs w:val="18"/>
                      <w:lang w:val="en-US" w:eastAsia="zh-CN"/>
                      <w14:textFill>
                        <w14:solidFill>
                          <w14:schemeClr w14:val="tx1"/>
                        </w14:solidFill>
                      </w14:textFill>
                    </w:rPr>
                    <w:t>N</w:t>
                  </w:r>
                  <w:r>
                    <w:rPr>
                      <w:rFonts w:hint="eastAsia"/>
                      <w:color w:val="000000" w:themeColor="text1"/>
                      <w:sz w:val="18"/>
                      <w:szCs w:val="18"/>
                      <w14:textFill>
                        <w14:solidFill>
                          <w14:schemeClr w14:val="tx1"/>
                        </w14:solidFill>
                      </w14:textFill>
                    </w:rPr>
                    <w:t>m</w:t>
                  </w:r>
                  <w:r>
                    <w:rPr>
                      <w:rFonts w:hint="eastAsia"/>
                      <w:color w:val="000000" w:themeColor="text1"/>
                      <w:sz w:val="18"/>
                      <w:szCs w:val="18"/>
                      <w:vertAlign w:val="superscript"/>
                      <w14:textFill>
                        <w14:solidFill>
                          <w14:schemeClr w14:val="tx1"/>
                        </w14:solidFill>
                      </w14:textFill>
                    </w:rPr>
                    <w:t>3</w:t>
                  </w:r>
                  <w:r>
                    <w:rPr>
                      <w:rFonts w:hint="eastAsia"/>
                      <w:color w:val="000000" w:themeColor="text1"/>
                      <w:sz w:val="18"/>
                      <w:szCs w:val="18"/>
                      <w14:textFill>
                        <w14:solidFill>
                          <w14:schemeClr w14:val="tx1"/>
                        </w14:solidFill>
                      </w14:textFill>
                    </w:rPr>
                    <w:t>/a）</w:t>
                  </w:r>
                </w:p>
              </w:tc>
              <w:tc>
                <w:tcPr>
                  <w:tcW w:w="2422" w:type="dxa"/>
                  <w:gridSpan w:val="3"/>
                  <w:noWrap w:val="0"/>
                  <w:vAlign w:val="center"/>
                </w:tcPr>
                <w:p w14:paraId="204DAA3D">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21096.74</w:t>
                  </w:r>
                </w:p>
              </w:tc>
              <w:tc>
                <w:tcPr>
                  <w:tcW w:w="657" w:type="dxa"/>
                  <w:noWrap w:val="0"/>
                  <w:vAlign w:val="center"/>
                </w:tcPr>
                <w:p w14:paraId="26F893EB">
                  <w:pPr>
                    <w:adjustRightInd w:val="0"/>
                    <w:snapToGrid w:val="0"/>
                    <w:jc w:val="center"/>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w:t>
                  </w:r>
                </w:p>
              </w:tc>
              <w:tc>
                <w:tcPr>
                  <w:tcW w:w="785" w:type="dxa"/>
                  <w:vMerge w:val="restart"/>
                  <w:noWrap w:val="0"/>
                  <w:vAlign w:val="center"/>
                </w:tcPr>
                <w:p w14:paraId="42484F95">
                  <w:pPr>
                    <w:adjustRightInd w:val="0"/>
                    <w:snapToGrid w:val="0"/>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1套“高温脉冲袋式除尘+脱硫塔（石灰石石膏法）”</w:t>
                  </w:r>
                </w:p>
              </w:tc>
              <w:tc>
                <w:tcPr>
                  <w:tcW w:w="558" w:type="dxa"/>
                  <w:noWrap w:val="0"/>
                  <w:vAlign w:val="center"/>
                </w:tcPr>
                <w:p w14:paraId="15279DC2">
                  <w:pPr>
                    <w:adjustRightInd w:val="0"/>
                    <w:snapToGrid w:val="0"/>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w:t>
                  </w:r>
                </w:p>
              </w:tc>
              <w:tc>
                <w:tcPr>
                  <w:tcW w:w="2496" w:type="dxa"/>
                  <w:gridSpan w:val="3"/>
                  <w:noWrap w:val="0"/>
                  <w:vAlign w:val="center"/>
                </w:tcPr>
                <w:p w14:paraId="78760D65">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21096.74</w:t>
                  </w:r>
                </w:p>
              </w:tc>
              <w:tc>
                <w:tcPr>
                  <w:tcW w:w="731" w:type="dxa"/>
                  <w:vMerge w:val="restart"/>
                  <w:noWrap w:val="0"/>
                  <w:vAlign w:val="center"/>
                </w:tcPr>
                <w:p w14:paraId="07353D49">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设置1根</w:t>
                  </w:r>
                  <w:r>
                    <w:rPr>
                      <w:rFonts w:hint="eastAsia"/>
                      <w:color w:val="000000" w:themeColor="text1"/>
                      <w:sz w:val="18"/>
                      <w:szCs w:val="18"/>
                      <w:lang w:val="en-US" w:eastAsia="zh-CN"/>
                      <w14:textFill>
                        <w14:solidFill>
                          <w14:schemeClr w14:val="tx1"/>
                        </w14:solidFill>
                      </w14:textFill>
                    </w:rPr>
                    <w:t>15</w:t>
                  </w:r>
                  <w:r>
                    <w:rPr>
                      <w:rFonts w:hint="eastAsia"/>
                      <w:color w:val="000000" w:themeColor="text1"/>
                      <w:sz w:val="18"/>
                      <w:szCs w:val="18"/>
                      <w14:textFill>
                        <w14:solidFill>
                          <w14:schemeClr w14:val="tx1"/>
                        </w14:solidFill>
                      </w14:textFill>
                    </w:rPr>
                    <w:t>m高的排气筒（DA00</w:t>
                  </w:r>
                  <w:r>
                    <w:rPr>
                      <w:rFonts w:hint="eastAsia"/>
                      <w:color w:val="000000" w:themeColor="text1"/>
                      <w:sz w:val="18"/>
                      <w:szCs w:val="18"/>
                      <w:lang w:val="en-US" w:eastAsia="zh-CN"/>
                      <w14:textFill>
                        <w14:solidFill>
                          <w14:schemeClr w14:val="tx1"/>
                        </w14:solidFill>
                      </w14:textFill>
                    </w:rPr>
                    <w:t>1</w:t>
                  </w:r>
                  <w:r>
                    <w:rPr>
                      <w:rFonts w:hint="eastAsia"/>
                      <w:color w:val="000000" w:themeColor="text1"/>
                      <w:sz w:val="18"/>
                      <w:szCs w:val="18"/>
                      <w14:textFill>
                        <w14:solidFill>
                          <w14:schemeClr w14:val="tx1"/>
                        </w14:solidFill>
                      </w14:textFill>
                    </w:rPr>
                    <w:t>）排放</w:t>
                  </w:r>
                </w:p>
              </w:tc>
            </w:tr>
            <w:tr w14:paraId="6F74E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5" w:type="dxa"/>
                  <w:noWrap w:val="0"/>
                  <w:vAlign w:val="center"/>
                </w:tcPr>
                <w:p w14:paraId="40FEC425">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颗粒物</w:t>
                  </w:r>
                </w:p>
              </w:tc>
              <w:tc>
                <w:tcPr>
                  <w:tcW w:w="934" w:type="dxa"/>
                  <w:noWrap w:val="0"/>
                  <w:vAlign w:val="center"/>
                </w:tcPr>
                <w:p w14:paraId="25D85097">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125.0</w:t>
                  </w:r>
                </w:p>
              </w:tc>
              <w:tc>
                <w:tcPr>
                  <w:tcW w:w="766" w:type="dxa"/>
                  <w:noWrap w:val="0"/>
                  <w:vAlign w:val="center"/>
                </w:tcPr>
                <w:p w14:paraId="3707E7A3">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4.78</w:t>
                  </w:r>
                </w:p>
              </w:tc>
              <w:tc>
                <w:tcPr>
                  <w:tcW w:w="722" w:type="dxa"/>
                  <w:noWrap w:val="0"/>
                  <w:vAlign w:val="center"/>
                </w:tcPr>
                <w:p w14:paraId="31EA7036">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26.38</w:t>
                  </w:r>
                </w:p>
              </w:tc>
              <w:tc>
                <w:tcPr>
                  <w:tcW w:w="657" w:type="dxa"/>
                  <w:vMerge w:val="restart"/>
                  <w:noWrap w:val="0"/>
                  <w:vAlign w:val="center"/>
                </w:tcPr>
                <w:p w14:paraId="31D03CA4">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100%</w:t>
                  </w:r>
                </w:p>
              </w:tc>
              <w:tc>
                <w:tcPr>
                  <w:tcW w:w="785" w:type="dxa"/>
                  <w:vMerge w:val="continue"/>
                  <w:noWrap w:val="0"/>
                  <w:vAlign w:val="center"/>
                </w:tcPr>
                <w:p w14:paraId="35068B62">
                  <w:pPr>
                    <w:adjustRightInd w:val="0"/>
                    <w:snapToGrid w:val="0"/>
                    <w:jc w:val="center"/>
                    <w:rPr>
                      <w:color w:val="000000" w:themeColor="text1"/>
                      <w:sz w:val="18"/>
                      <w:szCs w:val="18"/>
                      <w14:textFill>
                        <w14:solidFill>
                          <w14:schemeClr w14:val="tx1"/>
                        </w14:solidFill>
                      </w14:textFill>
                    </w:rPr>
                  </w:pPr>
                </w:p>
              </w:tc>
              <w:tc>
                <w:tcPr>
                  <w:tcW w:w="558" w:type="dxa"/>
                  <w:noWrap w:val="0"/>
                  <w:vAlign w:val="center"/>
                </w:tcPr>
                <w:p w14:paraId="081EE677">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90</w:t>
                  </w:r>
                  <w:r>
                    <w:rPr>
                      <w:rFonts w:hint="eastAsia"/>
                      <w:color w:val="000000" w:themeColor="text1"/>
                      <w:sz w:val="18"/>
                      <w:szCs w:val="18"/>
                      <w14:textFill>
                        <w14:solidFill>
                          <w14:schemeClr w14:val="tx1"/>
                        </w14:solidFill>
                      </w14:textFill>
                    </w:rPr>
                    <w:t>%</w:t>
                  </w:r>
                </w:p>
              </w:tc>
              <w:tc>
                <w:tcPr>
                  <w:tcW w:w="846" w:type="dxa"/>
                  <w:noWrap w:val="0"/>
                  <w:vAlign w:val="center"/>
                </w:tcPr>
                <w:p w14:paraId="5FFF6FC4">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12.51</w:t>
                  </w:r>
                </w:p>
              </w:tc>
              <w:tc>
                <w:tcPr>
                  <w:tcW w:w="796" w:type="dxa"/>
                  <w:noWrap w:val="0"/>
                  <w:vAlign w:val="center"/>
                </w:tcPr>
                <w:p w14:paraId="625D5691">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0.48</w:t>
                  </w:r>
                </w:p>
              </w:tc>
              <w:tc>
                <w:tcPr>
                  <w:tcW w:w="854" w:type="dxa"/>
                  <w:noWrap w:val="0"/>
                  <w:vAlign w:val="center"/>
                </w:tcPr>
                <w:p w14:paraId="41B36584">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2.64</w:t>
                  </w:r>
                </w:p>
              </w:tc>
              <w:tc>
                <w:tcPr>
                  <w:tcW w:w="731" w:type="dxa"/>
                  <w:vMerge w:val="continue"/>
                  <w:noWrap w:val="0"/>
                  <w:vAlign w:val="center"/>
                </w:tcPr>
                <w:p w14:paraId="650DEA21">
                  <w:pPr>
                    <w:adjustRightInd w:val="0"/>
                    <w:snapToGrid w:val="0"/>
                    <w:jc w:val="center"/>
                    <w:rPr>
                      <w:color w:val="000000" w:themeColor="text1"/>
                      <w:sz w:val="18"/>
                      <w:szCs w:val="18"/>
                      <w14:textFill>
                        <w14:solidFill>
                          <w14:schemeClr w14:val="tx1"/>
                        </w14:solidFill>
                      </w14:textFill>
                    </w:rPr>
                  </w:pPr>
                </w:p>
              </w:tc>
            </w:tr>
            <w:tr w14:paraId="2248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5" w:type="dxa"/>
                  <w:noWrap w:val="0"/>
                  <w:vAlign w:val="center"/>
                </w:tcPr>
                <w:p w14:paraId="0564A6D6">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SO</w:t>
                  </w:r>
                  <w:r>
                    <w:rPr>
                      <w:rFonts w:hint="eastAsia"/>
                      <w:color w:val="000000" w:themeColor="text1"/>
                      <w:sz w:val="18"/>
                      <w:szCs w:val="18"/>
                      <w:vertAlign w:val="subscript"/>
                      <w:lang w:val="en-US" w:eastAsia="zh-CN"/>
                      <w14:textFill>
                        <w14:solidFill>
                          <w14:schemeClr w14:val="tx1"/>
                        </w14:solidFill>
                      </w14:textFill>
                    </w:rPr>
                    <w:t>2</w:t>
                  </w:r>
                </w:p>
              </w:tc>
              <w:tc>
                <w:tcPr>
                  <w:tcW w:w="934" w:type="dxa"/>
                  <w:noWrap w:val="0"/>
                  <w:vAlign w:val="center"/>
                </w:tcPr>
                <w:p w14:paraId="2E20CF66">
                  <w:pPr>
                    <w:adjustRightInd w:val="0"/>
                    <w:snapToGrid w:val="0"/>
                    <w:jc w:val="center"/>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345.55</w:t>
                  </w:r>
                </w:p>
              </w:tc>
              <w:tc>
                <w:tcPr>
                  <w:tcW w:w="766" w:type="dxa"/>
                  <w:noWrap w:val="0"/>
                  <w:vAlign w:val="center"/>
                </w:tcPr>
                <w:p w14:paraId="13567915">
                  <w:pPr>
                    <w:adjustRightInd w:val="0"/>
                    <w:snapToGrid w:val="0"/>
                    <w:jc w:val="center"/>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13.21</w:t>
                  </w:r>
                </w:p>
              </w:tc>
              <w:tc>
                <w:tcPr>
                  <w:tcW w:w="722" w:type="dxa"/>
                  <w:noWrap w:val="0"/>
                  <w:vAlign w:val="center"/>
                </w:tcPr>
                <w:p w14:paraId="258DB0FF">
                  <w:pPr>
                    <w:adjustRightInd w:val="0"/>
                    <w:snapToGrid w:val="0"/>
                    <w:jc w:val="center"/>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72.9</w:t>
                  </w:r>
                </w:p>
              </w:tc>
              <w:tc>
                <w:tcPr>
                  <w:tcW w:w="657" w:type="dxa"/>
                  <w:vMerge w:val="continue"/>
                  <w:noWrap w:val="0"/>
                  <w:vAlign w:val="center"/>
                </w:tcPr>
                <w:p w14:paraId="1F694FBA">
                  <w:pPr>
                    <w:adjustRightInd w:val="0"/>
                    <w:snapToGrid w:val="0"/>
                    <w:jc w:val="center"/>
                    <w:rPr>
                      <w:color w:val="000000" w:themeColor="text1"/>
                      <w:sz w:val="18"/>
                      <w:szCs w:val="18"/>
                      <w14:textFill>
                        <w14:solidFill>
                          <w14:schemeClr w14:val="tx1"/>
                        </w14:solidFill>
                      </w14:textFill>
                    </w:rPr>
                  </w:pPr>
                </w:p>
              </w:tc>
              <w:tc>
                <w:tcPr>
                  <w:tcW w:w="785" w:type="dxa"/>
                  <w:vMerge w:val="continue"/>
                  <w:noWrap w:val="0"/>
                  <w:vAlign w:val="center"/>
                </w:tcPr>
                <w:p w14:paraId="6B4F239E">
                  <w:pPr>
                    <w:adjustRightInd w:val="0"/>
                    <w:snapToGrid w:val="0"/>
                    <w:jc w:val="center"/>
                    <w:rPr>
                      <w:color w:val="000000" w:themeColor="text1"/>
                      <w:sz w:val="18"/>
                      <w:szCs w:val="18"/>
                      <w14:textFill>
                        <w14:solidFill>
                          <w14:schemeClr w14:val="tx1"/>
                        </w14:solidFill>
                      </w14:textFill>
                    </w:rPr>
                  </w:pPr>
                </w:p>
              </w:tc>
              <w:tc>
                <w:tcPr>
                  <w:tcW w:w="558" w:type="dxa"/>
                  <w:noWrap w:val="0"/>
                  <w:vAlign w:val="center"/>
                </w:tcPr>
                <w:p w14:paraId="1E707296">
                  <w:pPr>
                    <w:adjustRightInd w:val="0"/>
                    <w:snapToGrid w:val="0"/>
                    <w:jc w:val="center"/>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80%</w:t>
                  </w:r>
                </w:p>
              </w:tc>
              <w:tc>
                <w:tcPr>
                  <w:tcW w:w="846" w:type="dxa"/>
                  <w:noWrap w:val="0"/>
                  <w:vAlign w:val="center"/>
                </w:tcPr>
                <w:p w14:paraId="38ECED4B">
                  <w:pPr>
                    <w:adjustRightInd w:val="0"/>
                    <w:snapToGrid w:val="0"/>
                    <w:jc w:val="center"/>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69.10</w:t>
                  </w:r>
                </w:p>
              </w:tc>
              <w:tc>
                <w:tcPr>
                  <w:tcW w:w="796" w:type="dxa"/>
                  <w:noWrap w:val="0"/>
                  <w:vAlign w:val="center"/>
                </w:tcPr>
                <w:p w14:paraId="763E473A">
                  <w:pPr>
                    <w:adjustRightInd w:val="0"/>
                    <w:snapToGrid w:val="0"/>
                    <w:jc w:val="center"/>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2.64</w:t>
                  </w:r>
                </w:p>
              </w:tc>
              <w:tc>
                <w:tcPr>
                  <w:tcW w:w="854" w:type="dxa"/>
                  <w:noWrap w:val="0"/>
                  <w:vAlign w:val="center"/>
                </w:tcPr>
                <w:p w14:paraId="2A6EF95F">
                  <w:pPr>
                    <w:adjustRightInd w:val="0"/>
                    <w:snapToGrid w:val="0"/>
                    <w:jc w:val="center"/>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14.58</w:t>
                  </w:r>
                </w:p>
              </w:tc>
              <w:tc>
                <w:tcPr>
                  <w:tcW w:w="731" w:type="dxa"/>
                  <w:vMerge w:val="continue"/>
                  <w:noWrap w:val="0"/>
                  <w:vAlign w:val="center"/>
                </w:tcPr>
                <w:p w14:paraId="02AC0DC1">
                  <w:pPr>
                    <w:adjustRightInd w:val="0"/>
                    <w:snapToGrid w:val="0"/>
                    <w:jc w:val="center"/>
                    <w:rPr>
                      <w:color w:val="000000" w:themeColor="text1"/>
                      <w:sz w:val="18"/>
                      <w:szCs w:val="18"/>
                      <w14:textFill>
                        <w14:solidFill>
                          <w14:schemeClr w14:val="tx1"/>
                        </w14:solidFill>
                      </w14:textFill>
                    </w:rPr>
                  </w:pPr>
                </w:p>
              </w:tc>
            </w:tr>
            <w:tr w14:paraId="6F24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5" w:type="dxa"/>
                  <w:noWrap w:val="0"/>
                  <w:vAlign w:val="center"/>
                </w:tcPr>
                <w:p w14:paraId="340E7B3C">
                  <w:pPr>
                    <w:adjustRightInd w:val="0"/>
                    <w:snapToGrid w:val="0"/>
                    <w:jc w:val="center"/>
                    <w:rPr>
                      <w:color w:val="000000" w:themeColor="text1"/>
                      <w:sz w:val="18"/>
                      <w:szCs w:val="18"/>
                      <w:vertAlign w:val="subscript"/>
                      <w14:textFill>
                        <w14:solidFill>
                          <w14:schemeClr w14:val="tx1"/>
                        </w14:solidFill>
                      </w14:textFill>
                    </w:rPr>
                  </w:pPr>
                  <w:r>
                    <w:rPr>
                      <w:rFonts w:hint="eastAsia"/>
                      <w:color w:val="000000" w:themeColor="text1"/>
                      <w:sz w:val="18"/>
                      <w:szCs w:val="18"/>
                      <w14:textFill>
                        <w14:solidFill>
                          <w14:schemeClr w14:val="tx1"/>
                        </w14:solidFill>
                      </w14:textFill>
                    </w:rPr>
                    <w:t>NO</w:t>
                  </w:r>
                  <w:r>
                    <w:rPr>
                      <w:rFonts w:hint="eastAsia"/>
                      <w:color w:val="000000" w:themeColor="text1"/>
                      <w:sz w:val="18"/>
                      <w:szCs w:val="18"/>
                      <w:vertAlign w:val="subscript"/>
                      <w14:textFill>
                        <w14:solidFill>
                          <w14:schemeClr w14:val="tx1"/>
                        </w14:solidFill>
                      </w14:textFill>
                    </w:rPr>
                    <w:t>X</w:t>
                  </w:r>
                </w:p>
              </w:tc>
              <w:tc>
                <w:tcPr>
                  <w:tcW w:w="934" w:type="dxa"/>
                  <w:noWrap w:val="0"/>
                  <w:vAlign w:val="center"/>
                </w:tcPr>
                <w:p w14:paraId="5FC695A0">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67.02</w:t>
                  </w:r>
                </w:p>
              </w:tc>
              <w:tc>
                <w:tcPr>
                  <w:tcW w:w="766" w:type="dxa"/>
                  <w:noWrap w:val="0"/>
                  <w:vAlign w:val="center"/>
                </w:tcPr>
                <w:p w14:paraId="493DFA94">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2.56</w:t>
                  </w:r>
                </w:p>
              </w:tc>
              <w:tc>
                <w:tcPr>
                  <w:tcW w:w="722" w:type="dxa"/>
                  <w:noWrap w:val="0"/>
                  <w:vAlign w:val="center"/>
                </w:tcPr>
                <w:p w14:paraId="096E6EFB">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14.14</w:t>
                  </w:r>
                </w:p>
              </w:tc>
              <w:tc>
                <w:tcPr>
                  <w:tcW w:w="657" w:type="dxa"/>
                  <w:vMerge w:val="continue"/>
                  <w:noWrap w:val="0"/>
                  <w:vAlign w:val="center"/>
                </w:tcPr>
                <w:p w14:paraId="6089EBE6">
                  <w:pPr>
                    <w:adjustRightInd w:val="0"/>
                    <w:snapToGrid w:val="0"/>
                    <w:jc w:val="center"/>
                    <w:rPr>
                      <w:color w:val="000000" w:themeColor="text1"/>
                      <w:sz w:val="18"/>
                      <w:szCs w:val="18"/>
                      <w14:textFill>
                        <w14:solidFill>
                          <w14:schemeClr w14:val="tx1"/>
                        </w14:solidFill>
                      </w14:textFill>
                    </w:rPr>
                  </w:pPr>
                </w:p>
              </w:tc>
              <w:tc>
                <w:tcPr>
                  <w:tcW w:w="785" w:type="dxa"/>
                  <w:vMerge w:val="continue"/>
                  <w:noWrap w:val="0"/>
                  <w:vAlign w:val="center"/>
                </w:tcPr>
                <w:p w14:paraId="6646CD3A">
                  <w:pPr>
                    <w:adjustRightInd w:val="0"/>
                    <w:snapToGrid w:val="0"/>
                    <w:jc w:val="center"/>
                    <w:rPr>
                      <w:color w:val="000000" w:themeColor="text1"/>
                      <w:sz w:val="18"/>
                      <w:szCs w:val="18"/>
                      <w14:textFill>
                        <w14:solidFill>
                          <w14:schemeClr w14:val="tx1"/>
                        </w14:solidFill>
                      </w14:textFill>
                    </w:rPr>
                  </w:pPr>
                </w:p>
              </w:tc>
              <w:tc>
                <w:tcPr>
                  <w:tcW w:w="558" w:type="dxa"/>
                  <w:noWrap w:val="0"/>
                  <w:vAlign w:val="center"/>
                </w:tcPr>
                <w:p w14:paraId="0FBD5B7A">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846" w:type="dxa"/>
                  <w:noWrap w:val="0"/>
                  <w:vAlign w:val="center"/>
                </w:tcPr>
                <w:p w14:paraId="45BBACF2">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67.02</w:t>
                  </w:r>
                </w:p>
              </w:tc>
              <w:tc>
                <w:tcPr>
                  <w:tcW w:w="796" w:type="dxa"/>
                  <w:noWrap w:val="0"/>
                  <w:vAlign w:val="center"/>
                </w:tcPr>
                <w:p w14:paraId="76315DD6">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2.56</w:t>
                  </w:r>
                </w:p>
              </w:tc>
              <w:tc>
                <w:tcPr>
                  <w:tcW w:w="854" w:type="dxa"/>
                  <w:noWrap w:val="0"/>
                  <w:vAlign w:val="center"/>
                </w:tcPr>
                <w:p w14:paraId="2E01395A">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14.14</w:t>
                  </w:r>
                </w:p>
              </w:tc>
              <w:tc>
                <w:tcPr>
                  <w:tcW w:w="731" w:type="dxa"/>
                  <w:vMerge w:val="continue"/>
                  <w:noWrap w:val="0"/>
                  <w:vAlign w:val="center"/>
                </w:tcPr>
                <w:p w14:paraId="5717B628">
                  <w:pPr>
                    <w:adjustRightInd w:val="0"/>
                    <w:snapToGrid w:val="0"/>
                    <w:jc w:val="center"/>
                    <w:rPr>
                      <w:color w:val="000000" w:themeColor="text1"/>
                      <w:sz w:val="18"/>
                      <w:szCs w:val="18"/>
                      <w14:textFill>
                        <w14:solidFill>
                          <w14:schemeClr w14:val="tx1"/>
                        </w14:solidFill>
                      </w14:textFill>
                    </w:rPr>
                  </w:pPr>
                </w:p>
              </w:tc>
            </w:tr>
          </w:tbl>
          <w:p w14:paraId="65CD2F3B">
            <w:pPr>
              <w:widowControl/>
              <w:spacing w:line="360" w:lineRule="auto"/>
              <w:ind w:firstLine="482" w:firstLineChars="200"/>
              <w:jc w:val="left"/>
              <w:rPr>
                <w:rFonts w:hint="eastAsia" w:ascii="Times New Roman" w:hAnsi="Times New Roman" w:eastAsia="宋体" w:cs="Times New Roman"/>
                <w:b/>
                <w:bCs/>
                <w:color w:val="000000" w:themeColor="text1"/>
                <w:kern w:val="0"/>
                <w:sz w:val="24"/>
                <w:szCs w:val="24"/>
                <w:lang w:eastAsia="zh-CN" w:bidi="ar"/>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②</w:t>
            </w:r>
            <w:r>
              <w:rPr>
                <w:rFonts w:hint="eastAsia" w:ascii="Times New Roman" w:hAnsi="Times New Roman" w:eastAsia="宋体" w:cs="Times New Roman"/>
                <w:b/>
                <w:bCs/>
                <w:color w:val="000000" w:themeColor="text1"/>
                <w:kern w:val="0"/>
                <w:sz w:val="24"/>
                <w:szCs w:val="24"/>
                <w:lang w:val="en-US" w:eastAsia="zh-CN" w:bidi="ar"/>
                <w14:textFill>
                  <w14:solidFill>
                    <w14:schemeClr w14:val="tx1"/>
                  </w14:solidFill>
                </w14:textFill>
              </w:rPr>
              <w:t>氟化物</w:t>
            </w:r>
          </w:p>
          <w:p w14:paraId="02B79977">
            <w:pPr>
              <w:widowControl/>
              <w:spacing w:line="360" w:lineRule="auto"/>
              <w:ind w:firstLine="480" w:firstLineChars="200"/>
              <w:jc w:val="left"/>
              <w:rPr>
                <w:rFonts w:hint="default" w:ascii="Times New Roman" w:hAnsi="Times New Roman" w:eastAsia="宋体" w:cs="Times New Roman"/>
                <w:color w:val="000000" w:themeColor="text1"/>
                <w:kern w:val="0"/>
                <w:sz w:val="24"/>
                <w:szCs w:val="24"/>
                <w:lang w:bidi="ar"/>
                <w14:textFill>
                  <w14:solidFill>
                    <w14:schemeClr w14:val="tx1"/>
                  </w14:solidFill>
                </w14:textFill>
              </w:rPr>
            </w:pPr>
            <w:r>
              <w:rPr>
                <w:rFonts w:hint="default" w:ascii="Times New Roman" w:hAnsi="Times New Roman" w:eastAsia="宋体" w:cs="Times New Roman"/>
                <w:color w:val="000000" w:themeColor="text1"/>
                <w:kern w:val="0"/>
                <w:sz w:val="24"/>
                <w:szCs w:val="24"/>
                <w:lang w:bidi="ar"/>
                <w14:textFill>
                  <w14:solidFill>
                    <w14:schemeClr w14:val="tx1"/>
                  </w14:solidFill>
                </w14:textFill>
              </w:rPr>
              <w:t>原料中氟主要以F¯形式通过置换OH¯而存在于矿物的晶格结构中。当矿物加热至500～600℃，发生脱羟基作用，释出结构水，相应地，存在于矿物晶格中的F-也随之发生类似释出结构水的反应，生成HF（以氟计）。随着烧制温度的提高，脱羟基作用增强，氟逸出量也随之增加。项目</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原料粘土</w:t>
            </w:r>
            <w:r>
              <w:rPr>
                <w:rFonts w:hint="eastAsia" w:cs="Times New Roman"/>
                <w:color w:val="000000" w:themeColor="text1"/>
                <w:kern w:val="0"/>
                <w:sz w:val="24"/>
                <w:szCs w:val="24"/>
                <w:lang w:val="en-US" w:eastAsia="zh-CN" w:bidi="ar"/>
                <w14:textFill>
                  <w14:solidFill>
                    <w14:schemeClr w14:val="tx1"/>
                  </w14:solidFill>
                </w14:textFill>
              </w:rPr>
              <w:t>、页岩土</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中</w:t>
            </w:r>
            <w:r>
              <w:rPr>
                <w:rFonts w:hint="default" w:ascii="Times New Roman" w:hAnsi="Times New Roman" w:eastAsia="宋体" w:cs="Times New Roman"/>
                <w:color w:val="000000" w:themeColor="text1"/>
                <w:kern w:val="0"/>
                <w:sz w:val="24"/>
                <w:szCs w:val="24"/>
                <w:lang w:bidi="ar"/>
                <w14:textFill>
                  <w14:solidFill>
                    <w14:schemeClr w14:val="tx1"/>
                  </w14:solidFill>
                </w14:textFill>
              </w:rPr>
              <w:t>含</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氟</w:t>
            </w:r>
            <w:r>
              <w:rPr>
                <w:rFonts w:hint="eastAsia" w:cs="Times New Roman"/>
                <w:color w:val="000000" w:themeColor="text1"/>
                <w:kern w:val="0"/>
                <w:sz w:val="24"/>
                <w:szCs w:val="24"/>
                <w:lang w:val="en-US" w:eastAsia="zh-CN" w:bidi="ar"/>
                <w14:textFill>
                  <w14:solidFill>
                    <w14:schemeClr w14:val="tx1"/>
                  </w14:solidFill>
                </w14:textFill>
              </w:rPr>
              <w:t>0.002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项目粘土用量为</w:t>
            </w:r>
            <w:r>
              <w:rPr>
                <w:rFonts w:hint="eastAsia" w:cs="Times New Roman"/>
                <w:color w:val="000000" w:themeColor="text1"/>
                <w:kern w:val="0"/>
                <w:sz w:val="24"/>
                <w:szCs w:val="24"/>
                <w:highlight w:val="none"/>
                <w:lang w:val="en-US" w:eastAsia="zh-CN" w:bidi="ar"/>
                <w14:textFill>
                  <w14:solidFill>
                    <w14:schemeClr w14:val="tx1"/>
                  </w14:solidFill>
                </w14:textFill>
              </w:rPr>
              <w:t>11.409714万</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t/a，</w:t>
            </w:r>
            <w:r>
              <w:rPr>
                <w:rFonts w:hint="default" w:ascii="Times New Roman" w:hAnsi="Times New Roman" w:eastAsia="宋体" w:cs="Times New Roman"/>
                <w:color w:val="000000" w:themeColor="text1"/>
                <w:kern w:val="0"/>
                <w:sz w:val="24"/>
                <w:szCs w:val="24"/>
                <w:highlight w:val="none"/>
                <w:lang w:bidi="ar"/>
                <w14:textFill>
                  <w14:solidFill>
                    <w14:schemeClr w14:val="tx1"/>
                  </w14:solidFill>
                </w14:textFill>
              </w:rPr>
              <w:t>根据《四川环境》（2003年第22卷第5期）中刘</w:t>
            </w:r>
            <w:r>
              <w:rPr>
                <w:rFonts w:hint="default" w:ascii="Times New Roman" w:hAnsi="Times New Roman" w:eastAsia="宋体" w:cs="Times New Roman"/>
                <w:color w:val="000000" w:themeColor="text1"/>
                <w:kern w:val="0"/>
                <w:sz w:val="24"/>
                <w:szCs w:val="24"/>
                <w:lang w:bidi="ar"/>
                <w14:textFill>
                  <w14:solidFill>
                    <w14:schemeClr w14:val="tx1"/>
                  </w14:solidFill>
                </w14:textFill>
              </w:rPr>
              <w:t>咏《我国砖瓦厂氟化物的排放及其污染治理研究进展》，砖瓦烧制过程中氟的平均释放率为54.3%。</w:t>
            </w:r>
          </w:p>
          <w:p w14:paraId="4EB7817A">
            <w:pPr>
              <w:adjustRightInd w:val="0"/>
              <w:snapToGrid w:val="0"/>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表</w:t>
            </w:r>
            <w:r>
              <w:rPr>
                <w:rFonts w:hint="eastAsia"/>
                <w:b/>
                <w:color w:val="000000" w:themeColor="text1"/>
                <w:sz w:val="24"/>
                <w14:textFill>
                  <w14:solidFill>
                    <w14:schemeClr w14:val="tx1"/>
                  </w14:solidFill>
                </w14:textFill>
              </w:rPr>
              <w:t>4</w:t>
            </w:r>
            <w:r>
              <w:rPr>
                <w:b/>
                <w:color w:val="000000" w:themeColor="text1"/>
                <w:sz w:val="24"/>
                <w14:textFill>
                  <w14:solidFill>
                    <w14:schemeClr w14:val="tx1"/>
                  </w14:solidFill>
                </w14:textFill>
              </w:rPr>
              <w:t>-</w:t>
            </w:r>
            <w:r>
              <w:rPr>
                <w:rFonts w:hint="eastAsia"/>
                <w:b/>
                <w:color w:val="000000" w:themeColor="text1"/>
                <w:sz w:val="24"/>
                <w:lang w:val="en-US" w:eastAsia="zh-CN"/>
                <w14:textFill>
                  <w14:solidFill>
                    <w14:schemeClr w14:val="tx1"/>
                  </w14:solidFill>
                </w14:textFill>
              </w:rPr>
              <w:t>6</w:t>
            </w:r>
            <w:r>
              <w:rPr>
                <w:b/>
                <w:color w:val="000000" w:themeColor="text1"/>
                <w:sz w:val="24"/>
                <w14:textFill>
                  <w14:solidFill>
                    <w14:schemeClr w14:val="tx1"/>
                  </w14:solidFill>
                </w14:textFill>
              </w:rPr>
              <w:t xml:space="preserve">  </w:t>
            </w:r>
            <w:r>
              <w:rPr>
                <w:rFonts w:hint="eastAsia"/>
                <w:b/>
                <w:color w:val="000000" w:themeColor="text1"/>
                <w:sz w:val="24"/>
                <w14:textFill>
                  <w14:solidFill>
                    <w14:schemeClr w14:val="tx1"/>
                  </w14:solidFill>
                </w14:textFill>
              </w:rPr>
              <w:t xml:space="preserve"> </w:t>
            </w:r>
            <w:r>
              <w:rPr>
                <w:rFonts w:hint="eastAsia"/>
                <w:b/>
                <w:color w:val="000000" w:themeColor="text1"/>
                <w:sz w:val="24"/>
                <w:lang w:val="en-US" w:eastAsia="zh-CN"/>
                <w14:textFill>
                  <w14:solidFill>
                    <w14:schemeClr w14:val="tx1"/>
                  </w14:solidFill>
                </w14:textFill>
              </w:rPr>
              <w:t>改扩建完成后炉窑</w:t>
            </w:r>
            <w:r>
              <w:rPr>
                <w:b/>
                <w:color w:val="000000" w:themeColor="text1"/>
                <w:sz w:val="24"/>
                <w14:textFill>
                  <w14:solidFill>
                    <w14:schemeClr w14:val="tx1"/>
                  </w14:solidFill>
                </w14:textFill>
              </w:rPr>
              <w:t>废气</w:t>
            </w:r>
            <w:r>
              <w:rPr>
                <w:rFonts w:hint="eastAsia"/>
                <w:b/>
                <w:color w:val="000000" w:themeColor="text1"/>
                <w:sz w:val="24"/>
                <w14:textFill>
                  <w14:solidFill>
                    <w14:schemeClr w14:val="tx1"/>
                  </w14:solidFill>
                </w14:textFill>
              </w:rPr>
              <w:t>（DA001）</w:t>
            </w:r>
            <w:r>
              <w:rPr>
                <w:rFonts w:hint="eastAsia"/>
                <w:b/>
                <w:color w:val="000000" w:themeColor="text1"/>
                <w:sz w:val="24"/>
                <w:lang w:val="en-US" w:eastAsia="zh-CN"/>
                <w14:textFill>
                  <w14:solidFill>
                    <w14:schemeClr w14:val="tx1"/>
                  </w14:solidFill>
                </w14:textFill>
              </w:rPr>
              <w:t>氟化物</w:t>
            </w:r>
            <w:r>
              <w:rPr>
                <w:b/>
                <w:color w:val="000000" w:themeColor="text1"/>
                <w:sz w:val="24"/>
                <w14:textFill>
                  <w14:solidFill>
                    <w14:schemeClr w14:val="tx1"/>
                  </w14:solidFill>
                </w14:textFill>
              </w:rPr>
              <w:t>产</w:t>
            </w:r>
            <w:r>
              <w:rPr>
                <w:rFonts w:hint="eastAsia"/>
                <w:b/>
                <w:color w:val="000000" w:themeColor="text1"/>
                <w:sz w:val="24"/>
                <w14:textFill>
                  <w14:solidFill>
                    <w14:schemeClr w14:val="tx1"/>
                  </w14:solidFill>
                </w14:textFill>
              </w:rPr>
              <w:t>排</w:t>
            </w:r>
            <w:r>
              <w:rPr>
                <w:b/>
                <w:color w:val="000000" w:themeColor="text1"/>
                <w:sz w:val="24"/>
                <w14:textFill>
                  <w14:solidFill>
                    <w14:schemeClr w14:val="tx1"/>
                  </w14:solidFill>
                </w14:textFill>
              </w:rPr>
              <w:t>情况</w:t>
            </w:r>
            <w:r>
              <w:rPr>
                <w:rFonts w:hint="eastAsia"/>
                <w:b/>
                <w:color w:val="000000" w:themeColor="text1"/>
                <w:sz w:val="24"/>
                <w14:textFill>
                  <w14:solidFill>
                    <w14:schemeClr w14:val="tx1"/>
                  </w14:solidFill>
                </w14:textFill>
              </w:rPr>
              <w:t>一览</w:t>
            </w:r>
            <w:r>
              <w:rPr>
                <w:b/>
                <w:color w:val="000000" w:themeColor="text1"/>
                <w:sz w:val="24"/>
                <w14:textFill>
                  <w14:solidFill>
                    <w14:schemeClr w14:val="tx1"/>
                  </w14:solidFill>
                </w14:textFill>
              </w:rPr>
              <w:t>表</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942"/>
              <w:gridCol w:w="771"/>
              <w:gridCol w:w="727"/>
              <w:gridCol w:w="663"/>
              <w:gridCol w:w="663"/>
              <w:gridCol w:w="551"/>
              <w:gridCol w:w="926"/>
              <w:gridCol w:w="802"/>
              <w:gridCol w:w="861"/>
              <w:gridCol w:w="736"/>
            </w:tblGrid>
            <w:tr w14:paraId="62CB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6" w:type="dxa"/>
                  <w:vMerge w:val="restart"/>
                  <w:noWrap w:val="0"/>
                  <w:vAlign w:val="center"/>
                </w:tcPr>
                <w:p w14:paraId="6295C4D8">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污染物</w:t>
                  </w:r>
                </w:p>
              </w:tc>
              <w:tc>
                <w:tcPr>
                  <w:tcW w:w="2643" w:type="dxa"/>
                  <w:gridSpan w:val="3"/>
                  <w:noWrap w:val="0"/>
                  <w:vAlign w:val="center"/>
                </w:tcPr>
                <w:p w14:paraId="025839B3">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产生情况</w:t>
                  </w:r>
                </w:p>
              </w:tc>
              <w:tc>
                <w:tcPr>
                  <w:tcW w:w="713" w:type="dxa"/>
                  <w:vMerge w:val="restart"/>
                  <w:noWrap w:val="0"/>
                  <w:vAlign w:val="center"/>
                </w:tcPr>
                <w:p w14:paraId="376631ED">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收集效率</w:t>
                  </w:r>
                </w:p>
              </w:tc>
              <w:tc>
                <w:tcPr>
                  <w:tcW w:w="713" w:type="dxa"/>
                  <w:vMerge w:val="restart"/>
                  <w:noWrap w:val="0"/>
                  <w:vAlign w:val="center"/>
                </w:tcPr>
                <w:p w14:paraId="49A969A4">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治理措施</w:t>
                  </w:r>
                </w:p>
              </w:tc>
              <w:tc>
                <w:tcPr>
                  <w:tcW w:w="589" w:type="dxa"/>
                  <w:vMerge w:val="restart"/>
                  <w:noWrap w:val="0"/>
                  <w:vAlign w:val="center"/>
                </w:tcPr>
                <w:p w14:paraId="20D782A5">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去除率</w:t>
                  </w:r>
                </w:p>
              </w:tc>
              <w:tc>
                <w:tcPr>
                  <w:tcW w:w="2808" w:type="dxa"/>
                  <w:gridSpan w:val="3"/>
                  <w:noWrap w:val="0"/>
                  <w:vAlign w:val="center"/>
                </w:tcPr>
                <w:p w14:paraId="17ED2805">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排放情况</w:t>
                  </w:r>
                </w:p>
              </w:tc>
              <w:tc>
                <w:tcPr>
                  <w:tcW w:w="795" w:type="dxa"/>
                  <w:vMerge w:val="restart"/>
                  <w:noWrap w:val="0"/>
                  <w:vAlign w:val="center"/>
                </w:tcPr>
                <w:p w14:paraId="13C36D0A">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排放去向</w:t>
                  </w:r>
                </w:p>
              </w:tc>
            </w:tr>
            <w:tr w14:paraId="631F3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1126" w:type="dxa"/>
                  <w:vMerge w:val="continue"/>
                  <w:noWrap w:val="0"/>
                  <w:vAlign w:val="center"/>
                </w:tcPr>
                <w:p w14:paraId="6DE4F9CF">
                  <w:pPr>
                    <w:adjustRightInd w:val="0"/>
                    <w:snapToGrid w:val="0"/>
                    <w:jc w:val="center"/>
                    <w:rPr>
                      <w:rFonts w:hint="eastAsia"/>
                      <w:color w:val="000000" w:themeColor="text1"/>
                      <w:sz w:val="18"/>
                      <w:szCs w:val="18"/>
                      <w14:textFill>
                        <w14:solidFill>
                          <w14:schemeClr w14:val="tx1"/>
                        </w14:solidFill>
                      </w14:textFill>
                    </w:rPr>
                  </w:pPr>
                </w:p>
              </w:tc>
              <w:tc>
                <w:tcPr>
                  <w:tcW w:w="1024" w:type="dxa"/>
                  <w:noWrap w:val="0"/>
                  <w:vAlign w:val="center"/>
                </w:tcPr>
                <w:p w14:paraId="1EE12670">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产生浓度（mg/m</w:t>
                  </w:r>
                  <w:r>
                    <w:rPr>
                      <w:rFonts w:hint="eastAsia"/>
                      <w:color w:val="000000" w:themeColor="text1"/>
                      <w:sz w:val="18"/>
                      <w:szCs w:val="18"/>
                      <w:vertAlign w:val="superscript"/>
                      <w14:textFill>
                        <w14:solidFill>
                          <w14:schemeClr w14:val="tx1"/>
                        </w14:solidFill>
                      </w14:textFill>
                    </w:rPr>
                    <w:t>3</w:t>
                  </w:r>
                  <w:r>
                    <w:rPr>
                      <w:rFonts w:hint="eastAsia"/>
                      <w:color w:val="000000" w:themeColor="text1"/>
                      <w:sz w:val="18"/>
                      <w:szCs w:val="18"/>
                      <w14:textFill>
                        <w14:solidFill>
                          <w14:schemeClr w14:val="tx1"/>
                        </w14:solidFill>
                      </w14:textFill>
                    </w:rPr>
                    <w:t>）</w:t>
                  </w:r>
                </w:p>
              </w:tc>
              <w:tc>
                <w:tcPr>
                  <w:tcW w:w="834" w:type="dxa"/>
                  <w:noWrap w:val="0"/>
                  <w:vAlign w:val="center"/>
                </w:tcPr>
                <w:p w14:paraId="68813561">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产生速率（kg/h）</w:t>
                  </w:r>
                </w:p>
              </w:tc>
              <w:tc>
                <w:tcPr>
                  <w:tcW w:w="785" w:type="dxa"/>
                  <w:noWrap w:val="0"/>
                  <w:vAlign w:val="center"/>
                </w:tcPr>
                <w:p w14:paraId="7917BD81">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产生量（t/a）</w:t>
                  </w:r>
                </w:p>
              </w:tc>
              <w:tc>
                <w:tcPr>
                  <w:tcW w:w="713" w:type="dxa"/>
                  <w:vMerge w:val="continue"/>
                  <w:noWrap w:val="0"/>
                  <w:vAlign w:val="center"/>
                </w:tcPr>
                <w:p w14:paraId="38FC6E4B">
                  <w:pPr>
                    <w:adjustRightInd w:val="0"/>
                    <w:snapToGrid w:val="0"/>
                    <w:jc w:val="center"/>
                    <w:rPr>
                      <w:rFonts w:hint="eastAsia"/>
                      <w:color w:val="000000" w:themeColor="text1"/>
                      <w:sz w:val="18"/>
                      <w:szCs w:val="18"/>
                      <w14:textFill>
                        <w14:solidFill>
                          <w14:schemeClr w14:val="tx1"/>
                        </w14:solidFill>
                      </w14:textFill>
                    </w:rPr>
                  </w:pPr>
                </w:p>
              </w:tc>
              <w:tc>
                <w:tcPr>
                  <w:tcW w:w="713" w:type="dxa"/>
                  <w:vMerge w:val="continue"/>
                  <w:noWrap w:val="0"/>
                  <w:vAlign w:val="center"/>
                </w:tcPr>
                <w:p w14:paraId="3E8D3CFD">
                  <w:pPr>
                    <w:adjustRightInd w:val="0"/>
                    <w:snapToGrid w:val="0"/>
                    <w:jc w:val="center"/>
                    <w:rPr>
                      <w:rFonts w:hint="eastAsia"/>
                      <w:color w:val="000000" w:themeColor="text1"/>
                      <w:sz w:val="18"/>
                      <w:szCs w:val="18"/>
                      <w14:textFill>
                        <w14:solidFill>
                          <w14:schemeClr w14:val="tx1"/>
                        </w14:solidFill>
                      </w14:textFill>
                    </w:rPr>
                  </w:pPr>
                </w:p>
              </w:tc>
              <w:tc>
                <w:tcPr>
                  <w:tcW w:w="589" w:type="dxa"/>
                  <w:vMerge w:val="continue"/>
                  <w:noWrap w:val="0"/>
                  <w:vAlign w:val="center"/>
                </w:tcPr>
                <w:p w14:paraId="1DD67818">
                  <w:pPr>
                    <w:adjustRightInd w:val="0"/>
                    <w:snapToGrid w:val="0"/>
                    <w:jc w:val="center"/>
                    <w:rPr>
                      <w:rFonts w:hint="eastAsia"/>
                      <w:color w:val="000000" w:themeColor="text1"/>
                      <w:sz w:val="18"/>
                      <w:szCs w:val="18"/>
                      <w14:textFill>
                        <w14:solidFill>
                          <w14:schemeClr w14:val="tx1"/>
                        </w14:solidFill>
                      </w14:textFill>
                    </w:rPr>
                  </w:pPr>
                </w:p>
              </w:tc>
              <w:tc>
                <w:tcPr>
                  <w:tcW w:w="1006" w:type="dxa"/>
                  <w:noWrap w:val="0"/>
                  <w:vAlign w:val="center"/>
                </w:tcPr>
                <w:p w14:paraId="1B284463">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排放浓度（mg/m</w:t>
                  </w:r>
                  <w:r>
                    <w:rPr>
                      <w:rFonts w:hint="eastAsia"/>
                      <w:color w:val="000000" w:themeColor="text1"/>
                      <w:sz w:val="18"/>
                      <w:szCs w:val="18"/>
                      <w:vertAlign w:val="superscript"/>
                      <w14:textFill>
                        <w14:solidFill>
                          <w14:schemeClr w14:val="tx1"/>
                        </w14:solidFill>
                      </w14:textFill>
                    </w:rPr>
                    <w:t>3</w:t>
                  </w:r>
                  <w:r>
                    <w:rPr>
                      <w:rFonts w:hint="eastAsia"/>
                      <w:color w:val="000000" w:themeColor="text1"/>
                      <w:sz w:val="18"/>
                      <w:szCs w:val="18"/>
                      <w14:textFill>
                        <w14:solidFill>
                          <w14:schemeClr w14:val="tx1"/>
                        </w14:solidFill>
                      </w14:textFill>
                    </w:rPr>
                    <w:t>）</w:t>
                  </w:r>
                </w:p>
              </w:tc>
              <w:tc>
                <w:tcPr>
                  <w:tcW w:w="868" w:type="dxa"/>
                  <w:noWrap w:val="0"/>
                  <w:vAlign w:val="center"/>
                </w:tcPr>
                <w:p w14:paraId="5C23AFE6">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排放速率（kg/h）</w:t>
                  </w:r>
                </w:p>
              </w:tc>
              <w:tc>
                <w:tcPr>
                  <w:tcW w:w="934" w:type="dxa"/>
                  <w:noWrap w:val="0"/>
                  <w:vAlign w:val="center"/>
                </w:tcPr>
                <w:p w14:paraId="5E9DE9AF">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排放量（t/a）</w:t>
                  </w:r>
                </w:p>
              </w:tc>
              <w:tc>
                <w:tcPr>
                  <w:tcW w:w="795" w:type="dxa"/>
                  <w:vMerge w:val="continue"/>
                  <w:noWrap w:val="0"/>
                  <w:vAlign w:val="center"/>
                </w:tcPr>
                <w:p w14:paraId="0D524D6B">
                  <w:pPr>
                    <w:adjustRightInd w:val="0"/>
                    <w:snapToGrid w:val="0"/>
                    <w:jc w:val="center"/>
                    <w:rPr>
                      <w:rFonts w:hint="eastAsia"/>
                      <w:color w:val="000000" w:themeColor="text1"/>
                      <w:sz w:val="18"/>
                      <w:szCs w:val="18"/>
                      <w14:textFill>
                        <w14:solidFill>
                          <w14:schemeClr w14:val="tx1"/>
                        </w14:solidFill>
                      </w14:textFill>
                    </w:rPr>
                  </w:pPr>
                </w:p>
              </w:tc>
            </w:tr>
            <w:tr w14:paraId="77AC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6" w:type="dxa"/>
                  <w:noWrap w:val="0"/>
                  <w:vAlign w:val="center"/>
                </w:tcPr>
                <w:p w14:paraId="31A4C3C9">
                  <w:pPr>
                    <w:adjustRightInd w:val="0"/>
                    <w:snapToGrid w:val="0"/>
                    <w:jc w:val="center"/>
                    <w:rPr>
                      <w:rFonts w:hint="eastAsia"/>
                      <w:color w:val="000000" w:themeColor="text1"/>
                      <w:sz w:val="18"/>
                      <w:szCs w:val="18"/>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工业废气量</w:t>
                  </w:r>
                  <w:r>
                    <w:rPr>
                      <w:rFonts w:hint="eastAsia"/>
                      <w:color w:val="000000" w:themeColor="text1"/>
                      <w:sz w:val="18"/>
                      <w:szCs w:val="18"/>
                      <w14:textFill>
                        <w14:solidFill>
                          <w14:schemeClr w14:val="tx1"/>
                        </w14:solidFill>
                      </w14:textFill>
                    </w:rPr>
                    <w:t>（万</w:t>
                  </w:r>
                  <w:r>
                    <w:rPr>
                      <w:rFonts w:hint="eastAsia"/>
                      <w:color w:val="000000" w:themeColor="text1"/>
                      <w:sz w:val="18"/>
                      <w:szCs w:val="18"/>
                      <w:lang w:val="en-US" w:eastAsia="zh-CN"/>
                      <w14:textFill>
                        <w14:solidFill>
                          <w14:schemeClr w14:val="tx1"/>
                        </w14:solidFill>
                      </w14:textFill>
                    </w:rPr>
                    <w:t>N</w:t>
                  </w:r>
                  <w:r>
                    <w:rPr>
                      <w:rFonts w:hint="eastAsia"/>
                      <w:color w:val="000000" w:themeColor="text1"/>
                      <w:sz w:val="18"/>
                      <w:szCs w:val="18"/>
                      <w14:textFill>
                        <w14:solidFill>
                          <w14:schemeClr w14:val="tx1"/>
                        </w14:solidFill>
                      </w14:textFill>
                    </w:rPr>
                    <w:t>m</w:t>
                  </w:r>
                  <w:r>
                    <w:rPr>
                      <w:rFonts w:hint="eastAsia"/>
                      <w:color w:val="000000" w:themeColor="text1"/>
                      <w:sz w:val="18"/>
                      <w:szCs w:val="18"/>
                      <w:vertAlign w:val="superscript"/>
                      <w14:textFill>
                        <w14:solidFill>
                          <w14:schemeClr w14:val="tx1"/>
                        </w14:solidFill>
                      </w14:textFill>
                    </w:rPr>
                    <w:t>3</w:t>
                  </w:r>
                  <w:r>
                    <w:rPr>
                      <w:rFonts w:hint="eastAsia"/>
                      <w:color w:val="000000" w:themeColor="text1"/>
                      <w:sz w:val="18"/>
                      <w:szCs w:val="18"/>
                      <w14:textFill>
                        <w14:solidFill>
                          <w14:schemeClr w14:val="tx1"/>
                        </w14:solidFill>
                      </w14:textFill>
                    </w:rPr>
                    <w:t>/a）</w:t>
                  </w:r>
                </w:p>
              </w:tc>
              <w:tc>
                <w:tcPr>
                  <w:tcW w:w="2643" w:type="dxa"/>
                  <w:gridSpan w:val="3"/>
                  <w:noWrap w:val="0"/>
                  <w:vAlign w:val="center"/>
                </w:tcPr>
                <w:p w14:paraId="06C97951">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21096.74</w:t>
                  </w:r>
                </w:p>
              </w:tc>
              <w:tc>
                <w:tcPr>
                  <w:tcW w:w="713" w:type="dxa"/>
                  <w:noWrap w:val="0"/>
                  <w:vAlign w:val="center"/>
                </w:tcPr>
                <w:p w14:paraId="1402A42D">
                  <w:pPr>
                    <w:adjustRightInd w:val="0"/>
                    <w:snapToGrid w:val="0"/>
                    <w:jc w:val="center"/>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w:t>
                  </w:r>
                </w:p>
              </w:tc>
              <w:tc>
                <w:tcPr>
                  <w:tcW w:w="713" w:type="dxa"/>
                  <w:vMerge w:val="restart"/>
                  <w:noWrap w:val="0"/>
                  <w:vAlign w:val="center"/>
                </w:tcPr>
                <w:p w14:paraId="4C528089">
                  <w:pPr>
                    <w:adjustRightInd w:val="0"/>
                    <w:snapToGrid w:val="0"/>
                    <w:jc w:val="center"/>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1套“高温脉冲袋式除尘+脱硫塔（石灰石石膏法）”</w:t>
                  </w:r>
                </w:p>
              </w:tc>
              <w:tc>
                <w:tcPr>
                  <w:tcW w:w="589" w:type="dxa"/>
                  <w:noWrap w:val="0"/>
                  <w:vAlign w:val="center"/>
                </w:tcPr>
                <w:p w14:paraId="2410B362">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w:t>
                  </w:r>
                </w:p>
              </w:tc>
              <w:tc>
                <w:tcPr>
                  <w:tcW w:w="2808" w:type="dxa"/>
                  <w:gridSpan w:val="3"/>
                  <w:noWrap w:val="0"/>
                  <w:vAlign w:val="center"/>
                </w:tcPr>
                <w:p w14:paraId="75D9D9CF">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21096.74</w:t>
                  </w:r>
                </w:p>
              </w:tc>
              <w:tc>
                <w:tcPr>
                  <w:tcW w:w="795" w:type="dxa"/>
                  <w:vMerge w:val="restart"/>
                  <w:noWrap w:val="0"/>
                  <w:vAlign w:val="center"/>
                </w:tcPr>
                <w:p w14:paraId="141FB1C0">
                  <w:pPr>
                    <w:adjustRightInd w:val="0"/>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设置1根</w:t>
                  </w:r>
                  <w:r>
                    <w:rPr>
                      <w:rFonts w:hint="eastAsia"/>
                      <w:color w:val="000000" w:themeColor="text1"/>
                      <w:sz w:val="18"/>
                      <w:szCs w:val="18"/>
                      <w:lang w:val="en-US" w:eastAsia="zh-CN"/>
                      <w14:textFill>
                        <w14:solidFill>
                          <w14:schemeClr w14:val="tx1"/>
                        </w14:solidFill>
                      </w14:textFill>
                    </w:rPr>
                    <w:t>15</w:t>
                  </w:r>
                  <w:r>
                    <w:rPr>
                      <w:rFonts w:hint="eastAsia"/>
                      <w:color w:val="000000" w:themeColor="text1"/>
                      <w:sz w:val="18"/>
                      <w:szCs w:val="18"/>
                      <w14:textFill>
                        <w14:solidFill>
                          <w14:schemeClr w14:val="tx1"/>
                        </w14:solidFill>
                      </w14:textFill>
                    </w:rPr>
                    <w:t>m高的排气筒（DA00</w:t>
                  </w:r>
                  <w:r>
                    <w:rPr>
                      <w:rFonts w:hint="eastAsia"/>
                      <w:color w:val="000000" w:themeColor="text1"/>
                      <w:sz w:val="18"/>
                      <w:szCs w:val="18"/>
                      <w:lang w:val="en-US" w:eastAsia="zh-CN"/>
                      <w14:textFill>
                        <w14:solidFill>
                          <w14:schemeClr w14:val="tx1"/>
                        </w14:solidFill>
                      </w14:textFill>
                    </w:rPr>
                    <w:t>1</w:t>
                  </w:r>
                  <w:r>
                    <w:rPr>
                      <w:rFonts w:hint="eastAsia"/>
                      <w:color w:val="000000" w:themeColor="text1"/>
                      <w:sz w:val="18"/>
                      <w:szCs w:val="18"/>
                      <w14:textFill>
                        <w14:solidFill>
                          <w14:schemeClr w14:val="tx1"/>
                        </w14:solidFill>
                      </w14:textFill>
                    </w:rPr>
                    <w:t>）排放</w:t>
                  </w:r>
                </w:p>
              </w:tc>
            </w:tr>
            <w:tr w14:paraId="2FBB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6" w:type="dxa"/>
                  <w:noWrap w:val="0"/>
                  <w:vAlign w:val="center"/>
                </w:tcPr>
                <w:p w14:paraId="6945BE20">
                  <w:pPr>
                    <w:adjustRightInd w:val="0"/>
                    <w:snapToGrid w:val="0"/>
                    <w:jc w:val="center"/>
                    <w:rPr>
                      <w:rFonts w:hint="default" w:eastAsia="宋体"/>
                      <w:color w:val="000000" w:themeColor="text1"/>
                      <w:sz w:val="18"/>
                      <w:szCs w:val="18"/>
                      <w:vertAlign w:val="subscript"/>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氟化物</w:t>
                  </w:r>
                </w:p>
              </w:tc>
              <w:tc>
                <w:tcPr>
                  <w:tcW w:w="1024" w:type="dxa"/>
                  <w:noWrap w:val="0"/>
                  <w:vAlign w:val="center"/>
                </w:tcPr>
                <w:p w14:paraId="080A5A35">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2.16</w:t>
                  </w:r>
                </w:p>
              </w:tc>
              <w:tc>
                <w:tcPr>
                  <w:tcW w:w="834" w:type="dxa"/>
                  <w:noWrap w:val="0"/>
                  <w:vAlign w:val="center"/>
                </w:tcPr>
                <w:p w14:paraId="3C7C52E4">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0.083</w:t>
                  </w:r>
                </w:p>
              </w:tc>
              <w:tc>
                <w:tcPr>
                  <w:tcW w:w="785" w:type="dxa"/>
                  <w:noWrap w:val="0"/>
                  <w:vAlign w:val="center"/>
                </w:tcPr>
                <w:p w14:paraId="073C4B40">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1.24</w:t>
                  </w:r>
                </w:p>
              </w:tc>
              <w:tc>
                <w:tcPr>
                  <w:tcW w:w="713" w:type="dxa"/>
                  <w:noWrap w:val="0"/>
                  <w:vAlign w:val="center"/>
                </w:tcPr>
                <w:p w14:paraId="5006682A">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100%</w:t>
                  </w:r>
                </w:p>
              </w:tc>
              <w:tc>
                <w:tcPr>
                  <w:tcW w:w="713" w:type="dxa"/>
                  <w:vMerge w:val="continue"/>
                  <w:noWrap w:val="0"/>
                  <w:vAlign w:val="center"/>
                </w:tcPr>
                <w:p w14:paraId="3CB3CE97">
                  <w:pPr>
                    <w:adjustRightInd w:val="0"/>
                    <w:snapToGrid w:val="0"/>
                    <w:jc w:val="center"/>
                    <w:rPr>
                      <w:color w:val="000000" w:themeColor="text1"/>
                      <w:sz w:val="18"/>
                      <w:szCs w:val="18"/>
                      <w14:textFill>
                        <w14:solidFill>
                          <w14:schemeClr w14:val="tx1"/>
                        </w14:solidFill>
                      </w14:textFill>
                    </w:rPr>
                  </w:pPr>
                </w:p>
              </w:tc>
              <w:tc>
                <w:tcPr>
                  <w:tcW w:w="589" w:type="dxa"/>
                  <w:noWrap w:val="0"/>
                  <w:vAlign w:val="center"/>
                </w:tcPr>
                <w:p w14:paraId="3A1FB952">
                  <w:pPr>
                    <w:adjustRightInd w:val="0"/>
                    <w:snapToGrid w:val="0"/>
                    <w:jc w:val="center"/>
                    <w:rPr>
                      <w:rFonts w:hint="default"/>
                      <w:color w:val="000000" w:themeColor="text1"/>
                      <w:sz w:val="18"/>
                      <w:szCs w:val="18"/>
                      <w:lang w:val="en-US"/>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80%</w:t>
                  </w:r>
                </w:p>
              </w:tc>
              <w:tc>
                <w:tcPr>
                  <w:tcW w:w="1006" w:type="dxa"/>
                  <w:noWrap w:val="0"/>
                  <w:vAlign w:val="center"/>
                </w:tcPr>
                <w:p w14:paraId="53B617A9">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1.18</w:t>
                  </w:r>
                </w:p>
              </w:tc>
              <w:tc>
                <w:tcPr>
                  <w:tcW w:w="868" w:type="dxa"/>
                  <w:noWrap w:val="0"/>
                  <w:vAlign w:val="center"/>
                </w:tcPr>
                <w:p w14:paraId="6D7C1C82">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0.045</w:t>
                  </w:r>
                </w:p>
              </w:tc>
              <w:tc>
                <w:tcPr>
                  <w:tcW w:w="934" w:type="dxa"/>
                  <w:noWrap w:val="0"/>
                  <w:vAlign w:val="center"/>
                </w:tcPr>
                <w:p w14:paraId="254CC15D">
                  <w:pPr>
                    <w:adjustRightInd w:val="0"/>
                    <w:snapToGrid w:val="0"/>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0.248</w:t>
                  </w:r>
                </w:p>
              </w:tc>
              <w:tc>
                <w:tcPr>
                  <w:tcW w:w="795" w:type="dxa"/>
                  <w:vMerge w:val="continue"/>
                  <w:noWrap w:val="0"/>
                  <w:vAlign w:val="center"/>
                </w:tcPr>
                <w:p w14:paraId="0353A2F8">
                  <w:pPr>
                    <w:adjustRightInd w:val="0"/>
                    <w:snapToGrid w:val="0"/>
                    <w:jc w:val="center"/>
                    <w:rPr>
                      <w:color w:val="000000" w:themeColor="text1"/>
                      <w:sz w:val="18"/>
                      <w:szCs w:val="18"/>
                      <w14:textFill>
                        <w14:solidFill>
                          <w14:schemeClr w14:val="tx1"/>
                        </w14:solidFill>
                      </w14:textFill>
                    </w:rPr>
                  </w:pPr>
                </w:p>
              </w:tc>
            </w:tr>
          </w:tbl>
          <w:p w14:paraId="3E73EF22">
            <w:pPr>
              <w:pStyle w:val="82"/>
              <w:adjustRightInd w:val="0"/>
              <w:snapToGrid w:val="0"/>
              <w:ind w:firstLine="482" w:firstLineChars="200"/>
              <w:outlineLvl w:val="2"/>
              <w:rPr>
                <w:b/>
                <w:bCs/>
                <w:color w:val="000000" w:themeColor="text1"/>
                <w:szCs w:val="24"/>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（3）</w:t>
            </w:r>
            <w:r>
              <w:rPr>
                <w:rFonts w:hint="eastAsia"/>
                <w:b/>
                <w:bCs/>
                <w:color w:val="000000" w:themeColor="text1"/>
                <w:szCs w:val="24"/>
                <w14:textFill>
                  <w14:solidFill>
                    <w14:schemeClr w14:val="tx1"/>
                  </w14:solidFill>
                </w14:textFill>
              </w:rPr>
              <w:t>防治措施可行性分析</w:t>
            </w:r>
          </w:p>
          <w:p w14:paraId="302621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bCs/>
                <w:color w:val="000000" w:themeColor="text1"/>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根据</w:t>
            </w:r>
            <w:r>
              <w:rPr>
                <w:rFonts w:hint="eastAsia"/>
                <w:bCs/>
                <w:color w:val="000000" w:themeColor="text1"/>
                <w:sz w:val="24"/>
                <w14:textFill>
                  <w14:solidFill>
                    <w14:schemeClr w14:val="tx1"/>
                  </w14:solidFill>
                </w14:textFill>
              </w:rPr>
              <w:t>《排污许可证申请与核发技术规范</w:t>
            </w:r>
            <w:r>
              <w:rPr>
                <w:rFonts w:hint="eastAsia"/>
                <w:bCs/>
                <w:color w:val="000000" w:themeColor="text1"/>
                <w:sz w:val="24"/>
                <w:lang w:val="en-US" w:eastAsia="zh-CN"/>
                <w14:textFill>
                  <w14:solidFill>
                    <w14:schemeClr w14:val="tx1"/>
                  </w14:solidFill>
                </w14:textFill>
              </w:rPr>
              <w:t xml:space="preserve">  </w:t>
            </w:r>
            <w:r>
              <w:rPr>
                <w:rFonts w:hint="eastAsia"/>
                <w:bCs/>
                <w:color w:val="000000" w:themeColor="text1"/>
                <w:sz w:val="24"/>
                <w14:textFill>
                  <w14:solidFill>
                    <w14:schemeClr w14:val="tx1"/>
                  </w14:solidFill>
                </w14:textFill>
              </w:rPr>
              <w:t>陶瓷砖瓦工业》（HJ954</w:t>
            </w:r>
            <w:r>
              <w:rPr>
                <w:rFonts w:hint="eastAsia"/>
                <w:bCs/>
                <w:color w:val="000000" w:themeColor="text1"/>
                <w:sz w:val="24"/>
                <w:lang w:val="en-US" w:eastAsia="zh-CN"/>
                <w14:textFill>
                  <w14:solidFill>
                    <w14:schemeClr w14:val="tx1"/>
                  </w14:solidFill>
                </w14:textFill>
              </w:rPr>
              <w:t>-</w:t>
            </w:r>
            <w:r>
              <w:rPr>
                <w:rFonts w:hint="eastAsia"/>
                <w:bCs/>
                <w:color w:val="000000" w:themeColor="text1"/>
                <w:sz w:val="24"/>
                <w14:textFill>
                  <w14:solidFill>
                    <w14:schemeClr w14:val="tx1"/>
                  </w14:solidFill>
                </w14:textFill>
              </w:rPr>
              <w:t>2018）</w:t>
            </w:r>
            <w:r>
              <w:rPr>
                <w:rFonts w:hint="eastAsia"/>
                <w:bCs/>
                <w:color w:val="000000" w:themeColor="text1"/>
                <w:sz w:val="24"/>
                <w:lang w:eastAsia="zh-CN"/>
                <w14:textFill>
                  <w14:solidFill>
                    <w14:schemeClr w14:val="tx1"/>
                  </w14:solidFill>
                </w14:textFill>
              </w:rPr>
              <w:t>，</w:t>
            </w:r>
            <w:r>
              <w:rPr>
                <w:rFonts w:hint="eastAsia"/>
                <w:bCs/>
                <w:color w:val="000000" w:themeColor="text1"/>
                <w:sz w:val="24"/>
                <w:lang w:val="en-US" w:eastAsia="zh-CN"/>
                <w14:textFill>
                  <w14:solidFill>
                    <w14:schemeClr w14:val="tx1"/>
                  </w14:solidFill>
                </w14:textFill>
              </w:rPr>
              <w:t>砖瓦工业排污单位废气污染防治可行技术如下表所示：</w:t>
            </w:r>
          </w:p>
          <w:p w14:paraId="708ED909">
            <w:pPr>
              <w:bidi w:val="0"/>
              <w:jc w:val="center"/>
              <w:rPr>
                <w:rFonts w:hint="default"/>
                <w:b/>
                <w:bCs/>
                <w:color w:val="000000" w:themeColor="text1"/>
                <w:sz w:val="24"/>
                <w:szCs w:val="24"/>
                <w:vertAlign w:val="baseline"/>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表4-7   项目污染防治措施可行性分析一览表</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1116"/>
              <w:gridCol w:w="1164"/>
              <w:gridCol w:w="2148"/>
              <w:gridCol w:w="1968"/>
              <w:gridCol w:w="1146"/>
            </w:tblGrid>
            <w:tr w14:paraId="4B320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1132" w:type="dxa"/>
                  <w:vAlign w:val="center"/>
                </w:tcPr>
                <w:p w14:paraId="1C93D84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排放口</w:t>
                  </w:r>
                </w:p>
              </w:tc>
              <w:tc>
                <w:tcPr>
                  <w:tcW w:w="1116" w:type="dxa"/>
                  <w:vAlign w:val="center"/>
                </w:tcPr>
                <w:p w14:paraId="0CFC816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主要污染物</w:t>
                  </w:r>
                </w:p>
              </w:tc>
              <w:tc>
                <w:tcPr>
                  <w:tcW w:w="1164" w:type="dxa"/>
                  <w:vAlign w:val="center"/>
                </w:tcPr>
                <w:p w14:paraId="206D712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燃料名称</w:t>
                  </w:r>
                </w:p>
              </w:tc>
              <w:tc>
                <w:tcPr>
                  <w:tcW w:w="2148" w:type="dxa"/>
                  <w:vAlign w:val="center"/>
                </w:tcPr>
                <w:p w14:paraId="52EB190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可行技术</w:t>
                  </w:r>
                </w:p>
              </w:tc>
              <w:tc>
                <w:tcPr>
                  <w:tcW w:w="1968" w:type="dxa"/>
                  <w:vAlign w:val="center"/>
                </w:tcPr>
                <w:p w14:paraId="342071A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本项目污染防治技术</w:t>
                  </w:r>
                </w:p>
              </w:tc>
              <w:tc>
                <w:tcPr>
                  <w:tcW w:w="1146" w:type="dxa"/>
                  <w:vAlign w:val="center"/>
                </w:tcPr>
                <w:p w14:paraId="045B292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是否为可行技术</w:t>
                  </w:r>
                </w:p>
              </w:tc>
            </w:tr>
            <w:tr w14:paraId="1CCC1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2" w:type="dxa"/>
                  <w:vMerge w:val="restart"/>
                  <w:vAlign w:val="center"/>
                </w:tcPr>
                <w:p w14:paraId="5F8F3C6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窑烟囱</w:t>
                  </w:r>
                </w:p>
              </w:tc>
              <w:tc>
                <w:tcPr>
                  <w:tcW w:w="1116" w:type="dxa"/>
                  <w:vAlign w:val="center"/>
                </w:tcPr>
                <w:p w14:paraId="563C40B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颗粒物</w:t>
                  </w:r>
                </w:p>
              </w:tc>
              <w:tc>
                <w:tcPr>
                  <w:tcW w:w="1164" w:type="dxa"/>
                  <w:vMerge w:val="restart"/>
                  <w:vAlign w:val="center"/>
                </w:tcPr>
                <w:p w14:paraId="340EA05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所有燃料</w:t>
                  </w:r>
                </w:p>
              </w:tc>
              <w:tc>
                <w:tcPr>
                  <w:tcW w:w="2148" w:type="dxa"/>
                  <w:vAlign w:val="center"/>
                </w:tcPr>
                <w:p w14:paraId="2AB7EB9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default"/>
                      <w:b w:val="0"/>
                      <w:bCs w:val="0"/>
                      <w:color w:val="000000" w:themeColor="text1"/>
                      <w:sz w:val="21"/>
                      <w:szCs w:val="21"/>
                      <w:vertAlign w:val="baseline"/>
                      <w:lang w:val="en-US" w:eastAsia="zh-CN"/>
                      <w14:textFill>
                        <w14:solidFill>
                          <w14:schemeClr w14:val="tx1"/>
                        </w14:solidFill>
                      </w14:textFill>
                    </w:rPr>
                    <w:t>袋式除尘、电除尘、电袋复合除尘、湿式电除尘等技术，可根据需要采用多级除尘</w:t>
                  </w:r>
                </w:p>
              </w:tc>
              <w:tc>
                <w:tcPr>
                  <w:tcW w:w="1968" w:type="dxa"/>
                  <w:vAlign w:val="center"/>
                </w:tcPr>
                <w:p w14:paraId="33F8A06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高温脉冲袋式除尘器（袋式除尘）</w:t>
                  </w:r>
                </w:p>
              </w:tc>
              <w:tc>
                <w:tcPr>
                  <w:tcW w:w="1146" w:type="dxa"/>
                  <w:vAlign w:val="center"/>
                </w:tcPr>
                <w:p w14:paraId="7BDF552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是</w:t>
                  </w:r>
                </w:p>
              </w:tc>
            </w:tr>
            <w:tr w14:paraId="46251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2" w:type="dxa"/>
                  <w:vMerge w:val="continue"/>
                  <w:vAlign w:val="center"/>
                </w:tcPr>
                <w:p w14:paraId="692A9A5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p>
              </w:tc>
              <w:tc>
                <w:tcPr>
                  <w:tcW w:w="1116" w:type="dxa"/>
                  <w:vAlign w:val="center"/>
                </w:tcPr>
                <w:p w14:paraId="73A612D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二氧化硫</w:t>
                  </w:r>
                </w:p>
              </w:tc>
              <w:tc>
                <w:tcPr>
                  <w:tcW w:w="1164" w:type="dxa"/>
                  <w:vMerge w:val="continue"/>
                  <w:vAlign w:val="center"/>
                </w:tcPr>
                <w:p w14:paraId="4E170A3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p>
              </w:tc>
              <w:tc>
                <w:tcPr>
                  <w:tcW w:w="2148" w:type="dxa"/>
                  <w:vAlign w:val="center"/>
                </w:tcPr>
                <w:p w14:paraId="0E38CCD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default"/>
                      <w:b w:val="0"/>
                      <w:bCs w:val="0"/>
                      <w:color w:val="000000" w:themeColor="text1"/>
                      <w:sz w:val="21"/>
                      <w:szCs w:val="21"/>
                      <w:vertAlign w:val="baseline"/>
                      <w:lang w:val="en-US" w:eastAsia="zh-CN"/>
                      <w14:textFill>
                        <w14:solidFill>
                          <w14:schemeClr w14:val="tx1"/>
                        </w14:solidFill>
                      </w14:textFill>
                    </w:rPr>
                    <w:t>湿法脱硫技术、干法/半干法脱硫技术等</w:t>
                  </w:r>
                </w:p>
              </w:tc>
              <w:tc>
                <w:tcPr>
                  <w:tcW w:w="1968" w:type="dxa"/>
                  <w:vAlign w:val="center"/>
                </w:tcPr>
                <w:p w14:paraId="51685CB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脱硫塔（石灰石石膏法）</w:t>
                  </w:r>
                </w:p>
              </w:tc>
              <w:tc>
                <w:tcPr>
                  <w:tcW w:w="1146" w:type="dxa"/>
                  <w:vAlign w:val="center"/>
                </w:tcPr>
                <w:p w14:paraId="2314191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是</w:t>
                  </w:r>
                </w:p>
              </w:tc>
            </w:tr>
            <w:tr w14:paraId="58C4D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2" w:type="dxa"/>
                  <w:vAlign w:val="center"/>
                </w:tcPr>
                <w:p w14:paraId="603667A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default"/>
                      <w:b w:val="0"/>
                      <w:bCs w:val="0"/>
                      <w:color w:val="000000" w:themeColor="text1"/>
                      <w:sz w:val="21"/>
                      <w:szCs w:val="21"/>
                      <w:vertAlign w:val="baseline"/>
                      <w:lang w:val="en-US" w:eastAsia="zh-CN"/>
                      <w14:textFill>
                        <w14:solidFill>
                          <w14:schemeClr w14:val="tx1"/>
                        </w14:solidFill>
                      </w14:textFill>
                    </w:rPr>
                    <w:t>生产过程中原料制</w:t>
                  </w:r>
                </w:p>
                <w:p w14:paraId="6C124B9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default"/>
                      <w:b w:val="0"/>
                      <w:bCs w:val="0"/>
                      <w:color w:val="000000" w:themeColor="text1"/>
                      <w:sz w:val="21"/>
                      <w:szCs w:val="21"/>
                      <w:vertAlign w:val="baseline"/>
                      <w:lang w:val="en-US" w:eastAsia="zh-CN"/>
                      <w14:textFill>
                        <w14:solidFill>
                          <w14:schemeClr w14:val="tx1"/>
                        </w14:solidFill>
                      </w14:textFill>
                    </w:rPr>
                    <w:t>备、成型、包装机等</w:t>
                  </w:r>
                </w:p>
                <w:p w14:paraId="5695C13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default"/>
                      <w:b w:val="0"/>
                      <w:bCs w:val="0"/>
                      <w:color w:val="000000" w:themeColor="text1"/>
                      <w:sz w:val="21"/>
                      <w:szCs w:val="21"/>
                      <w:vertAlign w:val="baseline"/>
                      <w:lang w:val="en-US" w:eastAsia="zh-CN"/>
                      <w14:textFill>
                        <w14:solidFill>
                          <w14:schemeClr w14:val="tx1"/>
                        </w14:solidFill>
                      </w14:textFill>
                    </w:rPr>
                    <w:t>对应排放口</w:t>
                  </w:r>
                </w:p>
              </w:tc>
              <w:tc>
                <w:tcPr>
                  <w:tcW w:w="1116" w:type="dxa"/>
                  <w:vAlign w:val="center"/>
                </w:tcPr>
                <w:p w14:paraId="394C49D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颗粒物</w:t>
                  </w:r>
                </w:p>
              </w:tc>
              <w:tc>
                <w:tcPr>
                  <w:tcW w:w="1164" w:type="dxa"/>
                  <w:vAlign w:val="center"/>
                </w:tcPr>
                <w:p w14:paraId="2A234AD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w:t>
                  </w:r>
                </w:p>
              </w:tc>
              <w:tc>
                <w:tcPr>
                  <w:tcW w:w="2148" w:type="dxa"/>
                  <w:vAlign w:val="center"/>
                </w:tcPr>
                <w:p w14:paraId="0AEEA14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袋式除尘</w:t>
                  </w:r>
                </w:p>
              </w:tc>
              <w:tc>
                <w:tcPr>
                  <w:tcW w:w="1968" w:type="dxa"/>
                  <w:vAlign w:val="center"/>
                </w:tcPr>
                <w:p w14:paraId="40CABF4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脉冲袋式除尘器</w:t>
                  </w:r>
                </w:p>
              </w:tc>
              <w:tc>
                <w:tcPr>
                  <w:tcW w:w="1146" w:type="dxa"/>
                  <w:vAlign w:val="center"/>
                </w:tcPr>
                <w:p w14:paraId="0DA2FBD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是</w:t>
                  </w:r>
                </w:p>
              </w:tc>
            </w:tr>
          </w:tbl>
          <w:p w14:paraId="13C009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eastAsia="宋体"/>
                <w:color w:val="000000" w:themeColor="text1"/>
                <w:kern w:val="0"/>
                <w:sz w:val="24"/>
                <w:lang w:val="en-US" w:eastAsia="zh-CN" w:bidi="ar"/>
                <w14:textFill>
                  <w14:solidFill>
                    <w14:schemeClr w14:val="tx1"/>
                  </w14:solidFill>
                </w14:textFill>
              </w:rPr>
            </w:pPr>
            <w:r>
              <w:rPr>
                <w:rFonts w:hint="eastAsia"/>
                <w:bCs/>
                <w:color w:val="000000" w:themeColor="text1"/>
                <w:sz w:val="24"/>
                <w:lang w:val="en-US" w:eastAsia="zh-CN"/>
                <w14:textFill>
                  <w14:solidFill>
                    <w14:schemeClr w14:val="tx1"/>
                  </w14:solidFill>
                </w14:textFill>
              </w:rPr>
              <w:t>根据上表对照分析，项目采取的污染防治措施属于</w:t>
            </w:r>
            <w:r>
              <w:rPr>
                <w:rFonts w:hint="eastAsia"/>
                <w:bCs/>
                <w:color w:val="000000" w:themeColor="text1"/>
                <w:sz w:val="24"/>
                <w14:textFill>
                  <w14:solidFill>
                    <w14:schemeClr w14:val="tx1"/>
                  </w14:solidFill>
                </w14:textFill>
              </w:rPr>
              <w:t>《排污许可证申请与核发技术规范</w:t>
            </w:r>
            <w:r>
              <w:rPr>
                <w:rFonts w:hint="eastAsia"/>
                <w:bCs/>
                <w:color w:val="000000" w:themeColor="text1"/>
                <w:sz w:val="24"/>
                <w:lang w:val="en-US" w:eastAsia="zh-CN"/>
                <w14:textFill>
                  <w14:solidFill>
                    <w14:schemeClr w14:val="tx1"/>
                  </w14:solidFill>
                </w14:textFill>
              </w:rPr>
              <w:t xml:space="preserve">  </w:t>
            </w:r>
            <w:r>
              <w:rPr>
                <w:rFonts w:hint="eastAsia"/>
                <w:bCs/>
                <w:color w:val="000000" w:themeColor="text1"/>
                <w:sz w:val="24"/>
                <w14:textFill>
                  <w14:solidFill>
                    <w14:schemeClr w14:val="tx1"/>
                  </w14:solidFill>
                </w14:textFill>
              </w:rPr>
              <w:t>陶瓷砖瓦工业》（HJ954</w:t>
            </w:r>
            <w:r>
              <w:rPr>
                <w:rFonts w:hint="eastAsia"/>
                <w:bCs/>
                <w:color w:val="000000" w:themeColor="text1"/>
                <w:sz w:val="24"/>
                <w:lang w:val="en-US" w:eastAsia="zh-CN"/>
                <w14:textFill>
                  <w14:solidFill>
                    <w14:schemeClr w14:val="tx1"/>
                  </w14:solidFill>
                </w14:textFill>
              </w:rPr>
              <w:t>-</w:t>
            </w:r>
            <w:r>
              <w:rPr>
                <w:rFonts w:hint="eastAsia"/>
                <w:bCs/>
                <w:color w:val="000000" w:themeColor="text1"/>
                <w:sz w:val="24"/>
                <w14:textFill>
                  <w14:solidFill>
                    <w14:schemeClr w14:val="tx1"/>
                  </w14:solidFill>
                </w14:textFill>
              </w:rPr>
              <w:t>2018）</w:t>
            </w:r>
            <w:r>
              <w:rPr>
                <w:rFonts w:hint="eastAsia"/>
                <w:bCs/>
                <w:color w:val="000000" w:themeColor="text1"/>
                <w:sz w:val="24"/>
                <w:lang w:val="en-US" w:eastAsia="zh-CN"/>
                <w14:textFill>
                  <w14:solidFill>
                    <w14:schemeClr w14:val="tx1"/>
                  </w14:solidFill>
                </w14:textFill>
              </w:rPr>
              <w:t>中规定的可行技术。</w:t>
            </w:r>
          </w:p>
          <w:p w14:paraId="3269C275">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b/>
                <w:bCs/>
                <w:color w:val="000000" w:themeColor="text1"/>
                <w:sz w:val="24"/>
                <w:shd w:val="clear" w:color="auto" w:fill="FFFFFF"/>
                <w:lang w:val="en-US" w:eastAsia="zh-CN"/>
                <w14:textFill>
                  <w14:solidFill>
                    <w14:schemeClr w14:val="tx1"/>
                  </w14:solidFill>
                </w14:textFill>
              </w:rPr>
            </w:pPr>
            <w:r>
              <w:rPr>
                <w:rFonts w:hint="eastAsia"/>
                <w:b/>
                <w:bCs/>
                <w:color w:val="000000" w:themeColor="text1"/>
                <w:sz w:val="24"/>
                <w:shd w:val="clear" w:color="auto" w:fill="FFFFFF"/>
                <w:lang w:val="en-US" w:eastAsia="zh-CN"/>
                <w14:textFill>
                  <w14:solidFill>
                    <w14:schemeClr w14:val="tx1"/>
                  </w14:solidFill>
                </w14:textFill>
              </w:rPr>
              <w:t>（4）污染防治设施建设要求</w:t>
            </w:r>
          </w:p>
          <w:p w14:paraId="67F31758">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b/>
                <w:bCs/>
                <w:color w:val="000000" w:themeColor="text1"/>
                <w:sz w:val="24"/>
                <w:shd w:val="clear" w:color="auto" w:fill="FFFFFF"/>
                <w:lang w:val="en-US" w:eastAsia="zh-CN"/>
                <w14:textFill>
                  <w14:solidFill>
                    <w14:schemeClr w14:val="tx1"/>
                  </w14:solidFill>
                </w14:textFill>
              </w:rPr>
            </w:pPr>
            <w:r>
              <w:rPr>
                <w:rFonts w:hint="eastAsia"/>
                <w:b/>
                <w:bCs/>
                <w:color w:val="000000" w:themeColor="text1"/>
                <w:sz w:val="24"/>
                <w:shd w:val="clear" w:color="auto" w:fill="FFFFFF"/>
                <w:lang w:val="en-US" w:eastAsia="zh-CN"/>
                <w14:textFill>
                  <w14:solidFill>
                    <w14:schemeClr w14:val="tx1"/>
                  </w14:solidFill>
                </w14:textFill>
              </w:rPr>
              <w:t>1）袋式除尘器</w:t>
            </w:r>
          </w:p>
          <w:p w14:paraId="1D0D087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b w:val="0"/>
                <w:bCs w:val="0"/>
                <w:color w:val="000000" w:themeColor="text1"/>
                <w:sz w:val="24"/>
                <w:shd w:val="clear" w:color="auto" w:fill="FFFFFF"/>
                <w:lang w:val="en-US" w:eastAsia="zh-CN"/>
                <w14:textFill>
                  <w14:solidFill>
                    <w14:schemeClr w14:val="tx1"/>
                  </w14:solidFill>
                </w14:textFill>
              </w:rPr>
            </w:pPr>
            <w:r>
              <w:rPr>
                <w:rFonts w:hint="eastAsia"/>
                <w:b w:val="0"/>
                <w:bCs w:val="0"/>
                <w:color w:val="000000" w:themeColor="text1"/>
                <w:sz w:val="24"/>
                <w:shd w:val="clear" w:color="auto" w:fill="FFFFFF"/>
                <w:lang w:val="en-US" w:eastAsia="zh-CN"/>
                <w14:textFill>
                  <w14:solidFill>
                    <w14:schemeClr w14:val="tx1"/>
                  </w14:solidFill>
                </w14:textFill>
              </w:rPr>
              <w:t>参照《袋式除尘工程通用技术规范》（HJ 2020-2012），袋式除尘器设置应满足以下要求：</w:t>
            </w:r>
          </w:p>
          <w:p w14:paraId="73E1E27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b w:val="0"/>
                <w:bCs w:val="0"/>
                <w:color w:val="000000" w:themeColor="text1"/>
                <w:sz w:val="24"/>
                <w:shd w:val="clear" w:color="auto" w:fill="FFFFFF"/>
                <w:lang w:val="en-US" w:eastAsia="zh-CN"/>
                <w14:textFill>
                  <w14:solidFill>
                    <w14:schemeClr w14:val="tx1"/>
                  </w14:solidFill>
                </w14:textFill>
              </w:rPr>
            </w:pPr>
            <w:r>
              <w:rPr>
                <w:rFonts w:hint="eastAsia"/>
                <w:b w:val="0"/>
                <w:bCs w:val="0"/>
                <w:color w:val="000000" w:themeColor="text1"/>
                <w:sz w:val="24"/>
                <w:shd w:val="clear" w:color="auto" w:fill="FFFFFF"/>
                <w:lang w:val="en-US" w:eastAsia="zh-CN"/>
                <w14:textFill>
                  <w14:solidFill>
                    <w14:schemeClr w14:val="tx1"/>
                  </w14:solidFill>
                </w14:textFill>
              </w:rPr>
              <w:t>①袋式除尘器不得设置旁路。</w:t>
            </w:r>
          </w:p>
          <w:p w14:paraId="55059F9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b w:val="0"/>
                <w:bCs w:val="0"/>
                <w:color w:val="000000" w:themeColor="text1"/>
                <w:sz w:val="24"/>
                <w:shd w:val="clear" w:color="auto" w:fill="FFFFFF"/>
                <w:lang w:val="en-US" w:eastAsia="zh-CN"/>
                <w14:textFill>
                  <w14:solidFill>
                    <w14:schemeClr w14:val="tx1"/>
                  </w14:solidFill>
                </w14:textFill>
              </w:rPr>
            </w:pPr>
            <w:r>
              <w:rPr>
                <w:rFonts w:hint="eastAsia"/>
                <w:b w:val="0"/>
                <w:bCs w:val="0"/>
                <w:color w:val="000000" w:themeColor="text1"/>
                <w:sz w:val="24"/>
                <w:shd w:val="clear" w:color="auto" w:fill="FFFFFF"/>
                <w:lang w:val="en-US" w:eastAsia="zh-CN"/>
                <w14:textFill>
                  <w14:solidFill>
                    <w14:schemeClr w14:val="tx1"/>
                  </w14:solidFill>
                </w14:textFill>
              </w:rPr>
              <w:t>②袋式除尘工艺宜采用负压系统。</w:t>
            </w:r>
          </w:p>
          <w:p w14:paraId="7CA9E26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b w:val="0"/>
                <w:bCs w:val="0"/>
                <w:color w:val="000000" w:themeColor="text1"/>
                <w:sz w:val="24"/>
                <w:shd w:val="clear" w:color="auto" w:fill="FFFFFF"/>
                <w:lang w:val="en-US" w:eastAsia="zh-CN"/>
                <w14:textFill>
                  <w14:solidFill>
                    <w14:schemeClr w14:val="tx1"/>
                  </w14:solidFill>
                </w14:textFill>
              </w:rPr>
            </w:pPr>
            <w:r>
              <w:rPr>
                <w:rFonts w:hint="eastAsia"/>
                <w:b w:val="0"/>
                <w:bCs w:val="0"/>
                <w:color w:val="000000" w:themeColor="text1"/>
                <w:sz w:val="24"/>
                <w:shd w:val="clear" w:color="auto" w:fill="FFFFFF"/>
                <w:lang w:val="en-US" w:eastAsia="zh-CN"/>
                <w14:textFill>
                  <w14:solidFill>
                    <w14:schemeClr w14:val="tx1"/>
                  </w14:solidFill>
                </w14:textFill>
              </w:rPr>
              <w:t>③应对无组织排放的烟（粉）尘污染源设置集气罩。集气罩的形式和设置应满足生产操作和检修的要求。</w:t>
            </w:r>
          </w:p>
          <w:p w14:paraId="5E229ED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b w:val="0"/>
                <w:bCs w:val="0"/>
                <w:color w:val="000000" w:themeColor="text1"/>
                <w:sz w:val="24"/>
                <w:shd w:val="clear" w:color="auto" w:fill="FFFFFF"/>
                <w:lang w:val="en-US" w:eastAsia="zh-CN"/>
                <w14:textFill>
                  <w14:solidFill>
                    <w14:schemeClr w14:val="tx1"/>
                  </w14:solidFill>
                </w14:textFill>
              </w:rPr>
            </w:pPr>
            <w:r>
              <w:rPr>
                <w:rFonts w:hint="eastAsia"/>
                <w:b w:val="0"/>
                <w:bCs w:val="0"/>
                <w:color w:val="000000" w:themeColor="text1"/>
                <w:sz w:val="24"/>
                <w:shd w:val="clear" w:color="auto" w:fill="FFFFFF"/>
                <w:lang w:val="en-US" w:eastAsia="zh-CN"/>
                <w14:textFill>
                  <w14:solidFill>
                    <w14:schemeClr w14:val="tx1"/>
                  </w14:solidFill>
                </w14:textFill>
              </w:rPr>
              <w:t>④集气罩的排风口不宜靠近敞开的孔洞（如操作孔、观察孔、出料口等），以免吸入大量空气或物料。集气罩设计时应充分考虑气流组织，避免含尘气流通过人的呼吸区。集气罩设计时应考虑穿堂风等干扰气流对排烟效果的影响。集气罩的排风量应按照防止粉尘或有害气体扩散到环境空间的原则确定。排风量为工况风量。</w:t>
            </w:r>
          </w:p>
          <w:p w14:paraId="6C6256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b w:val="0"/>
                <w:bCs w:val="0"/>
                <w:color w:val="000000" w:themeColor="text1"/>
                <w:sz w:val="24"/>
                <w:shd w:val="clear" w:color="auto" w:fill="FFFFFF"/>
                <w:lang w:val="en-US" w:eastAsia="zh-CN"/>
                <w14:textFill>
                  <w14:solidFill>
                    <w14:schemeClr w14:val="tx1"/>
                  </w14:solidFill>
                </w14:textFill>
              </w:rPr>
            </w:pPr>
            <w:r>
              <w:rPr>
                <w:rFonts w:hint="eastAsia"/>
                <w:b w:val="0"/>
                <w:bCs w:val="0"/>
                <w:color w:val="000000" w:themeColor="text1"/>
                <w:sz w:val="24"/>
                <w:shd w:val="clear" w:color="auto" w:fill="FFFFFF"/>
                <w:lang w:val="en-US" w:eastAsia="zh-CN"/>
                <w14:textFill>
                  <w14:solidFill>
                    <w14:schemeClr w14:val="tx1"/>
                  </w14:solidFill>
                </w14:textFill>
              </w:rPr>
              <w:t>⑤在正常工况和操作条件下，滤袋设计使用寿命不小于2年。</w:t>
            </w:r>
          </w:p>
          <w:p w14:paraId="0B6AE1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b w:val="0"/>
                <w:bCs w:val="0"/>
                <w:color w:val="000000" w:themeColor="text1"/>
                <w:sz w:val="24"/>
                <w:shd w:val="clear" w:color="auto" w:fill="FFFFFF"/>
                <w:lang w:val="en-US" w:eastAsia="zh-CN"/>
                <w14:textFill>
                  <w14:solidFill>
                    <w14:schemeClr w14:val="tx1"/>
                  </w14:solidFill>
                </w14:textFill>
              </w:rPr>
            </w:pPr>
            <w:r>
              <w:rPr>
                <w:rFonts w:hint="eastAsia"/>
                <w:b w:val="0"/>
                <w:bCs w:val="0"/>
                <w:color w:val="000000" w:themeColor="text1"/>
                <w:sz w:val="24"/>
                <w:shd w:val="clear" w:color="auto" w:fill="FFFFFF"/>
                <w:lang w:val="en-US" w:eastAsia="zh-CN"/>
                <w14:textFill>
                  <w14:solidFill>
                    <w14:schemeClr w14:val="tx1"/>
                  </w14:solidFill>
                </w14:textFill>
              </w:rPr>
              <w:t>⑥除尘系统应实现自动控制。自动控制内容为：a）除尘器启动、停机联锁控制；b）除尘器清灰自动控制；c）除尘系统阀门控制；d）卸灰、输灰装置控制；e）引风机启动、停机程序控制（火电厂除外）；f）除尘器运行超温报警与自动保护等。</w:t>
            </w:r>
          </w:p>
          <w:p w14:paraId="2FD89B4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b/>
                <w:bCs/>
                <w:color w:val="000000" w:themeColor="text1"/>
                <w:sz w:val="24"/>
                <w:shd w:val="clear" w:color="auto" w:fill="FFFFFF"/>
                <w:lang w:val="en-US" w:eastAsia="zh-CN"/>
                <w14:textFill>
                  <w14:solidFill>
                    <w14:schemeClr w14:val="tx1"/>
                  </w14:solidFill>
                </w14:textFill>
              </w:rPr>
            </w:pPr>
            <w:r>
              <w:rPr>
                <w:rFonts w:hint="eastAsia"/>
                <w:b/>
                <w:bCs/>
                <w:color w:val="000000" w:themeColor="text1"/>
                <w:sz w:val="24"/>
                <w:shd w:val="clear" w:color="auto" w:fill="FFFFFF"/>
                <w:lang w:val="en-US" w:eastAsia="zh-CN"/>
                <w14:textFill>
                  <w14:solidFill>
                    <w14:schemeClr w14:val="tx1"/>
                  </w14:solidFill>
                </w14:textFill>
              </w:rPr>
              <w:t>2）脱硫塔</w:t>
            </w:r>
          </w:p>
          <w:p w14:paraId="2130E18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b w:val="0"/>
                <w:bCs w:val="0"/>
                <w:color w:val="000000" w:themeColor="text1"/>
                <w:sz w:val="24"/>
                <w:shd w:val="clear" w:color="auto" w:fill="FFFFFF"/>
                <w:lang w:val="en-US" w:eastAsia="zh-CN"/>
                <w14:textFill>
                  <w14:solidFill>
                    <w14:schemeClr w14:val="tx1"/>
                  </w14:solidFill>
                </w14:textFill>
              </w:rPr>
            </w:pPr>
            <w:r>
              <w:rPr>
                <w:rFonts w:hint="eastAsia"/>
                <w:b w:val="0"/>
                <w:bCs w:val="0"/>
                <w:color w:val="000000" w:themeColor="text1"/>
                <w:sz w:val="24"/>
                <w:shd w:val="clear" w:color="auto" w:fill="FFFFFF"/>
                <w:lang w:val="en-US" w:eastAsia="zh-CN"/>
                <w14:textFill>
                  <w14:solidFill>
                    <w14:schemeClr w14:val="tx1"/>
                  </w14:solidFill>
                </w14:textFill>
              </w:rPr>
              <w:t>参照《石灰石/石灰－石膏湿法烟气脱硫工程通用技术规范》（HJ-2018），项目脱硫塔设施应满足以下要求：</w:t>
            </w:r>
          </w:p>
          <w:p w14:paraId="5E79217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b w:val="0"/>
                <w:bCs w:val="0"/>
                <w:color w:val="000000" w:themeColor="text1"/>
                <w:sz w:val="24"/>
                <w:shd w:val="clear" w:color="auto" w:fill="FFFFFF"/>
                <w:lang w:val="en-US" w:eastAsia="zh-CN"/>
                <w14:textFill>
                  <w14:solidFill>
                    <w14:schemeClr w14:val="tx1"/>
                  </w14:solidFill>
                </w14:textFill>
              </w:rPr>
            </w:pPr>
            <w:r>
              <w:rPr>
                <w:rFonts w:hint="eastAsia"/>
                <w:b w:val="0"/>
                <w:bCs w:val="0"/>
                <w:color w:val="000000" w:themeColor="text1"/>
                <w:sz w:val="24"/>
                <w:shd w:val="clear" w:color="auto" w:fill="FFFFFF"/>
                <w:lang w:val="en-US" w:eastAsia="zh-CN"/>
                <w14:textFill>
                  <w14:solidFill>
                    <w14:schemeClr w14:val="tx1"/>
                  </w14:solidFill>
                </w14:textFill>
              </w:rPr>
              <w:t>①脱硫设施应安装脱硫剂自动投加设备，并实现脱硫剂喷入量与生产负荷、浆液pH值、烟气二氧化硫（SO</w:t>
            </w:r>
            <w:r>
              <w:rPr>
                <w:rFonts w:hint="eastAsia"/>
                <w:b w:val="0"/>
                <w:bCs w:val="0"/>
                <w:color w:val="000000" w:themeColor="text1"/>
                <w:sz w:val="24"/>
                <w:shd w:val="clear" w:color="auto" w:fill="FFFFFF"/>
                <w:vertAlign w:val="subscript"/>
                <w:lang w:val="en-US" w:eastAsia="zh-CN"/>
                <w14:textFill>
                  <w14:solidFill>
                    <w14:schemeClr w14:val="tx1"/>
                  </w14:solidFill>
                </w14:textFill>
              </w:rPr>
              <w:t>2</w:t>
            </w:r>
            <w:r>
              <w:rPr>
                <w:rFonts w:hint="eastAsia"/>
                <w:b w:val="0"/>
                <w:bCs w:val="0"/>
                <w:color w:val="000000" w:themeColor="text1"/>
                <w:sz w:val="24"/>
                <w:shd w:val="clear" w:color="auto" w:fill="FFFFFF"/>
                <w:lang w:val="en-US" w:eastAsia="zh-CN"/>
                <w14:textFill>
                  <w14:solidFill>
                    <w14:schemeClr w14:val="tx1"/>
                  </w14:solidFill>
                </w14:textFill>
              </w:rPr>
              <w:t>）浓度等关键参数联动。湿法脱硫设施应安装除雾器、pH计、氧化风机、脱硫废液及副产物处理系统。石灰/石灰石-石膏脱硫还应配备浆液密度计。</w:t>
            </w:r>
          </w:p>
          <w:p w14:paraId="1321FC6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b w:val="0"/>
                <w:bCs w:val="0"/>
                <w:color w:val="000000" w:themeColor="text1"/>
                <w:sz w:val="24"/>
                <w:shd w:val="clear" w:color="auto" w:fill="FFFFFF"/>
                <w:lang w:val="en-US" w:eastAsia="zh-CN"/>
                <w14:textFill>
                  <w14:solidFill>
                    <w14:schemeClr w14:val="tx1"/>
                  </w14:solidFill>
                </w14:textFill>
              </w:rPr>
            </w:pPr>
            <w:r>
              <w:rPr>
                <w:rFonts w:hint="eastAsia"/>
                <w:b w:val="0"/>
                <w:bCs w:val="0"/>
                <w:color w:val="000000" w:themeColor="text1"/>
                <w:sz w:val="24"/>
                <w:shd w:val="clear" w:color="auto" w:fill="FFFFFF"/>
                <w:lang w:val="en-US" w:eastAsia="zh-CN"/>
                <w14:textFill>
                  <w14:solidFill>
                    <w14:schemeClr w14:val="tx1"/>
                  </w14:solidFill>
                </w14:textFill>
              </w:rPr>
              <w:t>②采用石灰石为吸收剂时，吸收塔浆液的pH值宜控制在5.2~5.8之间。采用石灰为吸收剂时，吸收塔浆液的pH值宜控制在5.2~6.2之间。</w:t>
            </w:r>
          </w:p>
          <w:p w14:paraId="76F1A28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b w:val="0"/>
                <w:bCs w:val="0"/>
                <w:color w:val="000000" w:themeColor="text1"/>
                <w:sz w:val="24"/>
                <w:shd w:val="clear" w:color="auto" w:fill="FFFFFF"/>
                <w:lang w:val="en-US" w:eastAsia="zh-CN"/>
                <w14:textFill>
                  <w14:solidFill>
                    <w14:schemeClr w14:val="tx1"/>
                  </w14:solidFill>
                </w14:textFill>
              </w:rPr>
            </w:pPr>
            <w:r>
              <w:rPr>
                <w:rFonts w:hint="eastAsia"/>
                <w:b w:val="0"/>
                <w:bCs w:val="0"/>
                <w:color w:val="000000" w:themeColor="text1"/>
                <w:sz w:val="24"/>
                <w:shd w:val="clear" w:color="auto" w:fill="FFFFFF"/>
                <w:lang w:val="en-US" w:eastAsia="zh-CN"/>
                <w14:textFill>
                  <w14:solidFill>
                    <w14:schemeClr w14:val="tx1"/>
                  </w14:solidFill>
                </w14:textFill>
              </w:rPr>
              <w:t>③吸收系统钙硫比（Ca/S）不宜超过1.03。</w:t>
            </w:r>
          </w:p>
          <w:p w14:paraId="072861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b w:val="0"/>
                <w:bCs w:val="0"/>
                <w:color w:val="000000" w:themeColor="text1"/>
                <w:sz w:val="24"/>
                <w:shd w:val="clear" w:color="auto" w:fill="FFFFFF"/>
                <w:lang w:val="en-US" w:eastAsia="zh-CN"/>
                <w14:textFill>
                  <w14:solidFill>
                    <w14:schemeClr w14:val="tx1"/>
                  </w14:solidFill>
                </w14:textFill>
              </w:rPr>
            </w:pPr>
            <w:r>
              <w:rPr>
                <w:rFonts w:hint="eastAsia"/>
                <w:b w:val="0"/>
                <w:bCs w:val="0"/>
                <w:color w:val="000000" w:themeColor="text1"/>
                <w:sz w:val="24"/>
                <w:shd w:val="clear" w:color="auto" w:fill="FFFFFF"/>
                <w:lang w:val="en-US" w:eastAsia="zh-CN"/>
                <w14:textFill>
                  <w14:solidFill>
                    <w14:schemeClr w14:val="tx1"/>
                  </w14:solidFill>
                </w14:textFill>
              </w:rPr>
              <w:t>④脱硫废水宜纳入全厂废水统一规划管理；单独设置脱硫废水处理系统时一般采用中和、絮凝、沉降、氧化、澄清等工艺去除废水中的悬浮物、COD等污染物。</w:t>
            </w:r>
          </w:p>
          <w:p w14:paraId="280DA6F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b/>
                <w:bCs/>
                <w:color w:val="000000" w:themeColor="text1"/>
                <w:sz w:val="24"/>
                <w:shd w:val="clear" w:color="auto" w:fill="FFFFFF"/>
                <w:lang w:val="en-US" w:eastAsia="zh-CN"/>
                <w14:textFill>
                  <w14:solidFill>
                    <w14:schemeClr w14:val="tx1"/>
                  </w14:solidFill>
                </w14:textFill>
              </w:rPr>
            </w:pPr>
            <w:r>
              <w:rPr>
                <w:rFonts w:hint="eastAsia"/>
                <w:b/>
                <w:bCs/>
                <w:color w:val="000000" w:themeColor="text1"/>
                <w:sz w:val="24"/>
                <w:shd w:val="clear" w:color="auto" w:fill="FFFFFF"/>
                <w:lang w:val="en-US" w:eastAsia="zh-CN"/>
                <w14:textFill>
                  <w14:solidFill>
                    <w14:schemeClr w14:val="tx1"/>
                  </w14:solidFill>
                </w14:textFill>
              </w:rPr>
              <w:t>（5）项目改扩建后有组织产排情况及达标性分析</w:t>
            </w:r>
          </w:p>
          <w:p w14:paraId="5BD76865">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eastAsia="宋体"/>
                <w:b/>
                <w:bCs/>
                <w:color w:val="000000" w:themeColor="text1"/>
                <w:sz w:val="24"/>
                <w:szCs w:val="24"/>
                <w:lang w:val="en-US" w:eastAsia="zh-CN"/>
                <w14:textFill>
                  <w14:solidFill>
                    <w14:schemeClr w14:val="tx1"/>
                  </w14:solidFill>
                </w14:textFill>
              </w:rPr>
            </w:pPr>
            <w:r>
              <w:rPr>
                <w:rFonts w:hint="eastAsia" w:eastAsia="宋体"/>
                <w:b/>
                <w:bCs/>
                <w:color w:val="000000" w:themeColor="text1"/>
                <w:sz w:val="24"/>
                <w:szCs w:val="24"/>
                <w:lang w:val="en-US" w:eastAsia="zh-CN"/>
                <w14:textFill>
                  <w14:solidFill>
                    <w14:schemeClr w14:val="tx1"/>
                  </w14:solidFill>
                </w14:textFill>
              </w:rPr>
              <w:t>①</w:t>
            </w:r>
            <w:r>
              <w:rPr>
                <w:rFonts w:hint="eastAsia"/>
                <w:b/>
                <w:bCs/>
                <w:color w:val="000000" w:themeColor="text1"/>
                <w:sz w:val="24"/>
                <w:szCs w:val="24"/>
                <w:lang w:val="en-US" w:eastAsia="zh-CN"/>
                <w14:textFill>
                  <w14:solidFill>
                    <w14:schemeClr w14:val="tx1"/>
                  </w14:solidFill>
                </w14:textFill>
              </w:rPr>
              <w:t>产排情况</w:t>
            </w:r>
          </w:p>
          <w:p w14:paraId="47D8FB13">
            <w:pPr>
              <w:keepNext w:val="0"/>
              <w:keepLines w:val="0"/>
              <w:pageBreakBefore w:val="0"/>
              <w:widowControl w:val="0"/>
              <w:kinsoku/>
              <w:wordWrap/>
              <w:overflowPunct/>
              <w:topLinePunct w:val="0"/>
              <w:autoSpaceDE/>
              <w:autoSpaceDN/>
              <w:bidi w:val="0"/>
              <w:adjustRightInd/>
              <w:snapToGrid/>
              <w:spacing w:line="276" w:lineRule="auto"/>
              <w:jc w:val="center"/>
              <w:textAlignment w:val="auto"/>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表4-</w:t>
            </w:r>
            <w:r>
              <w:rPr>
                <w:rFonts w:hint="eastAsia"/>
                <w:b/>
                <w:bCs/>
                <w:color w:val="000000" w:themeColor="text1"/>
                <w:sz w:val="24"/>
                <w:szCs w:val="24"/>
                <w:lang w:val="en-US" w:eastAsia="zh-CN"/>
                <w14:textFill>
                  <w14:solidFill>
                    <w14:schemeClr w14:val="tx1"/>
                  </w14:solidFill>
                </w14:textFill>
              </w:rPr>
              <w:t>8</w:t>
            </w:r>
            <w:r>
              <w:rPr>
                <w:rFonts w:hint="eastAsia"/>
                <w:b/>
                <w:bCs/>
                <w:color w:val="000000" w:themeColor="text1"/>
                <w:sz w:val="24"/>
                <w:szCs w:val="24"/>
                <w14:textFill>
                  <w14:solidFill>
                    <w14:schemeClr w14:val="tx1"/>
                  </w14:solidFill>
                </w14:textFill>
              </w:rPr>
              <w:t xml:space="preserve">  改建完成后</w:t>
            </w:r>
            <w:r>
              <w:rPr>
                <w:rFonts w:hint="eastAsia"/>
                <w:b/>
                <w:bCs/>
                <w:color w:val="000000" w:themeColor="text1"/>
                <w:sz w:val="24"/>
                <w:szCs w:val="24"/>
                <w:lang w:val="en-US" w:eastAsia="zh-CN"/>
                <w14:textFill>
                  <w14:solidFill>
                    <w14:schemeClr w14:val="tx1"/>
                  </w14:solidFill>
                </w14:textFill>
              </w:rPr>
              <w:t>有组织废气</w:t>
            </w:r>
            <w:r>
              <w:rPr>
                <w:rFonts w:hint="eastAsia"/>
                <w:b/>
                <w:bCs/>
                <w:color w:val="000000" w:themeColor="text1"/>
                <w:sz w:val="24"/>
                <w:szCs w:val="24"/>
                <w14:textFill>
                  <w14:solidFill>
                    <w14:schemeClr w14:val="tx1"/>
                  </w14:solidFill>
                </w14:textFill>
              </w:rPr>
              <w:t>污染物产排情况一览表</w:t>
            </w:r>
          </w:p>
          <w:tbl>
            <w:tblPr>
              <w:tblStyle w:val="28"/>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2"/>
              <w:gridCol w:w="1224"/>
              <w:gridCol w:w="1224"/>
              <w:gridCol w:w="1224"/>
              <w:gridCol w:w="1224"/>
              <w:gridCol w:w="1226"/>
            </w:tblGrid>
            <w:tr w14:paraId="28E0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71" w:type="pct"/>
                  <w:gridSpan w:val="2"/>
                  <w:noWrap w:val="0"/>
                  <w:vAlign w:val="center"/>
                </w:tcPr>
                <w:p w14:paraId="48E1C09B">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产排污节点</w:t>
                  </w:r>
                </w:p>
              </w:tc>
              <w:tc>
                <w:tcPr>
                  <w:tcW w:w="705" w:type="pct"/>
                  <w:noWrap w:val="0"/>
                  <w:vAlign w:val="center"/>
                </w:tcPr>
                <w:p w14:paraId="117D0DD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原料制备</w:t>
                  </w:r>
                </w:p>
              </w:tc>
              <w:tc>
                <w:tcPr>
                  <w:tcW w:w="2823" w:type="pct"/>
                  <w:gridSpan w:val="4"/>
                  <w:noWrap w:val="0"/>
                  <w:vAlign w:val="center"/>
                </w:tcPr>
                <w:p w14:paraId="638F4E8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窑烧成</w:t>
                  </w:r>
                </w:p>
              </w:tc>
            </w:tr>
            <w:tr w14:paraId="1B5CB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71" w:type="pct"/>
                  <w:gridSpan w:val="2"/>
                  <w:noWrap w:val="0"/>
                  <w:vAlign w:val="center"/>
                </w:tcPr>
                <w:p w14:paraId="296369C9">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污染物种类</w:t>
                  </w:r>
                </w:p>
              </w:tc>
              <w:tc>
                <w:tcPr>
                  <w:tcW w:w="705" w:type="pct"/>
                  <w:noWrap w:val="0"/>
                  <w:vAlign w:val="center"/>
                </w:tcPr>
                <w:p w14:paraId="678FDCF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颗粒物</w:t>
                  </w:r>
                </w:p>
              </w:tc>
              <w:tc>
                <w:tcPr>
                  <w:tcW w:w="705" w:type="pct"/>
                  <w:noWrap w:val="0"/>
                  <w:vAlign w:val="center"/>
                </w:tcPr>
                <w:p w14:paraId="4A0A3D90">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颗粒物</w:t>
                  </w:r>
                </w:p>
              </w:tc>
              <w:tc>
                <w:tcPr>
                  <w:tcW w:w="705" w:type="pct"/>
                  <w:noWrap w:val="0"/>
                  <w:vAlign w:val="center"/>
                </w:tcPr>
                <w:p w14:paraId="2CA7870F">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SO</w:t>
                  </w:r>
                  <w:r>
                    <w:rPr>
                      <w:color w:val="000000" w:themeColor="text1"/>
                      <w:vertAlign w:val="subscript"/>
                      <w14:textFill>
                        <w14:solidFill>
                          <w14:schemeClr w14:val="tx1"/>
                        </w14:solidFill>
                      </w14:textFill>
                    </w:rPr>
                    <w:t>2</w:t>
                  </w:r>
                </w:p>
              </w:tc>
              <w:tc>
                <w:tcPr>
                  <w:tcW w:w="705" w:type="pct"/>
                  <w:noWrap w:val="0"/>
                  <w:vAlign w:val="center"/>
                </w:tcPr>
                <w:p w14:paraId="72D79798">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NOx</w:t>
                  </w:r>
                </w:p>
              </w:tc>
              <w:tc>
                <w:tcPr>
                  <w:tcW w:w="706" w:type="pct"/>
                  <w:noWrap w:val="0"/>
                  <w:vAlign w:val="center"/>
                </w:tcPr>
                <w:p w14:paraId="7B8F63E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氟及其化合物（以F计）</w:t>
                  </w:r>
                </w:p>
              </w:tc>
            </w:tr>
            <w:tr w14:paraId="00D44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71" w:type="pct"/>
                  <w:gridSpan w:val="2"/>
                  <w:noWrap w:val="0"/>
                  <w:vAlign w:val="center"/>
                </w:tcPr>
                <w:p w14:paraId="06DE2399">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产生量（t/a）</w:t>
                  </w:r>
                </w:p>
              </w:tc>
              <w:tc>
                <w:tcPr>
                  <w:tcW w:w="705" w:type="pct"/>
                  <w:noWrap w:val="0"/>
                  <w:vAlign w:val="center"/>
                </w:tcPr>
                <w:p w14:paraId="6751B57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5.34</w:t>
                  </w:r>
                </w:p>
              </w:tc>
              <w:tc>
                <w:tcPr>
                  <w:tcW w:w="705" w:type="pct"/>
                  <w:noWrap w:val="0"/>
                  <w:vAlign w:val="center"/>
                </w:tcPr>
                <w:p w14:paraId="4C5E913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26.38</w:t>
                  </w:r>
                </w:p>
              </w:tc>
              <w:tc>
                <w:tcPr>
                  <w:tcW w:w="705" w:type="pct"/>
                  <w:noWrap w:val="0"/>
                  <w:vAlign w:val="center"/>
                </w:tcPr>
                <w:p w14:paraId="5E63003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72.9</w:t>
                  </w:r>
                </w:p>
              </w:tc>
              <w:tc>
                <w:tcPr>
                  <w:tcW w:w="705" w:type="pct"/>
                  <w:noWrap w:val="0"/>
                  <w:vAlign w:val="center"/>
                </w:tcPr>
                <w:p w14:paraId="7AEB2F2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14.14</w:t>
                  </w:r>
                </w:p>
              </w:tc>
              <w:tc>
                <w:tcPr>
                  <w:tcW w:w="706" w:type="pct"/>
                  <w:noWrap w:val="0"/>
                  <w:vAlign w:val="center"/>
                </w:tcPr>
                <w:p w14:paraId="1FD4465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1.24</w:t>
                  </w:r>
                </w:p>
              </w:tc>
            </w:tr>
            <w:tr w14:paraId="1E220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71" w:type="pct"/>
                  <w:gridSpan w:val="2"/>
                  <w:noWrap w:val="0"/>
                  <w:vAlign w:val="center"/>
                </w:tcPr>
                <w:p w14:paraId="59FBEA24">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产生速率（kg/h）</w:t>
                  </w:r>
                </w:p>
              </w:tc>
              <w:tc>
                <w:tcPr>
                  <w:tcW w:w="705" w:type="pct"/>
                  <w:noWrap w:val="0"/>
                  <w:vAlign w:val="center"/>
                </w:tcPr>
                <w:p w14:paraId="0A00DE2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1.112</w:t>
                  </w:r>
                </w:p>
              </w:tc>
              <w:tc>
                <w:tcPr>
                  <w:tcW w:w="705" w:type="pct"/>
                  <w:noWrap w:val="0"/>
                  <w:vAlign w:val="center"/>
                </w:tcPr>
                <w:p w14:paraId="7251AB1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4.78</w:t>
                  </w:r>
                </w:p>
              </w:tc>
              <w:tc>
                <w:tcPr>
                  <w:tcW w:w="705" w:type="pct"/>
                  <w:noWrap w:val="0"/>
                  <w:vAlign w:val="center"/>
                </w:tcPr>
                <w:p w14:paraId="75F46AB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13.21</w:t>
                  </w:r>
                </w:p>
              </w:tc>
              <w:tc>
                <w:tcPr>
                  <w:tcW w:w="705" w:type="pct"/>
                  <w:noWrap w:val="0"/>
                  <w:vAlign w:val="center"/>
                </w:tcPr>
                <w:p w14:paraId="310B6D1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2.56</w:t>
                  </w:r>
                </w:p>
              </w:tc>
              <w:tc>
                <w:tcPr>
                  <w:tcW w:w="706" w:type="pct"/>
                  <w:noWrap w:val="0"/>
                  <w:vAlign w:val="center"/>
                </w:tcPr>
                <w:p w14:paraId="1A869BF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0.083</w:t>
                  </w:r>
                </w:p>
              </w:tc>
            </w:tr>
            <w:tr w14:paraId="020C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71" w:type="pct"/>
                  <w:gridSpan w:val="2"/>
                  <w:noWrap w:val="0"/>
                  <w:vAlign w:val="center"/>
                </w:tcPr>
                <w:p w14:paraId="51A69FE3">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废气量（万Nm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w:t>
                  </w:r>
                </w:p>
              </w:tc>
              <w:tc>
                <w:tcPr>
                  <w:tcW w:w="705" w:type="pct"/>
                  <w:noWrap w:val="0"/>
                  <w:vAlign w:val="center"/>
                </w:tcPr>
                <w:p w14:paraId="4F1F69C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3597.86</w:t>
                  </w:r>
                </w:p>
              </w:tc>
              <w:tc>
                <w:tcPr>
                  <w:tcW w:w="2823" w:type="pct"/>
                  <w:gridSpan w:val="4"/>
                  <w:noWrap w:val="0"/>
                  <w:vAlign w:val="center"/>
                </w:tcPr>
                <w:p w14:paraId="2BA0221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21096.74</w:t>
                  </w:r>
                </w:p>
              </w:tc>
            </w:tr>
            <w:tr w14:paraId="4502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71" w:type="pct"/>
                  <w:gridSpan w:val="2"/>
                  <w:noWrap w:val="0"/>
                  <w:vAlign w:val="center"/>
                </w:tcPr>
                <w:p w14:paraId="74EF511C">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产生浓度（mg/m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w:t>
                  </w:r>
                </w:p>
              </w:tc>
              <w:tc>
                <w:tcPr>
                  <w:tcW w:w="705" w:type="pct"/>
                  <w:noWrap w:val="0"/>
                  <w:vAlign w:val="center"/>
                </w:tcPr>
                <w:p w14:paraId="59E0850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148.4</w:t>
                  </w:r>
                </w:p>
              </w:tc>
              <w:tc>
                <w:tcPr>
                  <w:tcW w:w="705" w:type="pct"/>
                  <w:noWrap w:val="0"/>
                  <w:vAlign w:val="center"/>
                </w:tcPr>
                <w:p w14:paraId="6632FD0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125.0</w:t>
                  </w:r>
                </w:p>
              </w:tc>
              <w:tc>
                <w:tcPr>
                  <w:tcW w:w="705" w:type="pct"/>
                  <w:noWrap w:val="0"/>
                  <w:vAlign w:val="center"/>
                </w:tcPr>
                <w:p w14:paraId="05EAD85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345.55</w:t>
                  </w:r>
                </w:p>
              </w:tc>
              <w:tc>
                <w:tcPr>
                  <w:tcW w:w="705" w:type="pct"/>
                  <w:noWrap w:val="0"/>
                  <w:vAlign w:val="center"/>
                </w:tcPr>
                <w:p w14:paraId="107A21B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67.02</w:t>
                  </w:r>
                </w:p>
              </w:tc>
              <w:tc>
                <w:tcPr>
                  <w:tcW w:w="706" w:type="pct"/>
                  <w:noWrap w:val="0"/>
                  <w:vAlign w:val="center"/>
                </w:tcPr>
                <w:p w14:paraId="3AA0D46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2.16</w:t>
                  </w:r>
                </w:p>
              </w:tc>
            </w:tr>
            <w:tr w14:paraId="12FE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71" w:type="pct"/>
                  <w:gridSpan w:val="2"/>
                  <w:noWrap w:val="0"/>
                  <w:vAlign w:val="center"/>
                </w:tcPr>
                <w:p w14:paraId="063C8E2B">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排放形式</w:t>
                  </w:r>
                </w:p>
              </w:tc>
              <w:tc>
                <w:tcPr>
                  <w:tcW w:w="705" w:type="pct"/>
                  <w:noWrap w:val="0"/>
                  <w:vAlign w:val="center"/>
                </w:tcPr>
                <w:p w14:paraId="7D44641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有组织</w:t>
                  </w:r>
                </w:p>
              </w:tc>
              <w:tc>
                <w:tcPr>
                  <w:tcW w:w="2823" w:type="pct"/>
                  <w:gridSpan w:val="4"/>
                  <w:noWrap w:val="0"/>
                  <w:vAlign w:val="center"/>
                </w:tcPr>
                <w:p w14:paraId="05C46461">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有组织</w:t>
                  </w:r>
                </w:p>
              </w:tc>
            </w:tr>
            <w:tr w14:paraId="60491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91" w:type="pct"/>
                  <w:vMerge w:val="restart"/>
                  <w:noWrap w:val="0"/>
                  <w:vAlign w:val="center"/>
                </w:tcPr>
                <w:p w14:paraId="4E8B6984">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治理设施</w:t>
                  </w:r>
                </w:p>
              </w:tc>
              <w:tc>
                <w:tcPr>
                  <w:tcW w:w="1079" w:type="pct"/>
                  <w:noWrap w:val="0"/>
                  <w:vAlign w:val="center"/>
                </w:tcPr>
                <w:p w14:paraId="3BED1F8B">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名称</w:t>
                  </w:r>
                </w:p>
              </w:tc>
              <w:tc>
                <w:tcPr>
                  <w:tcW w:w="705" w:type="pct"/>
                  <w:noWrap w:val="0"/>
                  <w:vAlign w:val="center"/>
                </w:tcPr>
                <w:p w14:paraId="2902200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脉冲袋式除尘器</w:t>
                  </w:r>
                </w:p>
              </w:tc>
              <w:tc>
                <w:tcPr>
                  <w:tcW w:w="2823" w:type="pct"/>
                  <w:gridSpan w:val="4"/>
                  <w:noWrap w:val="0"/>
                  <w:vAlign w:val="center"/>
                </w:tcPr>
                <w:p w14:paraId="3BF18D6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高温脉冲袋式除尘+脱硫塔（石灰石石膏法）</w:t>
                  </w:r>
                </w:p>
              </w:tc>
            </w:tr>
            <w:tr w14:paraId="0553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91" w:type="pct"/>
                  <w:vMerge w:val="continue"/>
                  <w:noWrap w:val="0"/>
                  <w:vAlign w:val="center"/>
                </w:tcPr>
                <w:p w14:paraId="5FC526E8">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p>
              </w:tc>
              <w:tc>
                <w:tcPr>
                  <w:tcW w:w="1079" w:type="pct"/>
                  <w:noWrap w:val="0"/>
                  <w:vAlign w:val="center"/>
                </w:tcPr>
                <w:p w14:paraId="52278583">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收集效率</w:t>
                  </w:r>
                </w:p>
              </w:tc>
              <w:tc>
                <w:tcPr>
                  <w:tcW w:w="705" w:type="pct"/>
                  <w:noWrap w:val="0"/>
                  <w:vAlign w:val="center"/>
                </w:tcPr>
                <w:p w14:paraId="7579843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60%</w:t>
                  </w:r>
                </w:p>
              </w:tc>
              <w:tc>
                <w:tcPr>
                  <w:tcW w:w="2823" w:type="pct"/>
                  <w:gridSpan w:val="4"/>
                  <w:noWrap w:val="0"/>
                  <w:vAlign w:val="center"/>
                </w:tcPr>
                <w:p w14:paraId="418DD91F">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100%</w:t>
                  </w:r>
                </w:p>
              </w:tc>
            </w:tr>
            <w:tr w14:paraId="2A7B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91" w:type="pct"/>
                  <w:vMerge w:val="continue"/>
                  <w:noWrap w:val="0"/>
                  <w:vAlign w:val="center"/>
                </w:tcPr>
                <w:p w14:paraId="7B8A405B">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p>
              </w:tc>
              <w:tc>
                <w:tcPr>
                  <w:tcW w:w="1079" w:type="pct"/>
                  <w:noWrap w:val="0"/>
                  <w:vAlign w:val="center"/>
                </w:tcPr>
                <w:p w14:paraId="767B5B20">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去除效率</w:t>
                  </w:r>
                </w:p>
              </w:tc>
              <w:tc>
                <w:tcPr>
                  <w:tcW w:w="705" w:type="pct"/>
                  <w:noWrap w:val="0"/>
                  <w:vAlign w:val="center"/>
                </w:tcPr>
                <w:p w14:paraId="230167D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90%</w:t>
                  </w:r>
                </w:p>
              </w:tc>
              <w:tc>
                <w:tcPr>
                  <w:tcW w:w="705" w:type="pct"/>
                  <w:noWrap w:val="0"/>
                  <w:vAlign w:val="center"/>
                </w:tcPr>
                <w:p w14:paraId="2A7E7FF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90%</w:t>
                  </w:r>
                </w:p>
              </w:tc>
              <w:tc>
                <w:tcPr>
                  <w:tcW w:w="705" w:type="pct"/>
                  <w:noWrap w:val="0"/>
                  <w:vAlign w:val="center"/>
                </w:tcPr>
                <w:p w14:paraId="127DFCA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80%</w:t>
                  </w:r>
                </w:p>
              </w:tc>
              <w:tc>
                <w:tcPr>
                  <w:tcW w:w="705" w:type="pct"/>
                  <w:noWrap w:val="0"/>
                  <w:vAlign w:val="center"/>
                </w:tcPr>
                <w:p w14:paraId="7D74CF4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706" w:type="pct"/>
                  <w:noWrap w:val="0"/>
                  <w:vAlign w:val="center"/>
                </w:tcPr>
                <w:p w14:paraId="4E524D4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color w:val="000000" w:themeColor="text1"/>
                      <w:highlight w:val="no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80%</w:t>
                  </w:r>
                </w:p>
              </w:tc>
            </w:tr>
            <w:tr w14:paraId="1C218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91" w:type="pct"/>
                  <w:vMerge w:val="continue"/>
                  <w:noWrap w:val="0"/>
                  <w:vAlign w:val="center"/>
                </w:tcPr>
                <w:p w14:paraId="32DC9904">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p>
              </w:tc>
              <w:tc>
                <w:tcPr>
                  <w:tcW w:w="1079" w:type="pct"/>
                  <w:noWrap w:val="0"/>
                  <w:vAlign w:val="center"/>
                </w:tcPr>
                <w:p w14:paraId="18E7E2F7">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是否为可行技术</w:t>
                  </w:r>
                </w:p>
              </w:tc>
              <w:tc>
                <w:tcPr>
                  <w:tcW w:w="705" w:type="pct"/>
                  <w:noWrap w:val="0"/>
                  <w:vAlign w:val="center"/>
                </w:tcPr>
                <w:p w14:paraId="16F6C71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是</w:t>
                  </w:r>
                </w:p>
              </w:tc>
              <w:tc>
                <w:tcPr>
                  <w:tcW w:w="705" w:type="pct"/>
                  <w:noWrap w:val="0"/>
                  <w:vAlign w:val="center"/>
                </w:tcPr>
                <w:p w14:paraId="6807FCAE">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是</w:t>
                  </w:r>
                </w:p>
              </w:tc>
              <w:tc>
                <w:tcPr>
                  <w:tcW w:w="705" w:type="pct"/>
                  <w:noWrap w:val="0"/>
                  <w:vAlign w:val="center"/>
                </w:tcPr>
                <w:p w14:paraId="6074D10E">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是</w:t>
                  </w:r>
                </w:p>
              </w:tc>
              <w:tc>
                <w:tcPr>
                  <w:tcW w:w="705" w:type="pct"/>
                  <w:noWrap w:val="0"/>
                  <w:vAlign w:val="center"/>
                </w:tcPr>
                <w:p w14:paraId="70C0D811">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706" w:type="pct"/>
                  <w:noWrap w:val="0"/>
                  <w:vAlign w:val="center"/>
                </w:tcPr>
                <w:p w14:paraId="5B38D85F">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highlight w:val="none"/>
                      <w14:textFill>
                        <w14:solidFill>
                          <w14:schemeClr w14:val="tx1"/>
                        </w14:solidFill>
                      </w14:textFill>
                    </w:rPr>
                  </w:pPr>
                  <w:r>
                    <w:rPr>
                      <w:rFonts w:hint="eastAsia"/>
                      <w:color w:val="000000" w:themeColor="text1"/>
                      <w:lang w:val="en-US" w:eastAsia="zh-CN"/>
                      <w14:textFill>
                        <w14:solidFill>
                          <w14:schemeClr w14:val="tx1"/>
                        </w14:solidFill>
                      </w14:textFill>
                    </w:rPr>
                    <w:t>/</w:t>
                  </w:r>
                </w:p>
              </w:tc>
            </w:tr>
            <w:tr w14:paraId="5C994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71" w:type="pct"/>
                  <w:gridSpan w:val="2"/>
                  <w:noWrap w:val="0"/>
                  <w:vAlign w:val="center"/>
                </w:tcPr>
                <w:p w14:paraId="4410734D">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污染物排放量（t/a）</w:t>
                  </w:r>
                </w:p>
              </w:tc>
              <w:tc>
                <w:tcPr>
                  <w:tcW w:w="705" w:type="pct"/>
                  <w:noWrap w:val="0"/>
                  <w:vAlign w:val="center"/>
                </w:tcPr>
                <w:p w14:paraId="3801C69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0.32</w:t>
                  </w:r>
                </w:p>
              </w:tc>
              <w:tc>
                <w:tcPr>
                  <w:tcW w:w="705" w:type="pct"/>
                  <w:noWrap w:val="0"/>
                  <w:vAlign w:val="center"/>
                </w:tcPr>
                <w:p w14:paraId="314310C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2.64</w:t>
                  </w:r>
                </w:p>
              </w:tc>
              <w:tc>
                <w:tcPr>
                  <w:tcW w:w="705" w:type="pct"/>
                  <w:noWrap w:val="0"/>
                  <w:vAlign w:val="center"/>
                </w:tcPr>
                <w:p w14:paraId="245A82E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14.58</w:t>
                  </w:r>
                </w:p>
              </w:tc>
              <w:tc>
                <w:tcPr>
                  <w:tcW w:w="705" w:type="pct"/>
                  <w:noWrap w:val="0"/>
                  <w:vAlign w:val="center"/>
                </w:tcPr>
                <w:p w14:paraId="389FA07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14.14</w:t>
                  </w:r>
                </w:p>
              </w:tc>
              <w:tc>
                <w:tcPr>
                  <w:tcW w:w="706" w:type="pct"/>
                  <w:noWrap w:val="0"/>
                  <w:vAlign w:val="center"/>
                </w:tcPr>
                <w:p w14:paraId="1084702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0.248</w:t>
                  </w:r>
                </w:p>
              </w:tc>
            </w:tr>
            <w:tr w14:paraId="4D63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71" w:type="pct"/>
                  <w:gridSpan w:val="2"/>
                  <w:noWrap w:val="0"/>
                  <w:vAlign w:val="center"/>
                </w:tcPr>
                <w:p w14:paraId="14F9CE4C">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污染物排放速率（kg/h）</w:t>
                  </w:r>
                </w:p>
              </w:tc>
              <w:tc>
                <w:tcPr>
                  <w:tcW w:w="705" w:type="pct"/>
                  <w:noWrap w:val="0"/>
                  <w:vAlign w:val="center"/>
                </w:tcPr>
                <w:p w14:paraId="5C966FE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0.067</w:t>
                  </w:r>
                </w:p>
              </w:tc>
              <w:tc>
                <w:tcPr>
                  <w:tcW w:w="705" w:type="pct"/>
                  <w:noWrap w:val="0"/>
                  <w:vAlign w:val="center"/>
                </w:tcPr>
                <w:p w14:paraId="0B32D00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0.48</w:t>
                  </w:r>
                </w:p>
              </w:tc>
              <w:tc>
                <w:tcPr>
                  <w:tcW w:w="705" w:type="pct"/>
                  <w:noWrap w:val="0"/>
                  <w:vAlign w:val="center"/>
                </w:tcPr>
                <w:p w14:paraId="4D565CC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2.64</w:t>
                  </w:r>
                </w:p>
              </w:tc>
              <w:tc>
                <w:tcPr>
                  <w:tcW w:w="705" w:type="pct"/>
                  <w:noWrap w:val="0"/>
                  <w:vAlign w:val="center"/>
                </w:tcPr>
                <w:p w14:paraId="1FCA8FB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2.56</w:t>
                  </w:r>
                </w:p>
              </w:tc>
              <w:tc>
                <w:tcPr>
                  <w:tcW w:w="706" w:type="pct"/>
                  <w:noWrap w:val="0"/>
                  <w:vAlign w:val="center"/>
                </w:tcPr>
                <w:p w14:paraId="6F7D6B0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0.045</w:t>
                  </w:r>
                </w:p>
              </w:tc>
            </w:tr>
            <w:tr w14:paraId="00CA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71" w:type="pct"/>
                  <w:gridSpan w:val="2"/>
                  <w:noWrap w:val="0"/>
                  <w:vAlign w:val="center"/>
                </w:tcPr>
                <w:p w14:paraId="6FF833D8">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污染物排放浓度（mg/m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w:t>
                  </w:r>
                </w:p>
              </w:tc>
              <w:tc>
                <w:tcPr>
                  <w:tcW w:w="705" w:type="pct"/>
                  <w:noWrap w:val="0"/>
                  <w:vAlign w:val="center"/>
                </w:tcPr>
                <w:p w14:paraId="166FB18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8.89</w:t>
                  </w:r>
                </w:p>
              </w:tc>
              <w:tc>
                <w:tcPr>
                  <w:tcW w:w="705" w:type="pct"/>
                  <w:noWrap w:val="0"/>
                  <w:vAlign w:val="center"/>
                </w:tcPr>
                <w:p w14:paraId="4A7AD49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12.51</w:t>
                  </w:r>
                </w:p>
              </w:tc>
              <w:tc>
                <w:tcPr>
                  <w:tcW w:w="705" w:type="pct"/>
                  <w:noWrap w:val="0"/>
                  <w:vAlign w:val="center"/>
                </w:tcPr>
                <w:p w14:paraId="6255952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69.10</w:t>
                  </w:r>
                </w:p>
              </w:tc>
              <w:tc>
                <w:tcPr>
                  <w:tcW w:w="705" w:type="pct"/>
                  <w:noWrap w:val="0"/>
                  <w:vAlign w:val="center"/>
                </w:tcPr>
                <w:p w14:paraId="5B9DA45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67.02</w:t>
                  </w:r>
                </w:p>
              </w:tc>
              <w:tc>
                <w:tcPr>
                  <w:tcW w:w="706" w:type="pct"/>
                  <w:noWrap w:val="0"/>
                  <w:vAlign w:val="center"/>
                </w:tcPr>
                <w:p w14:paraId="4AC760C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1.18</w:t>
                  </w:r>
                </w:p>
              </w:tc>
            </w:tr>
            <w:tr w14:paraId="6179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71" w:type="pct"/>
                  <w:gridSpan w:val="2"/>
                  <w:noWrap w:val="0"/>
                  <w:vAlign w:val="center"/>
                </w:tcPr>
                <w:p w14:paraId="56F9CAA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标准限值</w:t>
                  </w:r>
                  <w:r>
                    <w:rPr>
                      <w:b/>
                      <w:bCs/>
                      <w:color w:val="000000" w:themeColor="text1"/>
                      <w14:textFill>
                        <w14:solidFill>
                          <w14:schemeClr w14:val="tx1"/>
                        </w14:solidFill>
                      </w14:textFill>
                    </w:rPr>
                    <w:t>（mg/m</w:t>
                  </w:r>
                  <w:r>
                    <w:rPr>
                      <w:b/>
                      <w:bCs/>
                      <w:color w:val="000000" w:themeColor="text1"/>
                      <w:vertAlign w:val="superscript"/>
                      <w14:textFill>
                        <w14:solidFill>
                          <w14:schemeClr w14:val="tx1"/>
                        </w14:solidFill>
                      </w14:textFill>
                    </w:rPr>
                    <w:t>3</w:t>
                  </w:r>
                  <w:r>
                    <w:rPr>
                      <w:b/>
                      <w:bCs/>
                      <w:color w:val="000000" w:themeColor="text1"/>
                      <w14:textFill>
                        <w14:solidFill>
                          <w14:schemeClr w14:val="tx1"/>
                        </w14:solidFill>
                      </w14:textFill>
                    </w:rPr>
                    <w:t>）</w:t>
                  </w:r>
                </w:p>
              </w:tc>
              <w:tc>
                <w:tcPr>
                  <w:tcW w:w="705" w:type="pct"/>
                  <w:noWrap w:val="0"/>
                  <w:vAlign w:val="center"/>
                </w:tcPr>
                <w:p w14:paraId="0FB44FC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30</w:t>
                  </w:r>
                </w:p>
              </w:tc>
              <w:tc>
                <w:tcPr>
                  <w:tcW w:w="705" w:type="pct"/>
                  <w:noWrap w:val="0"/>
                  <w:vAlign w:val="center"/>
                </w:tcPr>
                <w:p w14:paraId="1773250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30</w:t>
                  </w:r>
                </w:p>
              </w:tc>
              <w:tc>
                <w:tcPr>
                  <w:tcW w:w="705" w:type="pct"/>
                  <w:noWrap w:val="0"/>
                  <w:vAlign w:val="center"/>
                </w:tcPr>
                <w:p w14:paraId="1584396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150</w:t>
                  </w:r>
                </w:p>
              </w:tc>
              <w:tc>
                <w:tcPr>
                  <w:tcW w:w="705" w:type="pct"/>
                  <w:noWrap w:val="0"/>
                  <w:vAlign w:val="center"/>
                </w:tcPr>
                <w:p w14:paraId="4770D86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200</w:t>
                  </w:r>
                </w:p>
              </w:tc>
              <w:tc>
                <w:tcPr>
                  <w:tcW w:w="706" w:type="pct"/>
                  <w:noWrap w:val="0"/>
                  <w:vAlign w:val="center"/>
                </w:tcPr>
                <w:p w14:paraId="43D2799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3</w:t>
                  </w:r>
                </w:p>
              </w:tc>
            </w:tr>
            <w:tr w14:paraId="320E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71" w:type="pct"/>
                  <w:gridSpan w:val="2"/>
                  <w:noWrap w:val="0"/>
                  <w:vAlign w:val="center"/>
                </w:tcPr>
                <w:p w14:paraId="627E415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达标情况</w:t>
                  </w:r>
                </w:p>
              </w:tc>
              <w:tc>
                <w:tcPr>
                  <w:tcW w:w="705" w:type="pct"/>
                  <w:noWrap w:val="0"/>
                  <w:vAlign w:val="center"/>
                </w:tcPr>
                <w:p w14:paraId="04D8499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达标</w:t>
                  </w:r>
                </w:p>
              </w:tc>
              <w:tc>
                <w:tcPr>
                  <w:tcW w:w="705" w:type="pct"/>
                  <w:noWrap w:val="0"/>
                  <w:vAlign w:val="center"/>
                </w:tcPr>
                <w:p w14:paraId="07B540B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达标</w:t>
                  </w:r>
                </w:p>
              </w:tc>
              <w:tc>
                <w:tcPr>
                  <w:tcW w:w="705" w:type="pct"/>
                  <w:noWrap w:val="0"/>
                  <w:vAlign w:val="center"/>
                </w:tcPr>
                <w:p w14:paraId="58A061B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达标</w:t>
                  </w:r>
                </w:p>
              </w:tc>
              <w:tc>
                <w:tcPr>
                  <w:tcW w:w="705" w:type="pct"/>
                  <w:noWrap w:val="0"/>
                  <w:vAlign w:val="center"/>
                </w:tcPr>
                <w:p w14:paraId="6F2B6CB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达标</w:t>
                  </w:r>
                </w:p>
              </w:tc>
              <w:tc>
                <w:tcPr>
                  <w:tcW w:w="706" w:type="pct"/>
                  <w:noWrap w:val="0"/>
                  <w:vAlign w:val="center"/>
                </w:tcPr>
                <w:p w14:paraId="72BDE1B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达标</w:t>
                  </w:r>
                </w:p>
              </w:tc>
            </w:tr>
            <w:tr w14:paraId="2D7C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71" w:type="pct"/>
                  <w:gridSpan w:val="2"/>
                  <w:noWrap w:val="0"/>
                  <w:vAlign w:val="center"/>
                </w:tcPr>
                <w:p w14:paraId="45C2853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排放执行标准</w:t>
                  </w:r>
                </w:p>
              </w:tc>
              <w:tc>
                <w:tcPr>
                  <w:tcW w:w="3528" w:type="pct"/>
                  <w:gridSpan w:val="5"/>
                  <w:noWrap w:val="0"/>
                  <w:vAlign w:val="center"/>
                </w:tcPr>
                <w:p w14:paraId="1D0DE7EA">
                  <w:pPr>
                    <w:keepNext w:val="0"/>
                    <w:keepLines w:val="0"/>
                    <w:pageBreakBefore w:val="0"/>
                    <w:widowControl w:val="0"/>
                    <w:kinsoku/>
                    <w:wordWrap/>
                    <w:overflowPunct/>
                    <w:topLinePunct w:val="0"/>
                    <w:autoSpaceDE/>
                    <w:autoSpaceDN/>
                    <w:bidi w:val="0"/>
                    <w:adjustRightInd w:val="0"/>
                    <w:snapToGrid w:val="0"/>
                    <w:jc w:val="center"/>
                    <w:textAlignment w:val="auto"/>
                    <w:rPr>
                      <w:color w:val="000000" w:themeColor="text1"/>
                      <w14:textFill>
                        <w14:solidFill>
                          <w14:schemeClr w14:val="tx1"/>
                        </w14:solidFill>
                      </w14:textFill>
                    </w:rPr>
                  </w:pPr>
                  <w:r>
                    <w:rPr>
                      <w:rFonts w:hint="default" w:ascii="Times New Roman" w:hAnsi="Times New Roman" w:cs="Times New Roman"/>
                      <w:color w:val="000000" w:themeColor="text1"/>
                      <w:sz w:val="21"/>
                      <w:szCs w:val="22"/>
                      <w14:textFill>
                        <w14:solidFill>
                          <w14:schemeClr w14:val="tx1"/>
                        </w14:solidFill>
                      </w14:textFill>
                    </w:rPr>
                    <w:t>《砖瓦工业大气污染物排放标准》（GB29620-2013）及其修改单</w:t>
                  </w:r>
                </w:p>
              </w:tc>
            </w:tr>
          </w:tbl>
          <w:p w14:paraId="6B1EFA79">
            <w:pPr>
              <w:adjustRightInd w:val="0"/>
              <w:snapToGrid w:val="0"/>
              <w:spacing w:line="360" w:lineRule="auto"/>
              <w:ind w:firstLine="482" w:firstLineChars="200"/>
              <w:rPr>
                <w:rFonts w:hint="default"/>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②达标性分析</w:t>
            </w:r>
          </w:p>
          <w:p w14:paraId="07A91F34">
            <w:pPr>
              <w:adjustRightInd w:val="0"/>
              <w:snapToGrid w:val="0"/>
              <w:spacing w:line="360" w:lineRule="auto"/>
              <w:ind w:firstLine="480" w:firstLineChars="200"/>
              <w:rPr>
                <w:rFonts w:hint="eastAsia" w:eastAsia="宋体"/>
                <w:b/>
                <w:bCs/>
                <w:color w:val="000000" w:themeColor="text1"/>
                <w:sz w:val="24"/>
                <w:szCs w:val="24"/>
                <w:shd w:val="clear" w:color="auto" w:fill="FFFFFF"/>
                <w:lang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根据上表</w:t>
            </w:r>
            <w:r>
              <w:rPr>
                <w:rFonts w:hint="eastAsia"/>
                <w:color w:val="000000" w:themeColor="text1"/>
                <w:sz w:val="24"/>
                <w:szCs w:val="24"/>
                <w14:textFill>
                  <w14:solidFill>
                    <w14:schemeClr w14:val="tx1"/>
                  </w14:solidFill>
                </w14:textFill>
              </w:rPr>
              <w:t>可知，</w:t>
            </w:r>
            <w:r>
              <w:rPr>
                <w:rFonts w:hint="eastAsia"/>
                <w:color w:val="000000" w:themeColor="text1"/>
                <w:sz w:val="24"/>
                <w:szCs w:val="24"/>
                <w:lang w:val="en-US" w:eastAsia="zh-CN"/>
                <w14:textFill>
                  <w14:solidFill>
                    <w14:schemeClr w14:val="tx1"/>
                  </w14:solidFill>
                </w14:textFill>
              </w:rPr>
              <w:t>项目排放的颗粒物、二氧化硫、氮氧化物、氟化物能够满足</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《砖瓦工业大气污染物排放标准》（GB29620-2013）表2及修改单排放限值要求，即颗粒物≤30mg/m</w:t>
            </w:r>
            <w:r>
              <w:rPr>
                <w:rFonts w:hint="eastAsia" w:ascii="Times New Roman" w:hAnsi="Times New Roman" w:eastAsia="宋体" w:cs="Times New Roman"/>
                <w:b w:val="0"/>
                <w:bCs w:val="0"/>
                <w:color w:val="000000" w:themeColor="text1"/>
                <w:kern w:val="2"/>
                <w:sz w:val="24"/>
                <w:szCs w:val="24"/>
                <w:vertAlign w:val="superscript"/>
                <w:lang w:val="en-US" w:eastAsia="zh-CN" w:bidi="ar-SA"/>
                <w14:textFill>
                  <w14:solidFill>
                    <w14:schemeClr w14:val="tx1"/>
                  </w14:solidFill>
                </w14:textFill>
              </w:rPr>
              <w:t>3</w:t>
            </w:r>
            <w:r>
              <w:rPr>
                <w:rFonts w:hint="eastAsia" w:ascii="Times New Roman" w:hAnsi="Times New Roman" w:eastAsia="宋体" w:cs="Times New Roman"/>
                <w:b w:val="0"/>
                <w:bCs w:val="0"/>
                <w:color w:val="000000" w:themeColor="text1"/>
                <w:kern w:val="2"/>
                <w:sz w:val="24"/>
                <w:szCs w:val="24"/>
                <w:vertAlign w:val="baseline"/>
                <w:lang w:val="en-US" w:eastAsia="zh-CN" w:bidi="ar-SA"/>
                <w14:textFill>
                  <w14:solidFill>
                    <w14:schemeClr w14:val="tx1"/>
                  </w14:solidFill>
                </w14:textFill>
              </w:rPr>
              <w:t>，二氧化硫</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≤150mg/m</w:t>
            </w:r>
            <w:r>
              <w:rPr>
                <w:rFonts w:hint="eastAsia" w:ascii="Times New Roman" w:hAnsi="Times New Roman" w:eastAsia="宋体" w:cs="Times New Roman"/>
                <w:b w:val="0"/>
                <w:bCs w:val="0"/>
                <w:color w:val="000000" w:themeColor="text1"/>
                <w:kern w:val="2"/>
                <w:sz w:val="24"/>
                <w:szCs w:val="24"/>
                <w:vertAlign w:val="superscript"/>
                <w:lang w:val="en-US" w:eastAsia="zh-CN" w:bidi="ar-SA"/>
                <w14:textFill>
                  <w14:solidFill>
                    <w14:schemeClr w14:val="tx1"/>
                  </w14:solidFill>
                </w14:textFill>
              </w:rPr>
              <w:t>3</w:t>
            </w:r>
            <w:r>
              <w:rPr>
                <w:rFonts w:hint="eastAsia" w:ascii="Times New Roman" w:hAnsi="Times New Roman" w:eastAsia="宋体" w:cs="Times New Roman"/>
                <w:b w:val="0"/>
                <w:bCs w:val="0"/>
                <w:color w:val="000000" w:themeColor="text1"/>
                <w:kern w:val="2"/>
                <w:sz w:val="24"/>
                <w:szCs w:val="24"/>
                <w:vertAlign w:val="baseline"/>
                <w:lang w:val="en-US" w:eastAsia="zh-CN" w:bidi="ar-SA"/>
                <w14:textFill>
                  <w14:solidFill>
                    <w14:schemeClr w14:val="tx1"/>
                  </w14:solidFill>
                </w14:textFill>
              </w:rPr>
              <w:t>，氮氧化物</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≤200mg/m</w:t>
            </w:r>
            <w:r>
              <w:rPr>
                <w:rFonts w:hint="eastAsia" w:ascii="Times New Roman" w:hAnsi="Times New Roman" w:eastAsia="宋体" w:cs="Times New Roman"/>
                <w:b w:val="0"/>
                <w:bCs w:val="0"/>
                <w:color w:val="000000" w:themeColor="text1"/>
                <w:kern w:val="2"/>
                <w:sz w:val="24"/>
                <w:szCs w:val="24"/>
                <w:vertAlign w:val="superscript"/>
                <w:lang w:val="en-US" w:eastAsia="zh-CN" w:bidi="ar-SA"/>
                <w14:textFill>
                  <w14:solidFill>
                    <w14:schemeClr w14:val="tx1"/>
                  </w14:solidFill>
                </w14:textFill>
              </w:rPr>
              <w:t>3</w:t>
            </w:r>
            <w:r>
              <w:rPr>
                <w:rFonts w:hint="eastAsia" w:ascii="Times New Roman" w:hAnsi="Times New Roman" w:eastAsia="宋体" w:cs="Times New Roman"/>
                <w:b w:val="0"/>
                <w:bCs w:val="0"/>
                <w:color w:val="000000" w:themeColor="text1"/>
                <w:kern w:val="2"/>
                <w:sz w:val="24"/>
                <w:szCs w:val="24"/>
                <w:vertAlign w:val="baseline"/>
                <w:lang w:val="en-US" w:eastAsia="zh-CN" w:bidi="ar-SA"/>
                <w14:textFill>
                  <w14:solidFill>
                    <w14:schemeClr w14:val="tx1"/>
                  </w14:solidFill>
                </w14:textFill>
              </w:rPr>
              <w:t>，氟化物</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≤3mg/m</w:t>
            </w:r>
            <w:r>
              <w:rPr>
                <w:rFonts w:hint="eastAsia" w:ascii="Times New Roman" w:hAnsi="Times New Roman" w:eastAsia="宋体" w:cs="Times New Roman"/>
                <w:b w:val="0"/>
                <w:bCs w:val="0"/>
                <w:color w:val="000000" w:themeColor="text1"/>
                <w:kern w:val="2"/>
                <w:sz w:val="24"/>
                <w:szCs w:val="24"/>
                <w:vertAlign w:val="superscript"/>
                <w:lang w:val="en-US" w:eastAsia="zh-CN" w:bidi="ar-SA"/>
                <w14:textFill>
                  <w14:solidFill>
                    <w14:schemeClr w14:val="tx1"/>
                  </w14:solidFill>
                </w14:textFill>
              </w:rPr>
              <w:t>3</w:t>
            </w:r>
            <w:r>
              <w:rPr>
                <w:rFonts w:hint="eastAsia" w:cs="Times New Roman"/>
                <w:b w:val="0"/>
                <w:bCs w:val="0"/>
                <w:color w:val="000000" w:themeColor="text1"/>
                <w:kern w:val="2"/>
                <w:sz w:val="24"/>
                <w:szCs w:val="24"/>
                <w:vertAlign w:val="baseline"/>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kern w:val="2"/>
                <w:sz w:val="24"/>
                <w:szCs w:val="24"/>
                <w:vertAlign w:val="baseline"/>
                <w:lang w:val="en-US" w:eastAsia="zh-CN" w:bidi="ar-SA"/>
                <w14:textFill>
                  <w14:solidFill>
                    <w14:schemeClr w14:val="tx1"/>
                  </w14:solidFill>
                </w14:textFill>
              </w:rPr>
              <w:t>项</w:t>
            </w:r>
            <w:r>
              <w:rPr>
                <w:rFonts w:hint="eastAsia" w:cs="Times New Roman"/>
                <w:b w:val="0"/>
                <w:bCs w:val="0"/>
                <w:color w:val="000000" w:themeColor="text1"/>
                <w:kern w:val="2"/>
                <w:sz w:val="24"/>
                <w:szCs w:val="24"/>
                <w:vertAlign w:val="baseline"/>
                <w:lang w:val="en-US" w:eastAsia="zh-CN" w:bidi="ar-SA"/>
                <w14:textFill>
                  <w14:solidFill>
                    <w14:schemeClr w14:val="tx1"/>
                  </w14:solidFill>
                </w14:textFill>
              </w:rPr>
              <w:t>目</w:t>
            </w:r>
            <w:r>
              <w:rPr>
                <w:rFonts w:hint="eastAsia" w:cs="Times New Roman"/>
                <w:color w:val="000000" w:themeColor="text1"/>
                <w:spacing w:val="-3"/>
                <w:sz w:val="24"/>
                <w:szCs w:val="24"/>
                <w:lang w:val="en-US" w:eastAsia="zh-CN"/>
                <w14:textFill>
                  <w14:solidFill>
                    <w14:schemeClr w14:val="tx1"/>
                  </w14:solidFill>
                </w14:textFill>
              </w:rPr>
              <w:t>原料制备工段破碎、筛分各设置1个集气罩（收集效率不低于60%）收集，粉磨废气设置管道收集，进入1套脉冲袋式除尘器处理后设置1根高15m的排气筒（DA002）排放；</w:t>
            </w:r>
            <w:r>
              <w:rPr>
                <w:rFonts w:hint="eastAsia"/>
                <w:color w:val="000000" w:themeColor="text1"/>
                <w:sz w:val="24"/>
                <w:szCs w:val="24"/>
                <w:lang w:val="en-US" w:eastAsia="zh-CN"/>
                <w14:textFill>
                  <w14:solidFill>
                    <w14:schemeClr w14:val="tx1"/>
                  </w14:solidFill>
                </w14:textFill>
              </w:rPr>
              <w:t>窑烧成过程产生的炉窑废气通过烟气收集管道收集后设置1套“高温脉冲袋式除尘+脱硫塔（石灰石石膏法）”处理后，由1根15m高的排气筒（</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DA00</w:t>
            </w:r>
            <w:r>
              <w:rPr>
                <w:rFonts w:hint="eastAsia" w:cs="Times New Roman"/>
                <w:color w:val="000000" w:themeColor="text1"/>
                <w:sz w:val="24"/>
                <w:szCs w:val="24"/>
                <w:lang w:val="en-US" w:eastAsia="zh-CN"/>
                <w14:textFill>
                  <w14:solidFill>
                    <w14:schemeClr w14:val="tx1"/>
                  </w14:solidFill>
                </w14:textFill>
              </w:rPr>
              <w:t>1</w:t>
            </w:r>
            <w:r>
              <w:rPr>
                <w:rFonts w:hint="eastAsia"/>
                <w:color w:val="000000" w:themeColor="text1"/>
                <w:sz w:val="24"/>
                <w:szCs w:val="24"/>
                <w:lang w:val="en-US" w:eastAsia="zh-CN"/>
                <w14:textFill>
                  <w14:solidFill>
                    <w14:schemeClr w14:val="tx1"/>
                  </w14:solidFill>
                </w14:textFill>
              </w:rPr>
              <w:t>）排放，能够实现达标排放</w:t>
            </w:r>
            <w:r>
              <w:rPr>
                <w:rFonts w:hint="eastAsia"/>
                <w:color w:val="000000" w:themeColor="text1"/>
                <w:sz w:val="24"/>
                <w:szCs w:val="24"/>
                <w14:textFill>
                  <w14:solidFill>
                    <w14:schemeClr w14:val="tx1"/>
                  </w14:solidFill>
                </w14:textFill>
              </w:rPr>
              <w:t>。</w:t>
            </w:r>
          </w:p>
          <w:p w14:paraId="49298551">
            <w:pPr>
              <w:adjustRightInd w:val="0"/>
              <w:snapToGrid w:val="0"/>
              <w:spacing w:line="360" w:lineRule="auto"/>
              <w:ind w:firstLine="482" w:firstLineChars="200"/>
              <w:rPr>
                <w:rFonts w:hint="default" w:eastAsia="宋体"/>
                <w:b w:val="0"/>
                <w:bCs w:val="0"/>
                <w:color w:val="000000" w:themeColor="text1"/>
                <w:sz w:val="24"/>
                <w:shd w:val="clear" w:color="auto" w:fill="FFFFFF"/>
                <w:lang w:val="en-US" w:eastAsia="zh-CN"/>
                <w14:textFill>
                  <w14:solidFill>
                    <w14:schemeClr w14:val="tx1"/>
                  </w14:solidFill>
                </w14:textFill>
              </w:rPr>
            </w:pPr>
            <w:r>
              <w:rPr>
                <w:rFonts w:hint="eastAsia"/>
                <w:b/>
                <w:bCs/>
                <w:color w:val="000000" w:themeColor="text1"/>
                <w:sz w:val="24"/>
                <w:shd w:val="clear" w:color="auto" w:fill="FFFFFF"/>
                <w14:textFill>
                  <w14:solidFill>
                    <w14:schemeClr w14:val="tx1"/>
                  </w14:solidFill>
                </w14:textFill>
              </w:rPr>
              <w:t>③</w:t>
            </w:r>
            <w:r>
              <w:rPr>
                <w:rFonts w:hint="eastAsia"/>
                <w:b/>
                <w:bCs/>
                <w:color w:val="000000" w:themeColor="text1"/>
                <w:sz w:val="24"/>
                <w:shd w:val="clear" w:color="auto" w:fill="FFFFFF"/>
                <w:lang w:val="en-US" w:eastAsia="zh-CN"/>
                <w14:textFill>
                  <w14:solidFill>
                    <w14:schemeClr w14:val="tx1"/>
                  </w14:solidFill>
                </w14:textFill>
              </w:rPr>
              <w:t>排气筒设置合理性分析</w:t>
            </w:r>
          </w:p>
          <w:p w14:paraId="216336EE">
            <w:pPr>
              <w:adjustRightInd w:val="0"/>
              <w:snapToGrid w:val="0"/>
              <w:spacing w:line="360" w:lineRule="auto"/>
              <w:ind w:firstLine="480" w:firstLineChars="200"/>
              <w:rPr>
                <w:rFonts w:hint="default" w:eastAsia="宋体"/>
                <w:b w:val="0"/>
                <w:bCs w:val="0"/>
                <w:color w:val="000000" w:themeColor="text1"/>
                <w:sz w:val="24"/>
                <w:shd w:val="clear" w:color="auto" w:fill="FFFFFF"/>
                <w:lang w:val="en-US" w:eastAsia="zh-CN"/>
                <w14:textFill>
                  <w14:solidFill>
                    <w14:schemeClr w14:val="tx1"/>
                  </w14:solidFill>
                </w14:textFill>
              </w:rPr>
            </w:pPr>
            <w:r>
              <w:rPr>
                <w:rFonts w:hint="eastAsia"/>
                <w:b w:val="0"/>
                <w:bCs w:val="0"/>
                <w:color w:val="000000" w:themeColor="text1"/>
                <w:sz w:val="24"/>
                <w:shd w:val="clear" w:color="auto" w:fill="FFFFFF"/>
                <w:lang w:val="en-US" w:eastAsia="zh-CN"/>
                <w14:textFill>
                  <w14:solidFill>
                    <w14:schemeClr w14:val="tx1"/>
                  </w14:solidFill>
                </w14:textFill>
              </w:rPr>
              <w:t>根据</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砖瓦工业大气污染物排放标准》（GB29620-2013）及修改单，人工干燥及焙烧窑的排气筒高度一律不得低于15m。排气筒周围半径200m范围内有建筑物时，排气筒高度还应高出最高建筑物3m以上。项目排气筒高度为15m，排气筒周围半径200m范围内最高建筑物约为11m，因此，项目排气筒高度设置合理。</w:t>
            </w:r>
          </w:p>
          <w:p w14:paraId="0396597A">
            <w:pPr>
              <w:adjustRightInd w:val="0"/>
              <w:snapToGrid w:val="0"/>
              <w:spacing w:line="360" w:lineRule="auto"/>
              <w:ind w:firstLine="482" w:firstLineChars="200"/>
              <w:rPr>
                <w:rFonts w:hint="default"/>
                <w:b/>
                <w:bCs/>
                <w:color w:val="000000" w:themeColor="text1"/>
                <w:sz w:val="24"/>
                <w:shd w:val="clear" w:color="auto" w:fill="FFFFFF"/>
                <w:lang w:val="en-US" w:eastAsia="zh-CN"/>
                <w14:textFill>
                  <w14:solidFill>
                    <w14:schemeClr w14:val="tx1"/>
                  </w14:solidFill>
                </w14:textFill>
              </w:rPr>
            </w:pPr>
            <w:r>
              <w:rPr>
                <w:rFonts w:hint="eastAsia"/>
                <w:b/>
                <w:bCs/>
                <w:color w:val="000000" w:themeColor="text1"/>
                <w:sz w:val="24"/>
                <w:shd w:val="clear" w:color="auto" w:fill="FFFFFF"/>
                <w:lang w:val="en-US" w:eastAsia="zh-CN"/>
                <w14:textFill>
                  <w14:solidFill>
                    <w14:schemeClr w14:val="tx1"/>
                  </w14:solidFill>
                </w14:textFill>
              </w:rPr>
              <w:t>④大气排放口基本信息</w:t>
            </w:r>
          </w:p>
          <w:p w14:paraId="68825A39">
            <w:pPr>
              <w:keepNext w:val="0"/>
              <w:keepLines w:val="0"/>
              <w:pageBreakBefore w:val="0"/>
              <w:widowControl w:val="0"/>
              <w:kinsoku/>
              <w:wordWrap/>
              <w:overflowPunct/>
              <w:topLinePunct w:val="0"/>
              <w:autoSpaceDE/>
              <w:autoSpaceDN/>
              <w:bidi w:val="0"/>
              <w:adjustRightInd w:val="0"/>
              <w:snapToGrid w:val="0"/>
              <w:spacing w:line="276" w:lineRule="auto"/>
              <w:ind w:firstLine="0" w:firstLineChars="0"/>
              <w:jc w:val="center"/>
              <w:textAlignment w:val="auto"/>
              <w:rPr>
                <w:rFonts w:hint="default"/>
                <w:b/>
                <w:bCs/>
                <w:color w:val="000000" w:themeColor="text1"/>
                <w:sz w:val="24"/>
                <w:shd w:val="clear" w:color="auto" w:fill="FFFFFF"/>
                <w:vertAlign w:val="baseline"/>
                <w:lang w:val="en-US" w:eastAsia="zh-CN"/>
                <w14:textFill>
                  <w14:solidFill>
                    <w14:schemeClr w14:val="tx1"/>
                  </w14:solidFill>
                </w14:textFill>
              </w:rPr>
            </w:pPr>
            <w:r>
              <w:rPr>
                <w:rFonts w:hint="eastAsia"/>
                <w:b/>
                <w:bCs/>
                <w:color w:val="000000" w:themeColor="text1"/>
                <w:sz w:val="24"/>
                <w:shd w:val="clear" w:color="auto" w:fill="FFFFFF"/>
                <w:lang w:val="en-US" w:eastAsia="zh-CN"/>
                <w14:textFill>
                  <w14:solidFill>
                    <w14:schemeClr w14:val="tx1"/>
                  </w14:solidFill>
                </w14:textFill>
              </w:rPr>
              <w:t>表4-9  大气排放口基本信息表</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1084"/>
              <w:gridCol w:w="1084"/>
              <w:gridCol w:w="1084"/>
              <w:gridCol w:w="1084"/>
              <w:gridCol w:w="1084"/>
              <w:gridCol w:w="1085"/>
              <w:gridCol w:w="1085"/>
            </w:tblGrid>
            <w:tr w14:paraId="24C2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4" w:type="dxa"/>
                  <w:vMerge w:val="restart"/>
                  <w:vAlign w:val="center"/>
                </w:tcPr>
                <w:p w14:paraId="479AB1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排放口编号</w:t>
                  </w:r>
                </w:p>
              </w:tc>
              <w:tc>
                <w:tcPr>
                  <w:tcW w:w="1084" w:type="dxa"/>
                  <w:vMerge w:val="restart"/>
                  <w:vAlign w:val="center"/>
                </w:tcPr>
                <w:p w14:paraId="6993FD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排放口名称</w:t>
                  </w:r>
                </w:p>
              </w:tc>
              <w:tc>
                <w:tcPr>
                  <w:tcW w:w="1084" w:type="dxa"/>
                  <w:vMerge w:val="restart"/>
                  <w:vAlign w:val="center"/>
                </w:tcPr>
                <w:p w14:paraId="3D796E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污染物种类</w:t>
                  </w:r>
                </w:p>
              </w:tc>
              <w:tc>
                <w:tcPr>
                  <w:tcW w:w="2168" w:type="dxa"/>
                  <w:gridSpan w:val="2"/>
                  <w:vAlign w:val="center"/>
                </w:tcPr>
                <w:p w14:paraId="61DB5C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排放口地理坐标</w:t>
                  </w:r>
                </w:p>
              </w:tc>
              <w:tc>
                <w:tcPr>
                  <w:tcW w:w="1084" w:type="dxa"/>
                  <w:vMerge w:val="restart"/>
                  <w:vAlign w:val="center"/>
                </w:tcPr>
                <w:p w14:paraId="14F7B0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排气筒高度（m）</w:t>
                  </w:r>
                </w:p>
              </w:tc>
              <w:tc>
                <w:tcPr>
                  <w:tcW w:w="1085" w:type="dxa"/>
                  <w:vMerge w:val="restart"/>
                  <w:vAlign w:val="center"/>
                </w:tcPr>
                <w:p w14:paraId="326A89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排气口内径（m）</w:t>
                  </w:r>
                </w:p>
              </w:tc>
              <w:tc>
                <w:tcPr>
                  <w:tcW w:w="1085" w:type="dxa"/>
                  <w:vMerge w:val="restart"/>
                  <w:vAlign w:val="center"/>
                </w:tcPr>
                <w:p w14:paraId="16C760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排气温度（℃）</w:t>
                  </w:r>
                </w:p>
              </w:tc>
            </w:tr>
            <w:tr w14:paraId="4C37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4" w:type="dxa"/>
                  <w:vMerge w:val="continue"/>
                  <w:vAlign w:val="center"/>
                </w:tcPr>
                <w:p w14:paraId="651C91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000000" w:themeColor="text1"/>
                      <w:sz w:val="21"/>
                      <w:szCs w:val="21"/>
                      <w:shd w:val="clear" w:color="auto" w:fill="FFFFFF"/>
                      <w:vertAlign w:val="baseline"/>
                      <w:lang w:val="en-US" w:eastAsia="zh-CN"/>
                      <w14:textFill>
                        <w14:solidFill>
                          <w14:schemeClr w14:val="tx1"/>
                        </w14:solidFill>
                      </w14:textFill>
                    </w:rPr>
                  </w:pPr>
                </w:p>
              </w:tc>
              <w:tc>
                <w:tcPr>
                  <w:tcW w:w="1084" w:type="dxa"/>
                  <w:vMerge w:val="continue"/>
                  <w:vAlign w:val="center"/>
                </w:tcPr>
                <w:p w14:paraId="25FCAD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000000" w:themeColor="text1"/>
                      <w:sz w:val="21"/>
                      <w:szCs w:val="21"/>
                      <w:shd w:val="clear" w:color="auto" w:fill="FFFFFF"/>
                      <w:vertAlign w:val="baseline"/>
                      <w:lang w:val="en-US" w:eastAsia="zh-CN"/>
                      <w14:textFill>
                        <w14:solidFill>
                          <w14:schemeClr w14:val="tx1"/>
                        </w14:solidFill>
                      </w14:textFill>
                    </w:rPr>
                  </w:pPr>
                </w:p>
              </w:tc>
              <w:tc>
                <w:tcPr>
                  <w:tcW w:w="1084" w:type="dxa"/>
                  <w:vMerge w:val="continue"/>
                  <w:vAlign w:val="center"/>
                </w:tcPr>
                <w:p w14:paraId="17813F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b w:val="0"/>
                      <w:bCs w:val="0"/>
                      <w:color w:val="000000" w:themeColor="text1"/>
                      <w:sz w:val="21"/>
                      <w:szCs w:val="21"/>
                      <w:shd w:val="clear" w:color="auto" w:fill="FFFFFF"/>
                      <w:vertAlign w:val="baseline"/>
                      <w:lang w:val="en-US" w:eastAsia="zh-CN"/>
                      <w14:textFill>
                        <w14:solidFill>
                          <w14:schemeClr w14:val="tx1"/>
                        </w14:solidFill>
                      </w14:textFill>
                    </w:rPr>
                  </w:pPr>
                </w:p>
              </w:tc>
              <w:tc>
                <w:tcPr>
                  <w:tcW w:w="1084" w:type="dxa"/>
                  <w:vAlign w:val="center"/>
                </w:tcPr>
                <w:p w14:paraId="4D5F4C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经度</w:t>
                  </w:r>
                </w:p>
              </w:tc>
              <w:tc>
                <w:tcPr>
                  <w:tcW w:w="1084" w:type="dxa"/>
                  <w:vAlign w:val="center"/>
                </w:tcPr>
                <w:p w14:paraId="69991A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纬度</w:t>
                  </w:r>
                </w:p>
              </w:tc>
              <w:tc>
                <w:tcPr>
                  <w:tcW w:w="1084" w:type="dxa"/>
                  <w:vMerge w:val="continue"/>
                  <w:vAlign w:val="center"/>
                </w:tcPr>
                <w:p w14:paraId="28E011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p>
              </w:tc>
              <w:tc>
                <w:tcPr>
                  <w:tcW w:w="1085" w:type="dxa"/>
                  <w:vMerge w:val="continue"/>
                  <w:vAlign w:val="center"/>
                </w:tcPr>
                <w:p w14:paraId="69EC7F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p>
              </w:tc>
              <w:tc>
                <w:tcPr>
                  <w:tcW w:w="1085" w:type="dxa"/>
                  <w:vMerge w:val="continue"/>
                  <w:vAlign w:val="center"/>
                </w:tcPr>
                <w:p w14:paraId="286B2E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p>
              </w:tc>
            </w:tr>
            <w:tr w14:paraId="7248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4" w:type="dxa"/>
                  <w:vAlign w:val="center"/>
                </w:tcPr>
                <w:p w14:paraId="497157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DA002</w:t>
                  </w:r>
                </w:p>
              </w:tc>
              <w:tc>
                <w:tcPr>
                  <w:tcW w:w="1084" w:type="dxa"/>
                  <w:vAlign w:val="center"/>
                </w:tcPr>
                <w:p w14:paraId="4D3D8B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原辅料制备排放口</w:t>
                  </w:r>
                </w:p>
              </w:tc>
              <w:tc>
                <w:tcPr>
                  <w:tcW w:w="1084" w:type="dxa"/>
                  <w:vAlign w:val="center"/>
                </w:tcPr>
                <w:p w14:paraId="283960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颗粒物</w:t>
                  </w:r>
                </w:p>
              </w:tc>
              <w:tc>
                <w:tcPr>
                  <w:tcW w:w="1084" w:type="dxa"/>
                  <w:vAlign w:val="center"/>
                </w:tcPr>
                <w:p w14:paraId="6DF9E5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104.081</w:t>
                  </w:r>
                </w:p>
              </w:tc>
              <w:tc>
                <w:tcPr>
                  <w:tcW w:w="1084" w:type="dxa"/>
                  <w:vAlign w:val="center"/>
                </w:tcPr>
                <w:p w14:paraId="1720BA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25.154</w:t>
                  </w:r>
                </w:p>
              </w:tc>
              <w:tc>
                <w:tcPr>
                  <w:tcW w:w="1084" w:type="dxa"/>
                  <w:vAlign w:val="center"/>
                </w:tcPr>
                <w:p w14:paraId="740750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15</w:t>
                  </w:r>
                </w:p>
              </w:tc>
              <w:tc>
                <w:tcPr>
                  <w:tcW w:w="1085" w:type="dxa"/>
                  <w:vAlign w:val="center"/>
                </w:tcPr>
                <w:p w14:paraId="7204AD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0.5</w:t>
                  </w:r>
                </w:p>
              </w:tc>
              <w:tc>
                <w:tcPr>
                  <w:tcW w:w="1085" w:type="dxa"/>
                  <w:vAlign w:val="center"/>
                </w:tcPr>
                <w:p w14:paraId="16B1F4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20</w:t>
                  </w:r>
                </w:p>
              </w:tc>
            </w:tr>
            <w:tr w14:paraId="6E10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4" w:type="dxa"/>
                  <w:vAlign w:val="center"/>
                </w:tcPr>
                <w:p w14:paraId="5C0BCF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DA001</w:t>
                  </w:r>
                </w:p>
              </w:tc>
              <w:tc>
                <w:tcPr>
                  <w:tcW w:w="1084" w:type="dxa"/>
                  <w:vAlign w:val="center"/>
                </w:tcPr>
                <w:p w14:paraId="6BCBFB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窑烟囱</w:t>
                  </w:r>
                </w:p>
              </w:tc>
              <w:tc>
                <w:tcPr>
                  <w:tcW w:w="1084" w:type="dxa"/>
                  <w:vAlign w:val="center"/>
                </w:tcPr>
                <w:p w14:paraId="14E571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颗粒物、二氧化硫、氮氧化物、氟化物</w:t>
                  </w:r>
                </w:p>
              </w:tc>
              <w:tc>
                <w:tcPr>
                  <w:tcW w:w="1084" w:type="dxa"/>
                  <w:vAlign w:val="center"/>
                </w:tcPr>
                <w:p w14:paraId="093093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104.080</w:t>
                  </w:r>
                </w:p>
              </w:tc>
              <w:tc>
                <w:tcPr>
                  <w:tcW w:w="1084" w:type="dxa"/>
                  <w:vAlign w:val="center"/>
                </w:tcPr>
                <w:p w14:paraId="5C5392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25.153</w:t>
                  </w:r>
                </w:p>
              </w:tc>
              <w:tc>
                <w:tcPr>
                  <w:tcW w:w="1084" w:type="dxa"/>
                  <w:vAlign w:val="center"/>
                </w:tcPr>
                <w:p w14:paraId="01547C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15</w:t>
                  </w:r>
                </w:p>
              </w:tc>
              <w:tc>
                <w:tcPr>
                  <w:tcW w:w="1085" w:type="dxa"/>
                  <w:vAlign w:val="center"/>
                </w:tcPr>
                <w:p w14:paraId="1A2C2A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0.8</w:t>
                  </w:r>
                </w:p>
              </w:tc>
              <w:tc>
                <w:tcPr>
                  <w:tcW w:w="1085" w:type="dxa"/>
                  <w:vAlign w:val="center"/>
                </w:tcPr>
                <w:p w14:paraId="7F3263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val="0"/>
                      <w:color w:val="000000" w:themeColor="text1"/>
                      <w:sz w:val="21"/>
                      <w:szCs w:val="21"/>
                      <w:shd w:val="clear" w:color="auto" w:fill="FFFFFF"/>
                      <w:vertAlign w:val="baseline"/>
                      <w:lang w:val="en-US" w:eastAsia="zh-CN"/>
                      <w14:textFill>
                        <w14:solidFill>
                          <w14:schemeClr w14:val="tx1"/>
                        </w14:solidFill>
                      </w14:textFill>
                    </w:rPr>
                  </w:pPr>
                  <w:r>
                    <w:rPr>
                      <w:rFonts w:hint="eastAsia"/>
                      <w:b w:val="0"/>
                      <w:bCs w:val="0"/>
                      <w:color w:val="000000" w:themeColor="text1"/>
                      <w:sz w:val="21"/>
                      <w:szCs w:val="21"/>
                      <w:shd w:val="clear" w:color="auto" w:fill="FFFFFF"/>
                      <w:vertAlign w:val="baseline"/>
                      <w:lang w:val="en-US" w:eastAsia="zh-CN"/>
                      <w14:textFill>
                        <w14:solidFill>
                          <w14:schemeClr w14:val="tx1"/>
                        </w14:solidFill>
                      </w14:textFill>
                    </w:rPr>
                    <w:t>56</w:t>
                  </w:r>
                </w:p>
              </w:tc>
            </w:tr>
          </w:tbl>
          <w:p w14:paraId="2CEEA055">
            <w:pPr>
              <w:adjustRightInd w:val="0"/>
              <w:snapToGrid w:val="0"/>
              <w:spacing w:line="360" w:lineRule="auto"/>
              <w:ind w:firstLine="482" w:firstLineChars="200"/>
              <w:rPr>
                <w:b/>
                <w:bCs/>
                <w:color w:val="000000" w:themeColor="text1"/>
                <w:sz w:val="24"/>
                <w:shd w:val="clear" w:color="auto" w:fill="FFFFFF"/>
                <w14:textFill>
                  <w14:solidFill>
                    <w14:schemeClr w14:val="tx1"/>
                  </w14:solidFill>
                </w14:textFill>
              </w:rPr>
            </w:pPr>
            <w:r>
              <w:rPr>
                <w:rFonts w:hint="eastAsia"/>
                <w:b/>
                <w:bCs/>
                <w:color w:val="000000" w:themeColor="text1"/>
                <w:sz w:val="24"/>
                <w:shd w:val="clear" w:color="auto" w:fill="FFFFFF"/>
                <w:lang w:val="en-US" w:eastAsia="zh-CN"/>
                <w14:textFill>
                  <w14:solidFill>
                    <w14:schemeClr w14:val="tx1"/>
                  </w14:solidFill>
                </w14:textFill>
              </w:rPr>
              <w:t>1.2.2</w:t>
            </w:r>
            <w:r>
              <w:rPr>
                <w:rFonts w:hint="eastAsia"/>
                <w:b/>
                <w:bCs/>
                <w:color w:val="000000" w:themeColor="text1"/>
                <w:sz w:val="24"/>
                <w:shd w:val="clear" w:color="auto" w:fill="FFFFFF"/>
                <w14:textFill>
                  <w14:solidFill>
                    <w14:schemeClr w14:val="tx1"/>
                  </w14:solidFill>
                </w14:textFill>
              </w:rPr>
              <w:t>无组织废气</w:t>
            </w:r>
          </w:p>
          <w:p w14:paraId="4FE955A3">
            <w:pPr>
              <w:pStyle w:val="82"/>
              <w:adjustRightInd w:val="0"/>
              <w:snapToGrid w:val="0"/>
              <w:ind w:firstLine="480" w:firstLineChars="200"/>
              <w:outlineLvl w:val="2"/>
              <w:rPr>
                <w:color w:val="000000" w:themeColor="text1"/>
                <w:szCs w:val="24"/>
                <w14:textFill>
                  <w14:solidFill>
                    <w14:schemeClr w14:val="tx1"/>
                  </w14:solidFill>
                </w14:textFill>
              </w:rPr>
            </w:pPr>
            <w:r>
              <w:rPr>
                <w:rFonts w:hint="eastAsia"/>
                <w:color w:val="000000" w:themeColor="text1"/>
                <w:szCs w:val="24"/>
                <w:lang w:val="en-US" w:eastAsia="zh-CN"/>
                <w14:textFill>
                  <w14:solidFill>
                    <w14:schemeClr w14:val="tx1"/>
                  </w14:solidFill>
                </w14:textFill>
              </w:rPr>
              <w:t>项目无组织废气主要为原料贮存库扬尘、原料制备工段无组织废气和运输扬尘</w:t>
            </w:r>
            <w:r>
              <w:rPr>
                <w:rFonts w:hint="eastAsia"/>
                <w:color w:val="000000" w:themeColor="text1"/>
                <w:szCs w:val="24"/>
                <w14:textFill>
                  <w14:solidFill>
                    <w14:schemeClr w14:val="tx1"/>
                  </w14:solidFill>
                </w14:textFill>
              </w:rPr>
              <w:t>。</w:t>
            </w:r>
          </w:p>
          <w:p w14:paraId="719182AD">
            <w:pPr>
              <w:pStyle w:val="82"/>
              <w:adjustRightInd w:val="0"/>
              <w:snapToGrid w:val="0"/>
              <w:ind w:firstLine="482" w:firstLineChars="200"/>
              <w:outlineLvl w:val="2"/>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cs="Times New Roman"/>
                <w:b/>
                <w:bCs/>
                <w:color w:val="000000" w:themeColor="text1"/>
                <w:sz w:val="24"/>
                <w:szCs w:val="24"/>
                <w:highlight w:val="none"/>
                <w:lang w:eastAsia="zh-CN"/>
                <w14:textFill>
                  <w14:solidFill>
                    <w14:schemeClr w14:val="tx1"/>
                  </w14:solidFill>
                </w14:textFill>
              </w:rPr>
              <w:t>（</w:t>
            </w:r>
            <w:r>
              <w:rPr>
                <w:rFonts w:hint="eastAsia" w:cs="Times New Roman"/>
                <w:b/>
                <w:bCs/>
                <w:color w:val="000000" w:themeColor="text1"/>
                <w:sz w:val="24"/>
                <w:szCs w:val="24"/>
                <w:highlight w:val="none"/>
                <w:lang w:val="en-US" w:eastAsia="zh-CN"/>
                <w14:textFill>
                  <w14:solidFill>
                    <w14:schemeClr w14:val="tx1"/>
                  </w14:solidFill>
                </w14:textFill>
              </w:rPr>
              <w:t>1</w:t>
            </w:r>
            <w:r>
              <w:rPr>
                <w:rFonts w:hint="eastAsia" w:cs="Times New Roman"/>
                <w:b/>
                <w:bCs/>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原料贮存库扬尘</w:t>
            </w:r>
          </w:p>
          <w:p w14:paraId="2EEAEAC2">
            <w:pPr>
              <w:pStyle w:val="82"/>
              <w:adjustRightInd w:val="0"/>
              <w:snapToGrid w:val="0"/>
              <w:ind w:firstLine="480" w:firstLineChars="200"/>
              <w:outlineLvl w:val="2"/>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项目原料贮存库堆存扬尘包括装卸扬尘和风蚀扬尘，颗粒物产生量采用《排放源统计调查产排污核算方法和系数手册》中固体物料堆存颗粒物产排污核算系数手册进行核算，计算公式如下：</w:t>
            </w:r>
          </w:p>
          <w:p w14:paraId="6186F9C1">
            <w:pPr>
              <w:pStyle w:val="82"/>
              <w:adjustRightInd w:val="0"/>
              <w:snapToGrid w:val="0"/>
              <w:ind w:firstLine="480" w:firstLineChars="200"/>
              <w:outlineLvl w:val="2"/>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颗粒物产生量核算公式：</w:t>
            </w:r>
          </w:p>
          <w:p w14:paraId="1776C1A7">
            <w:pPr>
              <w:pStyle w:val="82"/>
              <w:adjustRightInd w:val="0"/>
              <w:snapToGrid w:val="0"/>
              <w:ind w:firstLine="480" w:firstLineChars="200"/>
              <w:outlineLvl w:val="2"/>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m:oMathPara>
              <m:oMath>
                <m:r>
                  <m:rPr/>
                  <w:rPr>
                    <w:rFonts w:hint="default" w:ascii="Cambria Math" w:hAnsi="Cambria Math" w:eastAsia="宋体" w:cs="Times New Roman"/>
                    <w:color w:val="000000" w:themeColor="text1"/>
                    <w:kern w:val="2"/>
                    <w:sz w:val="24"/>
                    <w:szCs w:val="24"/>
                    <w:highlight w:val="none"/>
                    <w:lang w:val="en-US" w:eastAsia="zh-CN" w:bidi="ar-SA"/>
                    <w14:textFill>
                      <w14:solidFill>
                        <w14:schemeClr w14:val="tx1"/>
                      </w14:solidFill>
                    </w14:textFill>
                  </w:rPr>
                  <m:t>P=Z</m:t>
                </m:r>
                <m:sSub>
                  <m:sSubPr>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sSubPr>
                  <m:e>
                    <m:r>
                      <m:rPr/>
                      <w:rPr>
                        <w:rFonts w:hint="default" w:ascii="Cambria Math" w:hAnsi="Cambria Math" w:eastAsia="宋体" w:cs="Times New Roman"/>
                        <w:color w:val="000000" w:themeColor="text1"/>
                        <w:kern w:val="2"/>
                        <w:sz w:val="24"/>
                        <w:szCs w:val="24"/>
                        <w:highlight w:val="none"/>
                        <w:lang w:val="en-US" w:eastAsia="zh-CN" w:bidi="ar-SA"/>
                        <w14:textFill>
                          <w14:solidFill>
                            <w14:schemeClr w14:val="tx1"/>
                          </w14:solidFill>
                        </w14:textFill>
                      </w:rPr>
                      <m:t>C</m:t>
                    </m:r>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e>
                  <m:sub>
                    <m:r>
                      <m:rPr/>
                      <w:rPr>
                        <w:rFonts w:hint="default" w:ascii="Cambria Math" w:hAnsi="Cambria Math" w:eastAsia="宋体" w:cs="Times New Roman"/>
                        <w:color w:val="000000" w:themeColor="text1"/>
                        <w:kern w:val="2"/>
                        <w:sz w:val="24"/>
                        <w:szCs w:val="24"/>
                        <w:highlight w:val="none"/>
                        <w:lang w:val="en-US" w:eastAsia="zh-CN" w:bidi="ar-SA"/>
                        <w14:textFill>
                          <w14:solidFill>
                            <w14:schemeClr w14:val="tx1"/>
                          </w14:solidFill>
                        </w14:textFill>
                      </w:rPr>
                      <m:t>y</m:t>
                    </m:r>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sub>
                </m:sSub>
                <m:r>
                  <m:rPr/>
                  <w:rPr>
                    <w:rFonts w:hint="default" w:ascii="Cambria Math" w:hAnsi="Cambria Math" w:eastAsia="宋体" w:cs="Times New Roman"/>
                    <w:color w:val="000000" w:themeColor="text1"/>
                    <w:kern w:val="2"/>
                    <w:sz w:val="24"/>
                    <w:szCs w:val="24"/>
                    <w:highlight w:val="none"/>
                    <w:lang w:val="en-US" w:eastAsia="zh-CN" w:bidi="ar-SA"/>
                    <w14:textFill>
                      <w14:solidFill>
                        <w14:schemeClr w14:val="tx1"/>
                      </w14:solidFill>
                    </w14:textFill>
                  </w:rPr>
                  <m:t>+F</m:t>
                </m:r>
                <m:sSub>
                  <m:sSubPr>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sSubPr>
                  <m:e>
                    <m:r>
                      <m:rPr/>
                      <w:rPr>
                        <w:rFonts w:hint="default" w:ascii="Cambria Math" w:hAnsi="Cambria Math" w:eastAsia="宋体" w:cs="Times New Roman"/>
                        <w:color w:val="000000" w:themeColor="text1"/>
                        <w:kern w:val="2"/>
                        <w:sz w:val="24"/>
                        <w:szCs w:val="24"/>
                        <w:highlight w:val="none"/>
                        <w:lang w:val="en-US" w:eastAsia="zh-CN" w:bidi="ar-SA"/>
                        <w14:textFill>
                          <w14:solidFill>
                            <w14:schemeClr w14:val="tx1"/>
                          </w14:solidFill>
                        </w14:textFill>
                      </w:rPr>
                      <m:t>C</m:t>
                    </m:r>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e>
                  <m:sub>
                    <m:r>
                      <m:rPr/>
                      <w:rPr>
                        <w:rFonts w:hint="default" w:ascii="Cambria Math" w:hAnsi="Cambria Math" w:eastAsia="宋体" w:cs="Times New Roman"/>
                        <w:color w:val="000000" w:themeColor="text1"/>
                        <w:kern w:val="2"/>
                        <w:sz w:val="24"/>
                        <w:szCs w:val="24"/>
                        <w:highlight w:val="none"/>
                        <w:lang w:val="en-US" w:eastAsia="zh-CN" w:bidi="ar-SA"/>
                        <w14:textFill>
                          <w14:solidFill>
                            <w14:schemeClr w14:val="tx1"/>
                          </w14:solidFill>
                        </w14:textFill>
                      </w:rPr>
                      <m:t>y</m:t>
                    </m:r>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sub>
                </m:sSub>
                <m:r>
                  <m:rPr/>
                  <w:rPr>
                    <w:rFonts w:hint="default" w:ascii="Cambria Math" w:hAnsi="Cambria Math" w:eastAsia="宋体" w:cs="Times New Roman"/>
                    <w:color w:val="000000" w:themeColor="text1"/>
                    <w:kern w:val="2"/>
                    <w:sz w:val="24"/>
                    <w:szCs w:val="24"/>
                    <w:highlight w:val="none"/>
                    <w:lang w:val="en-US" w:eastAsia="zh-CN" w:bidi="ar-SA"/>
                    <w14:textFill>
                      <w14:solidFill>
                        <w14:schemeClr w14:val="tx1"/>
                      </w14:solidFill>
                    </w14:textFill>
                  </w:rPr>
                  <m:t>=</m:t>
                </m:r>
                <m:d>
                  <m:dPr>
                    <m:begChr m:val="{"/>
                    <m:endChr m:val="}"/>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dPr>
                  <m:e>
                    <m:sSub>
                      <m:sSubPr>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sSubPr>
                      <m:e>
                        <m:r>
                          <m:rPr/>
                          <w:rPr>
                            <w:rFonts w:hint="default" w:ascii="Cambria Math" w:hAnsi="Cambria Math" w:eastAsia="宋体" w:cs="Times New Roman"/>
                            <w:color w:val="000000" w:themeColor="text1"/>
                            <w:kern w:val="2"/>
                            <w:sz w:val="24"/>
                            <w:szCs w:val="24"/>
                            <w:highlight w:val="none"/>
                            <w:lang w:val="en-US" w:eastAsia="zh-CN" w:bidi="ar-SA"/>
                            <w14:textFill>
                              <w14:solidFill>
                                <w14:schemeClr w14:val="tx1"/>
                              </w14:solidFill>
                            </w14:textFill>
                          </w:rPr>
                          <m:t>N</m:t>
                        </m:r>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e>
                      <m:sub>
                        <m:r>
                          <m:rPr/>
                          <w:rPr>
                            <w:rFonts w:hint="default" w:ascii="Cambria Math" w:hAnsi="Cambria Math" w:eastAsia="宋体" w:cs="Times New Roman"/>
                            <w:color w:val="000000" w:themeColor="text1"/>
                            <w:kern w:val="2"/>
                            <w:sz w:val="24"/>
                            <w:szCs w:val="24"/>
                            <w:highlight w:val="none"/>
                            <w:lang w:val="en-US" w:eastAsia="zh-CN" w:bidi="ar-SA"/>
                            <w14:textFill>
                              <w14:solidFill>
                                <w14:schemeClr w14:val="tx1"/>
                              </w14:solidFill>
                            </w14:textFill>
                          </w:rPr>
                          <m:t>c</m:t>
                        </m:r>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sub>
                    </m:sSub>
                    <m:r>
                      <m:rPr/>
                      <w:rPr>
                        <w:rFonts w:ascii="Cambria Math" w:hAnsi="Cambria Math" w:cs="Times New Roman"/>
                        <w:color w:val="000000" w:themeColor="text1"/>
                        <w:kern w:val="2"/>
                        <w:sz w:val="24"/>
                        <w:szCs w:val="24"/>
                        <w:highlight w:val="none"/>
                        <w:lang w:val="en-US" w:bidi="ar-SA"/>
                        <w14:textFill>
                          <w14:solidFill>
                            <w14:schemeClr w14:val="tx1"/>
                          </w14:solidFill>
                        </w14:textFill>
                      </w:rPr>
                      <m:t>×</m:t>
                    </m:r>
                    <m:r>
                      <m:rPr/>
                      <w:rPr>
                        <w:rFonts w:hint="default" w:ascii="Cambria Math" w:hAnsi="Cambria Math" w:cs="Times New Roman"/>
                        <w:color w:val="000000" w:themeColor="text1"/>
                        <w:kern w:val="2"/>
                        <w:sz w:val="24"/>
                        <w:szCs w:val="24"/>
                        <w:highlight w:val="none"/>
                        <w:lang w:val="en-US" w:eastAsia="zh-CN" w:bidi="ar-SA"/>
                        <w14:textFill>
                          <w14:solidFill>
                            <w14:schemeClr w14:val="tx1"/>
                          </w14:solidFill>
                        </w14:textFill>
                      </w:rPr>
                      <m:t>D</m:t>
                    </m:r>
                    <m:r>
                      <m:rPr/>
                      <w:rPr>
                        <w:rFonts w:ascii="Cambria Math" w:hAnsi="Cambria Math" w:cs="Times New Roman"/>
                        <w:color w:val="000000" w:themeColor="text1"/>
                        <w:kern w:val="2"/>
                        <w:sz w:val="24"/>
                        <w:szCs w:val="24"/>
                        <w:highlight w:val="none"/>
                        <w:lang w:val="en-US" w:bidi="ar-SA"/>
                        <w14:textFill>
                          <w14:solidFill>
                            <w14:schemeClr w14:val="tx1"/>
                          </w14:solidFill>
                        </w14:textFill>
                      </w:rPr>
                      <m:t>×</m:t>
                    </m:r>
                    <m:d>
                      <m:dPr>
                        <m:ctrlPr>
                          <w:rPr>
                            <w:rFonts w:ascii="Cambria Math" w:hAnsi="Cambria Math" w:cs="Times New Roman"/>
                            <w:i/>
                            <w:color w:val="000000" w:themeColor="text1"/>
                            <w:kern w:val="2"/>
                            <w:sz w:val="24"/>
                            <w:szCs w:val="24"/>
                            <w:highlight w:val="none"/>
                            <w:lang w:val="en-US" w:bidi="ar-SA"/>
                            <w14:textFill>
                              <w14:solidFill>
                                <w14:schemeClr w14:val="tx1"/>
                              </w14:solidFill>
                            </w14:textFill>
                          </w:rPr>
                        </m:ctrlPr>
                      </m:dPr>
                      <m:e>
                        <m:r>
                          <m:rPr/>
                          <w:rPr>
                            <w:rFonts w:hint="default" w:ascii="Cambria Math" w:hAnsi="Cambria Math" w:cs="Times New Roman"/>
                            <w:color w:val="000000" w:themeColor="text1"/>
                            <w:kern w:val="2"/>
                            <w:sz w:val="24"/>
                            <w:szCs w:val="24"/>
                            <w:highlight w:val="none"/>
                            <w:lang w:val="en-US" w:eastAsia="zh-CN" w:bidi="ar-SA"/>
                            <w14:textFill>
                              <w14:solidFill>
                                <w14:schemeClr w14:val="tx1"/>
                              </w14:solidFill>
                            </w14:textFill>
                          </w:rPr>
                          <m:t>a</m:t>
                        </m:r>
                        <m:r>
                          <m:rPr/>
                          <w:rPr>
                            <w:rFonts w:ascii="Cambria Math" w:hAnsi="Cambria Math" w:cs="Times New Roman"/>
                            <w:color w:val="000000" w:themeColor="text1"/>
                            <w:kern w:val="2"/>
                            <w:sz w:val="24"/>
                            <w:szCs w:val="24"/>
                            <w:highlight w:val="none"/>
                            <w:lang w:val="en-US" w:bidi="ar-SA"/>
                            <w14:textFill>
                              <w14:solidFill>
                                <w14:schemeClr w14:val="tx1"/>
                              </w14:solidFill>
                            </w14:textFill>
                          </w:rPr>
                          <m:t>∕</m:t>
                        </m:r>
                        <m:r>
                          <m:rPr/>
                          <w:rPr>
                            <w:rFonts w:hint="default" w:ascii="Cambria Math" w:hAnsi="Cambria Math" w:cs="Times New Roman"/>
                            <w:color w:val="000000" w:themeColor="text1"/>
                            <w:kern w:val="2"/>
                            <w:sz w:val="24"/>
                            <w:szCs w:val="24"/>
                            <w:highlight w:val="none"/>
                            <w:lang w:val="en-US" w:eastAsia="zh-CN" w:bidi="ar-SA"/>
                            <w14:textFill>
                              <w14:solidFill>
                                <w14:schemeClr w14:val="tx1"/>
                              </w14:solidFill>
                            </w14:textFill>
                          </w:rPr>
                          <m:t>b</m:t>
                        </m:r>
                        <m:ctrlPr>
                          <w:rPr>
                            <w:rFonts w:ascii="Cambria Math" w:hAnsi="Cambria Math" w:cs="Times New Roman"/>
                            <w:i/>
                            <w:color w:val="000000" w:themeColor="text1"/>
                            <w:kern w:val="2"/>
                            <w:sz w:val="24"/>
                            <w:szCs w:val="24"/>
                            <w:highlight w:val="none"/>
                            <w:lang w:val="en-US" w:bidi="ar-SA"/>
                            <w14:textFill>
                              <w14:solidFill>
                                <w14:schemeClr w14:val="tx1"/>
                              </w14:solidFill>
                            </w14:textFill>
                          </w:rPr>
                        </m:ctrlPr>
                      </m:e>
                    </m:d>
                    <m:r>
                      <m:rPr/>
                      <w:rPr>
                        <w:rFonts w:ascii="Cambria Math" w:hAnsi="Cambria Math" w:cs="Times New Roman"/>
                        <w:color w:val="000000" w:themeColor="text1"/>
                        <w:kern w:val="2"/>
                        <w:sz w:val="24"/>
                        <w:szCs w:val="24"/>
                        <w:highlight w:val="none"/>
                        <w:lang w:val="en-US" w:bidi="ar-SA"/>
                        <w14:textFill>
                          <w14:solidFill>
                            <w14:schemeClr w14:val="tx1"/>
                          </w14:solidFill>
                        </w14:textFill>
                      </w:rPr>
                      <m:t>+</m:t>
                    </m:r>
                    <m:r>
                      <m:rPr/>
                      <w:rPr>
                        <w:rFonts w:hint="default" w:ascii="Cambria Math" w:hAnsi="Cambria Math" w:cs="Times New Roman"/>
                        <w:color w:val="000000" w:themeColor="text1"/>
                        <w:kern w:val="2"/>
                        <w:sz w:val="24"/>
                        <w:szCs w:val="24"/>
                        <w:highlight w:val="none"/>
                        <w:lang w:val="en-US" w:eastAsia="zh-CN" w:bidi="ar-SA"/>
                        <w14:textFill>
                          <w14:solidFill>
                            <w14:schemeClr w14:val="tx1"/>
                          </w14:solidFill>
                        </w14:textFill>
                      </w:rPr>
                      <m:t>2</m:t>
                    </m:r>
                    <m:r>
                      <m:rPr/>
                      <w:rPr>
                        <w:rFonts w:ascii="Cambria Math" w:hAnsi="Cambria Math" w:cs="Times New Roman"/>
                        <w:color w:val="000000" w:themeColor="text1"/>
                        <w:kern w:val="2"/>
                        <w:sz w:val="24"/>
                        <w:szCs w:val="24"/>
                        <w:highlight w:val="none"/>
                        <w:lang w:val="en-US" w:bidi="ar-SA"/>
                        <w14:textFill>
                          <w14:solidFill>
                            <w14:schemeClr w14:val="tx1"/>
                          </w14:solidFill>
                        </w14:textFill>
                      </w:rPr>
                      <m:t>×</m:t>
                    </m:r>
                    <m:sSub>
                      <m:sSubPr>
                        <m:ctrlPr>
                          <w:rPr>
                            <w:rFonts w:ascii="Cambria Math" w:hAnsi="Cambria Math" w:cs="Times New Roman"/>
                            <w:i/>
                            <w:color w:val="000000" w:themeColor="text1"/>
                            <w:kern w:val="2"/>
                            <w:sz w:val="24"/>
                            <w:szCs w:val="24"/>
                            <w:highlight w:val="none"/>
                            <w:lang w:val="en-US" w:bidi="ar-SA"/>
                            <w14:textFill>
                              <w14:solidFill>
                                <w14:schemeClr w14:val="tx1"/>
                              </w14:solidFill>
                            </w14:textFill>
                          </w:rPr>
                        </m:ctrlPr>
                      </m:sSubPr>
                      <m:e>
                        <m:r>
                          <m:rPr/>
                          <w:rPr>
                            <w:rFonts w:hint="default" w:ascii="Cambria Math" w:hAnsi="Cambria Math" w:cs="Times New Roman"/>
                            <w:color w:val="000000" w:themeColor="text1"/>
                            <w:kern w:val="2"/>
                            <w:sz w:val="24"/>
                            <w:szCs w:val="24"/>
                            <w:highlight w:val="none"/>
                            <w:lang w:val="en-US" w:eastAsia="zh-CN" w:bidi="ar-SA"/>
                            <w14:textFill>
                              <w14:solidFill>
                                <w14:schemeClr w14:val="tx1"/>
                              </w14:solidFill>
                            </w14:textFill>
                          </w:rPr>
                          <m:t>E</m:t>
                        </m:r>
                        <m:ctrlPr>
                          <w:rPr>
                            <w:rFonts w:ascii="Cambria Math" w:hAnsi="Cambria Math" w:cs="Times New Roman"/>
                            <w:i/>
                            <w:color w:val="000000" w:themeColor="text1"/>
                            <w:kern w:val="2"/>
                            <w:sz w:val="24"/>
                            <w:szCs w:val="24"/>
                            <w:highlight w:val="none"/>
                            <w:lang w:val="en-US" w:bidi="ar-SA"/>
                            <w14:textFill>
                              <w14:solidFill>
                                <w14:schemeClr w14:val="tx1"/>
                              </w14:solidFill>
                            </w14:textFill>
                          </w:rPr>
                        </m:ctrlPr>
                      </m:e>
                      <m:sub>
                        <m:r>
                          <m:rPr/>
                          <w:rPr>
                            <w:rFonts w:hint="default" w:ascii="Cambria Math" w:hAnsi="Cambria Math" w:cs="Times New Roman"/>
                            <w:color w:val="000000" w:themeColor="text1"/>
                            <w:kern w:val="2"/>
                            <w:sz w:val="24"/>
                            <w:szCs w:val="24"/>
                            <w:highlight w:val="none"/>
                            <w:lang w:val="en-US" w:eastAsia="zh-CN" w:bidi="ar-SA"/>
                            <w14:textFill>
                              <w14:solidFill>
                                <w14:schemeClr w14:val="tx1"/>
                              </w14:solidFill>
                            </w14:textFill>
                          </w:rPr>
                          <m:t>f</m:t>
                        </m:r>
                        <m:ctrlPr>
                          <w:rPr>
                            <w:rFonts w:ascii="Cambria Math" w:hAnsi="Cambria Math" w:cs="Times New Roman"/>
                            <w:i/>
                            <w:color w:val="000000" w:themeColor="text1"/>
                            <w:kern w:val="2"/>
                            <w:sz w:val="24"/>
                            <w:szCs w:val="24"/>
                            <w:highlight w:val="none"/>
                            <w:lang w:val="en-US" w:bidi="ar-SA"/>
                            <w14:textFill>
                              <w14:solidFill>
                                <w14:schemeClr w14:val="tx1"/>
                              </w14:solidFill>
                            </w14:textFill>
                          </w:rPr>
                        </m:ctrlPr>
                      </m:sub>
                    </m:sSub>
                    <m:r>
                      <m:rPr/>
                      <w:rPr>
                        <w:rFonts w:ascii="Cambria Math" w:hAnsi="Cambria Math" w:cs="Times New Roman"/>
                        <w:color w:val="000000" w:themeColor="text1"/>
                        <w:kern w:val="2"/>
                        <w:sz w:val="24"/>
                        <w:szCs w:val="24"/>
                        <w:highlight w:val="none"/>
                        <w:lang w:val="en-US" w:bidi="ar-SA"/>
                        <w14:textFill>
                          <w14:solidFill>
                            <w14:schemeClr w14:val="tx1"/>
                          </w14:solidFill>
                        </w14:textFill>
                      </w:rPr>
                      <m:t>×</m:t>
                    </m:r>
                    <m:r>
                      <m:rPr/>
                      <w:rPr>
                        <w:rFonts w:hint="default" w:ascii="Cambria Math" w:hAnsi="Cambria Math" w:cs="Times New Roman"/>
                        <w:color w:val="000000" w:themeColor="text1"/>
                        <w:kern w:val="2"/>
                        <w:sz w:val="24"/>
                        <w:szCs w:val="24"/>
                        <w:highlight w:val="none"/>
                        <w:lang w:val="en-US" w:eastAsia="zh-CN" w:bidi="ar-SA"/>
                        <w14:textFill>
                          <w14:solidFill>
                            <w14:schemeClr w14:val="tx1"/>
                          </w14:solidFill>
                        </w14:textFill>
                      </w:rPr>
                      <m:t>S</m:t>
                    </m:r>
                    <m:ctrlPr>
                      <w:rPr>
                        <w:rFonts w:hint="default" w:ascii="Cambria Math" w:hAnsi="Cambria Math" w:eastAsia="宋体" w:cs="Times New Roman"/>
                        <w:i/>
                        <w:color w:val="000000" w:themeColor="text1"/>
                        <w:kern w:val="2"/>
                        <w:sz w:val="24"/>
                        <w:szCs w:val="24"/>
                        <w:highlight w:val="none"/>
                        <w:lang w:val="en-US" w:eastAsia="zh-CN" w:bidi="ar-SA"/>
                        <w14:textFill>
                          <w14:solidFill>
                            <w14:schemeClr w14:val="tx1"/>
                          </w14:solidFill>
                        </w14:textFill>
                      </w:rPr>
                    </m:ctrlPr>
                  </m:e>
                </m:d>
                <m:r>
                  <m:rPr/>
                  <w:rPr>
                    <w:rFonts w:hint="default" w:ascii="Cambria Math" w:hAnsi="Cambria Math" w:eastAsia="宋体" w:cs="Cambria Math"/>
                    <w:color w:val="000000" w:themeColor="text1"/>
                    <w:kern w:val="2"/>
                    <w:sz w:val="24"/>
                    <w:szCs w:val="24"/>
                    <w:highlight w:val="none"/>
                    <w:lang w:val="en-US" w:eastAsia="zh-CN" w:bidi="ar-SA"/>
                    <w14:textFill>
                      <w14:solidFill>
                        <w14:schemeClr w14:val="tx1"/>
                      </w14:solidFill>
                    </w14:textFill>
                  </w:rPr>
                  <m:t>×</m:t>
                </m:r>
                <m:sSup>
                  <m:sSupPr>
                    <m:ctrlPr>
                      <w:rPr>
                        <w:rFonts w:hint="default" w:ascii="Cambria Math" w:hAnsi="Cambria Math" w:eastAsia="宋体" w:cs="Cambria Math"/>
                        <w:i/>
                        <w:color w:val="000000" w:themeColor="text1"/>
                        <w:kern w:val="2"/>
                        <w:sz w:val="24"/>
                        <w:szCs w:val="24"/>
                        <w:highlight w:val="none"/>
                        <w:lang w:val="en-US" w:eastAsia="zh-CN" w:bidi="ar-SA"/>
                        <w14:textFill>
                          <w14:solidFill>
                            <w14:schemeClr w14:val="tx1"/>
                          </w14:solidFill>
                        </w14:textFill>
                      </w:rPr>
                    </m:ctrlPr>
                  </m:sSupPr>
                  <m:e>
                    <m:r>
                      <m:rPr/>
                      <w:rPr>
                        <w:rFonts w:hint="default" w:ascii="Cambria Math" w:hAnsi="Cambria Math" w:eastAsia="宋体" w:cs="Cambria Math"/>
                        <w:color w:val="000000" w:themeColor="text1"/>
                        <w:kern w:val="2"/>
                        <w:sz w:val="24"/>
                        <w:szCs w:val="24"/>
                        <w:highlight w:val="none"/>
                        <w:lang w:val="en-US" w:eastAsia="zh-CN" w:bidi="ar-SA"/>
                        <w14:textFill>
                          <w14:solidFill>
                            <w14:schemeClr w14:val="tx1"/>
                          </w14:solidFill>
                        </w14:textFill>
                      </w:rPr>
                      <m:t>10</m:t>
                    </m:r>
                    <m:ctrlPr>
                      <w:rPr>
                        <w:rFonts w:hint="default" w:ascii="Cambria Math" w:hAnsi="Cambria Math" w:eastAsia="宋体" w:cs="Cambria Math"/>
                        <w:i/>
                        <w:color w:val="000000" w:themeColor="text1"/>
                        <w:kern w:val="2"/>
                        <w:sz w:val="24"/>
                        <w:szCs w:val="24"/>
                        <w:highlight w:val="none"/>
                        <w:lang w:val="en-US" w:eastAsia="zh-CN" w:bidi="ar-SA"/>
                        <w14:textFill>
                          <w14:solidFill>
                            <w14:schemeClr w14:val="tx1"/>
                          </w14:solidFill>
                        </w14:textFill>
                      </w:rPr>
                    </m:ctrlPr>
                  </m:e>
                  <m:sup>
                    <m:r>
                      <m:rPr/>
                      <w:rPr>
                        <w:rFonts w:hint="default" w:ascii="Cambria Math" w:hAnsi="Cambria Math" w:eastAsia="宋体" w:cs="Cambria Math"/>
                        <w:color w:val="000000" w:themeColor="text1"/>
                        <w:kern w:val="2"/>
                        <w:sz w:val="24"/>
                        <w:szCs w:val="24"/>
                        <w:highlight w:val="none"/>
                        <w:lang w:val="en-US" w:eastAsia="zh-CN" w:bidi="ar-SA"/>
                        <w14:textFill>
                          <w14:solidFill>
                            <w14:schemeClr w14:val="tx1"/>
                          </w14:solidFill>
                        </w14:textFill>
                      </w:rPr>
                      <m:t>−3</m:t>
                    </m:r>
                    <m:ctrlPr>
                      <w:rPr>
                        <w:rFonts w:hint="default" w:ascii="Cambria Math" w:hAnsi="Cambria Math" w:eastAsia="宋体" w:cs="Cambria Math"/>
                        <w:i/>
                        <w:color w:val="000000" w:themeColor="text1"/>
                        <w:kern w:val="2"/>
                        <w:sz w:val="24"/>
                        <w:szCs w:val="24"/>
                        <w:highlight w:val="none"/>
                        <w:lang w:val="en-US" w:eastAsia="zh-CN" w:bidi="ar-SA"/>
                        <w14:textFill>
                          <w14:solidFill>
                            <w14:schemeClr w14:val="tx1"/>
                          </w14:solidFill>
                        </w14:textFill>
                      </w:rPr>
                    </m:ctrlPr>
                  </m:sup>
                </m:sSup>
              </m:oMath>
            </m:oMathPara>
          </w:p>
          <w:p w14:paraId="5EFFCC6B">
            <w:pPr>
              <w:pStyle w:val="82"/>
              <w:adjustRightInd w:val="0"/>
              <w:snapToGrid w:val="0"/>
              <w:ind w:firstLine="480" w:firstLineChars="200"/>
              <w:outlineLvl w:val="2"/>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式中：P指颗粒物产生量（单位：吨）；</w:t>
            </w:r>
          </w:p>
          <w:p w14:paraId="428DC3B1">
            <w:pPr>
              <w:pStyle w:val="82"/>
              <w:keepNext w:val="0"/>
              <w:keepLines w:val="0"/>
              <w:pageBreakBefore w:val="0"/>
              <w:widowControl w:val="0"/>
              <w:kinsoku/>
              <w:wordWrap/>
              <w:overflowPunct/>
              <w:topLinePunct w:val="0"/>
              <w:autoSpaceDE/>
              <w:autoSpaceDN/>
              <w:bidi w:val="0"/>
              <w:adjustRightInd w:val="0"/>
              <w:snapToGrid w:val="0"/>
              <w:ind w:firstLine="1200" w:firstLineChars="500"/>
              <w:textAlignment w:val="auto"/>
              <w:outlineLvl w:val="2"/>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ZC</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y</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指装卸扬尘产生量（单位：吨）；</w:t>
            </w:r>
          </w:p>
          <w:p w14:paraId="21243142">
            <w:pPr>
              <w:pStyle w:val="82"/>
              <w:keepNext w:val="0"/>
              <w:keepLines w:val="0"/>
              <w:pageBreakBefore w:val="0"/>
              <w:widowControl w:val="0"/>
              <w:kinsoku/>
              <w:wordWrap/>
              <w:overflowPunct/>
              <w:topLinePunct w:val="0"/>
              <w:autoSpaceDE/>
              <w:autoSpaceDN/>
              <w:bidi w:val="0"/>
              <w:adjustRightInd w:val="0"/>
              <w:snapToGrid w:val="0"/>
              <w:ind w:firstLine="1200" w:firstLineChars="500"/>
              <w:textAlignment w:val="auto"/>
              <w:outlineLvl w:val="2"/>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FC</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y</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指风蚀扬尘产生量（单位：吨）；</w:t>
            </w:r>
          </w:p>
          <w:p w14:paraId="68E8A1AD">
            <w:pPr>
              <w:pStyle w:val="82"/>
              <w:keepNext w:val="0"/>
              <w:keepLines w:val="0"/>
              <w:pageBreakBefore w:val="0"/>
              <w:widowControl w:val="0"/>
              <w:kinsoku/>
              <w:wordWrap/>
              <w:overflowPunct/>
              <w:topLinePunct w:val="0"/>
              <w:autoSpaceDE/>
              <w:autoSpaceDN/>
              <w:bidi w:val="0"/>
              <w:adjustRightInd w:val="0"/>
              <w:snapToGrid w:val="0"/>
              <w:ind w:firstLine="1200" w:firstLineChars="500"/>
              <w:textAlignment w:val="auto"/>
              <w:outlineLvl w:val="2"/>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N</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c</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指年物料运载车次（单位：车）；</w:t>
            </w:r>
          </w:p>
          <w:p w14:paraId="2BA5A6C4">
            <w:pPr>
              <w:pStyle w:val="82"/>
              <w:keepNext w:val="0"/>
              <w:keepLines w:val="0"/>
              <w:pageBreakBefore w:val="0"/>
              <w:widowControl w:val="0"/>
              <w:kinsoku/>
              <w:wordWrap/>
              <w:overflowPunct/>
              <w:topLinePunct w:val="0"/>
              <w:autoSpaceDE/>
              <w:autoSpaceDN/>
              <w:bidi w:val="0"/>
              <w:adjustRightInd w:val="0"/>
              <w:snapToGrid w:val="0"/>
              <w:ind w:firstLine="1200" w:firstLineChars="500"/>
              <w:textAlignment w:val="auto"/>
              <w:outlineLvl w:val="2"/>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D指单车平均运载量（单位：吨/年）；</w:t>
            </w:r>
          </w:p>
          <w:p w14:paraId="54137804">
            <w:pPr>
              <w:pStyle w:val="82"/>
              <w:keepNext w:val="0"/>
              <w:keepLines w:val="0"/>
              <w:pageBreakBefore w:val="0"/>
              <w:widowControl w:val="0"/>
              <w:kinsoku/>
              <w:wordWrap/>
              <w:overflowPunct/>
              <w:topLinePunct w:val="0"/>
              <w:autoSpaceDE/>
              <w:autoSpaceDN/>
              <w:bidi w:val="0"/>
              <w:adjustRightInd w:val="0"/>
              <w:snapToGrid w:val="0"/>
              <w:ind w:firstLine="1200" w:firstLineChars="500"/>
              <w:textAlignment w:val="auto"/>
              <w:outlineLvl w:val="2"/>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（a/b）指装卸扬尘概化系数（单位：千克/吨），a指各省风速概化系数，b指物料含水率概化系数；</w:t>
            </w:r>
          </w:p>
          <w:p w14:paraId="470A06A1">
            <w:pPr>
              <w:pStyle w:val="82"/>
              <w:keepNext w:val="0"/>
              <w:keepLines w:val="0"/>
              <w:pageBreakBefore w:val="0"/>
              <w:widowControl w:val="0"/>
              <w:kinsoku/>
              <w:wordWrap/>
              <w:overflowPunct/>
              <w:topLinePunct w:val="0"/>
              <w:autoSpaceDE/>
              <w:autoSpaceDN/>
              <w:bidi w:val="0"/>
              <w:adjustRightInd w:val="0"/>
              <w:snapToGrid w:val="0"/>
              <w:ind w:firstLine="1200" w:firstLineChars="500"/>
              <w:textAlignment w:val="auto"/>
              <w:outlineLvl w:val="2"/>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E</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f</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指堆场风蚀扬尘概化系数（单位：千克/平方米）；</w:t>
            </w:r>
          </w:p>
          <w:p w14:paraId="2ACB849F">
            <w:pPr>
              <w:pStyle w:val="82"/>
              <w:keepNext w:val="0"/>
              <w:keepLines w:val="0"/>
              <w:pageBreakBefore w:val="0"/>
              <w:widowControl w:val="0"/>
              <w:kinsoku/>
              <w:wordWrap/>
              <w:overflowPunct/>
              <w:topLinePunct w:val="0"/>
              <w:autoSpaceDE/>
              <w:autoSpaceDN/>
              <w:bidi w:val="0"/>
              <w:adjustRightInd w:val="0"/>
              <w:snapToGrid w:val="0"/>
              <w:ind w:firstLine="1200" w:firstLineChars="500"/>
              <w:textAlignment w:val="auto"/>
              <w:outlineLvl w:val="2"/>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S指堆场占地面积（单位：平方米）。</w:t>
            </w:r>
          </w:p>
          <w:p w14:paraId="07DF3649">
            <w:pPr>
              <w:bidi w:val="0"/>
              <w:jc w:val="center"/>
              <w:rPr>
                <w:rFonts w:hint="default"/>
                <w:b/>
                <w:bCs/>
                <w:color w:val="000000" w:themeColor="text1"/>
                <w:sz w:val="24"/>
                <w:szCs w:val="24"/>
                <w:vertAlign w:val="baseline"/>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表4-10  参数取值及计算结果</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239"/>
              <w:gridCol w:w="1239"/>
              <w:gridCol w:w="1181"/>
              <w:gridCol w:w="1297"/>
              <w:gridCol w:w="1005"/>
              <w:gridCol w:w="1474"/>
            </w:tblGrid>
            <w:tr w14:paraId="23095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Align w:val="center"/>
                </w:tcPr>
                <w:p w14:paraId="51AC4A9D">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N</w:t>
                  </w:r>
                  <w:r>
                    <w:rPr>
                      <w:rFonts w:hint="eastAsia" w:ascii="Times New Roman" w:hAnsi="Times New Roman" w:eastAsia="宋体" w:cs="Times New Roman"/>
                      <w:b w:val="0"/>
                      <w:bCs w:val="0"/>
                      <w:color w:val="000000" w:themeColor="text1"/>
                      <w:sz w:val="21"/>
                      <w:szCs w:val="21"/>
                      <w:highlight w:val="none"/>
                      <w:vertAlign w:val="subscript"/>
                      <w:lang w:val="en-US" w:eastAsia="zh-CN"/>
                      <w14:textFill>
                        <w14:solidFill>
                          <w14:schemeClr w14:val="tx1"/>
                        </w14:solidFill>
                      </w14:textFill>
                    </w:rPr>
                    <w:t>c</w:t>
                  </w:r>
                </w:p>
              </w:tc>
              <w:tc>
                <w:tcPr>
                  <w:tcW w:w="1239" w:type="dxa"/>
                  <w:vAlign w:val="center"/>
                </w:tcPr>
                <w:p w14:paraId="7D4E9467">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D</w:t>
                  </w:r>
                </w:p>
              </w:tc>
              <w:tc>
                <w:tcPr>
                  <w:tcW w:w="1239" w:type="dxa"/>
                  <w:vAlign w:val="center"/>
                </w:tcPr>
                <w:p w14:paraId="4319EF1F">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a</w:t>
                  </w:r>
                </w:p>
              </w:tc>
              <w:tc>
                <w:tcPr>
                  <w:tcW w:w="1181" w:type="dxa"/>
                  <w:vAlign w:val="center"/>
                </w:tcPr>
                <w:p w14:paraId="3B92CF6D">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b</w:t>
                  </w:r>
                </w:p>
              </w:tc>
              <w:tc>
                <w:tcPr>
                  <w:tcW w:w="1297" w:type="dxa"/>
                  <w:vAlign w:val="center"/>
                </w:tcPr>
                <w:p w14:paraId="4A26503B">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E</w:t>
                  </w:r>
                  <w:r>
                    <w:rPr>
                      <w:rFonts w:hint="eastAsia" w:ascii="Times New Roman" w:hAnsi="Times New Roman" w:eastAsia="宋体" w:cs="Times New Roman"/>
                      <w:b w:val="0"/>
                      <w:bCs w:val="0"/>
                      <w:color w:val="000000" w:themeColor="text1"/>
                      <w:sz w:val="21"/>
                      <w:szCs w:val="21"/>
                      <w:highlight w:val="none"/>
                      <w:vertAlign w:val="subscript"/>
                      <w:lang w:val="en-US" w:eastAsia="zh-CN"/>
                      <w14:textFill>
                        <w14:solidFill>
                          <w14:schemeClr w14:val="tx1"/>
                        </w14:solidFill>
                      </w14:textFill>
                    </w:rPr>
                    <w:t>f</w:t>
                  </w:r>
                </w:p>
              </w:tc>
              <w:tc>
                <w:tcPr>
                  <w:tcW w:w="1005" w:type="dxa"/>
                  <w:vAlign w:val="center"/>
                </w:tcPr>
                <w:p w14:paraId="57D1B1C6">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S</w:t>
                  </w:r>
                </w:p>
              </w:tc>
              <w:tc>
                <w:tcPr>
                  <w:tcW w:w="1474" w:type="dxa"/>
                  <w:vAlign w:val="center"/>
                </w:tcPr>
                <w:p w14:paraId="6D6F78EF">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计算结果（P）</w:t>
                  </w:r>
                </w:p>
              </w:tc>
            </w:tr>
            <w:tr w14:paraId="551EF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Align w:val="center"/>
                </w:tcPr>
                <w:p w14:paraId="666B0157">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5700</w:t>
                  </w:r>
                </w:p>
              </w:tc>
              <w:tc>
                <w:tcPr>
                  <w:tcW w:w="1239" w:type="dxa"/>
                  <w:vAlign w:val="center"/>
                </w:tcPr>
                <w:p w14:paraId="5A0DA087">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20</w:t>
                  </w:r>
                </w:p>
              </w:tc>
              <w:tc>
                <w:tcPr>
                  <w:tcW w:w="1239" w:type="dxa"/>
                  <w:vAlign w:val="center"/>
                </w:tcPr>
                <w:p w14:paraId="4844E26D">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0.0009</w:t>
                  </w:r>
                </w:p>
              </w:tc>
              <w:tc>
                <w:tcPr>
                  <w:tcW w:w="1181" w:type="dxa"/>
                  <w:vAlign w:val="center"/>
                </w:tcPr>
                <w:p w14:paraId="55EBAF0B">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0.0017</w:t>
                  </w:r>
                </w:p>
              </w:tc>
              <w:tc>
                <w:tcPr>
                  <w:tcW w:w="1297" w:type="dxa"/>
                  <w:vAlign w:val="center"/>
                </w:tcPr>
                <w:p w14:paraId="0B1EAA1D">
                  <w:pPr>
                    <w:bidi w:val="0"/>
                    <w:jc w:val="center"/>
                    <w:rPr>
                      <w:rFonts w:hint="default"/>
                      <w:b w:val="0"/>
                      <w:bCs w:val="0"/>
                      <w:color w:val="000000" w:themeColor="text1"/>
                      <w:sz w:val="21"/>
                      <w:szCs w:val="21"/>
                      <w:vertAlign w:val="superscript"/>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3.6062</w:t>
                  </w:r>
                </w:p>
              </w:tc>
              <w:tc>
                <w:tcPr>
                  <w:tcW w:w="1005" w:type="dxa"/>
                  <w:vAlign w:val="center"/>
                </w:tcPr>
                <w:p w14:paraId="3DEC62CD">
                  <w:pPr>
                    <w:bidi w:val="0"/>
                    <w:jc w:val="center"/>
                    <w:rPr>
                      <w:rFonts w:hint="default"/>
                      <w:b w:val="0"/>
                      <w:bCs w:val="0"/>
                      <w:color w:val="000000" w:themeColor="text1"/>
                      <w:sz w:val="21"/>
                      <w:szCs w:val="21"/>
                      <w:vertAlign w:val="superscript"/>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1200</w:t>
                  </w:r>
                </w:p>
              </w:tc>
              <w:tc>
                <w:tcPr>
                  <w:tcW w:w="1474" w:type="dxa"/>
                  <w:vAlign w:val="center"/>
                </w:tcPr>
                <w:p w14:paraId="167EFADD">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69.0</w:t>
                  </w:r>
                </w:p>
              </w:tc>
            </w:tr>
          </w:tbl>
          <w:p w14:paraId="1F8065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b w:val="0"/>
                <w:bCs w:val="0"/>
                <w:color w:val="000000" w:themeColor="text1"/>
                <w:sz w:val="24"/>
                <w:szCs w:val="24"/>
                <w:lang w:val="en-US" w:eastAsia="zh-CN"/>
                <w14:textFill>
                  <w14:solidFill>
                    <w14:schemeClr w14:val="tx1"/>
                  </w14:solidFill>
                </w14:textFill>
              </w:rPr>
            </w:pPr>
            <w:r>
              <w:rPr>
                <w:rFonts w:hint="eastAsia"/>
                <w:b w:val="0"/>
                <w:bCs w:val="0"/>
                <w:color w:val="000000" w:themeColor="text1"/>
                <w:sz w:val="24"/>
                <w:szCs w:val="24"/>
                <w:lang w:val="en-US" w:eastAsia="zh-CN"/>
                <w14:textFill>
                  <w14:solidFill>
                    <w14:schemeClr w14:val="tx1"/>
                  </w14:solidFill>
                </w14:textFill>
              </w:rPr>
              <w:t>颗粒物排放量核算公式：</w:t>
            </w:r>
          </w:p>
          <w:p w14:paraId="6F98D172">
            <w:pPr>
              <w:pStyle w:val="82"/>
              <w:adjustRightInd w:val="0"/>
              <w:snapToGrid w:val="0"/>
              <w:ind w:firstLine="480" w:firstLineChars="200"/>
              <w:jc w:val="center"/>
              <w:outlineLvl w:val="2"/>
              <w:rPr>
                <w:rFonts w:hint="default" w:hAnsi="Cambria Math" w:cs="Cambria Math"/>
                <w:bCs/>
                <w:i w:val="0"/>
                <w:color w:val="000000" w:themeColor="text1"/>
                <w:sz w:val="24"/>
                <w:szCs w:val="24"/>
                <w:highlight w:val="none"/>
                <w:vertAlign w:val="baseline"/>
                <w:lang w:val="en-US" w:eastAsia="zh-CN"/>
                <w14:textFill>
                  <w14:solidFill>
                    <w14:schemeClr w14:val="tx1"/>
                  </w14:solidFill>
                </w14:textFill>
              </w:rPr>
            </w:pPr>
            <m:oMathPara>
              <m:oMath>
                <m:sSub>
                  <m:sSubPr>
                    <m:ctrlPr>
                      <w:rPr>
                        <w:rFonts w:ascii="Cambria Math" w:hAnsi="Cambria Math" w:cs="Times New Roman"/>
                        <w:bCs/>
                        <w:i/>
                        <w:color w:val="000000" w:themeColor="text1"/>
                        <w:sz w:val="24"/>
                        <w:szCs w:val="24"/>
                        <w:highlight w:val="none"/>
                        <w:vertAlign w:val="baseline"/>
                        <w:lang w:val="en-US"/>
                        <w14:textFill>
                          <w14:solidFill>
                            <w14:schemeClr w14:val="tx1"/>
                          </w14:solidFill>
                        </w14:textFill>
                      </w:rPr>
                    </m:ctrlPr>
                  </m:sSubPr>
                  <m:e>
                    <m:r>
                      <m:rPr/>
                      <w:rPr>
                        <w:rFonts w:hint="default" w:ascii="Cambria Math" w:hAnsi="Cambria Math" w:cs="Times New Roman"/>
                        <w:color w:val="000000" w:themeColor="text1"/>
                        <w:sz w:val="24"/>
                        <w:szCs w:val="24"/>
                        <w:highlight w:val="none"/>
                        <w:vertAlign w:val="baseline"/>
                        <w:lang w:val="en-US" w:eastAsia="zh-CN"/>
                        <w14:textFill>
                          <w14:solidFill>
                            <w14:schemeClr w14:val="tx1"/>
                          </w14:solidFill>
                        </w14:textFill>
                      </w:rPr>
                      <m:t>U</m:t>
                    </m:r>
                    <m:ctrlPr>
                      <w:rPr>
                        <w:rFonts w:ascii="Cambria Math" w:hAnsi="Cambria Math" w:cs="Times New Roman"/>
                        <w:bCs/>
                        <w:i/>
                        <w:color w:val="000000" w:themeColor="text1"/>
                        <w:sz w:val="24"/>
                        <w:szCs w:val="24"/>
                        <w:highlight w:val="none"/>
                        <w:vertAlign w:val="baseline"/>
                        <w:lang w:val="en-US"/>
                        <w14:textFill>
                          <w14:solidFill>
                            <w14:schemeClr w14:val="tx1"/>
                          </w14:solidFill>
                        </w14:textFill>
                      </w:rPr>
                    </m:ctrlPr>
                  </m:e>
                  <m:sub>
                    <m:r>
                      <m:rPr/>
                      <w:rPr>
                        <w:rFonts w:hint="default" w:ascii="Cambria Math" w:hAnsi="Cambria Math" w:cs="Times New Roman"/>
                        <w:color w:val="000000" w:themeColor="text1"/>
                        <w:sz w:val="24"/>
                        <w:szCs w:val="24"/>
                        <w:highlight w:val="none"/>
                        <w:vertAlign w:val="baseline"/>
                        <w:lang w:val="en-US" w:eastAsia="zh-CN"/>
                        <w14:textFill>
                          <w14:solidFill>
                            <w14:schemeClr w14:val="tx1"/>
                          </w14:solidFill>
                        </w14:textFill>
                      </w:rPr>
                      <m:t>c</m:t>
                    </m:r>
                    <m:ctrlPr>
                      <w:rPr>
                        <w:rFonts w:ascii="Cambria Math" w:hAnsi="Cambria Math" w:cs="Times New Roman"/>
                        <w:bCs/>
                        <w:i/>
                        <w:color w:val="000000" w:themeColor="text1"/>
                        <w:sz w:val="24"/>
                        <w:szCs w:val="24"/>
                        <w:highlight w:val="none"/>
                        <w:vertAlign w:val="baseline"/>
                        <w:lang w:val="en-US"/>
                        <w14:textFill>
                          <w14:solidFill>
                            <w14:schemeClr w14:val="tx1"/>
                          </w14:solidFill>
                        </w14:textFill>
                      </w:rPr>
                    </m:ctrlPr>
                  </m:sub>
                </m:sSub>
                <m:r>
                  <m:rPr/>
                  <w:rPr>
                    <w:rFonts w:hint="default" w:ascii="Cambria Math" w:hAnsi="Cambria Math" w:cs="Cambria Math"/>
                    <w:color w:val="000000" w:themeColor="text1"/>
                    <w:sz w:val="24"/>
                    <w:szCs w:val="24"/>
                    <w:highlight w:val="none"/>
                    <w:vertAlign w:val="baseline"/>
                    <w:lang w:val="en-US"/>
                    <w14:textFill>
                      <w14:solidFill>
                        <w14:schemeClr w14:val="tx1"/>
                      </w14:solidFill>
                    </w14:textFill>
                  </w:rPr>
                  <m:t>=</m:t>
                </m:r>
                <m:r>
                  <m:rPr/>
                  <w:rPr>
                    <w:rFonts w:hint="default" w:ascii="Cambria Math" w:hAnsi="Cambria Math" w:cs="Times New Roman"/>
                    <w:color w:val="000000" w:themeColor="text1"/>
                    <w:sz w:val="24"/>
                    <w:szCs w:val="24"/>
                    <w:highlight w:val="none"/>
                    <w:vertAlign w:val="baseline"/>
                    <w:lang w:val="en-US" w:eastAsia="zh-CN"/>
                    <w14:textFill>
                      <w14:solidFill>
                        <w14:schemeClr w14:val="tx1"/>
                      </w14:solidFill>
                    </w14:textFill>
                  </w:rPr>
                  <m:t>P</m:t>
                </m:r>
                <m:r>
                  <m:rPr/>
                  <w:rPr>
                    <w:rFonts w:hint="default" w:ascii="Cambria Math" w:hAnsi="Cambria Math" w:cs="Cambria Math"/>
                    <w:color w:val="000000" w:themeColor="text1"/>
                    <w:sz w:val="24"/>
                    <w:szCs w:val="24"/>
                    <w:highlight w:val="none"/>
                    <w:vertAlign w:val="baseline"/>
                    <w:lang w:val="en-US" w:eastAsia="zh-CN"/>
                    <w14:textFill>
                      <w14:solidFill>
                        <w14:schemeClr w14:val="tx1"/>
                      </w14:solidFill>
                    </w14:textFill>
                  </w:rPr>
                  <m:t>×</m:t>
                </m:r>
                <m:d>
                  <m:dPr>
                    <m:ctrlPr>
                      <w:rPr>
                        <w:rFonts w:hint="default" w:ascii="Cambria Math" w:hAnsi="Cambria Math" w:cs="Cambria Math"/>
                        <w:bCs/>
                        <w:i/>
                        <w:color w:val="000000" w:themeColor="text1"/>
                        <w:sz w:val="24"/>
                        <w:szCs w:val="24"/>
                        <w:highlight w:val="none"/>
                        <w:vertAlign w:val="baseline"/>
                        <w:lang w:val="en-US" w:eastAsia="zh-CN"/>
                        <w14:textFill>
                          <w14:solidFill>
                            <w14:schemeClr w14:val="tx1"/>
                          </w14:solidFill>
                        </w14:textFill>
                      </w:rPr>
                    </m:ctrlPr>
                  </m:dPr>
                  <m:e>
                    <m:r>
                      <m:rPr/>
                      <w:rPr>
                        <w:rFonts w:hint="default" w:ascii="Cambria Math" w:hAnsi="Cambria Math" w:cs="Cambria Math"/>
                        <w:color w:val="000000" w:themeColor="text1"/>
                        <w:sz w:val="24"/>
                        <w:szCs w:val="24"/>
                        <w:highlight w:val="none"/>
                        <w:vertAlign w:val="baseline"/>
                        <w:lang w:val="en-US" w:eastAsia="zh-CN"/>
                        <w14:textFill>
                          <w14:solidFill>
                            <w14:schemeClr w14:val="tx1"/>
                          </w14:solidFill>
                        </w14:textFill>
                      </w:rPr>
                      <m:t>1</m:t>
                    </m:r>
                    <m:r>
                      <m:rPr/>
                      <w:rPr>
                        <w:rFonts w:ascii="Cambria Math" w:hAnsi="Cambria Math" w:cs="Cambria Math"/>
                        <w:color w:val="000000" w:themeColor="text1"/>
                        <w:sz w:val="24"/>
                        <w:szCs w:val="24"/>
                        <w:highlight w:val="none"/>
                        <w:vertAlign w:val="baseline"/>
                        <w:lang w:val="en-US"/>
                        <w14:textFill>
                          <w14:solidFill>
                            <w14:schemeClr w14:val="tx1"/>
                          </w14:solidFill>
                        </w14:textFill>
                      </w:rPr>
                      <m:t>−</m:t>
                    </m:r>
                    <m:sSub>
                      <m:sSubPr>
                        <m:ctrlPr>
                          <w:rPr>
                            <w:rFonts w:ascii="Cambria Math" w:hAnsi="Cambria Math" w:cs="Cambria Math"/>
                            <w:bCs/>
                            <w:i/>
                            <w:color w:val="000000" w:themeColor="text1"/>
                            <w:sz w:val="24"/>
                            <w:szCs w:val="24"/>
                            <w:highlight w:val="none"/>
                            <w:vertAlign w:val="baseline"/>
                            <w:lang w:val="en-US"/>
                            <w14:textFill>
                              <w14:solidFill>
                                <w14:schemeClr w14:val="tx1"/>
                              </w14:solidFill>
                            </w14:textFill>
                          </w:rPr>
                        </m:ctrlPr>
                      </m:sSubPr>
                      <m:e>
                        <m:r>
                          <m:rPr/>
                          <w:rPr>
                            <w:rFonts w:hint="default" w:ascii="Cambria Math" w:hAnsi="Cambria Math" w:cs="Cambria Math"/>
                            <w:color w:val="000000" w:themeColor="text1"/>
                            <w:sz w:val="24"/>
                            <w:szCs w:val="24"/>
                            <w:highlight w:val="none"/>
                            <w:vertAlign w:val="baseline"/>
                            <w:lang w:val="en-US" w:eastAsia="zh-CN"/>
                            <w14:textFill>
                              <w14:solidFill>
                                <w14:schemeClr w14:val="tx1"/>
                              </w14:solidFill>
                            </w14:textFill>
                          </w:rPr>
                          <m:t>C</m:t>
                        </m:r>
                        <m:ctrlPr>
                          <w:rPr>
                            <w:rFonts w:ascii="Cambria Math" w:hAnsi="Cambria Math" w:cs="Cambria Math"/>
                            <w:bCs/>
                            <w:i/>
                            <w:color w:val="000000" w:themeColor="text1"/>
                            <w:sz w:val="24"/>
                            <w:szCs w:val="24"/>
                            <w:highlight w:val="none"/>
                            <w:vertAlign w:val="baseline"/>
                            <w:lang w:val="en-US"/>
                            <w14:textFill>
                              <w14:solidFill>
                                <w14:schemeClr w14:val="tx1"/>
                              </w14:solidFill>
                            </w14:textFill>
                          </w:rPr>
                        </m:ctrlPr>
                      </m:e>
                      <m:sub>
                        <m:r>
                          <m:rPr/>
                          <w:rPr>
                            <w:rFonts w:hint="default" w:ascii="Cambria Math" w:hAnsi="Cambria Math" w:cs="Cambria Math"/>
                            <w:color w:val="000000" w:themeColor="text1"/>
                            <w:sz w:val="24"/>
                            <w:szCs w:val="24"/>
                            <w:highlight w:val="none"/>
                            <w:vertAlign w:val="baseline"/>
                            <w:lang w:val="en-US" w:eastAsia="zh-CN"/>
                            <w14:textFill>
                              <w14:solidFill>
                                <w14:schemeClr w14:val="tx1"/>
                              </w14:solidFill>
                            </w14:textFill>
                          </w:rPr>
                          <m:t>m</m:t>
                        </m:r>
                        <m:ctrlPr>
                          <w:rPr>
                            <w:rFonts w:ascii="Cambria Math" w:hAnsi="Cambria Math" w:cs="Cambria Math"/>
                            <w:bCs/>
                            <w:i/>
                            <w:color w:val="000000" w:themeColor="text1"/>
                            <w:sz w:val="24"/>
                            <w:szCs w:val="24"/>
                            <w:highlight w:val="none"/>
                            <w:vertAlign w:val="baseline"/>
                            <w:lang w:val="en-US"/>
                            <w14:textFill>
                              <w14:solidFill>
                                <w14:schemeClr w14:val="tx1"/>
                              </w14:solidFill>
                            </w14:textFill>
                          </w:rPr>
                        </m:ctrlPr>
                      </m:sub>
                    </m:sSub>
                    <m:ctrlPr>
                      <w:rPr>
                        <w:rFonts w:hint="default" w:ascii="Cambria Math" w:hAnsi="Cambria Math" w:cs="Cambria Math"/>
                        <w:bCs/>
                        <w:i/>
                        <w:color w:val="000000" w:themeColor="text1"/>
                        <w:sz w:val="24"/>
                        <w:szCs w:val="24"/>
                        <w:highlight w:val="none"/>
                        <w:vertAlign w:val="baseline"/>
                        <w:lang w:val="en-US" w:eastAsia="zh-CN"/>
                        <w14:textFill>
                          <w14:solidFill>
                            <w14:schemeClr w14:val="tx1"/>
                          </w14:solidFill>
                        </w14:textFill>
                      </w:rPr>
                    </m:ctrlPr>
                  </m:e>
                </m:d>
                <m:r>
                  <m:rPr/>
                  <w:rPr>
                    <w:rFonts w:hint="default" w:ascii="Cambria Math" w:hAnsi="Cambria Math" w:cs="Cambria Math"/>
                    <w:color w:val="000000" w:themeColor="text1"/>
                    <w:sz w:val="24"/>
                    <w:szCs w:val="24"/>
                    <w:highlight w:val="none"/>
                    <w:vertAlign w:val="baseline"/>
                    <w:lang w:val="en-US" w:eastAsia="zh-CN"/>
                    <w14:textFill>
                      <w14:solidFill>
                        <w14:schemeClr w14:val="tx1"/>
                      </w14:solidFill>
                    </w14:textFill>
                  </w:rPr>
                  <m:t>×</m:t>
                </m:r>
                <m:d>
                  <m:dPr>
                    <m:ctrlPr>
                      <w:rPr>
                        <w:rFonts w:hint="default" w:ascii="Cambria Math" w:hAnsi="Cambria Math" w:cs="Cambria Math"/>
                        <w:bCs/>
                        <w:i/>
                        <w:color w:val="000000" w:themeColor="text1"/>
                        <w:sz w:val="24"/>
                        <w:szCs w:val="24"/>
                        <w:highlight w:val="none"/>
                        <w:vertAlign w:val="baseline"/>
                        <w:lang w:val="en-US" w:eastAsia="zh-CN"/>
                        <w14:textFill>
                          <w14:solidFill>
                            <w14:schemeClr w14:val="tx1"/>
                          </w14:solidFill>
                        </w14:textFill>
                      </w:rPr>
                    </m:ctrlPr>
                  </m:dPr>
                  <m:e>
                    <m:r>
                      <m:rPr/>
                      <w:rPr>
                        <w:rFonts w:hint="default" w:ascii="Cambria Math" w:hAnsi="Cambria Math" w:cs="Cambria Math"/>
                        <w:color w:val="000000" w:themeColor="text1"/>
                        <w:sz w:val="24"/>
                        <w:szCs w:val="24"/>
                        <w:highlight w:val="none"/>
                        <w:vertAlign w:val="baseline"/>
                        <w:lang w:val="en-US" w:eastAsia="zh-CN"/>
                        <w14:textFill>
                          <w14:solidFill>
                            <w14:schemeClr w14:val="tx1"/>
                          </w14:solidFill>
                        </w14:textFill>
                      </w:rPr>
                      <m:t>1</m:t>
                    </m:r>
                    <m:r>
                      <m:rPr/>
                      <w:rPr>
                        <w:rFonts w:ascii="Cambria Math" w:hAnsi="Cambria Math" w:cs="Cambria Math"/>
                        <w:color w:val="000000" w:themeColor="text1"/>
                        <w:sz w:val="24"/>
                        <w:szCs w:val="24"/>
                        <w:highlight w:val="none"/>
                        <w:vertAlign w:val="baseline"/>
                        <w:lang w:val="en-US"/>
                        <w14:textFill>
                          <w14:solidFill>
                            <w14:schemeClr w14:val="tx1"/>
                          </w14:solidFill>
                        </w14:textFill>
                      </w:rPr>
                      <m:t>−</m:t>
                    </m:r>
                    <m:sSub>
                      <m:sSubPr>
                        <m:ctrlPr>
                          <w:rPr>
                            <w:rFonts w:ascii="Cambria Math" w:hAnsi="Cambria Math" w:cs="Cambria Math"/>
                            <w:bCs/>
                            <w:i/>
                            <w:color w:val="000000" w:themeColor="text1"/>
                            <w:sz w:val="24"/>
                            <w:szCs w:val="24"/>
                            <w:highlight w:val="none"/>
                            <w:vertAlign w:val="baseline"/>
                            <w:lang w:val="en-US"/>
                            <w14:textFill>
                              <w14:solidFill>
                                <w14:schemeClr w14:val="tx1"/>
                              </w14:solidFill>
                            </w14:textFill>
                          </w:rPr>
                        </m:ctrlPr>
                      </m:sSubPr>
                      <m:e>
                        <m:r>
                          <m:rPr/>
                          <w:rPr>
                            <w:rFonts w:hint="default" w:ascii="Cambria Math" w:hAnsi="Cambria Math" w:cs="Cambria Math"/>
                            <w:color w:val="000000" w:themeColor="text1"/>
                            <w:sz w:val="24"/>
                            <w:szCs w:val="24"/>
                            <w:highlight w:val="none"/>
                            <w:vertAlign w:val="baseline"/>
                            <w:lang w:val="en-US" w:eastAsia="zh-CN"/>
                            <w14:textFill>
                              <w14:solidFill>
                                <w14:schemeClr w14:val="tx1"/>
                              </w14:solidFill>
                            </w14:textFill>
                          </w:rPr>
                          <m:t>T</m:t>
                        </m:r>
                        <m:ctrlPr>
                          <w:rPr>
                            <w:rFonts w:ascii="Cambria Math" w:hAnsi="Cambria Math" w:cs="Cambria Math"/>
                            <w:bCs/>
                            <w:i/>
                            <w:color w:val="000000" w:themeColor="text1"/>
                            <w:sz w:val="24"/>
                            <w:szCs w:val="24"/>
                            <w:highlight w:val="none"/>
                            <w:vertAlign w:val="baseline"/>
                            <w:lang w:val="en-US"/>
                            <w14:textFill>
                              <w14:solidFill>
                                <w14:schemeClr w14:val="tx1"/>
                              </w14:solidFill>
                            </w14:textFill>
                          </w:rPr>
                        </m:ctrlPr>
                      </m:e>
                      <m:sub>
                        <m:r>
                          <m:rPr/>
                          <w:rPr>
                            <w:rFonts w:hint="default" w:ascii="Cambria Math" w:hAnsi="Cambria Math" w:cs="Cambria Math"/>
                            <w:color w:val="000000" w:themeColor="text1"/>
                            <w:sz w:val="24"/>
                            <w:szCs w:val="24"/>
                            <w:highlight w:val="none"/>
                            <w:vertAlign w:val="baseline"/>
                            <w:lang w:val="en-US" w:eastAsia="zh-CN"/>
                            <w14:textFill>
                              <w14:solidFill>
                                <w14:schemeClr w14:val="tx1"/>
                              </w14:solidFill>
                            </w14:textFill>
                          </w:rPr>
                          <m:t>m</m:t>
                        </m:r>
                        <m:ctrlPr>
                          <w:rPr>
                            <w:rFonts w:ascii="Cambria Math" w:hAnsi="Cambria Math" w:cs="Cambria Math"/>
                            <w:bCs/>
                            <w:i/>
                            <w:color w:val="000000" w:themeColor="text1"/>
                            <w:sz w:val="24"/>
                            <w:szCs w:val="24"/>
                            <w:highlight w:val="none"/>
                            <w:vertAlign w:val="baseline"/>
                            <w:lang w:val="en-US"/>
                            <w14:textFill>
                              <w14:solidFill>
                                <w14:schemeClr w14:val="tx1"/>
                              </w14:solidFill>
                            </w14:textFill>
                          </w:rPr>
                        </m:ctrlPr>
                      </m:sub>
                    </m:sSub>
                    <m:ctrlPr>
                      <w:rPr>
                        <w:rFonts w:hint="default" w:ascii="Cambria Math" w:hAnsi="Cambria Math" w:cs="Cambria Math"/>
                        <w:bCs/>
                        <w:i/>
                        <w:color w:val="000000" w:themeColor="text1"/>
                        <w:sz w:val="24"/>
                        <w:szCs w:val="24"/>
                        <w:highlight w:val="none"/>
                        <w:vertAlign w:val="baseline"/>
                        <w:lang w:val="en-US" w:eastAsia="zh-CN"/>
                        <w14:textFill>
                          <w14:solidFill>
                            <w14:schemeClr w14:val="tx1"/>
                          </w14:solidFill>
                        </w14:textFill>
                      </w:rPr>
                    </m:ctrlPr>
                  </m:e>
                </m:d>
              </m:oMath>
            </m:oMathPara>
          </w:p>
          <w:p w14:paraId="23E74172">
            <w:pPr>
              <w:pStyle w:val="82"/>
              <w:adjustRightInd w:val="0"/>
              <w:snapToGrid w:val="0"/>
              <w:ind w:firstLine="480" w:firstLineChars="200"/>
              <w:jc w:val="both"/>
              <w:outlineLvl w:val="2"/>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pP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式中：P指颗粒物产生量（单位：吨）；</w:t>
            </w:r>
          </w:p>
          <w:p w14:paraId="187F1130">
            <w:pPr>
              <w:pStyle w:val="82"/>
              <w:keepNext w:val="0"/>
              <w:keepLines w:val="0"/>
              <w:pageBreakBefore w:val="0"/>
              <w:widowControl w:val="0"/>
              <w:kinsoku/>
              <w:wordWrap/>
              <w:overflowPunct/>
              <w:topLinePunct w:val="0"/>
              <w:autoSpaceDE/>
              <w:autoSpaceDN/>
              <w:bidi w:val="0"/>
              <w:adjustRightInd w:val="0"/>
              <w:snapToGrid w:val="0"/>
              <w:ind w:firstLine="1200" w:firstLineChars="500"/>
              <w:jc w:val="both"/>
              <w:textAlignment w:val="auto"/>
              <w:outlineLvl w:val="9"/>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pP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U</w:t>
            </w:r>
            <w:r>
              <w:rPr>
                <w:rFonts w:hint="eastAsia" w:hAnsi="Cambria Math" w:cs="Cambria Math"/>
                <w:bCs/>
                <w:i w:val="0"/>
                <w:color w:val="000000" w:themeColor="text1"/>
                <w:sz w:val="24"/>
                <w:szCs w:val="24"/>
                <w:highlight w:val="none"/>
                <w:vertAlign w:val="subscript"/>
                <w:lang w:val="en-US" w:eastAsia="zh-CN"/>
                <w14:textFill>
                  <w14:solidFill>
                    <w14:schemeClr w14:val="tx1"/>
                  </w14:solidFill>
                </w14:textFill>
              </w:rPr>
              <w:t>C</w:t>
            </w: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指颗粒物排放量（单位：吨）；</w:t>
            </w:r>
          </w:p>
          <w:p w14:paraId="7C39E9A4">
            <w:pPr>
              <w:pStyle w:val="82"/>
              <w:keepNext w:val="0"/>
              <w:keepLines w:val="0"/>
              <w:pageBreakBefore w:val="0"/>
              <w:widowControl w:val="0"/>
              <w:kinsoku/>
              <w:wordWrap/>
              <w:overflowPunct/>
              <w:topLinePunct w:val="0"/>
              <w:autoSpaceDE/>
              <w:autoSpaceDN/>
              <w:bidi w:val="0"/>
              <w:adjustRightInd w:val="0"/>
              <w:snapToGrid w:val="0"/>
              <w:ind w:firstLine="1200" w:firstLineChars="500"/>
              <w:jc w:val="both"/>
              <w:textAlignment w:val="auto"/>
              <w:outlineLvl w:val="9"/>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pP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C</w:t>
            </w:r>
            <w:r>
              <w:rPr>
                <w:rFonts w:hint="eastAsia" w:hAnsi="Cambria Math" w:cs="Cambria Math"/>
                <w:bCs/>
                <w:i w:val="0"/>
                <w:color w:val="000000" w:themeColor="text1"/>
                <w:sz w:val="24"/>
                <w:szCs w:val="24"/>
                <w:highlight w:val="none"/>
                <w:vertAlign w:val="subscript"/>
                <w:lang w:val="en-US" w:eastAsia="zh-CN"/>
                <w14:textFill>
                  <w14:solidFill>
                    <w14:schemeClr w14:val="tx1"/>
                  </w14:solidFill>
                </w14:textFill>
              </w:rPr>
              <w:t>m</w:t>
            </w: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指颗粒物控制措施控制效率（单位：%）；</w:t>
            </w:r>
          </w:p>
          <w:p w14:paraId="2D66C1FC">
            <w:pPr>
              <w:pStyle w:val="82"/>
              <w:keepNext w:val="0"/>
              <w:keepLines w:val="0"/>
              <w:pageBreakBefore w:val="0"/>
              <w:widowControl w:val="0"/>
              <w:kinsoku/>
              <w:wordWrap/>
              <w:overflowPunct/>
              <w:topLinePunct w:val="0"/>
              <w:autoSpaceDE/>
              <w:autoSpaceDN/>
              <w:bidi w:val="0"/>
              <w:adjustRightInd w:val="0"/>
              <w:snapToGrid w:val="0"/>
              <w:ind w:firstLine="1200" w:firstLineChars="500"/>
              <w:jc w:val="both"/>
              <w:textAlignment w:val="auto"/>
              <w:outlineLvl w:val="9"/>
              <w:rPr>
                <w:rFonts w:hint="default" w:hAnsi="Cambria Math" w:cs="Cambria Math"/>
                <w:bCs/>
                <w:i w:val="0"/>
                <w:color w:val="000000" w:themeColor="text1"/>
                <w:sz w:val="24"/>
                <w:szCs w:val="24"/>
                <w:highlight w:val="none"/>
                <w:vertAlign w:val="baseline"/>
                <w:lang w:val="en-US" w:eastAsia="zh-CN"/>
                <w14:textFill>
                  <w14:solidFill>
                    <w14:schemeClr w14:val="tx1"/>
                  </w14:solidFill>
                </w14:textFill>
              </w:rPr>
            </w:pP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T</w:t>
            </w:r>
            <w:r>
              <w:rPr>
                <w:rFonts w:hint="eastAsia" w:hAnsi="Cambria Math" w:cs="Cambria Math"/>
                <w:bCs/>
                <w:i w:val="0"/>
                <w:color w:val="000000" w:themeColor="text1"/>
                <w:sz w:val="24"/>
                <w:szCs w:val="24"/>
                <w:highlight w:val="none"/>
                <w:vertAlign w:val="subscript"/>
                <w:lang w:val="en-US" w:eastAsia="zh-CN"/>
                <w14:textFill>
                  <w14:solidFill>
                    <w14:schemeClr w14:val="tx1"/>
                  </w14:solidFill>
                </w14:textFill>
              </w:rPr>
              <w:t>m</w:t>
            </w: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指堆场类型控制效率（单位：%）。</w:t>
            </w:r>
          </w:p>
          <w:p w14:paraId="5416A44B">
            <w:pPr>
              <w:bidi w:val="0"/>
              <w:jc w:val="center"/>
              <w:rPr>
                <w:rFonts w:hint="eastAsia"/>
                <w:b/>
                <w:bCs/>
                <w:color w:val="000000" w:themeColor="text1"/>
                <w:sz w:val="24"/>
                <w:szCs w:val="24"/>
                <w:lang w:val="en-US" w:eastAsia="zh-CN"/>
                <w14:textFill>
                  <w14:solidFill>
                    <w14:schemeClr w14:val="tx1"/>
                  </w14:solidFill>
                </w14:textFill>
              </w:rPr>
            </w:pPr>
          </w:p>
          <w:p w14:paraId="46E3A51D">
            <w:pPr>
              <w:bidi w:val="0"/>
              <w:jc w:val="center"/>
              <w:rPr>
                <w:rFonts w:hint="default"/>
                <w:b/>
                <w:bCs/>
                <w:color w:val="000000" w:themeColor="text1"/>
                <w:sz w:val="24"/>
                <w:szCs w:val="24"/>
                <w:vertAlign w:val="baseline"/>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表4-11  参数取值及计算结果</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2168"/>
              <w:gridCol w:w="2168"/>
              <w:gridCol w:w="2170"/>
            </w:tblGrid>
            <w:tr w14:paraId="6BBCF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Align w:val="center"/>
                </w:tcPr>
                <w:p w14:paraId="5F21D1E6">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P</w:t>
                  </w:r>
                </w:p>
              </w:tc>
              <w:tc>
                <w:tcPr>
                  <w:tcW w:w="1239" w:type="dxa"/>
                  <w:vAlign w:val="center"/>
                </w:tcPr>
                <w:p w14:paraId="04A7BA06">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C</w:t>
                  </w:r>
                  <w:r>
                    <w:rPr>
                      <w:rFonts w:hint="eastAsia" w:hAnsi="Cambria Math" w:cs="Cambria Math"/>
                      <w:bCs/>
                      <w:i w:val="0"/>
                      <w:color w:val="000000" w:themeColor="text1"/>
                      <w:sz w:val="24"/>
                      <w:szCs w:val="24"/>
                      <w:highlight w:val="none"/>
                      <w:vertAlign w:val="subscript"/>
                      <w:lang w:val="en-US" w:eastAsia="zh-CN"/>
                      <w14:textFill>
                        <w14:solidFill>
                          <w14:schemeClr w14:val="tx1"/>
                        </w14:solidFill>
                      </w14:textFill>
                    </w:rPr>
                    <w:t>m</w:t>
                  </w:r>
                </w:p>
              </w:tc>
              <w:tc>
                <w:tcPr>
                  <w:tcW w:w="1239" w:type="dxa"/>
                  <w:vAlign w:val="center"/>
                </w:tcPr>
                <w:p w14:paraId="6671429F">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T</w:t>
                  </w:r>
                  <w:r>
                    <w:rPr>
                      <w:rFonts w:hint="eastAsia" w:hAnsi="Cambria Math" w:cs="Cambria Math"/>
                      <w:bCs/>
                      <w:i w:val="0"/>
                      <w:color w:val="000000" w:themeColor="text1"/>
                      <w:sz w:val="24"/>
                      <w:szCs w:val="24"/>
                      <w:highlight w:val="none"/>
                      <w:vertAlign w:val="subscript"/>
                      <w:lang w:val="en-US" w:eastAsia="zh-CN"/>
                      <w14:textFill>
                        <w14:solidFill>
                          <w14:schemeClr w14:val="tx1"/>
                        </w14:solidFill>
                      </w14:textFill>
                    </w:rPr>
                    <w:t>m</w:t>
                  </w:r>
                </w:p>
              </w:tc>
              <w:tc>
                <w:tcPr>
                  <w:tcW w:w="1240" w:type="dxa"/>
                  <w:vAlign w:val="center"/>
                </w:tcPr>
                <w:p w14:paraId="28DB2B15">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计算结果（</w:t>
                  </w:r>
                  <w:r>
                    <w:rPr>
                      <w:rFonts w:hint="eastAsia" w:hAnsi="Cambria Math" w:cs="Cambria Math"/>
                      <w:bCs/>
                      <w:i w:val="0"/>
                      <w:color w:val="000000" w:themeColor="text1"/>
                      <w:sz w:val="24"/>
                      <w:szCs w:val="24"/>
                      <w:highlight w:val="none"/>
                      <w:vertAlign w:val="baseline"/>
                      <w:lang w:val="en-US" w:eastAsia="zh-CN"/>
                      <w14:textFill>
                        <w14:solidFill>
                          <w14:schemeClr w14:val="tx1"/>
                        </w14:solidFill>
                      </w14:textFill>
                    </w:rPr>
                    <w:t>U</w:t>
                  </w:r>
                  <w:r>
                    <w:rPr>
                      <w:rFonts w:hint="eastAsia" w:hAnsi="Cambria Math" w:cs="Cambria Math"/>
                      <w:bCs/>
                      <w:i w:val="0"/>
                      <w:color w:val="000000" w:themeColor="text1"/>
                      <w:sz w:val="24"/>
                      <w:szCs w:val="24"/>
                      <w:highlight w:val="none"/>
                      <w:vertAlign w:val="subscript"/>
                      <w:lang w:val="en-US" w:eastAsia="zh-CN"/>
                      <w14:textFill>
                        <w14:solidFill>
                          <w14:schemeClr w14:val="tx1"/>
                        </w14:solidFill>
                      </w14:textFill>
                    </w:rPr>
                    <w:t>C</w:t>
                  </w:r>
                  <w:r>
                    <w:rPr>
                      <w:rFonts w:hint="eastAsia"/>
                      <w:b w:val="0"/>
                      <w:bCs w:val="0"/>
                      <w:color w:val="000000" w:themeColor="text1"/>
                      <w:sz w:val="21"/>
                      <w:szCs w:val="21"/>
                      <w:vertAlign w:val="baseline"/>
                      <w:lang w:val="en-US" w:eastAsia="zh-CN"/>
                      <w14:textFill>
                        <w14:solidFill>
                          <w14:schemeClr w14:val="tx1"/>
                        </w14:solidFill>
                      </w14:textFill>
                    </w:rPr>
                    <w:t>）</w:t>
                  </w:r>
                </w:p>
              </w:tc>
            </w:tr>
            <w:tr w14:paraId="3C29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Align w:val="center"/>
                </w:tcPr>
                <w:p w14:paraId="644F0016">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69.0</w:t>
                  </w:r>
                </w:p>
              </w:tc>
              <w:tc>
                <w:tcPr>
                  <w:tcW w:w="1239" w:type="dxa"/>
                  <w:vAlign w:val="center"/>
                </w:tcPr>
                <w:p w14:paraId="1FDDB647">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74%（喷雾降尘）</w:t>
                  </w:r>
                </w:p>
              </w:tc>
              <w:tc>
                <w:tcPr>
                  <w:tcW w:w="1239" w:type="dxa"/>
                  <w:vAlign w:val="center"/>
                </w:tcPr>
                <w:p w14:paraId="7937F9B9">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60%（半敞开式）</w:t>
                  </w:r>
                </w:p>
              </w:tc>
              <w:tc>
                <w:tcPr>
                  <w:tcW w:w="1240" w:type="dxa"/>
                  <w:vAlign w:val="center"/>
                </w:tcPr>
                <w:p w14:paraId="6B152F80">
                  <w:pPr>
                    <w:bidi w:val="0"/>
                    <w:jc w:val="center"/>
                    <w:rPr>
                      <w:rFonts w:hint="default"/>
                      <w:b w:val="0"/>
                      <w:bCs w:val="0"/>
                      <w:color w:val="000000" w:themeColor="text1"/>
                      <w:sz w:val="21"/>
                      <w:szCs w:val="21"/>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7.18</w:t>
                  </w:r>
                </w:p>
              </w:tc>
            </w:tr>
          </w:tbl>
          <w:p w14:paraId="2E8245B3">
            <w:pPr>
              <w:adjustRightInd w:val="0"/>
              <w:snapToGrid w:val="0"/>
              <w:spacing w:line="360" w:lineRule="auto"/>
              <w:ind w:firstLine="480" w:firstLineChars="200"/>
              <w:rPr>
                <w:rFonts w:hint="default"/>
                <w:b w:val="0"/>
                <w:bCs w:val="0"/>
                <w:color w:val="000000" w:themeColor="text1"/>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根据上述计算可得，项目原料堆场扬尘产生量为</w:t>
            </w:r>
            <w:r>
              <w:rPr>
                <w:rFonts w:hint="eastAsia" w:cs="Times New Roman"/>
                <w:color w:val="000000" w:themeColor="text1"/>
                <w:sz w:val="24"/>
                <w:szCs w:val="24"/>
                <w:lang w:val="en-US" w:eastAsia="zh-CN"/>
                <w14:textFill>
                  <w14:solidFill>
                    <w14:schemeClr w14:val="tx1"/>
                  </w14:solidFill>
                </w14:textFill>
              </w:rPr>
              <w:t>69</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t/a，排放量为</w:t>
            </w:r>
            <w:r>
              <w:rPr>
                <w:rFonts w:hint="eastAsia" w:cs="Times New Roman"/>
                <w:color w:val="000000" w:themeColor="text1"/>
                <w:sz w:val="24"/>
                <w:szCs w:val="24"/>
                <w:lang w:val="en-US" w:eastAsia="zh-CN"/>
                <w14:textFill>
                  <w14:solidFill>
                    <w14:schemeClr w14:val="tx1"/>
                  </w14:solidFill>
                </w14:textFill>
              </w:rPr>
              <w:t>7.18</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t/a。</w:t>
            </w:r>
          </w:p>
          <w:p w14:paraId="368C2328">
            <w:pPr>
              <w:spacing w:before="2" w:line="359" w:lineRule="auto"/>
              <w:ind w:left="38" w:right="120" w:firstLine="481"/>
              <w:rPr>
                <w:rFonts w:hint="default" w:ascii="Times New Roman" w:hAnsi="Times New Roman" w:cs="Times New Roman"/>
                <w:b/>
                <w:bCs/>
                <w:color w:val="000000" w:themeColor="text1"/>
                <w:spacing w:val="-2"/>
                <w:sz w:val="24"/>
                <w:szCs w:val="24"/>
                <w:lang w:eastAsia="zh-CN"/>
                <w14:textFill>
                  <w14:solidFill>
                    <w14:schemeClr w14:val="tx1"/>
                  </w14:solidFill>
                </w14:textFill>
              </w:rPr>
            </w:pPr>
            <w:r>
              <w:rPr>
                <w:rFonts w:hint="default" w:ascii="Times New Roman" w:hAnsi="Times New Roman" w:cs="Times New Roman"/>
                <w:b/>
                <w:bCs/>
                <w:color w:val="000000" w:themeColor="text1"/>
                <w:spacing w:val="-2"/>
                <w:sz w:val="24"/>
                <w:szCs w:val="24"/>
                <w:lang w:eastAsia="zh-CN"/>
                <w14:textFill>
                  <w14:solidFill>
                    <w14:schemeClr w14:val="tx1"/>
                  </w14:solidFill>
                </w14:textFill>
              </w:rPr>
              <w:t>（</w:t>
            </w:r>
            <w:r>
              <w:rPr>
                <w:rFonts w:hint="eastAsia" w:cs="Times New Roman"/>
                <w:b/>
                <w:bCs/>
                <w:color w:val="000000" w:themeColor="text1"/>
                <w:spacing w:val="-2"/>
                <w:sz w:val="24"/>
                <w:szCs w:val="24"/>
                <w:lang w:val="en-US" w:eastAsia="zh-CN"/>
                <w14:textFill>
                  <w14:solidFill>
                    <w14:schemeClr w14:val="tx1"/>
                  </w14:solidFill>
                </w14:textFill>
              </w:rPr>
              <w:t>2</w:t>
            </w:r>
            <w:r>
              <w:rPr>
                <w:rFonts w:hint="default" w:ascii="Times New Roman" w:hAnsi="Times New Roman" w:cs="Times New Roman"/>
                <w:b/>
                <w:bCs/>
                <w:color w:val="000000" w:themeColor="text1"/>
                <w:spacing w:val="-2"/>
                <w:sz w:val="24"/>
                <w:szCs w:val="24"/>
                <w:lang w:eastAsia="zh-CN"/>
                <w14:textFill>
                  <w14:solidFill>
                    <w14:schemeClr w14:val="tx1"/>
                  </w14:solidFill>
                </w14:textFill>
              </w:rPr>
              <w:t>）</w:t>
            </w:r>
            <w:r>
              <w:rPr>
                <w:rFonts w:hint="eastAsia"/>
                <w:b/>
                <w:bCs/>
                <w:color w:val="000000" w:themeColor="text1"/>
                <w:sz w:val="24"/>
                <w:lang w:val="en-US" w:eastAsia="zh-CN"/>
                <w14:textFill>
                  <w14:solidFill>
                    <w14:schemeClr w14:val="tx1"/>
                  </w14:solidFill>
                </w14:textFill>
              </w:rPr>
              <w:t>原料制备工段无组织废气</w:t>
            </w:r>
          </w:p>
          <w:p w14:paraId="661AD11A">
            <w:pPr>
              <w:spacing w:before="2" w:line="359" w:lineRule="auto"/>
              <w:ind w:left="38" w:right="120" w:firstLine="481"/>
              <w:rPr>
                <w:rFonts w:hint="default" w:cs="Times New Roman"/>
                <w:b w:val="0"/>
                <w:bCs w:val="0"/>
                <w:color w:val="000000" w:themeColor="text1"/>
                <w:spacing w:val="-2"/>
                <w:sz w:val="24"/>
                <w:szCs w:val="24"/>
                <w:lang w:val="en-US" w:eastAsia="zh-CN"/>
                <w14:textFill>
                  <w14:solidFill>
                    <w14:schemeClr w14:val="tx1"/>
                  </w14:solidFill>
                </w14:textFill>
              </w:rPr>
            </w:pPr>
            <w:r>
              <w:rPr>
                <w:rFonts w:hint="eastAsia" w:cs="Times New Roman"/>
                <w:color w:val="000000" w:themeColor="text1"/>
                <w:spacing w:val="-3"/>
                <w:sz w:val="24"/>
                <w:szCs w:val="24"/>
                <w:lang w:val="en-US" w:eastAsia="zh-CN"/>
                <w14:textFill>
                  <w14:solidFill>
                    <w14:schemeClr w14:val="tx1"/>
                  </w14:solidFill>
                </w14:textFill>
              </w:rPr>
              <w:t>本次改扩建后项目原料制备工段破碎、筛分各设置1个集气罩（收集效率不低于60%）收集，粉磨废气设置管道收集，进入1套脉冲袋式除尘器（处理效率不低于90%）处理后设置1根高15m的排气筒（DA002）排放。根据前文计算项目原料制备工段无组织废气排放量为5.34t/a，则未收集部分产生量为2.14t/a，项目原料制备工段设置在半封闭车间，抑尘效率按60%</w:t>
            </w:r>
            <w:r>
              <w:rPr>
                <w:rFonts w:hint="eastAsia" w:cs="Times New Roman"/>
                <w:b w:val="0"/>
                <w:bCs w:val="0"/>
                <w:color w:val="000000" w:themeColor="text1"/>
                <w:spacing w:val="-3"/>
                <w:sz w:val="24"/>
                <w:szCs w:val="24"/>
                <w:lang w:val="en-US" w:eastAsia="zh-CN"/>
                <w14:textFill>
                  <w14:solidFill>
                    <w14:schemeClr w14:val="tx1"/>
                  </w14:solidFill>
                </w14:textFill>
              </w:rPr>
              <w:t>计算，则项目</w:t>
            </w:r>
            <w:r>
              <w:rPr>
                <w:rFonts w:hint="eastAsia"/>
                <w:b w:val="0"/>
                <w:bCs w:val="0"/>
                <w:color w:val="000000" w:themeColor="text1"/>
                <w:sz w:val="24"/>
                <w:lang w:val="en-US" w:eastAsia="zh-CN"/>
                <w14:textFill>
                  <w14:solidFill>
                    <w14:schemeClr w14:val="tx1"/>
                  </w14:solidFill>
                </w14:textFill>
              </w:rPr>
              <w:t>原料制备工段无组织废气排放量为0.856t/a。</w:t>
            </w:r>
          </w:p>
          <w:p w14:paraId="7781F2A1">
            <w:pPr>
              <w:spacing w:before="2" w:line="359" w:lineRule="auto"/>
              <w:ind w:left="38" w:right="120" w:firstLine="481"/>
              <w:rPr>
                <w:rFonts w:hint="eastAsia" w:ascii="Times New Roman" w:hAnsi="Times New Roman" w:eastAsia="宋体" w:cs="Times New Roman"/>
                <w:b/>
                <w:bCs/>
                <w:color w:val="000000" w:themeColor="text1"/>
                <w:spacing w:val="-2"/>
                <w:sz w:val="24"/>
                <w:szCs w:val="24"/>
                <w:lang w:eastAsia="zh-CN"/>
                <w14:textFill>
                  <w14:solidFill>
                    <w14:schemeClr w14:val="tx1"/>
                  </w14:solidFill>
                </w14:textFill>
              </w:rPr>
            </w:pPr>
            <w:r>
              <w:rPr>
                <w:rFonts w:hint="eastAsia" w:cs="Times New Roman"/>
                <w:b/>
                <w:bCs/>
                <w:color w:val="000000" w:themeColor="text1"/>
                <w:spacing w:val="-2"/>
                <w:sz w:val="24"/>
                <w:szCs w:val="24"/>
                <w:lang w:eastAsia="zh-CN"/>
                <w14:textFill>
                  <w14:solidFill>
                    <w14:schemeClr w14:val="tx1"/>
                  </w14:solidFill>
                </w14:textFill>
              </w:rPr>
              <w:t>（</w:t>
            </w:r>
            <w:r>
              <w:rPr>
                <w:rFonts w:hint="eastAsia" w:cs="Times New Roman"/>
                <w:b/>
                <w:bCs/>
                <w:color w:val="000000" w:themeColor="text1"/>
                <w:spacing w:val="-2"/>
                <w:sz w:val="24"/>
                <w:szCs w:val="24"/>
                <w:lang w:val="en-US" w:eastAsia="zh-CN"/>
                <w14:textFill>
                  <w14:solidFill>
                    <w14:schemeClr w14:val="tx1"/>
                  </w14:solidFill>
                </w14:textFill>
              </w:rPr>
              <w:t>3</w:t>
            </w:r>
            <w:r>
              <w:rPr>
                <w:rFonts w:hint="eastAsia" w:cs="Times New Roman"/>
                <w:b/>
                <w:bCs/>
                <w:color w:val="000000" w:themeColor="text1"/>
                <w:spacing w:val="-2"/>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spacing w:val="-2"/>
                <w:sz w:val="24"/>
                <w:szCs w:val="24"/>
                <w14:textFill>
                  <w14:solidFill>
                    <w14:schemeClr w14:val="tx1"/>
                  </w14:solidFill>
                </w14:textFill>
              </w:rPr>
              <w:t>运输</w:t>
            </w:r>
            <w:r>
              <w:rPr>
                <w:rFonts w:hint="eastAsia" w:ascii="Times New Roman" w:hAnsi="Times New Roman" w:eastAsia="宋体" w:cs="Times New Roman"/>
                <w:b/>
                <w:bCs/>
                <w:color w:val="000000" w:themeColor="text1"/>
                <w:spacing w:val="-2"/>
                <w:sz w:val="24"/>
                <w:szCs w:val="24"/>
                <w:lang w:val="en-US" w:eastAsia="zh-CN"/>
                <w14:textFill>
                  <w14:solidFill>
                    <w14:schemeClr w14:val="tx1"/>
                  </w14:solidFill>
                </w14:textFill>
              </w:rPr>
              <w:t>扬尘</w:t>
            </w:r>
          </w:p>
          <w:p w14:paraId="6212E34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根据建设单位与师宗县鸿运新型墙体材料有限公司签订的《粘土、页岩土购销协议》，项目所使用的原料均由供货方运输至项目区，双方在供货合同中明确运输环节环保责任、污染防控及环境风险责任由供货方承担，要求运输车辆采用密闭车厢或全覆盖苫布，杜绝物料遗撒。项目</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运输扬尘主要是车辆经过带起的粉尘，</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项目运输扬尘主要来自原料、成品运输产生的粉尘，</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运输线路上的起尘量按下式计算：</w:t>
            </w:r>
          </w:p>
          <w:p w14:paraId="3F87882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pPr>
            <w:r>
              <w:rPr>
                <w:rFonts w:ascii="Times New Roman" w:hAnsi="Times New Roman"/>
                <w:color w:val="000000" w:themeColor="text1"/>
                <w:position w:val="-46"/>
                <w:sz w:val="24"/>
                <w:szCs w:val="24"/>
                <w14:textFill>
                  <w14:solidFill>
                    <w14:schemeClr w14:val="tx1"/>
                  </w14:solidFill>
                </w14:textFill>
              </w:rPr>
              <w:object>
                <v:shape id="_x0000_i1034" o:spt="75" type="#_x0000_t75" style="height:50.25pt;width:224.3pt;" o:ole="t" fillcolor="#6D6D6D" filled="f" o:preferrelative="t" stroked="f" coordsize="21600,21600">
                  <v:path/>
                  <v:fill on="f" focussize="0,0"/>
                  <v:stroke on="f" joinstyle="miter"/>
                  <v:imagedata r:id="rId25" o:title=""/>
                  <o:lock v:ext="edit" aspectratio="t"/>
                  <w10:wrap type="none"/>
                  <w10:anchorlock/>
                </v:shape>
                <o:OLEObject Type="Embed" ProgID="Equations" ShapeID="_x0000_i1034" DrawAspect="Content" ObjectID="_1468075734" r:id="rId28">
                  <o:LockedField>false</o:LockedField>
                </o:OLEObject>
              </w:object>
            </w:r>
          </w:p>
          <w:p w14:paraId="2298BC4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式中：QP——道路扬尘量（kg/km·辆）；</w:t>
            </w:r>
          </w:p>
          <w:p w14:paraId="1670515E">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 xml:space="preserve">      QP</w:t>
            </w:r>
            <w:r>
              <w:rPr>
                <w:rFonts w:hint="default" w:ascii="Times New Roman" w:hAnsi="Times New Roman" w:eastAsia="宋体" w:cs="Times New Roman"/>
                <w:b w:val="0"/>
                <w:bCs w:val="0"/>
                <w:color w:val="000000" w:themeColor="text1"/>
                <w:sz w:val="24"/>
                <w:szCs w:val="24"/>
                <w:vertAlign w:val="superscript"/>
                <w:lang w:eastAsia="zh-CN"/>
                <w14:textFill>
                  <w14:solidFill>
                    <w14:schemeClr w14:val="tx1"/>
                  </w14:solidFill>
                </w14:textFill>
              </w:rPr>
              <w:t>1</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——总扬尘量（kg/a）；</w:t>
            </w:r>
          </w:p>
          <w:p w14:paraId="57C0B313">
            <w:pPr>
              <w:keepNext w:val="0"/>
              <w:keepLines w:val="0"/>
              <w:pageBreakBefore w:val="0"/>
              <w:widowControl/>
              <w:suppressLineNumbers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 xml:space="preserve">      V——车辆速度（km/h），</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本项目取20km/h</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w:t>
            </w:r>
          </w:p>
          <w:p w14:paraId="47A168CF">
            <w:pPr>
              <w:keepNext w:val="0"/>
              <w:keepLines w:val="0"/>
              <w:pageBreakBefore w:val="0"/>
              <w:widowControl/>
              <w:suppressLineNumbers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M——车辆载重（t/辆），</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本项目取20t/辆；</w:t>
            </w:r>
          </w:p>
          <w:p w14:paraId="35F0EDF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 xml:space="preserve"> P表示道路灰尘覆盖量，kg/m</w:t>
            </w:r>
            <w:r>
              <w:rPr>
                <w:rFonts w:hint="default" w:ascii="Times New Roman" w:hAnsi="Times New Roman" w:eastAsia="宋体" w:cs="Times New Roman"/>
                <w:b w:val="0"/>
                <w:bCs w:val="0"/>
                <w:color w:val="000000" w:themeColor="text1"/>
                <w:sz w:val="24"/>
                <w:szCs w:val="24"/>
                <w:vertAlign w:val="superscript"/>
                <w:lang w:eastAsia="zh-CN"/>
                <w14:textFill>
                  <w14:solidFill>
                    <w14:schemeClr w14:val="tx1"/>
                  </w14:solidFill>
                </w14:textFill>
              </w:rPr>
              <w:t>2</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，根据南开大学环境科学与工程学院陈小华、 薛永华等人的《中国城市道路扬尘污染研究》，于2003-2004年期间，测定了石家庄、 济南、青岛、邯郸等城市的铺装道路的积尘量在0.017</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0.091kg/m</w:t>
            </w:r>
            <w:r>
              <w:rPr>
                <w:rFonts w:hint="default" w:ascii="Times New Roman" w:hAnsi="Times New Roman" w:eastAsia="宋体" w:cs="Times New Roman"/>
                <w:b w:val="0"/>
                <w:bCs w:val="0"/>
                <w:color w:val="000000" w:themeColor="text1"/>
                <w:sz w:val="24"/>
                <w:szCs w:val="24"/>
                <w:vertAlign w:val="superscript"/>
                <w:lang w:eastAsia="zh-CN"/>
                <w14:textFill>
                  <w14:solidFill>
                    <w14:schemeClr w14:val="tx1"/>
                  </w14:solidFill>
                </w14:textFill>
              </w:rPr>
              <w:t>2</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，本项目按最大值考虑，取0.1kg/m</w:t>
            </w:r>
            <w:r>
              <w:rPr>
                <w:rFonts w:hint="default" w:ascii="Times New Roman" w:hAnsi="Times New Roman" w:eastAsia="宋体" w:cs="Times New Roman"/>
                <w:b w:val="0"/>
                <w:bCs w:val="0"/>
                <w:color w:val="000000" w:themeColor="text1"/>
                <w:sz w:val="24"/>
                <w:szCs w:val="24"/>
                <w:vertAlign w:val="superscript"/>
                <w:lang w:eastAsia="zh-CN"/>
                <w14:textFill>
                  <w14:solidFill>
                    <w14:schemeClr w14:val="tx1"/>
                  </w14:solidFill>
                </w14:textFill>
              </w:rPr>
              <w:t>2</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w:t>
            </w:r>
          </w:p>
          <w:p w14:paraId="4FEA170D">
            <w:pPr>
              <w:keepNext w:val="0"/>
              <w:keepLines w:val="0"/>
              <w:pageBreakBefore w:val="0"/>
              <w:widowControl/>
              <w:suppressLineNumbers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 xml:space="preserve">    L——运输距离（km）</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本项目取0.0</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km</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w:t>
            </w:r>
          </w:p>
          <w:p w14:paraId="44E4CBE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Q——运输量（t/a）本项目取</w:t>
            </w:r>
            <w:r>
              <w:rPr>
                <w:rFonts w:hint="eastAsia" w:cs="Times New Roman"/>
                <w:b w:val="0"/>
                <w:bCs w:val="0"/>
                <w:color w:val="000000" w:themeColor="text1"/>
                <w:sz w:val="24"/>
                <w:szCs w:val="24"/>
                <w:highlight w:val="none"/>
                <w:lang w:val="en-US" w:eastAsia="zh-CN"/>
                <w14:textFill>
                  <w14:solidFill>
                    <w14:schemeClr w14:val="tx1"/>
                  </w14:solidFill>
                </w14:textFill>
              </w:rPr>
              <w:t>228000</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t/a。</w:t>
            </w:r>
          </w:p>
          <w:p w14:paraId="60A09B41">
            <w:pPr>
              <w:keepNext w:val="0"/>
              <w:keepLines w:val="0"/>
              <w:pageBreakBefore w:val="0"/>
              <w:tabs>
                <w:tab w:val="left" w:pos="7732"/>
              </w:tabs>
              <w:kinsoku/>
              <w:wordWrap/>
              <w:overflowPunct/>
              <w:topLinePunct w:val="0"/>
              <w:autoSpaceDE/>
              <w:autoSpaceDN/>
              <w:bidi w:val="0"/>
              <w:adjustRightInd w:val="0"/>
              <w:snapToGrid w:val="0"/>
              <w:spacing w:line="360" w:lineRule="auto"/>
              <w:ind w:firstLine="480" w:firstLineChars="200"/>
              <w:jc w:val="both"/>
              <w:textAlignment w:val="auto"/>
              <w:rPr>
                <w:color w:val="000000" w:themeColor="text1"/>
                <w:sz w:val="24"/>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根据以上公式计算得出：运输起尘量Qp为</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0.369</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kg/km·辆，则本项目运输车辆产生的扬尘量为</w:t>
            </w:r>
            <w:r>
              <w:rPr>
                <w:rFonts w:hint="eastAsia" w:cs="Times New Roman"/>
                <w:b w:val="0"/>
                <w:bCs w:val="0"/>
                <w:color w:val="000000" w:themeColor="text1"/>
                <w:sz w:val="24"/>
                <w:szCs w:val="24"/>
                <w:highlight w:val="none"/>
                <w:lang w:val="en-US" w:eastAsia="zh-CN"/>
                <w14:textFill>
                  <w14:solidFill>
                    <w14:schemeClr w14:val="tx1"/>
                  </w14:solidFill>
                </w14:textFill>
              </w:rPr>
              <w:t>0.08</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t</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/a。</w:t>
            </w:r>
            <w:r>
              <w:rPr>
                <w:rFonts w:hint="default" w:ascii="Times New Roman" w:hAnsi="Times New Roman" w:cs="Times New Roman"/>
                <w:color w:val="000000" w:themeColor="text1"/>
                <w:spacing w:val="-2"/>
                <w:sz w:val="24"/>
                <w:szCs w:val="24"/>
                <w:highlight w:val="none"/>
                <w:lang w:val="en-US" w:eastAsia="zh-CN"/>
                <w14:textFill>
                  <w14:solidFill>
                    <w14:schemeClr w14:val="tx1"/>
                  </w14:solidFill>
                </w14:textFill>
              </w:rPr>
              <w:t>项目采取道路</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洒水降尘、运输车辆苫盖</w:t>
            </w:r>
            <w:r>
              <w:rPr>
                <w:rFonts w:hint="default" w:ascii="Times New Roman" w:hAnsi="Times New Roman" w:cs="Times New Roman"/>
                <w:color w:val="000000" w:themeColor="text1"/>
                <w:spacing w:val="-2"/>
                <w:sz w:val="24"/>
                <w:szCs w:val="24"/>
                <w:highlight w:val="none"/>
                <w:lang w:val="en-US" w:eastAsia="zh-CN"/>
                <w14:textFill>
                  <w14:solidFill>
                    <w14:schemeClr w14:val="tx1"/>
                  </w14:solidFill>
                </w14:textFill>
              </w:rPr>
              <w:t>等措施</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，粉尘可减少</w:t>
            </w:r>
            <w:r>
              <w:rPr>
                <w:rFonts w:hint="default" w:ascii="Times New Roman" w:hAnsi="Times New Roman" w:cs="Times New Roman"/>
                <w:color w:val="000000" w:themeColor="text1"/>
                <w:spacing w:val="-2"/>
                <w:sz w:val="24"/>
                <w:szCs w:val="24"/>
                <w:highlight w:val="none"/>
                <w:lang w:val="en-US" w:eastAsia="zh-CN"/>
                <w14:textFill>
                  <w14:solidFill>
                    <w14:schemeClr w14:val="tx1"/>
                  </w14:solidFill>
                </w14:textFill>
              </w:rPr>
              <w:t>约4</w:t>
            </w:r>
            <w:r>
              <w:rPr>
                <w:rFonts w:hint="default" w:ascii="Times New Roman" w:hAnsi="Times New Roman" w:eastAsia="Times New Roman" w:cs="Times New Roman"/>
                <w:color w:val="000000" w:themeColor="text1"/>
                <w:spacing w:val="-2"/>
                <w:sz w:val="24"/>
                <w:szCs w:val="24"/>
                <w:highlight w:val="none"/>
                <w14:textFill>
                  <w14:solidFill>
                    <w14:schemeClr w14:val="tx1"/>
                  </w14:solidFill>
                </w14:textFill>
              </w:rPr>
              <w:t>0%</w:t>
            </w:r>
            <w:r>
              <w:rPr>
                <w:rFonts w:hint="default" w:ascii="Times New Roman" w:hAnsi="Times New Roman" w:cs="Times New Roman"/>
                <w:color w:val="000000" w:themeColor="text1"/>
                <w:spacing w:val="-2"/>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pacing w:val="-2"/>
                <w:sz w:val="24"/>
                <w:szCs w:val="24"/>
                <w:highlight w:val="none"/>
                <w:lang w:val="en-US" w:eastAsia="zh-CN"/>
                <w14:textFill>
                  <w14:solidFill>
                    <w14:schemeClr w14:val="tx1"/>
                  </w14:solidFill>
                </w14:textFill>
              </w:rPr>
              <w:t>则运输扬尘排放量为</w:t>
            </w:r>
            <w:r>
              <w:rPr>
                <w:rFonts w:hint="eastAsia" w:cs="Times New Roman"/>
                <w:color w:val="000000" w:themeColor="text1"/>
                <w:spacing w:val="-2"/>
                <w:sz w:val="24"/>
                <w:szCs w:val="24"/>
                <w:highlight w:val="none"/>
                <w:lang w:val="en-US" w:eastAsia="zh-CN"/>
                <w14:textFill>
                  <w14:solidFill>
                    <w14:schemeClr w14:val="tx1"/>
                  </w14:solidFill>
                </w14:textFill>
              </w:rPr>
              <w:t>0.048</w:t>
            </w:r>
            <w:r>
              <w:rPr>
                <w:rFonts w:hint="default" w:ascii="Times New Roman" w:hAnsi="Times New Roman" w:eastAsia="Times New Roman" w:cs="Times New Roman"/>
                <w:color w:val="000000" w:themeColor="text1"/>
                <w:spacing w:val="-2"/>
                <w:sz w:val="24"/>
                <w:szCs w:val="24"/>
                <w:highlight w:val="none"/>
                <w14:textFill>
                  <w14:solidFill>
                    <w14:schemeClr w14:val="tx1"/>
                  </w14:solidFill>
                </w14:textFill>
              </w:rPr>
              <w:t>t/a</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w:t>
            </w:r>
          </w:p>
          <w:p w14:paraId="7838A251">
            <w:pPr>
              <w:tabs>
                <w:tab w:val="left" w:pos="7732"/>
              </w:tabs>
              <w:adjustRightInd w:val="0"/>
              <w:snapToGrid w:val="0"/>
              <w:spacing w:line="360" w:lineRule="auto"/>
              <w:ind w:firstLine="480" w:firstLineChars="200"/>
              <w:jc w:val="left"/>
              <w:rPr>
                <w:b/>
                <w:bCs/>
                <w:color w:val="000000" w:themeColor="text1"/>
                <w:sz w:val="24"/>
                <w14:textFill>
                  <w14:solidFill>
                    <w14:schemeClr w14:val="tx1"/>
                  </w14:solidFill>
                </w14:textFill>
              </w:rPr>
            </w:pPr>
            <w:r>
              <w:rPr>
                <w:color w:val="000000" w:themeColor="text1"/>
                <w:sz w:val="24"/>
                <w14:textFill>
                  <w14:solidFill>
                    <w14:schemeClr w14:val="tx1"/>
                  </w14:solidFill>
                </w14:textFill>
              </w:rPr>
              <w:t>根据上述计算，项目</w:t>
            </w:r>
            <w:r>
              <w:rPr>
                <w:rFonts w:hint="eastAsia"/>
                <w:color w:val="000000" w:themeColor="text1"/>
                <w:sz w:val="24"/>
                <w:lang w:val="en-US" w:eastAsia="zh-CN"/>
                <w14:textFill>
                  <w14:solidFill>
                    <w14:schemeClr w14:val="tx1"/>
                  </w14:solidFill>
                </w14:textFill>
              </w:rPr>
              <w:t>改扩建完成后</w:t>
            </w:r>
            <w:r>
              <w:rPr>
                <w:color w:val="000000" w:themeColor="text1"/>
                <w:sz w:val="24"/>
                <w14:textFill>
                  <w14:solidFill>
                    <w14:schemeClr w14:val="tx1"/>
                  </w14:solidFill>
                </w14:textFill>
              </w:rPr>
              <w:t>无组织废气产排情况如下所示：</w:t>
            </w:r>
          </w:p>
          <w:p w14:paraId="510A4D66">
            <w:pPr>
              <w:adjustRightInd w:val="0"/>
              <w:snapToGrid w:val="0"/>
              <w:spacing w:line="276" w:lineRule="auto"/>
              <w:jc w:val="center"/>
              <w:rPr>
                <w:b/>
                <w:color w:val="000000" w:themeColor="text1"/>
                <w:sz w:val="24"/>
                <w14:textFill>
                  <w14:solidFill>
                    <w14:schemeClr w14:val="tx1"/>
                  </w14:solidFill>
                </w14:textFill>
              </w:rPr>
            </w:pPr>
            <w:r>
              <w:rPr>
                <w:b/>
                <w:bCs/>
                <w:color w:val="000000" w:themeColor="text1"/>
                <w:sz w:val="24"/>
                <w14:textFill>
                  <w14:solidFill>
                    <w14:schemeClr w14:val="tx1"/>
                  </w14:solidFill>
                </w14:textFill>
              </w:rPr>
              <w:t>表</w:t>
            </w:r>
            <w:r>
              <w:rPr>
                <w:rFonts w:hint="eastAsia"/>
                <w:b/>
                <w:bCs/>
                <w:color w:val="000000" w:themeColor="text1"/>
                <w:sz w:val="24"/>
                <w14:textFill>
                  <w14:solidFill>
                    <w14:schemeClr w14:val="tx1"/>
                  </w14:solidFill>
                </w14:textFill>
              </w:rPr>
              <w:t>4-</w:t>
            </w:r>
            <w:r>
              <w:rPr>
                <w:rFonts w:hint="eastAsia"/>
                <w:b/>
                <w:bCs/>
                <w:color w:val="000000" w:themeColor="text1"/>
                <w:sz w:val="24"/>
                <w:lang w:val="en-US" w:eastAsia="zh-CN"/>
                <w14:textFill>
                  <w14:solidFill>
                    <w14:schemeClr w14:val="tx1"/>
                  </w14:solidFill>
                </w14:textFill>
              </w:rPr>
              <w:t>12</w:t>
            </w:r>
            <w:r>
              <w:rPr>
                <w:b/>
                <w:bCs/>
                <w:color w:val="000000" w:themeColor="text1"/>
                <w:sz w:val="24"/>
                <w14:textFill>
                  <w14:solidFill>
                    <w14:schemeClr w14:val="tx1"/>
                  </w14:solidFill>
                </w14:textFill>
              </w:rPr>
              <w:t xml:space="preserve">   </w:t>
            </w:r>
            <w:r>
              <w:rPr>
                <w:rFonts w:hint="eastAsia"/>
                <w:b/>
                <w:bCs/>
                <w:color w:val="000000" w:themeColor="text1"/>
                <w:sz w:val="24"/>
                <w14:textFill>
                  <w14:solidFill>
                    <w14:schemeClr w14:val="tx1"/>
                  </w14:solidFill>
                </w14:textFill>
              </w:rPr>
              <w:t>项目</w:t>
            </w:r>
            <w:r>
              <w:rPr>
                <w:rFonts w:hint="eastAsia"/>
                <w:b/>
                <w:bCs/>
                <w:color w:val="000000" w:themeColor="text1"/>
                <w:sz w:val="24"/>
                <w:lang w:val="en-US" w:eastAsia="zh-CN"/>
                <w14:textFill>
                  <w14:solidFill>
                    <w14:schemeClr w14:val="tx1"/>
                  </w14:solidFill>
                </w14:textFill>
              </w:rPr>
              <w:t>改扩建完成后</w:t>
            </w:r>
            <w:r>
              <w:rPr>
                <w:b/>
                <w:bCs/>
                <w:color w:val="000000" w:themeColor="text1"/>
                <w:sz w:val="24"/>
                <w14:textFill>
                  <w14:solidFill>
                    <w14:schemeClr w14:val="tx1"/>
                  </w14:solidFill>
                </w14:textFill>
              </w:rPr>
              <w:t>无组织废气产排一览表</w:t>
            </w:r>
          </w:p>
          <w:tbl>
            <w:tblPr>
              <w:tblStyle w:val="28"/>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2"/>
              <w:gridCol w:w="1061"/>
              <w:gridCol w:w="1512"/>
              <w:gridCol w:w="3132"/>
              <w:gridCol w:w="1377"/>
            </w:tblGrid>
            <w:tr w14:paraId="74455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422" w:type="dxa"/>
                  <w:noWrap w:val="0"/>
                  <w:vAlign w:val="center"/>
                </w:tcPr>
                <w:p w14:paraId="2347F6E2">
                  <w:pPr>
                    <w:adjustRightInd w:val="0"/>
                    <w:snapToGrid w:val="0"/>
                    <w:jc w:val="center"/>
                    <w:outlineLvl w:val="0"/>
                    <w:rPr>
                      <w:rFonts w:hint="eastAsia"/>
                      <w:b/>
                      <w:bCs/>
                      <w:color w:val="000000" w:themeColor="text1"/>
                      <w:szCs w:val="21"/>
                      <w14:textFill>
                        <w14:solidFill>
                          <w14:schemeClr w14:val="tx1"/>
                        </w14:solidFill>
                      </w14:textFill>
                    </w:rPr>
                  </w:pPr>
                  <w:bookmarkStart w:id="8" w:name="_Toc25599"/>
                  <w:r>
                    <w:rPr>
                      <w:rFonts w:hint="eastAsia"/>
                      <w:b/>
                      <w:bCs/>
                      <w:color w:val="000000" w:themeColor="text1"/>
                      <w:szCs w:val="21"/>
                      <w14:textFill>
                        <w14:solidFill>
                          <w14:schemeClr w14:val="tx1"/>
                        </w14:solidFill>
                      </w14:textFill>
                    </w:rPr>
                    <w:t>产污点</w:t>
                  </w:r>
                  <w:bookmarkEnd w:id="8"/>
                </w:p>
              </w:tc>
              <w:tc>
                <w:tcPr>
                  <w:tcW w:w="1061" w:type="dxa"/>
                  <w:noWrap w:val="0"/>
                  <w:vAlign w:val="center"/>
                </w:tcPr>
                <w:p w14:paraId="11E48FCC">
                  <w:pPr>
                    <w:adjustRightInd w:val="0"/>
                    <w:snapToGrid w:val="0"/>
                    <w:jc w:val="center"/>
                    <w:outlineLvl w:val="0"/>
                    <w:rPr>
                      <w:rFonts w:hint="eastAsia"/>
                      <w:b/>
                      <w:bCs/>
                      <w:color w:val="000000" w:themeColor="text1"/>
                      <w:szCs w:val="21"/>
                      <w14:textFill>
                        <w14:solidFill>
                          <w14:schemeClr w14:val="tx1"/>
                        </w14:solidFill>
                      </w14:textFill>
                    </w:rPr>
                  </w:pPr>
                  <w:bookmarkStart w:id="9" w:name="_Toc26231"/>
                  <w:r>
                    <w:rPr>
                      <w:rFonts w:hint="eastAsia"/>
                      <w:b/>
                      <w:bCs/>
                      <w:color w:val="000000" w:themeColor="text1"/>
                      <w:szCs w:val="21"/>
                      <w14:textFill>
                        <w14:solidFill>
                          <w14:schemeClr w14:val="tx1"/>
                        </w14:solidFill>
                      </w14:textFill>
                    </w:rPr>
                    <w:t>污染物</w:t>
                  </w:r>
                  <w:bookmarkEnd w:id="9"/>
                </w:p>
              </w:tc>
              <w:tc>
                <w:tcPr>
                  <w:tcW w:w="1512" w:type="dxa"/>
                  <w:noWrap w:val="0"/>
                  <w:vAlign w:val="center"/>
                </w:tcPr>
                <w:p w14:paraId="4A7E67AE">
                  <w:pPr>
                    <w:pStyle w:val="19"/>
                    <w:widowControl/>
                    <w:pBdr>
                      <w:bottom w:val="none" w:color="auto" w:sz="0" w:space="0"/>
                    </w:pBdr>
                    <w:adjustRightInd w:val="0"/>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产生量（t/a）</w:t>
                  </w:r>
                </w:p>
              </w:tc>
              <w:tc>
                <w:tcPr>
                  <w:tcW w:w="3132" w:type="dxa"/>
                  <w:noWrap w:val="0"/>
                  <w:vAlign w:val="center"/>
                </w:tcPr>
                <w:p w14:paraId="19A1E895">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采取措施</w:t>
                  </w:r>
                </w:p>
              </w:tc>
              <w:tc>
                <w:tcPr>
                  <w:tcW w:w="1377" w:type="dxa"/>
                  <w:noWrap w:val="0"/>
                  <w:vAlign w:val="center"/>
                </w:tcPr>
                <w:p w14:paraId="4FAADB78">
                  <w:pPr>
                    <w:pStyle w:val="19"/>
                    <w:widowControl/>
                    <w:pBdr>
                      <w:bottom w:val="none" w:color="auto" w:sz="0" w:space="0"/>
                    </w:pBdr>
                    <w:adjustRightInd w:val="0"/>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排放量（t/a）</w:t>
                  </w:r>
                </w:p>
              </w:tc>
            </w:tr>
            <w:tr w14:paraId="6DA4F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422" w:type="dxa"/>
                  <w:noWrap w:val="0"/>
                  <w:vAlign w:val="center"/>
                </w:tcPr>
                <w:p w14:paraId="38CF168C">
                  <w:pPr>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原料贮存库扬尘</w:t>
                  </w:r>
                </w:p>
              </w:tc>
              <w:tc>
                <w:tcPr>
                  <w:tcW w:w="1061" w:type="dxa"/>
                  <w:noWrap w:val="0"/>
                  <w:vAlign w:val="center"/>
                </w:tcPr>
                <w:p w14:paraId="596EF9C9">
                  <w:pPr>
                    <w:adjustRightInd w:val="0"/>
                    <w:snapToGrid w:val="0"/>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颗粒物</w:t>
                  </w:r>
                </w:p>
              </w:tc>
              <w:tc>
                <w:tcPr>
                  <w:tcW w:w="1512" w:type="dxa"/>
                  <w:noWrap w:val="0"/>
                  <w:vAlign w:val="center"/>
                </w:tcPr>
                <w:p w14:paraId="6127C2CF">
                  <w:pPr>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69</w:t>
                  </w:r>
                </w:p>
              </w:tc>
              <w:tc>
                <w:tcPr>
                  <w:tcW w:w="3132" w:type="dxa"/>
                  <w:noWrap w:val="0"/>
                  <w:vAlign w:val="center"/>
                </w:tcPr>
                <w:p w14:paraId="721F8EFE">
                  <w:pPr>
                    <w:widowControl/>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原料贮存库北侧和东侧设置封闭围挡+库顶喷雾降尘</w:t>
                  </w:r>
                </w:p>
              </w:tc>
              <w:tc>
                <w:tcPr>
                  <w:tcW w:w="1377" w:type="dxa"/>
                  <w:noWrap w:val="0"/>
                  <w:vAlign w:val="center"/>
                </w:tcPr>
                <w:p w14:paraId="5E17F32D">
                  <w:pPr>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7.18</w:t>
                  </w:r>
                </w:p>
              </w:tc>
            </w:tr>
            <w:tr w14:paraId="3087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422" w:type="dxa"/>
                  <w:noWrap w:val="0"/>
                  <w:vAlign w:val="center"/>
                </w:tcPr>
                <w:p w14:paraId="0D0E4B8E">
                  <w:pPr>
                    <w:adjustRightInd w:val="0"/>
                    <w:snapToGrid w:val="0"/>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原料制备（破碎、筛分）</w:t>
                  </w:r>
                </w:p>
              </w:tc>
              <w:tc>
                <w:tcPr>
                  <w:tcW w:w="1061" w:type="dxa"/>
                  <w:noWrap w:val="0"/>
                  <w:vAlign w:val="center"/>
                </w:tcPr>
                <w:p w14:paraId="2D0DA169">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颗粒物</w:t>
                  </w:r>
                </w:p>
              </w:tc>
              <w:tc>
                <w:tcPr>
                  <w:tcW w:w="1512" w:type="dxa"/>
                  <w:noWrap w:val="0"/>
                  <w:vAlign w:val="center"/>
                </w:tcPr>
                <w:p w14:paraId="0469E94E">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2.14</w:t>
                  </w:r>
                </w:p>
              </w:tc>
              <w:tc>
                <w:tcPr>
                  <w:tcW w:w="3132" w:type="dxa"/>
                  <w:noWrap w:val="0"/>
                  <w:vAlign w:val="center"/>
                </w:tcPr>
                <w:p w14:paraId="5FBBB6F6">
                  <w:pPr>
                    <w:widowControl/>
                    <w:adjustRightInd w:val="0"/>
                    <w:snapToGrid w:val="0"/>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原料贮存库北侧和东侧设置封闭围挡+库顶喷雾降尘</w:t>
                  </w:r>
                </w:p>
              </w:tc>
              <w:tc>
                <w:tcPr>
                  <w:tcW w:w="1377" w:type="dxa"/>
                  <w:noWrap w:val="0"/>
                  <w:vAlign w:val="center"/>
                </w:tcPr>
                <w:p w14:paraId="33BAF2F3">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0.856</w:t>
                  </w:r>
                </w:p>
              </w:tc>
            </w:tr>
            <w:tr w14:paraId="0D962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422" w:type="dxa"/>
                  <w:noWrap w:val="0"/>
                  <w:vAlign w:val="center"/>
                </w:tcPr>
                <w:p w14:paraId="5213CB41">
                  <w:pPr>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运输扬尘</w:t>
                  </w:r>
                </w:p>
              </w:tc>
              <w:tc>
                <w:tcPr>
                  <w:tcW w:w="1061" w:type="dxa"/>
                  <w:noWrap w:val="0"/>
                  <w:vAlign w:val="center"/>
                </w:tcPr>
                <w:p w14:paraId="4F17AFBA">
                  <w:pPr>
                    <w:adjustRightInd w:val="0"/>
                    <w:snapToGrid w:val="0"/>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颗粒物</w:t>
                  </w:r>
                </w:p>
              </w:tc>
              <w:tc>
                <w:tcPr>
                  <w:tcW w:w="1512" w:type="dxa"/>
                  <w:noWrap w:val="0"/>
                  <w:vAlign w:val="center"/>
                </w:tcPr>
                <w:p w14:paraId="7C163F3E">
                  <w:pPr>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0.08</w:t>
                  </w:r>
                </w:p>
              </w:tc>
              <w:tc>
                <w:tcPr>
                  <w:tcW w:w="3132" w:type="dxa"/>
                  <w:noWrap w:val="0"/>
                  <w:vAlign w:val="center"/>
                </w:tcPr>
                <w:p w14:paraId="3E05BDA1">
                  <w:pPr>
                    <w:widowControl/>
                    <w:adjustRightInd w:val="0"/>
                    <w:snapToGrid w:val="0"/>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物料密闭运输、洒水降尘</w:t>
                  </w:r>
                </w:p>
              </w:tc>
              <w:tc>
                <w:tcPr>
                  <w:tcW w:w="1377" w:type="dxa"/>
                  <w:noWrap w:val="0"/>
                  <w:vAlign w:val="center"/>
                </w:tcPr>
                <w:p w14:paraId="0A2A2657">
                  <w:pPr>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0.048</w:t>
                  </w:r>
                </w:p>
              </w:tc>
            </w:tr>
          </w:tbl>
          <w:p w14:paraId="14E88880">
            <w:pPr>
              <w:adjustRightInd w:val="0"/>
              <w:snapToGrid w:val="0"/>
              <w:spacing w:line="360" w:lineRule="auto"/>
              <w:ind w:firstLine="482" w:firstLineChars="200"/>
              <w:rPr>
                <w:rFonts w:hint="default"/>
                <w:b/>
                <w:bCs/>
                <w:color w:val="000000" w:themeColor="text1"/>
                <w:sz w:val="24"/>
                <w:lang w:val="en-US" w:eastAsia="zh-CN"/>
                <w14:textFill>
                  <w14:solidFill>
                    <w14:schemeClr w14:val="tx1"/>
                  </w14:solidFill>
                </w14:textFill>
              </w:rPr>
            </w:pPr>
            <w:r>
              <w:rPr>
                <w:rFonts w:hint="eastAsia"/>
                <w:b/>
                <w:bCs/>
                <w:color w:val="000000" w:themeColor="text1"/>
                <w:sz w:val="24"/>
                <w:lang w:val="en-US" w:eastAsia="zh-CN"/>
                <w14:textFill>
                  <w14:solidFill>
                    <w14:schemeClr w14:val="tx1"/>
                  </w14:solidFill>
                </w14:textFill>
              </w:rPr>
              <w:t>（3）无组织控制措施可行性及达标性分析</w:t>
            </w:r>
          </w:p>
          <w:p w14:paraId="4FAC4785">
            <w:pPr>
              <w:adjustRightInd w:val="0"/>
              <w:snapToGrid w:val="0"/>
              <w:spacing w:line="360" w:lineRule="auto"/>
              <w:ind w:firstLine="480" w:firstLineChars="200"/>
              <w:rPr>
                <w:rFonts w:hint="default" w:eastAsia="宋体"/>
                <w:bCs/>
                <w:color w:val="000000" w:themeColor="text1"/>
                <w:sz w:val="24"/>
                <w:lang w:val="en-US" w:eastAsia="zh-CN"/>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根据</w:t>
            </w:r>
            <w:r>
              <w:rPr>
                <w:rFonts w:hint="eastAsia"/>
                <w:bCs/>
                <w:color w:val="000000" w:themeColor="text1"/>
                <w:sz w:val="24"/>
                <w:highlight w:val="none"/>
                <w14:textFill>
                  <w14:solidFill>
                    <w14:schemeClr w14:val="tx1"/>
                  </w14:solidFill>
                </w14:textFill>
              </w:rPr>
              <w:t>《排污许可证申请</w:t>
            </w:r>
            <w:r>
              <w:rPr>
                <w:rFonts w:hint="eastAsia"/>
                <w:bCs/>
                <w:color w:val="000000" w:themeColor="text1"/>
                <w:sz w:val="24"/>
                <w14:textFill>
                  <w14:solidFill>
                    <w14:schemeClr w14:val="tx1"/>
                  </w14:solidFill>
                </w14:textFill>
              </w:rPr>
              <w:t>与核发技术规范</w:t>
            </w:r>
            <w:r>
              <w:rPr>
                <w:rFonts w:hint="eastAsia"/>
                <w:bCs/>
                <w:color w:val="000000" w:themeColor="text1"/>
                <w:sz w:val="24"/>
                <w:lang w:val="en-US" w:eastAsia="zh-CN"/>
                <w14:textFill>
                  <w14:solidFill>
                    <w14:schemeClr w14:val="tx1"/>
                  </w14:solidFill>
                </w14:textFill>
              </w:rPr>
              <w:t xml:space="preserve">  </w:t>
            </w:r>
            <w:r>
              <w:rPr>
                <w:rFonts w:hint="eastAsia"/>
                <w:bCs/>
                <w:color w:val="000000" w:themeColor="text1"/>
                <w:sz w:val="24"/>
                <w14:textFill>
                  <w14:solidFill>
                    <w14:schemeClr w14:val="tx1"/>
                  </w14:solidFill>
                </w14:textFill>
              </w:rPr>
              <w:t>陶瓷砖瓦工业》（HJ954</w:t>
            </w:r>
            <w:r>
              <w:rPr>
                <w:rFonts w:hint="eastAsia"/>
                <w:bCs/>
                <w:color w:val="000000" w:themeColor="text1"/>
                <w:sz w:val="24"/>
                <w:lang w:val="en-US" w:eastAsia="zh-CN"/>
                <w14:textFill>
                  <w14:solidFill>
                    <w14:schemeClr w14:val="tx1"/>
                  </w14:solidFill>
                </w14:textFill>
              </w:rPr>
              <w:t>-</w:t>
            </w:r>
            <w:r>
              <w:rPr>
                <w:rFonts w:hint="eastAsia"/>
                <w:bCs/>
                <w:color w:val="000000" w:themeColor="text1"/>
                <w:sz w:val="24"/>
                <w14:textFill>
                  <w14:solidFill>
                    <w14:schemeClr w14:val="tx1"/>
                  </w14:solidFill>
                </w14:textFill>
              </w:rPr>
              <w:t>2018）</w:t>
            </w:r>
            <w:r>
              <w:rPr>
                <w:rFonts w:hint="eastAsia"/>
                <w:bCs/>
                <w:color w:val="000000" w:themeColor="text1"/>
                <w:sz w:val="24"/>
                <w:lang w:val="en-US" w:eastAsia="zh-CN"/>
                <w14:textFill>
                  <w14:solidFill>
                    <w14:schemeClr w14:val="tx1"/>
                  </w14:solidFill>
                </w14:textFill>
              </w:rPr>
              <w:t>砖瓦工业无组织排放控制要求，项目无组织控制措施符合性分析如下表所示：</w:t>
            </w:r>
          </w:p>
          <w:p w14:paraId="4C32C2D8">
            <w:pPr>
              <w:keepNext w:val="0"/>
              <w:keepLines w:val="0"/>
              <w:pageBreakBefore w:val="0"/>
              <w:widowControl w:val="0"/>
              <w:kinsoku/>
              <w:wordWrap/>
              <w:overflowPunct/>
              <w:topLinePunct w:val="0"/>
              <w:autoSpaceDE/>
              <w:autoSpaceDN/>
              <w:bidi w:val="0"/>
              <w:adjustRightInd w:val="0"/>
              <w:snapToGrid w:val="0"/>
              <w:spacing w:line="276" w:lineRule="auto"/>
              <w:ind w:firstLine="0" w:firstLineChars="0"/>
              <w:jc w:val="center"/>
              <w:textAlignment w:val="auto"/>
              <w:rPr>
                <w:rFonts w:hint="eastAsia"/>
                <w:b/>
                <w:bCs w:val="0"/>
                <w:color w:val="000000" w:themeColor="text1"/>
                <w:sz w:val="24"/>
                <w:lang w:val="en-US" w:eastAsia="zh-CN"/>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表4-13   项目无组织控制措施符合性分析</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3924"/>
              <w:gridCol w:w="2916"/>
              <w:gridCol w:w="827"/>
            </w:tblGrid>
            <w:tr w14:paraId="7BF8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31" w:type="dxa"/>
                  <w:gridSpan w:val="2"/>
                  <w:noWrap w:val="0"/>
                  <w:vAlign w:val="center"/>
                </w:tcPr>
                <w:p w14:paraId="3C0DD6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bCs w:val="0"/>
                      <w:color w:val="000000" w:themeColor="text1"/>
                      <w:sz w:val="21"/>
                      <w:szCs w:val="21"/>
                      <w:vertAlign w:val="baseline"/>
                      <w:lang w:val="en-US" w:eastAsia="zh-CN"/>
                      <w14:textFill>
                        <w14:solidFill>
                          <w14:schemeClr w14:val="tx1"/>
                        </w14:solidFill>
                      </w14:textFill>
                    </w:rPr>
                  </w:pPr>
                  <w:r>
                    <w:rPr>
                      <w:rFonts w:hint="default"/>
                      <w:b/>
                      <w:bCs w:val="0"/>
                      <w:color w:val="000000" w:themeColor="text1"/>
                      <w:sz w:val="21"/>
                      <w:szCs w:val="21"/>
                      <w:vertAlign w:val="baseline"/>
                      <w:lang w:val="en-US" w:eastAsia="zh-CN"/>
                      <w14:textFill>
                        <w14:solidFill>
                          <w14:schemeClr w14:val="tx1"/>
                        </w14:solidFill>
                      </w14:textFill>
                    </w:rPr>
                    <w:t>《排污许可证申请与核发技术规范  陶瓷砖瓦工业》（HJ954-2018）砖瓦工业无组织排放控制要求</w:t>
                  </w:r>
                </w:p>
              </w:tc>
              <w:tc>
                <w:tcPr>
                  <w:tcW w:w="2916" w:type="dxa"/>
                  <w:noWrap w:val="0"/>
                  <w:vAlign w:val="center"/>
                </w:tcPr>
                <w:p w14:paraId="7E8C88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bCs w:val="0"/>
                      <w:color w:val="000000" w:themeColor="text1"/>
                      <w:sz w:val="21"/>
                      <w:szCs w:val="21"/>
                      <w:vertAlign w:val="baseline"/>
                      <w:lang w:val="en-US" w:eastAsia="zh-CN"/>
                      <w14:textFill>
                        <w14:solidFill>
                          <w14:schemeClr w14:val="tx1"/>
                        </w14:solidFill>
                      </w14:textFill>
                    </w:rPr>
                  </w:pPr>
                  <w:r>
                    <w:rPr>
                      <w:rFonts w:hint="eastAsia"/>
                      <w:b/>
                      <w:bCs w:val="0"/>
                      <w:color w:val="000000" w:themeColor="text1"/>
                      <w:sz w:val="21"/>
                      <w:szCs w:val="21"/>
                      <w:vertAlign w:val="baseline"/>
                      <w:lang w:val="en-US" w:eastAsia="zh-CN"/>
                      <w14:textFill>
                        <w14:solidFill>
                          <w14:schemeClr w14:val="tx1"/>
                        </w14:solidFill>
                      </w14:textFill>
                    </w:rPr>
                    <w:t>本项目情况</w:t>
                  </w:r>
                </w:p>
              </w:tc>
              <w:tc>
                <w:tcPr>
                  <w:tcW w:w="827" w:type="dxa"/>
                  <w:noWrap w:val="0"/>
                  <w:vAlign w:val="center"/>
                </w:tcPr>
                <w:p w14:paraId="57CA53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bCs w:val="0"/>
                      <w:color w:val="000000" w:themeColor="text1"/>
                      <w:sz w:val="21"/>
                      <w:szCs w:val="21"/>
                      <w:vertAlign w:val="baseline"/>
                      <w:lang w:val="en-US" w:eastAsia="zh-CN"/>
                      <w14:textFill>
                        <w14:solidFill>
                          <w14:schemeClr w14:val="tx1"/>
                        </w14:solidFill>
                      </w14:textFill>
                    </w:rPr>
                  </w:pPr>
                  <w:r>
                    <w:rPr>
                      <w:rFonts w:hint="eastAsia"/>
                      <w:b/>
                      <w:bCs w:val="0"/>
                      <w:color w:val="000000" w:themeColor="text1"/>
                      <w:sz w:val="21"/>
                      <w:szCs w:val="21"/>
                      <w:vertAlign w:val="baseline"/>
                      <w:lang w:val="en-US" w:eastAsia="zh-CN"/>
                      <w14:textFill>
                        <w14:solidFill>
                          <w14:schemeClr w14:val="tx1"/>
                        </w14:solidFill>
                      </w14:textFill>
                    </w:rPr>
                    <w:t>符合性</w:t>
                  </w:r>
                </w:p>
              </w:tc>
            </w:tr>
            <w:tr w14:paraId="6F9A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7" w:type="dxa"/>
                  <w:noWrap w:val="0"/>
                  <w:vAlign w:val="center"/>
                </w:tcPr>
                <w:p w14:paraId="36A2D8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color w:val="000000" w:themeColor="text1"/>
                      <w:sz w:val="21"/>
                      <w:szCs w:val="21"/>
                      <w:vertAlign w:val="baseline"/>
                      <w:lang w:val="en-US" w:eastAsia="zh-CN"/>
                      <w14:textFill>
                        <w14:solidFill>
                          <w14:schemeClr w14:val="tx1"/>
                        </w14:solidFill>
                      </w14:textFill>
                    </w:rPr>
                  </w:pPr>
                  <w:r>
                    <w:rPr>
                      <w:rFonts w:hint="default"/>
                      <w:b w:val="0"/>
                      <w:bCs/>
                      <w:color w:val="000000" w:themeColor="text1"/>
                      <w:sz w:val="21"/>
                      <w:szCs w:val="21"/>
                      <w:vertAlign w:val="baseline"/>
                      <w:lang w:val="en-US" w:eastAsia="zh-CN"/>
                      <w14:textFill>
                        <w14:solidFill>
                          <w14:schemeClr w14:val="tx1"/>
                        </w14:solidFill>
                      </w14:textFill>
                    </w:rPr>
                    <w:t>原辅料制备</w:t>
                  </w:r>
                </w:p>
              </w:tc>
              <w:tc>
                <w:tcPr>
                  <w:tcW w:w="3924" w:type="dxa"/>
                  <w:noWrap w:val="0"/>
                  <w:vAlign w:val="center"/>
                </w:tcPr>
                <w:p w14:paraId="3DB9BFD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b w:val="0"/>
                      <w:bCs/>
                      <w:color w:val="000000" w:themeColor="text1"/>
                      <w:sz w:val="21"/>
                      <w:szCs w:val="21"/>
                      <w:vertAlign w:val="baseline"/>
                      <w:lang w:val="en-US" w:eastAsia="zh-CN"/>
                      <w14:textFill>
                        <w14:solidFill>
                          <w14:schemeClr w14:val="tx1"/>
                        </w14:solidFill>
                      </w14:textFill>
                    </w:rPr>
                  </w:pPr>
                  <w:r>
                    <w:rPr>
                      <w:rFonts w:hint="default"/>
                      <w:b w:val="0"/>
                      <w:bCs/>
                      <w:color w:val="000000" w:themeColor="text1"/>
                      <w:sz w:val="21"/>
                      <w:szCs w:val="21"/>
                      <w:vertAlign w:val="baseline"/>
                      <w:lang w:val="en-US" w:eastAsia="zh-CN"/>
                      <w14:textFill>
                        <w14:solidFill>
                          <w14:schemeClr w14:val="tx1"/>
                        </w14:solidFill>
                      </w14:textFill>
                    </w:rPr>
                    <w:t>①粉状物料料场应采用封闭、半封闭料场（仓、库、棚），并采取抑尘措施；原煤、块石、粘湿物料等料场应采用封闭、半封闭料场（仓、库、棚），或四周设置防风抑尘网、挡风墙，或采取覆盖等抑尘措施，防风抑尘网、挡风墙高度不低于堆存物料高度的1.1倍：有包装袋的物料采取覆盖措施。</w:t>
                  </w:r>
                </w:p>
                <w:p w14:paraId="013DBAF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b w:val="0"/>
                      <w:bCs/>
                      <w:color w:val="000000" w:themeColor="text1"/>
                      <w:sz w:val="21"/>
                      <w:szCs w:val="21"/>
                      <w:vertAlign w:val="baseline"/>
                      <w:lang w:val="en-US" w:eastAsia="zh-CN"/>
                      <w14:textFill>
                        <w14:solidFill>
                          <w14:schemeClr w14:val="tx1"/>
                        </w14:solidFill>
                      </w14:textFill>
                    </w:rPr>
                  </w:pPr>
                  <w:r>
                    <w:rPr>
                      <w:rFonts w:hint="default"/>
                      <w:b w:val="0"/>
                      <w:bCs/>
                      <w:color w:val="000000" w:themeColor="text1"/>
                      <w:sz w:val="21"/>
                      <w:szCs w:val="21"/>
                      <w:vertAlign w:val="baseline"/>
                      <w:lang w:val="en-US" w:eastAsia="zh-CN"/>
                      <w14:textFill>
                        <w14:solidFill>
                          <w14:schemeClr w14:val="tx1"/>
                        </w14:solidFill>
                      </w14:textFill>
                    </w:rPr>
                    <w:t>②原料均化应在封闭、半封闭料场（仓、库、棚）中进行。</w:t>
                  </w:r>
                </w:p>
                <w:p w14:paraId="3188D1A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b w:val="0"/>
                      <w:bCs/>
                      <w:color w:val="000000" w:themeColor="text1"/>
                      <w:sz w:val="21"/>
                      <w:szCs w:val="21"/>
                      <w:vertAlign w:val="baseline"/>
                      <w:lang w:val="en-US" w:eastAsia="zh-CN"/>
                      <w14:textFill>
                        <w14:solidFill>
                          <w14:schemeClr w14:val="tx1"/>
                        </w14:solidFill>
                      </w14:textFill>
                    </w:rPr>
                  </w:pPr>
                  <w:r>
                    <w:rPr>
                      <w:rFonts w:hint="default"/>
                      <w:b w:val="0"/>
                      <w:bCs/>
                      <w:color w:val="000000" w:themeColor="text1"/>
                      <w:sz w:val="21"/>
                      <w:szCs w:val="21"/>
                      <w:vertAlign w:val="baseline"/>
                      <w:lang w:val="en-US" w:eastAsia="zh-CN"/>
                      <w14:textFill>
                        <w14:solidFill>
                          <w14:schemeClr w14:val="tx1"/>
                        </w14:solidFill>
                      </w14:textFill>
                    </w:rPr>
                    <w:t>③粉状物料应密闭输送；其他物料输送应在转运点设置集气罩，并配备除尘设施。 ④原料的粉碎、筛分、配料、混合搅拌、制备等工序，均应采用封闭式作业，并配备除尘设施。</w:t>
                  </w:r>
                </w:p>
              </w:tc>
              <w:tc>
                <w:tcPr>
                  <w:tcW w:w="2916" w:type="dxa"/>
                  <w:noWrap w:val="0"/>
                  <w:vAlign w:val="center"/>
                </w:tcPr>
                <w:p w14:paraId="1A4C579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b w:val="0"/>
                      <w:bCs/>
                      <w:color w:val="000000" w:themeColor="text1"/>
                      <w:sz w:val="21"/>
                      <w:szCs w:val="21"/>
                      <w:vertAlign w:val="baseline"/>
                      <w:lang w:val="en-US" w:eastAsia="zh-CN"/>
                      <w14:textFill>
                        <w14:solidFill>
                          <w14:schemeClr w14:val="tx1"/>
                        </w14:solidFill>
                      </w14:textFill>
                    </w:rPr>
                  </w:pPr>
                  <w:r>
                    <w:rPr>
                      <w:rFonts w:hint="default"/>
                      <w:b w:val="0"/>
                      <w:bCs/>
                      <w:color w:val="000000" w:themeColor="text1"/>
                      <w:sz w:val="21"/>
                      <w:szCs w:val="21"/>
                      <w:vertAlign w:val="baseline"/>
                      <w:lang w:val="en-US" w:eastAsia="zh-CN"/>
                      <w14:textFill>
                        <w14:solidFill>
                          <w14:schemeClr w14:val="tx1"/>
                        </w14:solidFill>
                      </w14:textFill>
                    </w:rPr>
                    <w:t>①</w:t>
                  </w:r>
                  <w:r>
                    <w:rPr>
                      <w:rFonts w:hint="eastAsia"/>
                      <w:b w:val="0"/>
                      <w:bCs/>
                      <w:color w:val="000000" w:themeColor="text1"/>
                      <w:sz w:val="21"/>
                      <w:szCs w:val="21"/>
                      <w:vertAlign w:val="baseline"/>
                      <w:lang w:val="en-US" w:eastAsia="zh-CN"/>
                      <w14:textFill>
                        <w14:solidFill>
                          <w14:schemeClr w14:val="tx1"/>
                        </w14:solidFill>
                      </w14:textFill>
                    </w:rPr>
                    <w:t>项目原料粘土贮存在项目设置的原料贮存库中，本次提出对现有原料库北侧和东侧设置封闭围挡，南侧作为出入口，西侧靠近筛分设施因生产需要无法封闭，因此，整改后项目原料贮存库为半封闭且库顶设置有喷雾降尘设施。</w:t>
                  </w:r>
                </w:p>
                <w:p w14:paraId="1D81267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b w:val="0"/>
                      <w:bCs/>
                      <w:color w:val="000000" w:themeColor="text1"/>
                      <w:sz w:val="21"/>
                      <w:szCs w:val="21"/>
                      <w:vertAlign w:val="baseline"/>
                      <w:lang w:val="en-US" w:eastAsia="zh-CN"/>
                      <w14:textFill>
                        <w14:solidFill>
                          <w14:schemeClr w14:val="tx1"/>
                        </w14:solidFill>
                      </w14:textFill>
                    </w:rPr>
                  </w:pPr>
                  <w:r>
                    <w:rPr>
                      <w:rFonts w:hint="default"/>
                      <w:b w:val="0"/>
                      <w:bCs/>
                      <w:color w:val="000000" w:themeColor="text1"/>
                      <w:sz w:val="21"/>
                      <w:szCs w:val="21"/>
                      <w:vertAlign w:val="baseline"/>
                      <w:lang w:val="en-US" w:eastAsia="zh-CN"/>
                      <w14:textFill>
                        <w14:solidFill>
                          <w14:schemeClr w14:val="tx1"/>
                        </w14:solidFill>
                      </w14:textFill>
                    </w:rPr>
                    <w:t>②</w:t>
                  </w:r>
                  <w:r>
                    <w:rPr>
                      <w:rFonts w:hint="eastAsia"/>
                      <w:b w:val="0"/>
                      <w:bCs/>
                      <w:color w:val="000000" w:themeColor="text1"/>
                      <w:sz w:val="21"/>
                      <w:szCs w:val="21"/>
                      <w:vertAlign w:val="baseline"/>
                      <w:lang w:val="en-US" w:eastAsia="zh-CN"/>
                      <w14:textFill>
                        <w14:solidFill>
                          <w14:schemeClr w14:val="tx1"/>
                        </w14:solidFill>
                      </w14:textFill>
                    </w:rPr>
                    <w:t>项目原料破碎、筛分在半封闭车间进行。</w:t>
                  </w:r>
                </w:p>
                <w:p w14:paraId="37BC4E0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b w:val="0"/>
                      <w:bCs/>
                      <w:color w:val="000000" w:themeColor="text1"/>
                      <w:sz w:val="21"/>
                      <w:szCs w:val="21"/>
                      <w:vertAlign w:val="baseline"/>
                      <w:lang w:val="en-US" w:eastAsia="zh-CN"/>
                      <w14:textFill>
                        <w14:solidFill>
                          <w14:schemeClr w14:val="tx1"/>
                        </w14:solidFill>
                      </w14:textFill>
                    </w:rPr>
                  </w:pPr>
                  <w:r>
                    <w:rPr>
                      <w:rFonts w:hint="default"/>
                      <w:b w:val="0"/>
                      <w:bCs/>
                      <w:color w:val="000000" w:themeColor="text1"/>
                      <w:sz w:val="21"/>
                      <w:szCs w:val="21"/>
                      <w:vertAlign w:val="baseline"/>
                      <w:lang w:val="en-US" w:eastAsia="zh-CN"/>
                      <w14:textFill>
                        <w14:solidFill>
                          <w14:schemeClr w14:val="tx1"/>
                        </w14:solidFill>
                      </w14:textFill>
                    </w:rPr>
                    <w:t>③</w:t>
                  </w:r>
                  <w:r>
                    <w:rPr>
                      <w:rFonts w:hint="eastAsia"/>
                      <w:b w:val="0"/>
                      <w:bCs/>
                      <w:color w:val="000000" w:themeColor="text1"/>
                      <w:sz w:val="21"/>
                      <w:szCs w:val="21"/>
                      <w:vertAlign w:val="baseline"/>
                      <w:lang w:val="en-US" w:eastAsia="zh-CN"/>
                      <w14:textFill>
                        <w14:solidFill>
                          <w14:schemeClr w14:val="tx1"/>
                        </w14:solidFill>
                      </w14:textFill>
                    </w:rPr>
                    <w:t>项目粉磨后的粉料通过管道输送至搅拌机，搅拌机落料点加水搅拌。</w:t>
                  </w:r>
                </w:p>
                <w:p w14:paraId="7AFCC71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b w:val="0"/>
                      <w:bCs/>
                      <w:color w:val="000000" w:themeColor="text1"/>
                      <w:sz w:val="21"/>
                      <w:szCs w:val="21"/>
                      <w:vertAlign w:val="baseline"/>
                      <w:lang w:val="en-US" w:eastAsia="zh-CN"/>
                      <w14:textFill>
                        <w14:solidFill>
                          <w14:schemeClr w14:val="tx1"/>
                        </w14:solidFill>
                      </w14:textFill>
                    </w:rPr>
                  </w:pPr>
                  <w:r>
                    <w:rPr>
                      <w:rFonts w:hint="default"/>
                      <w:b w:val="0"/>
                      <w:bCs/>
                      <w:color w:val="000000" w:themeColor="text1"/>
                      <w:sz w:val="21"/>
                      <w:szCs w:val="21"/>
                      <w:vertAlign w:val="baseline"/>
                      <w:lang w:val="en-US" w:eastAsia="zh-CN"/>
                      <w14:textFill>
                        <w14:solidFill>
                          <w14:schemeClr w14:val="tx1"/>
                        </w14:solidFill>
                      </w14:textFill>
                    </w:rPr>
                    <w:t>④</w:t>
                  </w:r>
                  <w:r>
                    <w:rPr>
                      <w:rFonts w:hint="eastAsia" w:cs="Times New Roman"/>
                      <w:color w:val="000000" w:themeColor="text1"/>
                      <w:spacing w:val="-3"/>
                      <w:sz w:val="21"/>
                      <w:szCs w:val="21"/>
                      <w:lang w:val="en-US" w:eastAsia="zh-CN"/>
                      <w14:textFill>
                        <w14:solidFill>
                          <w14:schemeClr w14:val="tx1"/>
                        </w14:solidFill>
                      </w14:textFill>
                    </w:rPr>
                    <w:t>破碎、筛分各设置1个集气罩（收集效率不低于60%）收集，进入1套脉冲袋式除尘器处理后设置1根高15m的排气筒（DA002）排放</w:t>
                  </w:r>
                  <w:r>
                    <w:rPr>
                      <w:rFonts w:hint="eastAsia"/>
                      <w:b w:val="0"/>
                      <w:bCs/>
                      <w:color w:val="000000" w:themeColor="text1"/>
                      <w:sz w:val="21"/>
                      <w:szCs w:val="21"/>
                      <w:vertAlign w:val="baseline"/>
                      <w:lang w:val="en-US" w:eastAsia="zh-CN"/>
                      <w14:textFill>
                        <w14:solidFill>
                          <w14:schemeClr w14:val="tx1"/>
                        </w14:solidFill>
                      </w14:textFill>
                    </w:rPr>
                    <w:t>。</w:t>
                  </w:r>
                </w:p>
              </w:tc>
              <w:tc>
                <w:tcPr>
                  <w:tcW w:w="827" w:type="dxa"/>
                  <w:noWrap w:val="0"/>
                  <w:vAlign w:val="center"/>
                </w:tcPr>
                <w:p w14:paraId="152D4E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符合</w:t>
                  </w:r>
                </w:p>
              </w:tc>
            </w:tr>
            <w:tr w14:paraId="46D9C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7" w:type="dxa"/>
                  <w:noWrap w:val="0"/>
                  <w:vAlign w:val="center"/>
                </w:tcPr>
                <w:p w14:paraId="55DACF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其他要求</w:t>
                  </w:r>
                </w:p>
              </w:tc>
              <w:tc>
                <w:tcPr>
                  <w:tcW w:w="3924" w:type="dxa"/>
                  <w:noWrap w:val="0"/>
                  <w:vAlign w:val="center"/>
                </w:tcPr>
                <w:p w14:paraId="138913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color w:val="000000" w:themeColor="text1"/>
                      <w:sz w:val="21"/>
                      <w:szCs w:val="21"/>
                      <w:vertAlign w:val="baseline"/>
                      <w:lang w:val="en-US" w:eastAsia="zh-CN"/>
                      <w14:textFill>
                        <w14:solidFill>
                          <w14:schemeClr w14:val="tx1"/>
                        </w14:solidFill>
                      </w14:textFill>
                    </w:rPr>
                  </w:pPr>
                  <w:r>
                    <w:rPr>
                      <w:rFonts w:hint="default"/>
                      <w:b w:val="0"/>
                      <w:bCs/>
                      <w:color w:val="000000" w:themeColor="text1"/>
                      <w:sz w:val="21"/>
                      <w:szCs w:val="21"/>
                      <w:vertAlign w:val="baseline"/>
                      <w:lang w:val="en-US" w:eastAsia="zh-CN"/>
                      <w14:textFill>
                        <w14:solidFill>
                          <w14:schemeClr w14:val="tx1"/>
                        </w14:solidFill>
                      </w14:textFill>
                    </w:rPr>
                    <w:t>厂区道路应硬化。道路采取清扫、洒水等措施，保持清洁。</w:t>
                  </w:r>
                </w:p>
              </w:tc>
              <w:tc>
                <w:tcPr>
                  <w:tcW w:w="2916" w:type="dxa"/>
                  <w:noWrap w:val="0"/>
                  <w:vAlign w:val="center"/>
                </w:tcPr>
                <w:p w14:paraId="74A72C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项目道路采取洒水降尘措施</w:t>
                  </w:r>
                </w:p>
              </w:tc>
              <w:tc>
                <w:tcPr>
                  <w:tcW w:w="827" w:type="dxa"/>
                  <w:noWrap w:val="0"/>
                  <w:vAlign w:val="center"/>
                </w:tcPr>
                <w:p w14:paraId="33A5A7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符合</w:t>
                  </w:r>
                </w:p>
              </w:tc>
            </w:tr>
          </w:tbl>
          <w:p w14:paraId="7A9CF65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b/>
                <w:bCs w:val="0"/>
                <w:color w:val="000000" w:themeColor="text1"/>
                <w:sz w:val="24"/>
                <w:lang w:val="en-US" w:eastAsia="zh-CN"/>
                <w14:textFill>
                  <w14:solidFill>
                    <w14:schemeClr w14:val="tx1"/>
                  </w14:solidFill>
                </w14:textFill>
              </w:rPr>
            </w:pPr>
            <w:r>
              <w:rPr>
                <w:rFonts w:hint="eastAsia"/>
                <w:b w:val="0"/>
                <w:bCs/>
                <w:color w:val="000000" w:themeColor="text1"/>
                <w:sz w:val="24"/>
                <w:lang w:val="en-US" w:eastAsia="zh-CN"/>
                <w14:textFill>
                  <w14:solidFill>
                    <w14:schemeClr w14:val="tx1"/>
                  </w14:solidFill>
                </w14:textFill>
              </w:rPr>
              <w:t>根据上表分析，项目采取的无组织废气控制措施基本满足</w:t>
            </w:r>
            <w:r>
              <w:rPr>
                <w:rFonts w:hint="eastAsia"/>
                <w:bCs/>
                <w:color w:val="000000" w:themeColor="text1"/>
                <w:sz w:val="24"/>
                <w:highlight w:val="none"/>
                <w14:textFill>
                  <w14:solidFill>
                    <w14:schemeClr w14:val="tx1"/>
                  </w14:solidFill>
                </w14:textFill>
              </w:rPr>
              <w:t>《排污许可证申请</w:t>
            </w:r>
            <w:r>
              <w:rPr>
                <w:rFonts w:hint="eastAsia"/>
                <w:bCs/>
                <w:color w:val="000000" w:themeColor="text1"/>
                <w:sz w:val="24"/>
                <w14:textFill>
                  <w14:solidFill>
                    <w14:schemeClr w14:val="tx1"/>
                  </w14:solidFill>
                </w14:textFill>
              </w:rPr>
              <w:t>与核发技术规范</w:t>
            </w:r>
            <w:r>
              <w:rPr>
                <w:rFonts w:hint="eastAsia"/>
                <w:bCs/>
                <w:color w:val="000000" w:themeColor="text1"/>
                <w:sz w:val="24"/>
                <w:lang w:val="en-US" w:eastAsia="zh-CN"/>
                <w14:textFill>
                  <w14:solidFill>
                    <w14:schemeClr w14:val="tx1"/>
                  </w14:solidFill>
                </w14:textFill>
              </w:rPr>
              <w:t xml:space="preserve">  </w:t>
            </w:r>
            <w:r>
              <w:rPr>
                <w:rFonts w:hint="eastAsia"/>
                <w:bCs/>
                <w:color w:val="000000" w:themeColor="text1"/>
                <w:sz w:val="24"/>
                <w14:textFill>
                  <w14:solidFill>
                    <w14:schemeClr w14:val="tx1"/>
                  </w14:solidFill>
                </w14:textFill>
              </w:rPr>
              <w:t>陶瓷砖瓦工业》（HJ954</w:t>
            </w:r>
            <w:r>
              <w:rPr>
                <w:rFonts w:hint="eastAsia"/>
                <w:bCs/>
                <w:color w:val="000000" w:themeColor="text1"/>
                <w:sz w:val="24"/>
                <w:lang w:val="en-US" w:eastAsia="zh-CN"/>
                <w14:textFill>
                  <w14:solidFill>
                    <w14:schemeClr w14:val="tx1"/>
                  </w14:solidFill>
                </w14:textFill>
              </w:rPr>
              <w:t>-</w:t>
            </w:r>
            <w:r>
              <w:rPr>
                <w:rFonts w:hint="eastAsia"/>
                <w:bCs/>
                <w:color w:val="000000" w:themeColor="text1"/>
                <w:sz w:val="24"/>
                <w14:textFill>
                  <w14:solidFill>
                    <w14:schemeClr w14:val="tx1"/>
                  </w14:solidFill>
                </w14:textFill>
              </w:rPr>
              <w:t>2018）</w:t>
            </w:r>
            <w:r>
              <w:rPr>
                <w:rFonts w:hint="eastAsia"/>
                <w:bCs/>
                <w:color w:val="000000" w:themeColor="text1"/>
                <w:sz w:val="24"/>
                <w:lang w:val="en-US" w:eastAsia="zh-CN"/>
                <w14:textFill>
                  <w14:solidFill>
                    <w14:schemeClr w14:val="tx1"/>
                  </w14:solidFill>
                </w14:textFill>
              </w:rPr>
              <w:t>砖瓦工业无组织排放控制要求，产生的无组织废气经采取措施后，厂界无组织颗粒物能够达到《砖瓦工业大气污染物排放标准》（GB29620-2013）表3排放限值，即总悬浮颗粒物≤</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1.0mg/m</w:t>
            </w:r>
            <w:r>
              <w:rPr>
                <w:rFonts w:hint="eastAsia" w:ascii="Times New Roman" w:hAnsi="Times New Roman" w:eastAsia="宋体" w:cs="Times New Roman"/>
                <w:b w:val="0"/>
                <w:bCs w:val="0"/>
                <w:color w:val="000000" w:themeColor="text1"/>
                <w:kern w:val="2"/>
                <w:sz w:val="24"/>
                <w:szCs w:val="24"/>
                <w:vertAlign w:val="superscript"/>
                <w:lang w:val="en-US" w:eastAsia="zh-CN" w:bidi="ar-SA"/>
                <w14:textFill>
                  <w14:solidFill>
                    <w14:schemeClr w14:val="tx1"/>
                  </w14:solidFill>
                </w14:textFill>
              </w:rPr>
              <w:t>3</w:t>
            </w:r>
            <w:r>
              <w:rPr>
                <w:rFonts w:hint="eastAsia"/>
                <w:bCs/>
                <w:color w:val="000000" w:themeColor="text1"/>
                <w:sz w:val="24"/>
                <w:lang w:val="en-US" w:eastAsia="zh-CN"/>
                <w14:textFill>
                  <w14:solidFill>
                    <w14:schemeClr w14:val="tx1"/>
                  </w14:solidFill>
                </w14:textFill>
              </w:rPr>
              <w:t>，能够达标排放。</w:t>
            </w:r>
          </w:p>
          <w:p w14:paraId="262B618B">
            <w:pPr>
              <w:adjustRightInd w:val="0"/>
              <w:snapToGrid w:val="0"/>
              <w:spacing w:line="360" w:lineRule="auto"/>
              <w:ind w:firstLine="482" w:firstLineChars="200"/>
              <w:rPr>
                <w:rFonts w:hint="default"/>
                <w:b/>
                <w:bCs/>
                <w:color w:val="000000" w:themeColor="text1"/>
                <w:sz w:val="24"/>
                <w:lang w:val="en-US"/>
                <w14:textFill>
                  <w14:solidFill>
                    <w14:schemeClr w14:val="tx1"/>
                  </w14:solidFill>
                </w14:textFill>
              </w:rPr>
            </w:pPr>
            <w:r>
              <w:rPr>
                <w:rFonts w:hint="eastAsia"/>
                <w:b/>
                <w:bCs/>
                <w:color w:val="000000" w:themeColor="text1"/>
                <w:sz w:val="24"/>
                <w:lang w:val="en-US" w:eastAsia="zh-CN"/>
                <w14:textFill>
                  <w14:solidFill>
                    <w14:schemeClr w14:val="tx1"/>
                  </w14:solidFill>
                </w14:textFill>
              </w:rPr>
              <w:t>1.3项目大气污染物排放信息</w:t>
            </w:r>
          </w:p>
          <w:p w14:paraId="68B8C67D">
            <w:pPr>
              <w:adjustRightInd w:val="0"/>
              <w:snapToGrid w:val="0"/>
              <w:spacing w:line="276" w:lineRule="auto"/>
              <w:jc w:val="center"/>
              <w:rPr>
                <w:rFonts w:hint="eastAsia"/>
                <w:b/>
                <w:bCs/>
                <w:color w:val="000000" w:themeColor="text1"/>
                <w:sz w:val="24"/>
                <w:lang w:val="en-US" w:eastAsia="zh-CN"/>
                <w14:textFill>
                  <w14:solidFill>
                    <w14:schemeClr w14:val="tx1"/>
                  </w14:solidFill>
                </w14:textFill>
              </w:rPr>
            </w:pPr>
            <w:r>
              <w:rPr>
                <w:rFonts w:hint="eastAsia"/>
                <w:b/>
                <w:bCs/>
                <w:color w:val="000000" w:themeColor="text1"/>
                <w:sz w:val="24"/>
                <w14:textFill>
                  <w14:solidFill>
                    <w14:schemeClr w14:val="tx1"/>
                  </w14:solidFill>
                </w14:textFill>
              </w:rPr>
              <w:t>表4-</w:t>
            </w:r>
            <w:r>
              <w:rPr>
                <w:rFonts w:hint="eastAsia"/>
                <w:b/>
                <w:bCs/>
                <w:color w:val="000000" w:themeColor="text1"/>
                <w:sz w:val="24"/>
                <w:lang w:val="en-US" w:eastAsia="zh-CN"/>
                <w14:textFill>
                  <w14:solidFill>
                    <w14:schemeClr w14:val="tx1"/>
                  </w14:solidFill>
                </w14:textFill>
              </w:rPr>
              <w:t>14</w:t>
            </w:r>
            <w:r>
              <w:rPr>
                <w:rFonts w:hint="eastAsia"/>
                <w:b/>
                <w:bCs/>
                <w:color w:val="000000" w:themeColor="text1"/>
                <w:sz w:val="24"/>
                <w14:textFill>
                  <w14:solidFill>
                    <w14:schemeClr w14:val="tx1"/>
                  </w14:solidFill>
                </w14:textFill>
              </w:rPr>
              <w:t xml:space="preserve">   大气污染物有组织</w:t>
            </w:r>
            <w:r>
              <w:rPr>
                <w:rFonts w:hint="eastAsia"/>
                <w:b/>
                <w:bCs/>
                <w:color w:val="000000" w:themeColor="text1"/>
                <w:sz w:val="24"/>
                <w:lang w:val="en-US" w:eastAsia="zh-CN"/>
                <w14:textFill>
                  <w14:solidFill>
                    <w14:schemeClr w14:val="tx1"/>
                  </w14:solidFill>
                </w14:textFill>
              </w:rPr>
              <w:t>一般排放口排放信息表</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8"/>
              <w:gridCol w:w="2070"/>
              <w:gridCol w:w="1735"/>
              <w:gridCol w:w="1735"/>
              <w:gridCol w:w="1736"/>
            </w:tblGrid>
            <w:tr w14:paraId="4128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8" w:type="dxa"/>
                  <w:vAlign w:val="center"/>
                </w:tcPr>
                <w:p w14:paraId="4766CB1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排放口编号</w:t>
                  </w:r>
                </w:p>
              </w:tc>
              <w:tc>
                <w:tcPr>
                  <w:tcW w:w="1478" w:type="dxa"/>
                  <w:vAlign w:val="center"/>
                </w:tcPr>
                <w:p w14:paraId="3F5E835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排放口名称</w:t>
                  </w:r>
                </w:p>
              </w:tc>
              <w:tc>
                <w:tcPr>
                  <w:tcW w:w="1239" w:type="dxa"/>
                  <w:vAlign w:val="center"/>
                </w:tcPr>
                <w:p w14:paraId="715388E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污染物种类</w:t>
                  </w:r>
                </w:p>
              </w:tc>
              <w:tc>
                <w:tcPr>
                  <w:tcW w:w="1239" w:type="dxa"/>
                  <w:vAlign w:val="center"/>
                </w:tcPr>
                <w:p w14:paraId="28C81DD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申请许可排放浓度限值（mg/m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p>
              </w:tc>
              <w:tc>
                <w:tcPr>
                  <w:tcW w:w="1240" w:type="dxa"/>
                  <w:vAlign w:val="center"/>
                </w:tcPr>
                <w:p w14:paraId="3DECFBB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申请年许可排放量限值（t/a）</w:t>
                  </w:r>
                </w:p>
              </w:tc>
            </w:tr>
            <w:tr w14:paraId="64DE5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8" w:type="dxa"/>
                  <w:vAlign w:val="center"/>
                </w:tcPr>
                <w:p w14:paraId="3B0CC8C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DA00</w:t>
                  </w:r>
                  <w:r>
                    <w:rPr>
                      <w:rFonts w:hint="eastAsia" w:cs="Times New Roman"/>
                      <w:color w:val="000000" w:themeColor="text1"/>
                      <w:sz w:val="21"/>
                      <w:szCs w:val="21"/>
                      <w:vertAlign w:val="baseline"/>
                      <w:lang w:val="en-US" w:eastAsia="zh-CN"/>
                      <w14:textFill>
                        <w14:solidFill>
                          <w14:schemeClr w14:val="tx1"/>
                        </w14:solidFill>
                      </w14:textFill>
                    </w:rPr>
                    <w:t>2</w:t>
                  </w:r>
                </w:p>
              </w:tc>
              <w:tc>
                <w:tcPr>
                  <w:tcW w:w="1478" w:type="dxa"/>
                  <w:vAlign w:val="center"/>
                </w:tcPr>
                <w:p w14:paraId="6F75E8E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原料制备排放口</w:t>
                  </w:r>
                </w:p>
              </w:tc>
              <w:tc>
                <w:tcPr>
                  <w:tcW w:w="1239" w:type="dxa"/>
                  <w:vAlign w:val="center"/>
                </w:tcPr>
                <w:p w14:paraId="44B571E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颗粒物</w:t>
                  </w:r>
                </w:p>
              </w:tc>
              <w:tc>
                <w:tcPr>
                  <w:tcW w:w="1239" w:type="dxa"/>
                  <w:vAlign w:val="center"/>
                </w:tcPr>
                <w:p w14:paraId="1A80B25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30</w:t>
                  </w:r>
                </w:p>
              </w:tc>
              <w:tc>
                <w:tcPr>
                  <w:tcW w:w="1240" w:type="dxa"/>
                  <w:vAlign w:val="center"/>
                </w:tcPr>
                <w:p w14:paraId="34086D5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0.32</w:t>
                  </w:r>
                </w:p>
              </w:tc>
            </w:tr>
            <w:tr w14:paraId="62739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8" w:type="dxa"/>
                  <w:vMerge w:val="restart"/>
                  <w:vAlign w:val="center"/>
                </w:tcPr>
                <w:p w14:paraId="79A66F3A">
                  <w:pPr>
                    <w:keepNext w:val="0"/>
                    <w:keepLines w:val="0"/>
                    <w:pageBreakBefore w:val="0"/>
                    <w:widowControl w:val="0"/>
                    <w:tabs>
                      <w:tab w:val="center" w:pos="651"/>
                      <w:tab w:val="right" w:pos="1182"/>
                    </w:tabs>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DA00</w:t>
                  </w:r>
                  <w:r>
                    <w:rPr>
                      <w:rFonts w:hint="eastAsia" w:cs="Times New Roman"/>
                      <w:color w:val="000000" w:themeColor="text1"/>
                      <w:sz w:val="21"/>
                      <w:szCs w:val="21"/>
                      <w:vertAlign w:val="baseline"/>
                      <w:lang w:val="en-US" w:eastAsia="zh-CN"/>
                      <w14:textFill>
                        <w14:solidFill>
                          <w14:schemeClr w14:val="tx1"/>
                        </w14:solidFill>
                      </w14:textFill>
                    </w:rPr>
                    <w:t>1</w:t>
                  </w:r>
                </w:p>
              </w:tc>
              <w:tc>
                <w:tcPr>
                  <w:tcW w:w="1478" w:type="dxa"/>
                  <w:vMerge w:val="restart"/>
                  <w:vAlign w:val="center"/>
                </w:tcPr>
                <w:p w14:paraId="2D2D920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窑烟囱</w:t>
                  </w:r>
                </w:p>
              </w:tc>
              <w:tc>
                <w:tcPr>
                  <w:tcW w:w="1239" w:type="dxa"/>
                  <w:vAlign w:val="center"/>
                </w:tcPr>
                <w:p w14:paraId="4A88C4B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颗粒物</w:t>
                  </w:r>
                </w:p>
              </w:tc>
              <w:tc>
                <w:tcPr>
                  <w:tcW w:w="1239" w:type="dxa"/>
                  <w:vAlign w:val="center"/>
                </w:tcPr>
                <w:p w14:paraId="7DFB3ED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30</w:t>
                  </w:r>
                </w:p>
              </w:tc>
              <w:tc>
                <w:tcPr>
                  <w:tcW w:w="1240" w:type="dxa"/>
                  <w:vAlign w:val="center"/>
                </w:tcPr>
                <w:p w14:paraId="7AA4046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2.64</w:t>
                  </w:r>
                </w:p>
              </w:tc>
            </w:tr>
            <w:tr w14:paraId="6EDF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8" w:type="dxa"/>
                  <w:vMerge w:val="continue"/>
                  <w:vAlign w:val="center"/>
                </w:tcPr>
                <w:p w14:paraId="7B9334F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478" w:type="dxa"/>
                  <w:vMerge w:val="continue"/>
                  <w:vAlign w:val="center"/>
                </w:tcPr>
                <w:p w14:paraId="5BBDB7A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239" w:type="dxa"/>
                  <w:vAlign w:val="center"/>
                </w:tcPr>
                <w:p w14:paraId="01BB7AD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二氧化硫</w:t>
                  </w:r>
                </w:p>
              </w:tc>
              <w:tc>
                <w:tcPr>
                  <w:tcW w:w="1239" w:type="dxa"/>
                  <w:vAlign w:val="center"/>
                </w:tcPr>
                <w:p w14:paraId="2F52069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150</w:t>
                  </w:r>
                </w:p>
              </w:tc>
              <w:tc>
                <w:tcPr>
                  <w:tcW w:w="1240" w:type="dxa"/>
                  <w:vAlign w:val="center"/>
                </w:tcPr>
                <w:p w14:paraId="637A238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14.58</w:t>
                  </w:r>
                </w:p>
              </w:tc>
            </w:tr>
            <w:tr w14:paraId="6318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8" w:type="dxa"/>
                  <w:vMerge w:val="continue"/>
                  <w:vAlign w:val="center"/>
                </w:tcPr>
                <w:p w14:paraId="65A863F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478" w:type="dxa"/>
                  <w:vMerge w:val="continue"/>
                  <w:vAlign w:val="center"/>
                </w:tcPr>
                <w:p w14:paraId="17F7C77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239" w:type="dxa"/>
                  <w:vAlign w:val="center"/>
                </w:tcPr>
                <w:p w14:paraId="62A4511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氮氧化物</w:t>
                  </w:r>
                </w:p>
              </w:tc>
              <w:tc>
                <w:tcPr>
                  <w:tcW w:w="1239" w:type="dxa"/>
                  <w:vAlign w:val="center"/>
                </w:tcPr>
                <w:p w14:paraId="390D499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200</w:t>
                  </w:r>
                </w:p>
              </w:tc>
              <w:tc>
                <w:tcPr>
                  <w:tcW w:w="1240" w:type="dxa"/>
                  <w:vAlign w:val="center"/>
                </w:tcPr>
                <w:p w14:paraId="147CAA4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14.14</w:t>
                  </w:r>
                </w:p>
              </w:tc>
            </w:tr>
            <w:tr w14:paraId="4B409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8" w:type="dxa"/>
                  <w:vMerge w:val="continue"/>
                  <w:vAlign w:val="center"/>
                </w:tcPr>
                <w:p w14:paraId="0BEF5A1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478" w:type="dxa"/>
                  <w:vMerge w:val="continue"/>
                  <w:vAlign w:val="center"/>
                </w:tcPr>
                <w:p w14:paraId="3DC1310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239" w:type="dxa"/>
                  <w:vAlign w:val="center"/>
                </w:tcPr>
                <w:p w14:paraId="40138DB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氟化物</w:t>
                  </w:r>
                </w:p>
              </w:tc>
              <w:tc>
                <w:tcPr>
                  <w:tcW w:w="1239" w:type="dxa"/>
                  <w:vAlign w:val="center"/>
                </w:tcPr>
                <w:p w14:paraId="35CAA85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3</w:t>
                  </w:r>
                </w:p>
              </w:tc>
              <w:tc>
                <w:tcPr>
                  <w:tcW w:w="1240" w:type="dxa"/>
                  <w:vAlign w:val="center"/>
                </w:tcPr>
                <w:p w14:paraId="5E29411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0.248</w:t>
                  </w:r>
                </w:p>
              </w:tc>
            </w:tr>
            <w:tr w14:paraId="32E5B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gridSpan w:val="3"/>
                  <w:vMerge w:val="restart"/>
                  <w:vAlign w:val="center"/>
                </w:tcPr>
                <w:p w14:paraId="3432B15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全厂有组织排放总计</w:t>
                  </w:r>
                </w:p>
              </w:tc>
              <w:tc>
                <w:tcPr>
                  <w:tcW w:w="1239" w:type="dxa"/>
                  <w:vAlign w:val="center"/>
                </w:tcPr>
                <w:p w14:paraId="58FC9DD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颗粒物</w:t>
                  </w:r>
                </w:p>
              </w:tc>
              <w:tc>
                <w:tcPr>
                  <w:tcW w:w="1240" w:type="dxa"/>
                  <w:vAlign w:val="center"/>
                </w:tcPr>
                <w:p w14:paraId="090938A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2.96</w:t>
                  </w:r>
                </w:p>
              </w:tc>
            </w:tr>
            <w:tr w14:paraId="1CF6F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gridSpan w:val="3"/>
                  <w:vMerge w:val="continue"/>
                  <w:vAlign w:val="center"/>
                </w:tcPr>
                <w:p w14:paraId="7F21CB4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239" w:type="dxa"/>
                  <w:vAlign w:val="center"/>
                </w:tcPr>
                <w:p w14:paraId="494C344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二氧化硫</w:t>
                  </w:r>
                </w:p>
              </w:tc>
              <w:tc>
                <w:tcPr>
                  <w:tcW w:w="1240" w:type="dxa"/>
                  <w:vAlign w:val="center"/>
                </w:tcPr>
                <w:p w14:paraId="23C7DFD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14.58</w:t>
                  </w:r>
                </w:p>
              </w:tc>
            </w:tr>
            <w:tr w14:paraId="67A4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gridSpan w:val="3"/>
                  <w:vMerge w:val="continue"/>
                  <w:vAlign w:val="center"/>
                </w:tcPr>
                <w:p w14:paraId="636A34E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239" w:type="dxa"/>
                  <w:vAlign w:val="center"/>
                </w:tcPr>
                <w:p w14:paraId="46B53C0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氮氧化物</w:t>
                  </w:r>
                </w:p>
              </w:tc>
              <w:tc>
                <w:tcPr>
                  <w:tcW w:w="1240" w:type="dxa"/>
                  <w:vAlign w:val="center"/>
                </w:tcPr>
                <w:p w14:paraId="2924E6F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14.14</w:t>
                  </w:r>
                </w:p>
              </w:tc>
            </w:tr>
            <w:tr w14:paraId="00D7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gridSpan w:val="3"/>
                  <w:vMerge w:val="continue"/>
                  <w:vAlign w:val="center"/>
                </w:tcPr>
                <w:p w14:paraId="4DADED2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p>
              </w:tc>
              <w:tc>
                <w:tcPr>
                  <w:tcW w:w="1239" w:type="dxa"/>
                  <w:vAlign w:val="center"/>
                </w:tcPr>
                <w:p w14:paraId="5F8A9D3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氟化物</w:t>
                  </w:r>
                </w:p>
              </w:tc>
              <w:tc>
                <w:tcPr>
                  <w:tcW w:w="1240" w:type="dxa"/>
                  <w:vAlign w:val="center"/>
                </w:tcPr>
                <w:p w14:paraId="082DFDD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0.248</w:t>
                  </w:r>
                </w:p>
              </w:tc>
            </w:tr>
          </w:tbl>
          <w:p w14:paraId="414339D7">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表4-15  大气污染物无组织排放信息表</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6"/>
              <w:gridCol w:w="1142"/>
              <w:gridCol w:w="1239"/>
              <w:gridCol w:w="1239"/>
              <w:gridCol w:w="1239"/>
              <w:gridCol w:w="1369"/>
              <w:gridCol w:w="1110"/>
            </w:tblGrid>
            <w:tr w14:paraId="1C89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6" w:type="dxa"/>
                  <w:vMerge w:val="restart"/>
                  <w:vAlign w:val="center"/>
                </w:tcPr>
                <w:p w14:paraId="3FB5E6B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生产设施编号/无组排放编号</w:t>
                  </w:r>
                </w:p>
              </w:tc>
              <w:tc>
                <w:tcPr>
                  <w:tcW w:w="1142" w:type="dxa"/>
                  <w:vMerge w:val="restart"/>
                  <w:vAlign w:val="center"/>
                </w:tcPr>
                <w:p w14:paraId="7DBEEE4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产污环节</w:t>
                  </w:r>
                </w:p>
              </w:tc>
              <w:tc>
                <w:tcPr>
                  <w:tcW w:w="1239" w:type="dxa"/>
                  <w:vMerge w:val="restart"/>
                  <w:vAlign w:val="center"/>
                </w:tcPr>
                <w:p w14:paraId="7290B2D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污染物种类</w:t>
                  </w:r>
                </w:p>
              </w:tc>
              <w:tc>
                <w:tcPr>
                  <w:tcW w:w="1239" w:type="dxa"/>
                  <w:vMerge w:val="restart"/>
                  <w:vAlign w:val="center"/>
                </w:tcPr>
                <w:p w14:paraId="4F1C68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主要污染防治措施</w:t>
                  </w:r>
                </w:p>
              </w:tc>
              <w:tc>
                <w:tcPr>
                  <w:tcW w:w="2608" w:type="dxa"/>
                  <w:gridSpan w:val="2"/>
                  <w:vAlign w:val="center"/>
                </w:tcPr>
                <w:p w14:paraId="236281D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国家或地方污染物排放标准</w:t>
                  </w:r>
                </w:p>
              </w:tc>
              <w:tc>
                <w:tcPr>
                  <w:tcW w:w="1110" w:type="dxa"/>
                  <w:vMerge w:val="restart"/>
                  <w:vAlign w:val="center"/>
                </w:tcPr>
                <w:p w14:paraId="50BFD6A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年许可排放量限值（t/a）</w:t>
                  </w:r>
                </w:p>
              </w:tc>
            </w:tr>
            <w:tr w14:paraId="2C4B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6" w:type="dxa"/>
                  <w:vMerge w:val="continue"/>
                  <w:vAlign w:val="center"/>
                </w:tcPr>
                <w:p w14:paraId="69E4FDA8">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1142" w:type="dxa"/>
                  <w:vMerge w:val="continue"/>
                  <w:vAlign w:val="center"/>
                </w:tcPr>
                <w:p w14:paraId="53F514F8">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1239" w:type="dxa"/>
                  <w:vMerge w:val="continue"/>
                  <w:vAlign w:val="center"/>
                </w:tcPr>
                <w:p w14:paraId="123CE31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1239" w:type="dxa"/>
                  <w:vMerge w:val="continue"/>
                  <w:shd w:val="clear" w:color="auto" w:fill="auto"/>
                  <w:vAlign w:val="center"/>
                </w:tcPr>
                <w:p w14:paraId="76544EFB">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p>
              </w:tc>
              <w:tc>
                <w:tcPr>
                  <w:tcW w:w="1239" w:type="dxa"/>
                  <w:vAlign w:val="center"/>
                </w:tcPr>
                <w:p w14:paraId="7A73AA8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名称</w:t>
                  </w:r>
                </w:p>
              </w:tc>
              <w:tc>
                <w:tcPr>
                  <w:tcW w:w="1369" w:type="dxa"/>
                  <w:vAlign w:val="center"/>
                </w:tcPr>
                <w:p w14:paraId="388D126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浓度限值</w:t>
                  </w:r>
                </w:p>
              </w:tc>
              <w:tc>
                <w:tcPr>
                  <w:tcW w:w="1110" w:type="dxa"/>
                  <w:vMerge w:val="continue"/>
                  <w:vAlign w:val="center"/>
                </w:tcPr>
                <w:p w14:paraId="4EE9B22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r>
            <w:tr w14:paraId="4827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6" w:type="dxa"/>
                  <w:vAlign w:val="center"/>
                </w:tcPr>
                <w:p w14:paraId="7604A78E">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MF001</w:t>
                  </w:r>
                </w:p>
              </w:tc>
              <w:tc>
                <w:tcPr>
                  <w:tcW w:w="1142" w:type="dxa"/>
                  <w:vAlign w:val="center"/>
                </w:tcPr>
                <w:p w14:paraId="1F4E5CC8">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堆场</w:t>
                  </w:r>
                </w:p>
              </w:tc>
              <w:tc>
                <w:tcPr>
                  <w:tcW w:w="1239" w:type="dxa"/>
                  <w:vAlign w:val="center"/>
                </w:tcPr>
                <w:p w14:paraId="389C826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颗粒物</w:t>
                  </w:r>
                </w:p>
              </w:tc>
              <w:tc>
                <w:tcPr>
                  <w:tcW w:w="1239" w:type="dxa"/>
                  <w:shd w:val="clear" w:color="auto" w:fill="auto"/>
                  <w:vAlign w:val="center"/>
                </w:tcPr>
                <w:p w14:paraId="126A5575">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半封闭围挡+喷雾除尘</w:t>
                  </w:r>
                </w:p>
              </w:tc>
              <w:tc>
                <w:tcPr>
                  <w:tcW w:w="1239" w:type="dxa"/>
                  <w:vMerge w:val="restart"/>
                  <w:vAlign w:val="center"/>
                </w:tcPr>
                <w:p w14:paraId="2F3F164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《砖瓦工业大气污染物排放标准》（GB29620-2013）表2及修改单</w:t>
                  </w:r>
                </w:p>
              </w:tc>
              <w:tc>
                <w:tcPr>
                  <w:tcW w:w="1369" w:type="dxa"/>
                  <w:vMerge w:val="restart"/>
                  <w:vAlign w:val="center"/>
                </w:tcPr>
                <w:p w14:paraId="4E64CA8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superscript"/>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1.0mg/m</w:t>
                  </w:r>
                  <w:r>
                    <w:rPr>
                      <w:rFonts w:hint="eastAsia" w:ascii="Times New Roman" w:hAnsi="Times New Roman" w:cs="Times New Roman" w:eastAsiaTheme="minorEastAsia"/>
                      <w:color w:val="000000" w:themeColor="text1"/>
                      <w:sz w:val="21"/>
                      <w:szCs w:val="21"/>
                      <w:vertAlign w:val="superscript"/>
                      <w:lang w:val="en-US" w:eastAsia="zh-CN"/>
                      <w14:textFill>
                        <w14:solidFill>
                          <w14:schemeClr w14:val="tx1"/>
                        </w14:solidFill>
                      </w14:textFill>
                    </w:rPr>
                    <w:t>3</w:t>
                  </w:r>
                </w:p>
              </w:tc>
              <w:tc>
                <w:tcPr>
                  <w:tcW w:w="1110" w:type="dxa"/>
                  <w:vAlign w:val="center"/>
                </w:tcPr>
                <w:p w14:paraId="0444D70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7.18</w:t>
                  </w:r>
                </w:p>
              </w:tc>
            </w:tr>
            <w:tr w14:paraId="10D59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6" w:type="dxa"/>
                  <w:vAlign w:val="center"/>
                </w:tcPr>
                <w:p w14:paraId="5E3C108B">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MF002</w:t>
                  </w:r>
                </w:p>
              </w:tc>
              <w:tc>
                <w:tcPr>
                  <w:tcW w:w="1142" w:type="dxa"/>
                  <w:vAlign w:val="center"/>
                </w:tcPr>
                <w:p w14:paraId="5747ACA6">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破碎</w:t>
                  </w:r>
                </w:p>
              </w:tc>
              <w:tc>
                <w:tcPr>
                  <w:tcW w:w="1239" w:type="dxa"/>
                  <w:vAlign w:val="center"/>
                </w:tcPr>
                <w:p w14:paraId="2E6A3DF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颗粒物</w:t>
                  </w:r>
                </w:p>
              </w:tc>
              <w:tc>
                <w:tcPr>
                  <w:tcW w:w="1239" w:type="dxa"/>
                  <w:vMerge w:val="restart"/>
                  <w:shd w:val="clear" w:color="auto" w:fill="auto"/>
                  <w:vAlign w:val="center"/>
                </w:tcPr>
                <w:p w14:paraId="3BAEF1D6">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脉冲</w:t>
                  </w:r>
                  <w:r>
                    <w:rPr>
                      <w:rFonts w:hint="eastAsia" w:cs="Times New Roman" w:eastAsiaTheme="minorEastAsia"/>
                      <w:b w:val="0"/>
                      <w:bCs w:val="0"/>
                      <w:color w:val="000000" w:themeColor="text1"/>
                      <w:sz w:val="21"/>
                      <w:szCs w:val="21"/>
                      <w:vertAlign w:val="baseline"/>
                      <w:lang w:val="en-US" w:eastAsia="zh-CN"/>
                      <w14:textFill>
                        <w14:solidFill>
                          <w14:schemeClr w14:val="tx1"/>
                        </w14:solidFill>
                      </w14:textFill>
                    </w:rPr>
                    <w:t>袋式</w:t>
                  </w: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除尘器</w:t>
                  </w:r>
                </w:p>
              </w:tc>
              <w:tc>
                <w:tcPr>
                  <w:tcW w:w="1239" w:type="dxa"/>
                  <w:vMerge w:val="continue"/>
                  <w:vAlign w:val="center"/>
                </w:tcPr>
                <w:p w14:paraId="7AE9A8B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1369" w:type="dxa"/>
                  <w:vMerge w:val="continue"/>
                  <w:vAlign w:val="center"/>
                </w:tcPr>
                <w:p w14:paraId="45C5DF3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1110" w:type="dxa"/>
                  <w:vMerge w:val="restart"/>
                  <w:vAlign w:val="center"/>
                </w:tcPr>
                <w:p w14:paraId="0216178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0.856</w:t>
                  </w:r>
                </w:p>
              </w:tc>
            </w:tr>
            <w:tr w14:paraId="783C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6" w:type="dxa"/>
                  <w:vAlign w:val="center"/>
                </w:tcPr>
                <w:p w14:paraId="7167E058">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MF003</w:t>
                  </w:r>
                </w:p>
              </w:tc>
              <w:tc>
                <w:tcPr>
                  <w:tcW w:w="1142" w:type="dxa"/>
                  <w:vAlign w:val="center"/>
                </w:tcPr>
                <w:p w14:paraId="69346DB5">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筛分</w:t>
                  </w:r>
                </w:p>
              </w:tc>
              <w:tc>
                <w:tcPr>
                  <w:tcW w:w="1239" w:type="dxa"/>
                  <w:vAlign w:val="center"/>
                </w:tcPr>
                <w:p w14:paraId="6AACEF6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颗粒物</w:t>
                  </w:r>
                </w:p>
              </w:tc>
              <w:tc>
                <w:tcPr>
                  <w:tcW w:w="1239" w:type="dxa"/>
                  <w:vMerge w:val="continue"/>
                  <w:vAlign w:val="center"/>
                </w:tcPr>
                <w:p w14:paraId="539B63A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1239" w:type="dxa"/>
                  <w:vMerge w:val="continue"/>
                  <w:vAlign w:val="center"/>
                </w:tcPr>
                <w:p w14:paraId="6A01E19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1369" w:type="dxa"/>
                  <w:vMerge w:val="continue"/>
                  <w:vAlign w:val="center"/>
                </w:tcPr>
                <w:p w14:paraId="19AA25F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1110" w:type="dxa"/>
                  <w:vMerge w:val="continue"/>
                  <w:vAlign w:val="center"/>
                </w:tcPr>
                <w:p w14:paraId="67131E4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r>
            <w:tr w14:paraId="7CC26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6" w:type="dxa"/>
                  <w:vAlign w:val="center"/>
                </w:tcPr>
                <w:p w14:paraId="0DF37EAA">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MF004</w:t>
                  </w:r>
                </w:p>
              </w:tc>
              <w:tc>
                <w:tcPr>
                  <w:tcW w:w="1142" w:type="dxa"/>
                  <w:vAlign w:val="center"/>
                </w:tcPr>
                <w:p w14:paraId="4ABB193D">
                  <w:pPr>
                    <w:keepNext w:val="0"/>
                    <w:keepLines w:val="0"/>
                    <w:pageBreakBefore w:val="0"/>
                    <w:widowControl w:val="0"/>
                    <w:kinsoku/>
                    <w:wordWrap/>
                    <w:overflowPunct/>
                    <w:topLinePunct w:val="0"/>
                    <w:autoSpaceDE/>
                    <w:autoSpaceDN/>
                    <w:bidi w:val="0"/>
                    <w:adjustRightInd w:val="0"/>
                    <w:snapToGrid w:val="0"/>
                    <w:spacing w:line="276" w:lineRule="auto"/>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粉磨</w:t>
                  </w:r>
                </w:p>
              </w:tc>
              <w:tc>
                <w:tcPr>
                  <w:tcW w:w="1239" w:type="dxa"/>
                  <w:vAlign w:val="center"/>
                </w:tcPr>
                <w:p w14:paraId="403FCB7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颗粒物</w:t>
                  </w:r>
                </w:p>
              </w:tc>
              <w:tc>
                <w:tcPr>
                  <w:tcW w:w="1239" w:type="dxa"/>
                  <w:vMerge w:val="continue"/>
                  <w:vAlign w:val="center"/>
                </w:tcPr>
                <w:p w14:paraId="03E8C7C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1239" w:type="dxa"/>
                  <w:vMerge w:val="continue"/>
                  <w:vAlign w:val="center"/>
                </w:tcPr>
                <w:p w14:paraId="7740292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1369" w:type="dxa"/>
                  <w:vMerge w:val="continue"/>
                  <w:vAlign w:val="center"/>
                </w:tcPr>
                <w:p w14:paraId="0FB1425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1110" w:type="dxa"/>
                  <w:vMerge w:val="continue"/>
                  <w:vAlign w:val="center"/>
                </w:tcPr>
                <w:p w14:paraId="603C476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r>
            <w:tr w14:paraId="09A01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6" w:type="dxa"/>
                  <w:vAlign w:val="center"/>
                </w:tcPr>
                <w:p w14:paraId="64EE4F5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厂界</w:t>
                  </w:r>
                </w:p>
              </w:tc>
              <w:tc>
                <w:tcPr>
                  <w:tcW w:w="1142" w:type="dxa"/>
                  <w:vAlign w:val="center"/>
                </w:tcPr>
                <w:p w14:paraId="41C61C3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运输</w:t>
                  </w:r>
                </w:p>
              </w:tc>
              <w:tc>
                <w:tcPr>
                  <w:tcW w:w="1239" w:type="dxa"/>
                  <w:vAlign w:val="center"/>
                </w:tcPr>
                <w:p w14:paraId="3FFF164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颗粒物</w:t>
                  </w:r>
                </w:p>
              </w:tc>
              <w:tc>
                <w:tcPr>
                  <w:tcW w:w="1239" w:type="dxa"/>
                  <w:vAlign w:val="center"/>
                </w:tcPr>
                <w:p w14:paraId="717BF03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洒水降尘</w:t>
                  </w:r>
                </w:p>
              </w:tc>
              <w:tc>
                <w:tcPr>
                  <w:tcW w:w="1239" w:type="dxa"/>
                  <w:vMerge w:val="continue"/>
                  <w:vAlign w:val="center"/>
                </w:tcPr>
                <w:p w14:paraId="47C53B3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1369" w:type="dxa"/>
                  <w:vMerge w:val="continue"/>
                  <w:vAlign w:val="center"/>
                </w:tcPr>
                <w:p w14:paraId="20FF4B0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p>
              </w:tc>
              <w:tc>
                <w:tcPr>
                  <w:tcW w:w="1110" w:type="dxa"/>
                  <w:vAlign w:val="center"/>
                </w:tcPr>
                <w:p w14:paraId="00415EE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0.048</w:t>
                  </w:r>
                </w:p>
              </w:tc>
            </w:tr>
            <w:tr w14:paraId="49B5F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95" w:type="dxa"/>
                  <w:gridSpan w:val="5"/>
                  <w:vAlign w:val="center"/>
                </w:tcPr>
                <w:p w14:paraId="16C7E01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全厂无组织排放总计</w:t>
                  </w:r>
                </w:p>
              </w:tc>
              <w:tc>
                <w:tcPr>
                  <w:tcW w:w="1369" w:type="dxa"/>
                  <w:vAlign w:val="center"/>
                </w:tcPr>
                <w:p w14:paraId="5244128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w:t>
                  </w:r>
                </w:p>
              </w:tc>
              <w:tc>
                <w:tcPr>
                  <w:tcW w:w="1110" w:type="dxa"/>
                  <w:vAlign w:val="center"/>
                </w:tcPr>
                <w:p w14:paraId="48C342D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8.084</w:t>
                  </w:r>
                </w:p>
              </w:tc>
            </w:tr>
          </w:tbl>
          <w:p w14:paraId="67C1E3B8">
            <w:pPr>
              <w:adjustRightInd w:val="0"/>
              <w:snapToGrid w:val="0"/>
              <w:spacing w:line="360" w:lineRule="auto"/>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w:t>
            </w:r>
            <w:r>
              <w:rPr>
                <w:rFonts w:hint="eastAsia"/>
                <w:b/>
                <w:bCs/>
                <w:color w:val="000000" w:themeColor="text1"/>
                <w:sz w:val="24"/>
                <w:lang w:val="en-US" w:eastAsia="zh-CN"/>
                <w14:textFill>
                  <w14:solidFill>
                    <w14:schemeClr w14:val="tx1"/>
                  </w14:solidFill>
                </w14:textFill>
              </w:rPr>
              <w:t>4</w:t>
            </w:r>
            <w:r>
              <w:rPr>
                <w:rFonts w:hint="eastAsia"/>
                <w:b/>
                <w:bCs/>
                <w:color w:val="000000" w:themeColor="text1"/>
                <w:sz w:val="24"/>
                <w14:textFill>
                  <w14:solidFill>
                    <w14:schemeClr w14:val="tx1"/>
                  </w14:solidFill>
                </w14:textFill>
              </w:rPr>
              <w:t>非正常排放源强核算</w:t>
            </w:r>
          </w:p>
          <w:p w14:paraId="04355F3F">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项目废气非正常排放主要表现为：</w:t>
            </w:r>
          </w:p>
          <w:p w14:paraId="2CD7BAFF">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①在废气收集及治理过程中，存在处理设施无法达到预期效果等非正常排放情况；</w:t>
            </w:r>
          </w:p>
          <w:p w14:paraId="12B36641">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②</w:t>
            </w:r>
            <w:r>
              <w:rPr>
                <w:rFonts w:hint="eastAsia"/>
                <w:color w:val="000000" w:themeColor="text1"/>
                <w:sz w:val="24"/>
                <w14:textFill>
                  <w14:solidFill>
                    <w14:schemeClr w14:val="tx1"/>
                  </w14:solidFill>
                </w14:textFill>
              </w:rPr>
              <w:t>项目废气治理设备检修、设备运转异常等非正常排放</w:t>
            </w:r>
            <w:r>
              <w:rPr>
                <w:color w:val="000000" w:themeColor="text1"/>
                <w:sz w:val="24"/>
                <w14:textFill>
                  <w14:solidFill>
                    <w14:schemeClr w14:val="tx1"/>
                  </w14:solidFill>
                </w14:textFill>
              </w:rPr>
              <w:t>。</w:t>
            </w:r>
          </w:p>
          <w:p w14:paraId="2DE959A6">
            <w:pPr>
              <w:adjustRightInd w:val="0"/>
              <w:snapToGrid w:val="0"/>
              <w:spacing w:line="360" w:lineRule="auto"/>
              <w:ind w:firstLine="480" w:firstLineChars="200"/>
              <w:rPr>
                <w:color w:val="000000" w:themeColor="text1"/>
                <w14:textFill>
                  <w14:solidFill>
                    <w14:schemeClr w14:val="tx1"/>
                  </w14:solidFill>
                </w14:textFill>
              </w:rPr>
            </w:pPr>
            <w:r>
              <w:rPr>
                <w:rFonts w:hint="eastAsia"/>
                <w:color w:val="000000" w:themeColor="text1"/>
                <w:sz w:val="24"/>
                <w:lang w:val="en-US" w:eastAsia="zh-CN"/>
                <w14:textFill>
                  <w14:solidFill>
                    <w14:schemeClr w14:val="tx1"/>
                  </w14:solidFill>
                </w14:textFill>
              </w:rPr>
              <w:t>本次主要考虑</w:t>
            </w:r>
            <w:r>
              <w:rPr>
                <w:color w:val="000000" w:themeColor="text1"/>
                <w:sz w:val="24"/>
                <w14:textFill>
                  <w14:solidFill>
                    <w14:schemeClr w14:val="tx1"/>
                  </w14:solidFill>
                </w14:textFill>
              </w:rPr>
              <w:t>处理设施无法达到预期效果等非正常排放情况</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非正常排放源强见表4-</w:t>
            </w:r>
            <w:r>
              <w:rPr>
                <w:rFonts w:hint="eastAsia"/>
                <w:color w:val="000000" w:themeColor="text1"/>
                <w:sz w:val="24"/>
                <w:lang w:val="en-US" w:eastAsia="zh-CN"/>
                <w14:textFill>
                  <w14:solidFill>
                    <w14:schemeClr w14:val="tx1"/>
                  </w14:solidFill>
                </w14:textFill>
              </w:rPr>
              <w:t>16</w:t>
            </w:r>
            <w:r>
              <w:rPr>
                <w:color w:val="000000" w:themeColor="text1"/>
                <w:sz w:val="24"/>
                <w14:textFill>
                  <w14:solidFill>
                    <w14:schemeClr w14:val="tx1"/>
                  </w14:solidFill>
                </w14:textFill>
              </w:rPr>
              <w:t>。</w:t>
            </w:r>
          </w:p>
          <w:p w14:paraId="1DB7B94C">
            <w:pPr>
              <w:widowControl/>
              <w:autoSpaceDE w:val="0"/>
              <w:autoSpaceDN w:val="0"/>
              <w:adjustRightInd w:val="0"/>
              <w:snapToGrid w:val="0"/>
              <w:spacing w:line="276" w:lineRule="auto"/>
              <w:jc w:val="center"/>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表</w:t>
            </w:r>
            <w:r>
              <w:rPr>
                <w:rFonts w:hint="eastAsia"/>
                <w:b/>
                <w:bCs/>
                <w:color w:val="000000" w:themeColor="text1"/>
                <w:sz w:val="24"/>
                <w14:textFill>
                  <w14:solidFill>
                    <w14:schemeClr w14:val="tx1"/>
                  </w14:solidFill>
                </w14:textFill>
              </w:rPr>
              <w:t>4-</w:t>
            </w:r>
            <w:r>
              <w:rPr>
                <w:rFonts w:hint="eastAsia"/>
                <w:b/>
                <w:bCs/>
                <w:color w:val="000000" w:themeColor="text1"/>
                <w:sz w:val="24"/>
                <w:lang w:val="en-US" w:eastAsia="zh-CN"/>
                <w14:textFill>
                  <w14:solidFill>
                    <w14:schemeClr w14:val="tx1"/>
                  </w14:solidFill>
                </w14:textFill>
              </w:rPr>
              <w:t>16</w:t>
            </w:r>
            <w:r>
              <w:rPr>
                <w:b/>
                <w:bCs/>
                <w:color w:val="000000" w:themeColor="text1"/>
                <w:sz w:val="24"/>
                <w14:textFill>
                  <w14:solidFill>
                    <w14:schemeClr w14:val="tx1"/>
                  </w14:solidFill>
                </w14:textFill>
              </w:rPr>
              <w:t xml:space="preserve">  非正常排放点源源强表</w:t>
            </w:r>
          </w:p>
          <w:tbl>
            <w:tblPr>
              <w:tblStyle w:val="29"/>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1478"/>
              <w:gridCol w:w="1306"/>
              <w:gridCol w:w="852"/>
              <w:gridCol w:w="1035"/>
              <w:gridCol w:w="1224"/>
              <w:gridCol w:w="664"/>
              <w:gridCol w:w="661"/>
            </w:tblGrid>
            <w:tr w14:paraId="2A04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84" w:type="dxa"/>
                  <w:vMerge w:val="restart"/>
                  <w:noWrap w:val="0"/>
                  <w:vAlign w:val="center"/>
                </w:tcPr>
                <w:p w14:paraId="3404AB2D">
                  <w:pPr>
                    <w:pStyle w:val="16"/>
                    <w:snapToGrid w:val="0"/>
                    <w:spacing w:after="0" w:line="240" w:lineRule="auto"/>
                    <w:ind w:left="0" w:leftChars="0" w:firstLine="0"/>
                    <w:jc w:val="center"/>
                    <w:rPr>
                      <w:b/>
                      <w:color w:val="000000" w:themeColor="text1"/>
                      <w:sz w:val="21"/>
                      <w:szCs w:val="21"/>
                      <w:lang w:val="en-US"/>
                      <w14:textFill>
                        <w14:solidFill>
                          <w14:schemeClr w14:val="tx1"/>
                        </w14:solidFill>
                      </w14:textFill>
                    </w:rPr>
                  </w:pPr>
                  <w:r>
                    <w:rPr>
                      <w:b/>
                      <w:color w:val="000000" w:themeColor="text1"/>
                      <w:sz w:val="21"/>
                      <w:szCs w:val="21"/>
                      <w:lang w:val="en-US"/>
                      <w14:textFill>
                        <w14:solidFill>
                          <w14:schemeClr w14:val="tx1"/>
                        </w14:solidFill>
                      </w14:textFill>
                    </w:rPr>
                    <w:t>非正常排放源</w:t>
                  </w:r>
                </w:p>
              </w:tc>
              <w:tc>
                <w:tcPr>
                  <w:tcW w:w="1478" w:type="dxa"/>
                  <w:vMerge w:val="restart"/>
                  <w:noWrap w:val="0"/>
                  <w:vAlign w:val="center"/>
                </w:tcPr>
                <w:p w14:paraId="3B9362FD">
                  <w:pPr>
                    <w:pStyle w:val="16"/>
                    <w:snapToGrid w:val="0"/>
                    <w:spacing w:after="0" w:line="240" w:lineRule="auto"/>
                    <w:ind w:left="0" w:leftChars="0" w:firstLine="0"/>
                    <w:jc w:val="center"/>
                    <w:rPr>
                      <w:b/>
                      <w:color w:val="000000" w:themeColor="text1"/>
                      <w:sz w:val="21"/>
                      <w:szCs w:val="21"/>
                      <w:lang w:val="en-US"/>
                      <w14:textFill>
                        <w14:solidFill>
                          <w14:schemeClr w14:val="tx1"/>
                        </w14:solidFill>
                      </w14:textFill>
                    </w:rPr>
                  </w:pPr>
                  <w:r>
                    <w:rPr>
                      <w:b/>
                      <w:color w:val="000000" w:themeColor="text1"/>
                      <w:sz w:val="21"/>
                      <w:szCs w:val="21"/>
                      <w:lang w:val="en-US"/>
                      <w14:textFill>
                        <w14:solidFill>
                          <w14:schemeClr w14:val="tx1"/>
                        </w14:solidFill>
                      </w14:textFill>
                    </w:rPr>
                    <w:t>非正常原因</w:t>
                  </w:r>
                </w:p>
              </w:tc>
              <w:tc>
                <w:tcPr>
                  <w:tcW w:w="1306" w:type="dxa"/>
                  <w:vMerge w:val="restart"/>
                  <w:noWrap w:val="0"/>
                  <w:vAlign w:val="center"/>
                </w:tcPr>
                <w:p w14:paraId="0493822A">
                  <w:pPr>
                    <w:pStyle w:val="16"/>
                    <w:snapToGrid w:val="0"/>
                    <w:spacing w:after="0" w:line="240" w:lineRule="auto"/>
                    <w:ind w:left="0" w:leftChars="0" w:firstLine="0"/>
                    <w:jc w:val="center"/>
                    <w:rPr>
                      <w:b/>
                      <w:color w:val="000000" w:themeColor="text1"/>
                      <w:sz w:val="21"/>
                      <w:szCs w:val="21"/>
                      <w:lang w:val="en-US"/>
                      <w14:textFill>
                        <w14:solidFill>
                          <w14:schemeClr w14:val="tx1"/>
                        </w14:solidFill>
                      </w14:textFill>
                    </w:rPr>
                  </w:pPr>
                  <w:r>
                    <w:rPr>
                      <w:b/>
                      <w:color w:val="000000" w:themeColor="text1"/>
                      <w:sz w:val="21"/>
                      <w:szCs w:val="21"/>
                      <w:lang w:val="en-US"/>
                      <w14:textFill>
                        <w14:solidFill>
                          <w14:schemeClr w14:val="tx1"/>
                        </w14:solidFill>
                      </w14:textFill>
                    </w:rPr>
                    <w:t>污染物</w:t>
                  </w:r>
                </w:p>
              </w:tc>
              <w:tc>
                <w:tcPr>
                  <w:tcW w:w="3111" w:type="dxa"/>
                  <w:gridSpan w:val="3"/>
                  <w:noWrap w:val="0"/>
                  <w:vAlign w:val="center"/>
                </w:tcPr>
                <w:p w14:paraId="0B760B29">
                  <w:pPr>
                    <w:pStyle w:val="16"/>
                    <w:snapToGrid w:val="0"/>
                    <w:spacing w:after="0" w:line="240" w:lineRule="auto"/>
                    <w:ind w:left="0" w:leftChars="0" w:firstLine="0"/>
                    <w:jc w:val="center"/>
                    <w:rPr>
                      <w:b/>
                      <w:color w:val="000000" w:themeColor="text1"/>
                      <w:sz w:val="21"/>
                      <w:szCs w:val="21"/>
                      <w:lang w:val="en-US"/>
                      <w14:textFill>
                        <w14:solidFill>
                          <w14:schemeClr w14:val="tx1"/>
                        </w14:solidFill>
                      </w14:textFill>
                    </w:rPr>
                  </w:pPr>
                  <w:r>
                    <w:rPr>
                      <w:b/>
                      <w:color w:val="000000" w:themeColor="text1"/>
                      <w:sz w:val="21"/>
                      <w:szCs w:val="21"/>
                      <w:lang w:val="en-US"/>
                      <w14:textFill>
                        <w14:solidFill>
                          <w14:schemeClr w14:val="tx1"/>
                        </w14:solidFill>
                      </w14:textFill>
                    </w:rPr>
                    <w:t>非正常排</w:t>
                  </w:r>
                  <w:r>
                    <w:rPr>
                      <w:rFonts w:hint="eastAsia"/>
                      <w:b/>
                      <w:color w:val="000000" w:themeColor="text1"/>
                      <w:sz w:val="21"/>
                      <w:szCs w:val="21"/>
                      <w:lang w:val="en-US"/>
                      <w14:textFill>
                        <w14:solidFill>
                          <w14:schemeClr w14:val="tx1"/>
                        </w14:solidFill>
                      </w14:textFill>
                    </w:rPr>
                    <w:t>放情况</w:t>
                  </w:r>
                </w:p>
              </w:tc>
              <w:tc>
                <w:tcPr>
                  <w:tcW w:w="664" w:type="dxa"/>
                  <w:vMerge w:val="restart"/>
                  <w:noWrap w:val="0"/>
                  <w:vAlign w:val="center"/>
                </w:tcPr>
                <w:p w14:paraId="71632146">
                  <w:pPr>
                    <w:pStyle w:val="16"/>
                    <w:snapToGrid w:val="0"/>
                    <w:spacing w:after="0" w:line="240" w:lineRule="auto"/>
                    <w:ind w:left="0" w:leftChars="0" w:firstLine="0"/>
                    <w:jc w:val="center"/>
                    <w:rPr>
                      <w:b/>
                      <w:color w:val="000000" w:themeColor="text1"/>
                      <w:sz w:val="21"/>
                      <w:szCs w:val="21"/>
                      <w:lang w:val="en-US"/>
                      <w14:textFill>
                        <w14:solidFill>
                          <w14:schemeClr w14:val="tx1"/>
                        </w14:solidFill>
                      </w14:textFill>
                    </w:rPr>
                  </w:pPr>
                  <w:r>
                    <w:rPr>
                      <w:b/>
                      <w:color w:val="000000" w:themeColor="text1"/>
                      <w:sz w:val="21"/>
                      <w:szCs w:val="21"/>
                      <w:lang w:val="en-US"/>
                      <w14:textFill>
                        <w14:solidFill>
                          <w14:schemeClr w14:val="tx1"/>
                        </w14:solidFill>
                      </w14:textFill>
                    </w:rPr>
                    <w:t>单次持续时间/h</w:t>
                  </w:r>
                </w:p>
              </w:tc>
              <w:tc>
                <w:tcPr>
                  <w:tcW w:w="661" w:type="dxa"/>
                  <w:vMerge w:val="restart"/>
                  <w:noWrap w:val="0"/>
                  <w:vAlign w:val="center"/>
                </w:tcPr>
                <w:p w14:paraId="479975AF">
                  <w:pPr>
                    <w:pStyle w:val="16"/>
                    <w:snapToGrid w:val="0"/>
                    <w:spacing w:after="0" w:line="240" w:lineRule="auto"/>
                    <w:ind w:left="0" w:leftChars="0" w:firstLine="0"/>
                    <w:jc w:val="center"/>
                    <w:rPr>
                      <w:b/>
                      <w:color w:val="000000" w:themeColor="text1"/>
                      <w:sz w:val="21"/>
                      <w:szCs w:val="21"/>
                      <w:lang w:val="en-US"/>
                      <w14:textFill>
                        <w14:solidFill>
                          <w14:schemeClr w14:val="tx1"/>
                        </w14:solidFill>
                      </w14:textFill>
                    </w:rPr>
                  </w:pPr>
                  <w:r>
                    <w:rPr>
                      <w:b/>
                      <w:color w:val="000000" w:themeColor="text1"/>
                      <w:sz w:val="21"/>
                      <w:szCs w:val="21"/>
                      <w:lang w:val="en-US"/>
                      <w14:textFill>
                        <w14:solidFill>
                          <w14:schemeClr w14:val="tx1"/>
                        </w14:solidFill>
                      </w14:textFill>
                    </w:rPr>
                    <w:t>年发生频次/次</w:t>
                  </w:r>
                </w:p>
              </w:tc>
            </w:tr>
            <w:tr w14:paraId="5043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284" w:type="dxa"/>
                  <w:vMerge w:val="continue"/>
                  <w:noWrap w:val="0"/>
                  <w:vAlign w:val="center"/>
                </w:tcPr>
                <w:p w14:paraId="36D4A595">
                  <w:pPr>
                    <w:pStyle w:val="16"/>
                    <w:snapToGrid w:val="0"/>
                    <w:spacing w:after="0" w:line="240" w:lineRule="auto"/>
                    <w:ind w:left="0" w:leftChars="0" w:firstLine="0"/>
                    <w:jc w:val="center"/>
                    <w:rPr>
                      <w:color w:val="000000" w:themeColor="text1"/>
                      <w14:textFill>
                        <w14:solidFill>
                          <w14:schemeClr w14:val="tx1"/>
                        </w14:solidFill>
                      </w14:textFill>
                    </w:rPr>
                  </w:pPr>
                </w:p>
              </w:tc>
              <w:tc>
                <w:tcPr>
                  <w:tcW w:w="1478" w:type="dxa"/>
                  <w:vMerge w:val="continue"/>
                  <w:noWrap w:val="0"/>
                  <w:vAlign w:val="center"/>
                </w:tcPr>
                <w:p w14:paraId="7EA1941A">
                  <w:pPr>
                    <w:pStyle w:val="16"/>
                    <w:snapToGrid w:val="0"/>
                    <w:spacing w:after="0" w:line="240" w:lineRule="auto"/>
                    <w:ind w:left="0" w:leftChars="0" w:firstLine="0"/>
                    <w:jc w:val="center"/>
                    <w:rPr>
                      <w:color w:val="000000" w:themeColor="text1"/>
                      <w14:textFill>
                        <w14:solidFill>
                          <w14:schemeClr w14:val="tx1"/>
                        </w14:solidFill>
                      </w14:textFill>
                    </w:rPr>
                  </w:pPr>
                </w:p>
              </w:tc>
              <w:tc>
                <w:tcPr>
                  <w:tcW w:w="1306" w:type="dxa"/>
                  <w:vMerge w:val="continue"/>
                  <w:noWrap w:val="0"/>
                  <w:vAlign w:val="center"/>
                </w:tcPr>
                <w:p w14:paraId="737767AD">
                  <w:pPr>
                    <w:pStyle w:val="16"/>
                    <w:snapToGrid w:val="0"/>
                    <w:spacing w:after="0" w:line="240" w:lineRule="auto"/>
                    <w:ind w:left="0" w:leftChars="0" w:firstLine="0"/>
                    <w:jc w:val="center"/>
                    <w:rPr>
                      <w:color w:val="000000" w:themeColor="text1"/>
                      <w14:textFill>
                        <w14:solidFill>
                          <w14:schemeClr w14:val="tx1"/>
                        </w14:solidFill>
                      </w14:textFill>
                    </w:rPr>
                  </w:pPr>
                </w:p>
              </w:tc>
              <w:tc>
                <w:tcPr>
                  <w:tcW w:w="852" w:type="dxa"/>
                  <w:noWrap w:val="0"/>
                  <w:vAlign w:val="center"/>
                </w:tcPr>
                <w:p w14:paraId="3C7D24B5">
                  <w:pPr>
                    <w:pStyle w:val="16"/>
                    <w:snapToGrid w:val="0"/>
                    <w:spacing w:after="0" w:line="240" w:lineRule="auto"/>
                    <w:ind w:left="0" w:leftChars="0" w:firstLine="0"/>
                    <w:jc w:val="center"/>
                    <w:rPr>
                      <w:b/>
                      <w:color w:val="000000" w:themeColor="text1"/>
                      <w:sz w:val="21"/>
                      <w:szCs w:val="21"/>
                      <w:lang w:val="en-US"/>
                      <w14:textFill>
                        <w14:solidFill>
                          <w14:schemeClr w14:val="tx1"/>
                        </w14:solidFill>
                      </w14:textFill>
                    </w:rPr>
                  </w:pPr>
                  <w:r>
                    <w:rPr>
                      <w:rFonts w:hint="eastAsia"/>
                      <w:b/>
                      <w:color w:val="000000" w:themeColor="text1"/>
                      <w:sz w:val="21"/>
                      <w:szCs w:val="21"/>
                      <w:lang w:val="en-US"/>
                      <w14:textFill>
                        <w14:solidFill>
                          <w14:schemeClr w14:val="tx1"/>
                        </w14:solidFill>
                      </w14:textFill>
                    </w:rPr>
                    <w:t>排</w:t>
                  </w:r>
                  <w:r>
                    <w:rPr>
                      <w:b/>
                      <w:color w:val="000000" w:themeColor="text1"/>
                      <w:sz w:val="21"/>
                      <w:szCs w:val="21"/>
                      <w:lang w:val="en-US"/>
                      <w14:textFill>
                        <w14:solidFill>
                          <w14:schemeClr w14:val="tx1"/>
                        </w14:solidFill>
                      </w14:textFill>
                    </w:rPr>
                    <w:t>放</w:t>
                  </w:r>
                  <w:r>
                    <w:rPr>
                      <w:rFonts w:hint="eastAsia"/>
                      <w:b/>
                      <w:color w:val="000000" w:themeColor="text1"/>
                      <w:sz w:val="21"/>
                      <w:szCs w:val="21"/>
                      <w:lang w:val="en-US"/>
                      <w14:textFill>
                        <w14:solidFill>
                          <w14:schemeClr w14:val="tx1"/>
                        </w14:solidFill>
                      </w14:textFill>
                    </w:rPr>
                    <w:t>量</w:t>
                  </w:r>
                  <w:r>
                    <w:rPr>
                      <w:b/>
                      <w:color w:val="000000" w:themeColor="text1"/>
                      <w:sz w:val="21"/>
                      <w:szCs w:val="21"/>
                      <w:lang w:val="en-US"/>
                      <w14:textFill>
                        <w14:solidFill>
                          <w14:schemeClr w14:val="tx1"/>
                        </w14:solidFill>
                      </w14:textFill>
                    </w:rPr>
                    <w:t>/（</w:t>
                  </w:r>
                  <w:r>
                    <w:rPr>
                      <w:rFonts w:hint="eastAsia"/>
                      <w:b/>
                      <w:color w:val="000000" w:themeColor="text1"/>
                      <w:sz w:val="21"/>
                      <w:szCs w:val="21"/>
                      <w:lang w:val="en-US"/>
                      <w14:textFill>
                        <w14:solidFill>
                          <w14:schemeClr w14:val="tx1"/>
                        </w14:solidFill>
                      </w14:textFill>
                    </w:rPr>
                    <w:t>t</w:t>
                  </w:r>
                  <w:r>
                    <w:rPr>
                      <w:b/>
                      <w:color w:val="000000" w:themeColor="text1"/>
                      <w:sz w:val="21"/>
                      <w:szCs w:val="21"/>
                      <w:lang w:val="en-US"/>
                      <w14:textFill>
                        <w14:solidFill>
                          <w14:schemeClr w14:val="tx1"/>
                        </w14:solidFill>
                      </w14:textFill>
                    </w:rPr>
                    <w:t>/</w:t>
                  </w:r>
                  <w:r>
                    <w:rPr>
                      <w:rFonts w:hint="eastAsia"/>
                      <w:b/>
                      <w:color w:val="000000" w:themeColor="text1"/>
                      <w:sz w:val="21"/>
                      <w:szCs w:val="21"/>
                      <w:lang w:val="en-US"/>
                      <w14:textFill>
                        <w14:solidFill>
                          <w14:schemeClr w14:val="tx1"/>
                        </w14:solidFill>
                      </w14:textFill>
                    </w:rPr>
                    <w:t>a</w:t>
                  </w:r>
                  <w:r>
                    <w:rPr>
                      <w:b/>
                      <w:color w:val="000000" w:themeColor="text1"/>
                      <w:sz w:val="21"/>
                      <w:szCs w:val="21"/>
                      <w:lang w:val="en-US"/>
                      <w14:textFill>
                        <w14:solidFill>
                          <w14:schemeClr w14:val="tx1"/>
                        </w14:solidFill>
                      </w14:textFill>
                    </w:rPr>
                    <w:t>）</w:t>
                  </w:r>
                </w:p>
              </w:tc>
              <w:tc>
                <w:tcPr>
                  <w:tcW w:w="1035" w:type="dxa"/>
                  <w:noWrap w:val="0"/>
                  <w:vAlign w:val="center"/>
                </w:tcPr>
                <w:p w14:paraId="372D182D">
                  <w:pPr>
                    <w:pStyle w:val="16"/>
                    <w:snapToGrid w:val="0"/>
                    <w:spacing w:after="0" w:line="240" w:lineRule="auto"/>
                    <w:ind w:left="0" w:leftChars="0" w:firstLine="0"/>
                    <w:jc w:val="center"/>
                    <w:rPr>
                      <w:b/>
                      <w:color w:val="000000" w:themeColor="text1"/>
                      <w:sz w:val="21"/>
                      <w:szCs w:val="21"/>
                      <w:lang w:val="en-US"/>
                      <w14:textFill>
                        <w14:solidFill>
                          <w14:schemeClr w14:val="tx1"/>
                        </w14:solidFill>
                      </w14:textFill>
                    </w:rPr>
                  </w:pPr>
                  <w:r>
                    <w:rPr>
                      <w:rFonts w:hint="eastAsia"/>
                      <w:b/>
                      <w:color w:val="000000" w:themeColor="text1"/>
                      <w:sz w:val="21"/>
                      <w:szCs w:val="21"/>
                      <w:lang w:val="en-US"/>
                      <w14:textFill>
                        <w14:solidFill>
                          <w14:schemeClr w14:val="tx1"/>
                        </w14:solidFill>
                      </w14:textFill>
                    </w:rPr>
                    <w:t>排放速率（kg/h）</w:t>
                  </w:r>
                </w:p>
              </w:tc>
              <w:tc>
                <w:tcPr>
                  <w:tcW w:w="1224" w:type="dxa"/>
                  <w:noWrap w:val="0"/>
                  <w:vAlign w:val="center"/>
                </w:tcPr>
                <w:p w14:paraId="01569DF4">
                  <w:pPr>
                    <w:pStyle w:val="16"/>
                    <w:snapToGrid w:val="0"/>
                    <w:spacing w:after="0" w:line="240" w:lineRule="auto"/>
                    <w:ind w:left="0" w:leftChars="0" w:firstLine="0"/>
                    <w:jc w:val="center"/>
                    <w:rPr>
                      <w:b/>
                      <w:color w:val="000000" w:themeColor="text1"/>
                      <w:sz w:val="21"/>
                      <w:szCs w:val="21"/>
                      <w:lang w:val="en-US"/>
                      <w14:textFill>
                        <w14:solidFill>
                          <w14:schemeClr w14:val="tx1"/>
                        </w14:solidFill>
                      </w14:textFill>
                    </w:rPr>
                  </w:pPr>
                  <w:r>
                    <w:rPr>
                      <w:b/>
                      <w:color w:val="000000" w:themeColor="text1"/>
                      <w:sz w:val="21"/>
                      <w:szCs w:val="21"/>
                      <w:lang w:val="en-US"/>
                      <w14:textFill>
                        <w14:solidFill>
                          <w14:schemeClr w14:val="tx1"/>
                        </w14:solidFill>
                      </w14:textFill>
                    </w:rPr>
                    <w:t>排放</w:t>
                  </w:r>
                  <w:r>
                    <w:rPr>
                      <w:rFonts w:hint="eastAsia"/>
                      <w:b/>
                      <w:color w:val="000000" w:themeColor="text1"/>
                      <w:sz w:val="21"/>
                      <w:szCs w:val="21"/>
                      <w:lang w:val="en-US"/>
                      <w14:textFill>
                        <w14:solidFill>
                          <w14:schemeClr w14:val="tx1"/>
                        </w14:solidFill>
                      </w14:textFill>
                    </w:rPr>
                    <w:t>浓度</w:t>
                  </w:r>
                  <w:r>
                    <w:rPr>
                      <w:b/>
                      <w:color w:val="000000" w:themeColor="text1"/>
                      <w:sz w:val="21"/>
                      <w:szCs w:val="21"/>
                      <w:lang w:val="en-US"/>
                      <w14:textFill>
                        <w14:solidFill>
                          <w14:schemeClr w14:val="tx1"/>
                        </w14:solidFill>
                      </w14:textFill>
                    </w:rPr>
                    <w:t>/（</w:t>
                  </w:r>
                  <w:r>
                    <w:rPr>
                      <w:rFonts w:hint="eastAsia"/>
                      <w:b/>
                      <w:color w:val="000000" w:themeColor="text1"/>
                      <w:sz w:val="21"/>
                      <w:szCs w:val="21"/>
                      <w:lang w:val="en-US"/>
                      <w14:textFill>
                        <w14:solidFill>
                          <w14:schemeClr w14:val="tx1"/>
                        </w14:solidFill>
                      </w14:textFill>
                    </w:rPr>
                    <w:t>mg</w:t>
                  </w:r>
                  <w:r>
                    <w:rPr>
                      <w:b/>
                      <w:color w:val="000000" w:themeColor="text1"/>
                      <w:sz w:val="21"/>
                      <w:szCs w:val="21"/>
                      <w:lang w:val="en-US"/>
                      <w14:textFill>
                        <w14:solidFill>
                          <w14:schemeClr w14:val="tx1"/>
                        </w14:solidFill>
                      </w14:textFill>
                    </w:rPr>
                    <w:t>/</w:t>
                  </w:r>
                  <w:r>
                    <w:rPr>
                      <w:rFonts w:hint="eastAsia"/>
                      <w:b/>
                      <w:color w:val="000000" w:themeColor="text1"/>
                      <w:sz w:val="21"/>
                      <w:szCs w:val="21"/>
                      <w:lang w:val="en-US"/>
                      <w14:textFill>
                        <w14:solidFill>
                          <w14:schemeClr w14:val="tx1"/>
                        </w14:solidFill>
                      </w14:textFill>
                    </w:rPr>
                    <w:t>m</w:t>
                  </w:r>
                  <w:r>
                    <w:rPr>
                      <w:rFonts w:hint="eastAsia"/>
                      <w:b/>
                      <w:color w:val="000000" w:themeColor="text1"/>
                      <w:sz w:val="21"/>
                      <w:szCs w:val="21"/>
                      <w:vertAlign w:val="superscript"/>
                      <w:lang w:val="en-US"/>
                      <w14:textFill>
                        <w14:solidFill>
                          <w14:schemeClr w14:val="tx1"/>
                        </w14:solidFill>
                      </w14:textFill>
                    </w:rPr>
                    <w:t>3</w:t>
                  </w:r>
                  <w:r>
                    <w:rPr>
                      <w:b/>
                      <w:color w:val="000000" w:themeColor="text1"/>
                      <w:sz w:val="21"/>
                      <w:szCs w:val="21"/>
                      <w:lang w:val="en-US"/>
                      <w14:textFill>
                        <w14:solidFill>
                          <w14:schemeClr w14:val="tx1"/>
                        </w14:solidFill>
                      </w14:textFill>
                    </w:rPr>
                    <w:t>）</w:t>
                  </w:r>
                </w:p>
              </w:tc>
              <w:tc>
                <w:tcPr>
                  <w:tcW w:w="664" w:type="dxa"/>
                  <w:vMerge w:val="continue"/>
                  <w:noWrap w:val="0"/>
                  <w:vAlign w:val="center"/>
                </w:tcPr>
                <w:p w14:paraId="70E3B2B5">
                  <w:pPr>
                    <w:pStyle w:val="16"/>
                    <w:snapToGrid w:val="0"/>
                    <w:spacing w:after="0" w:line="240" w:lineRule="auto"/>
                    <w:ind w:left="0" w:leftChars="0" w:firstLine="0"/>
                    <w:jc w:val="center"/>
                    <w:rPr>
                      <w:b/>
                      <w:color w:val="000000" w:themeColor="text1"/>
                      <w:sz w:val="21"/>
                      <w:szCs w:val="21"/>
                      <w:lang w:val="en-US"/>
                      <w14:textFill>
                        <w14:solidFill>
                          <w14:schemeClr w14:val="tx1"/>
                        </w14:solidFill>
                      </w14:textFill>
                    </w:rPr>
                  </w:pPr>
                </w:p>
              </w:tc>
              <w:tc>
                <w:tcPr>
                  <w:tcW w:w="661" w:type="dxa"/>
                  <w:vMerge w:val="continue"/>
                  <w:noWrap w:val="0"/>
                  <w:vAlign w:val="center"/>
                </w:tcPr>
                <w:p w14:paraId="1DB63893">
                  <w:pPr>
                    <w:pStyle w:val="16"/>
                    <w:snapToGrid w:val="0"/>
                    <w:spacing w:after="0" w:line="240" w:lineRule="auto"/>
                    <w:ind w:left="0" w:leftChars="0" w:firstLine="0"/>
                    <w:jc w:val="center"/>
                    <w:rPr>
                      <w:b/>
                      <w:color w:val="000000" w:themeColor="text1"/>
                      <w:sz w:val="21"/>
                      <w:szCs w:val="21"/>
                      <w:lang w:val="en-US"/>
                      <w14:textFill>
                        <w14:solidFill>
                          <w14:schemeClr w14:val="tx1"/>
                        </w14:solidFill>
                      </w14:textFill>
                    </w:rPr>
                  </w:pPr>
                </w:p>
              </w:tc>
            </w:tr>
            <w:tr w14:paraId="6CD9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4" w:type="dxa"/>
                  <w:noWrap w:val="0"/>
                  <w:vAlign w:val="center"/>
                </w:tcPr>
                <w:p w14:paraId="77D947FB">
                  <w:pPr>
                    <w:pStyle w:val="16"/>
                    <w:snapToGrid w:val="0"/>
                    <w:spacing w:after="0" w:line="240" w:lineRule="auto"/>
                    <w:ind w:left="0" w:leftChars="0" w:firstLine="0"/>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DA002排气筒</w:t>
                  </w:r>
                </w:p>
              </w:tc>
              <w:tc>
                <w:tcPr>
                  <w:tcW w:w="1478" w:type="dxa"/>
                  <w:noWrap w:val="0"/>
                  <w:vAlign w:val="center"/>
                </w:tcPr>
                <w:p w14:paraId="3DD9C8B2">
                  <w:pPr>
                    <w:pStyle w:val="16"/>
                    <w:snapToGrid w:val="0"/>
                    <w:spacing w:after="0" w:line="240" w:lineRule="auto"/>
                    <w:ind w:left="0" w:leftChars="0" w:firstLine="0"/>
                    <w:jc w:val="center"/>
                    <w:rPr>
                      <w:rFonts w:hint="eastAsia"/>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除尘效率为50%</w:t>
                  </w:r>
                </w:p>
              </w:tc>
              <w:tc>
                <w:tcPr>
                  <w:tcW w:w="1306" w:type="dxa"/>
                  <w:noWrap w:val="0"/>
                  <w:vAlign w:val="center"/>
                </w:tcPr>
                <w:p w14:paraId="0A2E2419">
                  <w:pPr>
                    <w:pStyle w:val="16"/>
                    <w:snapToGrid w:val="0"/>
                    <w:spacing w:after="0" w:line="240" w:lineRule="auto"/>
                    <w:ind w:left="0" w:leftChars="0" w:firstLine="0"/>
                    <w:jc w:val="center"/>
                    <w:rPr>
                      <w:rFonts w:hint="default"/>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颗粒物</w:t>
                  </w:r>
                </w:p>
              </w:tc>
              <w:tc>
                <w:tcPr>
                  <w:tcW w:w="852" w:type="dxa"/>
                  <w:noWrap w:val="0"/>
                  <w:vAlign w:val="center"/>
                </w:tcPr>
                <w:p w14:paraId="2073FC3E">
                  <w:pPr>
                    <w:pStyle w:val="16"/>
                    <w:snapToGrid w:val="0"/>
                    <w:spacing w:after="0" w:line="240" w:lineRule="auto"/>
                    <w:ind w:left="0" w:leftChars="0" w:firstLine="0"/>
                    <w:jc w:val="center"/>
                    <w:rPr>
                      <w:rFonts w:hint="default"/>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1.602</w:t>
                  </w:r>
                </w:p>
              </w:tc>
              <w:tc>
                <w:tcPr>
                  <w:tcW w:w="1035" w:type="dxa"/>
                  <w:noWrap w:val="0"/>
                  <w:vAlign w:val="center"/>
                </w:tcPr>
                <w:p w14:paraId="541869F1">
                  <w:pPr>
                    <w:pStyle w:val="16"/>
                    <w:snapToGrid w:val="0"/>
                    <w:spacing w:after="0" w:line="240" w:lineRule="auto"/>
                    <w:ind w:left="0" w:leftChars="0" w:firstLine="0"/>
                    <w:jc w:val="center"/>
                    <w:rPr>
                      <w:rFonts w:hint="default"/>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0.33</w:t>
                  </w:r>
                </w:p>
              </w:tc>
              <w:tc>
                <w:tcPr>
                  <w:tcW w:w="1224" w:type="dxa"/>
                  <w:noWrap w:val="0"/>
                  <w:vAlign w:val="center"/>
                </w:tcPr>
                <w:p w14:paraId="795B7B6F">
                  <w:pPr>
                    <w:pStyle w:val="16"/>
                    <w:snapToGrid w:val="0"/>
                    <w:spacing w:after="0" w:line="240" w:lineRule="auto"/>
                    <w:ind w:left="0" w:leftChars="0" w:firstLine="0"/>
                    <w:jc w:val="center"/>
                    <w:rPr>
                      <w:rFonts w:hint="default"/>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44.53</w:t>
                  </w:r>
                </w:p>
              </w:tc>
              <w:tc>
                <w:tcPr>
                  <w:tcW w:w="664" w:type="dxa"/>
                  <w:vMerge w:val="restart"/>
                  <w:noWrap w:val="0"/>
                  <w:vAlign w:val="center"/>
                </w:tcPr>
                <w:p w14:paraId="6960F150">
                  <w:pPr>
                    <w:pStyle w:val="16"/>
                    <w:snapToGrid w:val="0"/>
                    <w:spacing w:after="0" w:line="240" w:lineRule="auto"/>
                    <w:ind w:left="0" w:leftChars="0" w:firstLine="0"/>
                    <w:jc w:val="center"/>
                    <w:rPr>
                      <w:rFonts w:hint="eastAsia"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1</w:t>
                  </w:r>
                </w:p>
              </w:tc>
              <w:tc>
                <w:tcPr>
                  <w:tcW w:w="661" w:type="dxa"/>
                  <w:vMerge w:val="restart"/>
                  <w:noWrap w:val="0"/>
                  <w:vAlign w:val="center"/>
                </w:tcPr>
                <w:p w14:paraId="12A25A5B">
                  <w:pPr>
                    <w:pStyle w:val="16"/>
                    <w:snapToGrid w:val="0"/>
                    <w:spacing w:after="0" w:line="240" w:lineRule="auto"/>
                    <w:ind w:left="0" w:leftChars="0" w:firstLine="0"/>
                    <w:jc w:val="center"/>
                    <w:rPr>
                      <w:bCs/>
                      <w:color w:val="000000" w:themeColor="text1"/>
                      <w:sz w:val="21"/>
                      <w:szCs w:val="21"/>
                      <w:lang w:val="en-US"/>
                      <w14:textFill>
                        <w14:solidFill>
                          <w14:schemeClr w14:val="tx1"/>
                        </w14:solidFill>
                      </w14:textFill>
                    </w:rPr>
                  </w:pPr>
                  <w:r>
                    <w:rPr>
                      <w:bCs/>
                      <w:color w:val="000000" w:themeColor="text1"/>
                      <w:sz w:val="21"/>
                      <w:szCs w:val="21"/>
                      <w:lang w:val="en-US"/>
                      <w14:textFill>
                        <w14:solidFill>
                          <w14:schemeClr w14:val="tx1"/>
                        </w14:solidFill>
                      </w14:textFill>
                    </w:rPr>
                    <w:t>1次</w:t>
                  </w:r>
                </w:p>
              </w:tc>
            </w:tr>
            <w:tr w14:paraId="0DE0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4" w:type="dxa"/>
                  <w:vMerge w:val="restart"/>
                  <w:noWrap w:val="0"/>
                  <w:vAlign w:val="center"/>
                </w:tcPr>
                <w:p w14:paraId="0DD6BC80">
                  <w:pPr>
                    <w:pStyle w:val="16"/>
                    <w:snapToGrid w:val="0"/>
                    <w:spacing w:after="0" w:line="240" w:lineRule="auto"/>
                    <w:ind w:left="0" w:leftChars="0" w:firstLine="0"/>
                    <w:jc w:val="center"/>
                    <w:rPr>
                      <w:bCs/>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DA00</w:t>
                  </w:r>
                  <w:r>
                    <w:rPr>
                      <w:rFonts w:hint="eastAsia"/>
                      <w:color w:val="000000" w:themeColor="text1"/>
                      <w:sz w:val="21"/>
                      <w:szCs w:val="21"/>
                      <w:lang w:val="en-US" w:eastAsia="zh-CN"/>
                      <w14:textFill>
                        <w14:solidFill>
                          <w14:schemeClr w14:val="tx1"/>
                        </w14:solidFill>
                      </w14:textFill>
                    </w:rPr>
                    <w:t>1</w:t>
                  </w:r>
                  <w:r>
                    <w:rPr>
                      <w:color w:val="000000" w:themeColor="text1"/>
                      <w:sz w:val="21"/>
                      <w:szCs w:val="21"/>
                      <w:lang w:val="en-US"/>
                      <w14:textFill>
                        <w14:solidFill>
                          <w14:schemeClr w14:val="tx1"/>
                        </w14:solidFill>
                      </w14:textFill>
                    </w:rPr>
                    <w:t>排气筒</w:t>
                  </w:r>
                </w:p>
              </w:tc>
              <w:tc>
                <w:tcPr>
                  <w:tcW w:w="1478" w:type="dxa"/>
                  <w:vMerge w:val="restart"/>
                  <w:noWrap w:val="0"/>
                  <w:vAlign w:val="center"/>
                </w:tcPr>
                <w:p w14:paraId="52984AD6">
                  <w:pPr>
                    <w:pStyle w:val="16"/>
                    <w:snapToGrid w:val="0"/>
                    <w:spacing w:after="0" w:line="240" w:lineRule="auto"/>
                    <w:ind w:left="0" w:leftChars="0" w:firstLine="0"/>
                    <w:jc w:val="center"/>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脱硫塔脱硫脱氟效率下降为50%，除尘效率为50%</w:t>
                  </w:r>
                </w:p>
              </w:tc>
              <w:tc>
                <w:tcPr>
                  <w:tcW w:w="1306" w:type="dxa"/>
                  <w:noWrap w:val="0"/>
                  <w:vAlign w:val="center"/>
                </w:tcPr>
                <w:p w14:paraId="43F74749">
                  <w:pPr>
                    <w:pStyle w:val="16"/>
                    <w:snapToGrid w:val="0"/>
                    <w:spacing w:after="0" w:line="240" w:lineRule="auto"/>
                    <w:ind w:left="0" w:leftChars="0" w:firstLine="0"/>
                    <w:jc w:val="center"/>
                    <w:rPr>
                      <w:rFonts w:hint="eastAsia"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颗粒物</w:t>
                  </w:r>
                </w:p>
              </w:tc>
              <w:tc>
                <w:tcPr>
                  <w:tcW w:w="852" w:type="dxa"/>
                  <w:noWrap w:val="0"/>
                  <w:vAlign w:val="center"/>
                </w:tcPr>
                <w:p w14:paraId="158C5E7E">
                  <w:pPr>
                    <w:pStyle w:val="16"/>
                    <w:snapToGrid w:val="0"/>
                    <w:spacing w:after="0" w:line="240" w:lineRule="auto"/>
                    <w:ind w:left="0" w:leftChars="0" w:firstLine="0"/>
                    <w:jc w:val="center"/>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13.19</w:t>
                  </w:r>
                </w:p>
              </w:tc>
              <w:tc>
                <w:tcPr>
                  <w:tcW w:w="1035" w:type="dxa"/>
                  <w:noWrap w:val="0"/>
                  <w:vAlign w:val="center"/>
                </w:tcPr>
                <w:p w14:paraId="6F948978">
                  <w:pPr>
                    <w:pStyle w:val="16"/>
                    <w:snapToGrid w:val="0"/>
                    <w:spacing w:after="0" w:line="240" w:lineRule="auto"/>
                    <w:ind w:left="0" w:leftChars="0" w:firstLine="0"/>
                    <w:jc w:val="center"/>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2.39</w:t>
                  </w:r>
                </w:p>
              </w:tc>
              <w:tc>
                <w:tcPr>
                  <w:tcW w:w="1224" w:type="dxa"/>
                  <w:noWrap w:val="0"/>
                  <w:vAlign w:val="center"/>
                </w:tcPr>
                <w:p w14:paraId="525213F7">
                  <w:pPr>
                    <w:pStyle w:val="16"/>
                    <w:snapToGrid w:val="0"/>
                    <w:spacing w:after="0" w:line="240" w:lineRule="auto"/>
                    <w:ind w:left="0" w:leftChars="0" w:firstLine="0"/>
                    <w:jc w:val="center"/>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62.52</w:t>
                  </w:r>
                </w:p>
              </w:tc>
              <w:tc>
                <w:tcPr>
                  <w:tcW w:w="664" w:type="dxa"/>
                  <w:vMerge w:val="continue"/>
                  <w:noWrap w:val="0"/>
                  <w:vAlign w:val="center"/>
                </w:tcPr>
                <w:p w14:paraId="6F204143">
                  <w:pPr>
                    <w:pStyle w:val="16"/>
                    <w:snapToGrid w:val="0"/>
                    <w:spacing w:after="0" w:line="240" w:lineRule="auto"/>
                    <w:ind w:left="0" w:leftChars="0" w:firstLine="0"/>
                    <w:jc w:val="center"/>
                    <w:rPr>
                      <w:bCs/>
                      <w:color w:val="000000" w:themeColor="text1"/>
                      <w:sz w:val="21"/>
                      <w:szCs w:val="21"/>
                      <w:lang w:val="en-US"/>
                      <w14:textFill>
                        <w14:solidFill>
                          <w14:schemeClr w14:val="tx1"/>
                        </w14:solidFill>
                      </w14:textFill>
                    </w:rPr>
                  </w:pPr>
                </w:p>
              </w:tc>
              <w:tc>
                <w:tcPr>
                  <w:tcW w:w="661" w:type="dxa"/>
                  <w:vMerge w:val="continue"/>
                  <w:noWrap w:val="0"/>
                  <w:vAlign w:val="center"/>
                </w:tcPr>
                <w:p w14:paraId="53AE19C5">
                  <w:pPr>
                    <w:pStyle w:val="16"/>
                    <w:snapToGrid w:val="0"/>
                    <w:spacing w:after="0" w:line="240" w:lineRule="auto"/>
                    <w:ind w:left="0" w:leftChars="0" w:firstLine="0"/>
                    <w:jc w:val="center"/>
                    <w:rPr>
                      <w:bCs/>
                      <w:color w:val="000000" w:themeColor="text1"/>
                      <w:sz w:val="21"/>
                      <w:szCs w:val="21"/>
                      <w:lang w:val="en-US"/>
                      <w14:textFill>
                        <w14:solidFill>
                          <w14:schemeClr w14:val="tx1"/>
                        </w14:solidFill>
                      </w14:textFill>
                    </w:rPr>
                  </w:pPr>
                </w:p>
              </w:tc>
            </w:tr>
            <w:tr w14:paraId="59AD5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4" w:type="dxa"/>
                  <w:vMerge w:val="continue"/>
                  <w:noWrap w:val="0"/>
                  <w:vAlign w:val="center"/>
                </w:tcPr>
                <w:p w14:paraId="47F8F92E">
                  <w:pPr>
                    <w:pStyle w:val="16"/>
                    <w:snapToGrid w:val="0"/>
                    <w:spacing w:after="0" w:line="240" w:lineRule="auto"/>
                    <w:ind w:left="0" w:leftChars="0" w:firstLine="0"/>
                    <w:jc w:val="center"/>
                    <w:rPr>
                      <w:rFonts w:hint="eastAsia"/>
                      <w:color w:val="000000" w:themeColor="text1"/>
                      <w:sz w:val="21"/>
                      <w:szCs w:val="21"/>
                      <w:lang w:val="en-US"/>
                      <w14:textFill>
                        <w14:solidFill>
                          <w14:schemeClr w14:val="tx1"/>
                        </w14:solidFill>
                      </w14:textFill>
                    </w:rPr>
                  </w:pPr>
                </w:p>
              </w:tc>
              <w:tc>
                <w:tcPr>
                  <w:tcW w:w="1478" w:type="dxa"/>
                  <w:vMerge w:val="continue"/>
                  <w:noWrap w:val="0"/>
                  <w:vAlign w:val="center"/>
                </w:tcPr>
                <w:p w14:paraId="1F0E9688">
                  <w:pPr>
                    <w:pStyle w:val="16"/>
                    <w:snapToGrid w:val="0"/>
                    <w:spacing w:after="0" w:line="240" w:lineRule="auto"/>
                    <w:ind w:left="0" w:leftChars="0" w:firstLine="0"/>
                    <w:jc w:val="center"/>
                    <w:rPr>
                      <w:rFonts w:hint="eastAsia"/>
                      <w:bCs/>
                      <w:color w:val="000000" w:themeColor="text1"/>
                      <w:sz w:val="21"/>
                      <w:szCs w:val="21"/>
                      <w:lang w:val="en-US" w:eastAsia="zh-CN"/>
                      <w14:textFill>
                        <w14:solidFill>
                          <w14:schemeClr w14:val="tx1"/>
                        </w14:solidFill>
                      </w14:textFill>
                    </w:rPr>
                  </w:pPr>
                </w:p>
              </w:tc>
              <w:tc>
                <w:tcPr>
                  <w:tcW w:w="1306" w:type="dxa"/>
                  <w:noWrap w:val="0"/>
                  <w:vAlign w:val="center"/>
                </w:tcPr>
                <w:p w14:paraId="5D4ACD5A">
                  <w:pPr>
                    <w:pStyle w:val="16"/>
                    <w:snapToGrid w:val="0"/>
                    <w:spacing w:after="0" w:line="240" w:lineRule="auto"/>
                    <w:ind w:left="0" w:leftChars="0" w:firstLine="0"/>
                    <w:jc w:val="center"/>
                    <w:rPr>
                      <w:rFonts w:hint="eastAsia"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二氧化硫</w:t>
                  </w:r>
                </w:p>
              </w:tc>
              <w:tc>
                <w:tcPr>
                  <w:tcW w:w="852" w:type="dxa"/>
                  <w:noWrap w:val="0"/>
                  <w:vAlign w:val="center"/>
                </w:tcPr>
                <w:p w14:paraId="4DF66A00">
                  <w:pPr>
                    <w:pStyle w:val="16"/>
                    <w:snapToGrid w:val="0"/>
                    <w:spacing w:after="0" w:line="240" w:lineRule="auto"/>
                    <w:ind w:left="0" w:leftChars="0" w:firstLine="0"/>
                    <w:jc w:val="center"/>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36.45</w:t>
                  </w:r>
                </w:p>
              </w:tc>
              <w:tc>
                <w:tcPr>
                  <w:tcW w:w="1035" w:type="dxa"/>
                  <w:noWrap w:val="0"/>
                  <w:vAlign w:val="center"/>
                </w:tcPr>
                <w:p w14:paraId="1D418C50">
                  <w:pPr>
                    <w:pStyle w:val="16"/>
                    <w:snapToGrid w:val="0"/>
                    <w:spacing w:after="0" w:line="240" w:lineRule="auto"/>
                    <w:ind w:left="0" w:leftChars="0" w:firstLine="0"/>
                    <w:jc w:val="center"/>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6.6</w:t>
                  </w:r>
                </w:p>
              </w:tc>
              <w:tc>
                <w:tcPr>
                  <w:tcW w:w="1224" w:type="dxa"/>
                  <w:noWrap w:val="0"/>
                  <w:vAlign w:val="center"/>
                </w:tcPr>
                <w:p w14:paraId="2F57BE9F">
                  <w:pPr>
                    <w:pStyle w:val="16"/>
                    <w:snapToGrid w:val="0"/>
                    <w:spacing w:after="0" w:line="240" w:lineRule="auto"/>
                    <w:ind w:left="0" w:leftChars="0" w:firstLine="0"/>
                    <w:jc w:val="center"/>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172.78</w:t>
                  </w:r>
                </w:p>
              </w:tc>
              <w:tc>
                <w:tcPr>
                  <w:tcW w:w="664" w:type="dxa"/>
                  <w:vMerge w:val="continue"/>
                  <w:noWrap w:val="0"/>
                  <w:vAlign w:val="center"/>
                </w:tcPr>
                <w:p w14:paraId="7B22A624">
                  <w:pPr>
                    <w:pStyle w:val="16"/>
                    <w:snapToGrid w:val="0"/>
                    <w:spacing w:after="0" w:line="240" w:lineRule="auto"/>
                    <w:ind w:left="0" w:leftChars="0" w:firstLine="0"/>
                    <w:jc w:val="center"/>
                    <w:rPr>
                      <w:bCs/>
                      <w:color w:val="000000" w:themeColor="text1"/>
                      <w:sz w:val="21"/>
                      <w:szCs w:val="21"/>
                      <w:lang w:val="en-US"/>
                      <w14:textFill>
                        <w14:solidFill>
                          <w14:schemeClr w14:val="tx1"/>
                        </w14:solidFill>
                      </w14:textFill>
                    </w:rPr>
                  </w:pPr>
                </w:p>
              </w:tc>
              <w:tc>
                <w:tcPr>
                  <w:tcW w:w="661" w:type="dxa"/>
                  <w:vMerge w:val="continue"/>
                  <w:noWrap w:val="0"/>
                  <w:vAlign w:val="center"/>
                </w:tcPr>
                <w:p w14:paraId="523AD1B1">
                  <w:pPr>
                    <w:pStyle w:val="16"/>
                    <w:snapToGrid w:val="0"/>
                    <w:spacing w:after="0" w:line="240" w:lineRule="auto"/>
                    <w:ind w:left="0" w:leftChars="0" w:firstLine="0"/>
                    <w:jc w:val="center"/>
                    <w:rPr>
                      <w:bCs/>
                      <w:color w:val="000000" w:themeColor="text1"/>
                      <w:sz w:val="21"/>
                      <w:szCs w:val="21"/>
                      <w:lang w:val="en-US"/>
                      <w14:textFill>
                        <w14:solidFill>
                          <w14:schemeClr w14:val="tx1"/>
                        </w14:solidFill>
                      </w14:textFill>
                    </w:rPr>
                  </w:pPr>
                </w:p>
              </w:tc>
            </w:tr>
            <w:tr w14:paraId="1DDFC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4" w:type="dxa"/>
                  <w:vMerge w:val="continue"/>
                  <w:noWrap w:val="0"/>
                  <w:vAlign w:val="center"/>
                </w:tcPr>
                <w:p w14:paraId="70AEBD21">
                  <w:pPr>
                    <w:pStyle w:val="16"/>
                    <w:snapToGrid w:val="0"/>
                    <w:spacing w:after="0" w:line="240" w:lineRule="auto"/>
                    <w:ind w:left="0" w:leftChars="0" w:firstLine="0"/>
                    <w:jc w:val="center"/>
                    <w:rPr>
                      <w:rFonts w:hint="eastAsia"/>
                      <w:color w:val="000000" w:themeColor="text1"/>
                      <w:sz w:val="21"/>
                      <w:szCs w:val="21"/>
                      <w:lang w:val="en-US"/>
                      <w14:textFill>
                        <w14:solidFill>
                          <w14:schemeClr w14:val="tx1"/>
                        </w14:solidFill>
                      </w14:textFill>
                    </w:rPr>
                  </w:pPr>
                </w:p>
              </w:tc>
              <w:tc>
                <w:tcPr>
                  <w:tcW w:w="1478" w:type="dxa"/>
                  <w:vMerge w:val="continue"/>
                  <w:noWrap w:val="0"/>
                  <w:vAlign w:val="center"/>
                </w:tcPr>
                <w:p w14:paraId="5E9163BF">
                  <w:pPr>
                    <w:pStyle w:val="16"/>
                    <w:snapToGrid w:val="0"/>
                    <w:spacing w:after="0" w:line="240" w:lineRule="auto"/>
                    <w:ind w:left="0" w:leftChars="0" w:firstLine="0"/>
                    <w:jc w:val="center"/>
                    <w:rPr>
                      <w:rFonts w:hint="eastAsia"/>
                      <w:bCs/>
                      <w:color w:val="000000" w:themeColor="text1"/>
                      <w:sz w:val="21"/>
                      <w:szCs w:val="21"/>
                      <w:lang w:val="en-US" w:eastAsia="zh-CN"/>
                      <w14:textFill>
                        <w14:solidFill>
                          <w14:schemeClr w14:val="tx1"/>
                        </w14:solidFill>
                      </w14:textFill>
                    </w:rPr>
                  </w:pPr>
                </w:p>
              </w:tc>
              <w:tc>
                <w:tcPr>
                  <w:tcW w:w="1306" w:type="dxa"/>
                  <w:noWrap w:val="0"/>
                  <w:vAlign w:val="center"/>
                </w:tcPr>
                <w:p w14:paraId="0F318801">
                  <w:pPr>
                    <w:pStyle w:val="16"/>
                    <w:snapToGrid w:val="0"/>
                    <w:spacing w:after="0" w:line="240" w:lineRule="auto"/>
                    <w:ind w:left="0" w:leftChars="0" w:firstLine="0"/>
                    <w:jc w:val="center"/>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氟化物</w:t>
                  </w:r>
                </w:p>
              </w:tc>
              <w:tc>
                <w:tcPr>
                  <w:tcW w:w="852" w:type="dxa"/>
                  <w:noWrap w:val="0"/>
                  <w:vAlign w:val="center"/>
                </w:tcPr>
                <w:p w14:paraId="634F0BBA">
                  <w:pPr>
                    <w:pStyle w:val="16"/>
                    <w:snapToGrid w:val="0"/>
                    <w:spacing w:after="0" w:line="240" w:lineRule="auto"/>
                    <w:ind w:left="0" w:leftChars="0" w:firstLine="0"/>
                    <w:jc w:val="center"/>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0.62</w:t>
                  </w:r>
                </w:p>
              </w:tc>
              <w:tc>
                <w:tcPr>
                  <w:tcW w:w="1035" w:type="dxa"/>
                  <w:noWrap w:val="0"/>
                  <w:vAlign w:val="center"/>
                </w:tcPr>
                <w:p w14:paraId="5EBABDB6">
                  <w:pPr>
                    <w:pStyle w:val="16"/>
                    <w:snapToGrid w:val="0"/>
                    <w:spacing w:after="0" w:line="240" w:lineRule="auto"/>
                    <w:ind w:left="0" w:leftChars="0" w:firstLine="0"/>
                    <w:jc w:val="center"/>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0.11</w:t>
                  </w:r>
                </w:p>
              </w:tc>
              <w:tc>
                <w:tcPr>
                  <w:tcW w:w="1224" w:type="dxa"/>
                  <w:noWrap w:val="0"/>
                  <w:vAlign w:val="center"/>
                </w:tcPr>
                <w:p w14:paraId="5794A245">
                  <w:pPr>
                    <w:pStyle w:val="16"/>
                    <w:snapToGrid w:val="0"/>
                    <w:spacing w:after="0" w:line="240" w:lineRule="auto"/>
                    <w:ind w:left="0" w:leftChars="0" w:firstLine="0"/>
                    <w:jc w:val="center"/>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2.94</w:t>
                  </w:r>
                </w:p>
              </w:tc>
              <w:tc>
                <w:tcPr>
                  <w:tcW w:w="664" w:type="dxa"/>
                  <w:vMerge w:val="continue"/>
                  <w:noWrap w:val="0"/>
                  <w:vAlign w:val="center"/>
                </w:tcPr>
                <w:p w14:paraId="59C5D3B9">
                  <w:pPr>
                    <w:pStyle w:val="16"/>
                    <w:snapToGrid w:val="0"/>
                    <w:spacing w:after="0" w:line="240" w:lineRule="auto"/>
                    <w:ind w:left="0" w:leftChars="0" w:firstLine="0"/>
                    <w:jc w:val="center"/>
                    <w:rPr>
                      <w:bCs/>
                      <w:color w:val="000000" w:themeColor="text1"/>
                      <w:sz w:val="21"/>
                      <w:szCs w:val="21"/>
                      <w:lang w:val="en-US"/>
                      <w14:textFill>
                        <w14:solidFill>
                          <w14:schemeClr w14:val="tx1"/>
                        </w14:solidFill>
                      </w14:textFill>
                    </w:rPr>
                  </w:pPr>
                </w:p>
              </w:tc>
              <w:tc>
                <w:tcPr>
                  <w:tcW w:w="661" w:type="dxa"/>
                  <w:vMerge w:val="continue"/>
                  <w:noWrap w:val="0"/>
                  <w:vAlign w:val="center"/>
                </w:tcPr>
                <w:p w14:paraId="2B904B46">
                  <w:pPr>
                    <w:pStyle w:val="16"/>
                    <w:snapToGrid w:val="0"/>
                    <w:spacing w:after="0" w:line="240" w:lineRule="auto"/>
                    <w:ind w:left="0" w:leftChars="0" w:firstLine="0"/>
                    <w:jc w:val="center"/>
                    <w:rPr>
                      <w:bCs/>
                      <w:color w:val="000000" w:themeColor="text1"/>
                      <w:sz w:val="21"/>
                      <w:szCs w:val="21"/>
                      <w:lang w:val="en-US"/>
                      <w14:textFill>
                        <w14:solidFill>
                          <w14:schemeClr w14:val="tx1"/>
                        </w14:solidFill>
                      </w14:textFill>
                    </w:rPr>
                  </w:pPr>
                </w:p>
              </w:tc>
            </w:tr>
          </w:tbl>
          <w:p w14:paraId="4812B52E">
            <w:pPr>
              <w:pStyle w:val="12"/>
              <w:adjustRightInd w:val="0"/>
              <w:snapToGrid w:val="0"/>
              <w:spacing w:line="360" w:lineRule="auto"/>
              <w:ind w:firstLine="480" w:firstLineChars="200"/>
              <w:rPr>
                <w:rFonts w:ascii="Times New Roman" w:hAnsi="Times New Roman"/>
                <w:snapToGrid w:val="0"/>
                <w:color w:val="000000" w:themeColor="text1"/>
                <w:sz w:val="24"/>
                <w:szCs w:val="24"/>
                <w14:textFill>
                  <w14:solidFill>
                    <w14:schemeClr w14:val="tx1"/>
                  </w14:solidFill>
                </w14:textFill>
              </w:rPr>
            </w:pPr>
            <w:r>
              <w:rPr>
                <w:rFonts w:hint="eastAsia" w:ascii="Times New Roman" w:hAnsi="Times New Roman"/>
                <w:snapToGrid w:val="0"/>
                <w:color w:val="000000" w:themeColor="text1"/>
                <w:sz w:val="24"/>
                <w:szCs w:val="24"/>
                <w14:textFill>
                  <w14:solidFill>
                    <w14:schemeClr w14:val="tx1"/>
                  </w14:solidFill>
                </w14:textFill>
              </w:rPr>
              <w:t>根据上表可知，项目</w:t>
            </w:r>
            <w:r>
              <w:rPr>
                <w:rFonts w:ascii="Times New Roman" w:hAnsi="Times New Roman"/>
                <w:snapToGrid w:val="0"/>
                <w:color w:val="000000" w:themeColor="text1"/>
                <w:sz w:val="24"/>
                <w:szCs w:val="24"/>
                <w14:textFill>
                  <w14:solidFill>
                    <w14:schemeClr w14:val="tx1"/>
                  </w14:solidFill>
                </w14:textFill>
              </w:rPr>
              <w:t>在非正常排放条件下，</w:t>
            </w:r>
            <w:r>
              <w:rPr>
                <w:rFonts w:hint="eastAsia" w:ascii="Times New Roman" w:hAnsi="Times New Roman"/>
                <w:snapToGrid w:val="0"/>
                <w:color w:val="000000" w:themeColor="text1"/>
                <w:sz w:val="24"/>
                <w:szCs w:val="24"/>
                <w14:textFill>
                  <w14:solidFill>
                    <w14:schemeClr w14:val="tx1"/>
                  </w14:solidFill>
                </w14:textFill>
              </w:rPr>
              <w:t>项目DA00</w:t>
            </w:r>
            <w:r>
              <w:rPr>
                <w:rFonts w:hint="eastAsia" w:hAnsi="Times New Roman"/>
                <w:snapToGrid w:val="0"/>
                <w:color w:val="000000" w:themeColor="text1"/>
                <w:sz w:val="24"/>
                <w:szCs w:val="24"/>
                <w:lang w:val="en-US" w:eastAsia="zh-CN"/>
                <w14:textFill>
                  <w14:solidFill>
                    <w14:schemeClr w14:val="tx1"/>
                  </w14:solidFill>
                </w14:textFill>
              </w:rPr>
              <w:t>2</w:t>
            </w:r>
            <w:r>
              <w:rPr>
                <w:rFonts w:hint="eastAsia" w:ascii="Times New Roman" w:hAnsi="Times New Roman"/>
                <w:snapToGrid w:val="0"/>
                <w:color w:val="000000" w:themeColor="text1"/>
                <w:sz w:val="24"/>
                <w:szCs w:val="24"/>
                <w14:textFill>
                  <w14:solidFill>
                    <w14:schemeClr w14:val="tx1"/>
                  </w14:solidFill>
                </w14:textFill>
              </w:rPr>
              <w:t>排气筒排放的颗粒物</w:t>
            </w:r>
            <w:r>
              <w:rPr>
                <w:rFonts w:hint="eastAsia" w:hAnsi="Times New Roman"/>
                <w:snapToGrid w:val="0"/>
                <w:color w:val="000000" w:themeColor="text1"/>
                <w:sz w:val="24"/>
                <w:szCs w:val="24"/>
                <w:lang w:eastAsia="zh-CN"/>
                <w14:textFill>
                  <w14:solidFill>
                    <w14:schemeClr w14:val="tx1"/>
                  </w14:solidFill>
                </w14:textFill>
              </w:rPr>
              <w:t>，</w:t>
            </w:r>
            <w:r>
              <w:rPr>
                <w:rFonts w:hint="eastAsia" w:hAnsi="Times New Roman"/>
                <w:snapToGrid w:val="0"/>
                <w:color w:val="000000" w:themeColor="text1"/>
                <w:sz w:val="24"/>
                <w:szCs w:val="24"/>
                <w:lang w:val="en-US" w:eastAsia="zh-CN"/>
                <w14:textFill>
                  <w14:solidFill>
                    <w14:schemeClr w14:val="tx1"/>
                  </w14:solidFill>
                </w14:textFill>
              </w:rPr>
              <w:t>DA001排放的颗粒物、二氧化硫</w:t>
            </w:r>
            <w:r>
              <w:rPr>
                <w:rFonts w:hint="eastAsia" w:ascii="Times New Roman" w:hAnsi="Times New Roman"/>
                <w:snapToGrid w:val="0"/>
                <w:color w:val="000000" w:themeColor="text1"/>
                <w:sz w:val="24"/>
                <w:szCs w:val="24"/>
                <w:lang w:val="en-US" w:eastAsia="zh-CN"/>
                <w14:textFill>
                  <w14:solidFill>
                    <w14:schemeClr w14:val="tx1"/>
                  </w14:solidFill>
                </w14:textFill>
              </w:rPr>
              <w:t>均</w:t>
            </w:r>
            <w:r>
              <w:rPr>
                <w:rFonts w:hint="eastAsia" w:ascii="Times New Roman" w:hAnsi="Times New Roman"/>
                <w:snapToGrid w:val="0"/>
                <w:color w:val="000000" w:themeColor="text1"/>
                <w:sz w:val="24"/>
                <w:szCs w:val="24"/>
                <w14:textFill>
                  <w14:solidFill>
                    <w14:schemeClr w14:val="tx1"/>
                  </w14:solidFill>
                </w14:textFill>
              </w:rPr>
              <w:t>不能满足</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《砖瓦工业大气污染物排放标准》（GB29620-2013）表2及修改单排放限值要求</w:t>
            </w:r>
            <w:r>
              <w:rPr>
                <w:rFonts w:hint="eastAsia" w:ascii="Times New Roman" w:hAnsi="Times New Roman"/>
                <w:color w:val="000000" w:themeColor="text1"/>
                <w:sz w:val="24"/>
                <w:szCs w:val="24"/>
                <w14:textFill>
                  <w14:solidFill>
                    <w14:schemeClr w14:val="tx1"/>
                  </w14:solidFill>
                </w14:textFill>
              </w:rPr>
              <w:t>。因此</w:t>
            </w:r>
            <w:r>
              <w:rPr>
                <w:rFonts w:hint="eastAsia" w:ascii="Times New Roman" w:hAnsi="Times New Roman"/>
                <w:snapToGrid w:val="0"/>
                <w:color w:val="000000" w:themeColor="text1"/>
                <w:sz w:val="24"/>
                <w:szCs w:val="24"/>
                <w:lang w:val="en-US" w:eastAsia="zh-CN"/>
                <w14:textFill>
                  <w14:solidFill>
                    <w14:schemeClr w14:val="tx1"/>
                  </w14:solidFill>
                </w14:textFill>
              </w:rPr>
              <w:t>建设单位</w:t>
            </w:r>
            <w:r>
              <w:rPr>
                <w:rFonts w:ascii="Times New Roman" w:hAnsi="Times New Roman"/>
                <w:snapToGrid w:val="0"/>
                <w:color w:val="000000" w:themeColor="text1"/>
                <w:sz w:val="24"/>
                <w:szCs w:val="24"/>
                <w14:textFill>
                  <w14:solidFill>
                    <w14:schemeClr w14:val="tx1"/>
                  </w14:solidFill>
                </w14:textFill>
              </w:rPr>
              <w:t>在</w:t>
            </w:r>
            <w:r>
              <w:rPr>
                <w:rFonts w:hint="eastAsia" w:ascii="Times New Roman" w:hAnsi="Times New Roman"/>
                <w:snapToGrid w:val="0"/>
                <w:color w:val="000000" w:themeColor="text1"/>
                <w:sz w:val="24"/>
                <w:szCs w:val="24"/>
                <w14:textFill>
                  <w14:solidFill>
                    <w14:schemeClr w14:val="tx1"/>
                  </w14:solidFill>
                </w14:textFill>
              </w:rPr>
              <w:t>运营期</w:t>
            </w:r>
            <w:r>
              <w:rPr>
                <w:rFonts w:hint="eastAsia" w:ascii="Times New Roman" w:hAnsi="Times New Roman"/>
                <w:snapToGrid w:val="0"/>
                <w:color w:val="000000" w:themeColor="text1"/>
                <w:sz w:val="24"/>
                <w:szCs w:val="24"/>
                <w:lang w:eastAsia="zh-CN"/>
                <w14:textFill>
                  <w14:solidFill>
                    <w14:schemeClr w14:val="tx1"/>
                  </w14:solidFill>
                </w14:textFill>
              </w:rPr>
              <w:t>间要</w:t>
            </w:r>
            <w:r>
              <w:rPr>
                <w:rFonts w:ascii="Times New Roman" w:hAnsi="Times New Roman"/>
                <w:snapToGrid w:val="0"/>
                <w:color w:val="000000" w:themeColor="text1"/>
                <w:sz w:val="24"/>
                <w:szCs w:val="24"/>
                <w14:textFill>
                  <w14:solidFill>
                    <w14:schemeClr w14:val="tx1"/>
                  </w14:solidFill>
                </w14:textFill>
              </w:rPr>
              <w:t>杜绝非正常情况的发生，防止非正常排放的废气对周围敏感目标产生影响，本次环评提出以下废气非正常排放的对策措施：</w:t>
            </w:r>
          </w:p>
          <w:p w14:paraId="53486726">
            <w:pPr>
              <w:pStyle w:val="12"/>
              <w:adjustRightInd w:val="0"/>
              <w:snapToGrid w:val="0"/>
              <w:spacing w:line="360" w:lineRule="auto"/>
              <w:ind w:firstLine="480" w:firstLineChars="200"/>
              <w:rPr>
                <w:rFonts w:ascii="Times New Roman" w:hAnsi="Times New Roman"/>
                <w:snapToGrid w:val="0"/>
                <w:color w:val="000000" w:themeColor="text1"/>
                <w:sz w:val="24"/>
                <w:szCs w:val="24"/>
                <w14:textFill>
                  <w14:solidFill>
                    <w14:schemeClr w14:val="tx1"/>
                  </w14:solidFill>
                </w14:textFill>
              </w:rPr>
            </w:pPr>
            <w:r>
              <w:rPr>
                <w:rFonts w:ascii="Times New Roman" w:hAnsi="Times New Roman"/>
                <w:snapToGrid w:val="0"/>
                <w:color w:val="000000" w:themeColor="text1"/>
                <w:sz w:val="24"/>
                <w:szCs w:val="24"/>
                <w14:textFill>
                  <w14:solidFill>
                    <w14:schemeClr w14:val="tx1"/>
                  </w14:solidFill>
                </w14:textFill>
              </w:rPr>
              <w:t>①事故防范措施及应急预案</w:t>
            </w:r>
          </w:p>
          <w:p w14:paraId="6D845FD6">
            <w:pPr>
              <w:pStyle w:val="12"/>
              <w:adjustRightInd w:val="0"/>
              <w:snapToGrid w:val="0"/>
              <w:spacing w:line="360" w:lineRule="auto"/>
              <w:ind w:firstLine="480" w:firstLineChars="200"/>
              <w:rPr>
                <w:rFonts w:ascii="Times New Roman" w:hAnsi="Times New Roman"/>
                <w:snapToGrid w:val="0"/>
                <w:color w:val="000000" w:themeColor="text1"/>
                <w:sz w:val="24"/>
                <w:szCs w:val="24"/>
                <w14:textFill>
                  <w14:solidFill>
                    <w14:schemeClr w14:val="tx1"/>
                  </w14:solidFill>
                </w14:textFill>
              </w:rPr>
            </w:pPr>
            <w:r>
              <w:rPr>
                <w:rFonts w:hint="eastAsia" w:ascii="Times New Roman" w:hAnsi="Times New Roman"/>
                <w:snapToGrid w:val="0"/>
                <w:color w:val="000000" w:themeColor="text1"/>
                <w:sz w:val="24"/>
                <w:szCs w:val="24"/>
                <w14:textFill>
                  <w14:solidFill>
                    <w14:schemeClr w14:val="tx1"/>
                  </w14:solidFill>
                </w14:textFill>
              </w:rPr>
              <w:t>针对项目事故排放情况制定废气事故</w:t>
            </w:r>
            <w:r>
              <w:rPr>
                <w:rFonts w:hint="eastAsia" w:hAnsi="Times New Roman"/>
                <w:snapToGrid w:val="0"/>
                <w:color w:val="000000" w:themeColor="text1"/>
                <w:sz w:val="24"/>
                <w:szCs w:val="24"/>
                <w:lang w:val="en-US" w:eastAsia="zh-CN"/>
                <w14:textFill>
                  <w14:solidFill>
                    <w14:schemeClr w14:val="tx1"/>
                  </w14:solidFill>
                </w14:textFill>
              </w:rPr>
              <w:t>排放污染防治</w:t>
            </w:r>
            <w:r>
              <w:rPr>
                <w:rFonts w:hint="eastAsia" w:ascii="Times New Roman" w:hAnsi="Times New Roman"/>
                <w:snapToGrid w:val="0"/>
                <w:color w:val="000000" w:themeColor="text1"/>
                <w:sz w:val="24"/>
                <w:szCs w:val="24"/>
                <w14:textFill>
                  <w14:solidFill>
                    <w14:schemeClr w14:val="tx1"/>
                  </w14:solidFill>
                </w14:textFill>
              </w:rPr>
              <w:t>措施与对策</w:t>
            </w:r>
          </w:p>
          <w:p w14:paraId="592A936D">
            <w:pPr>
              <w:pStyle w:val="12"/>
              <w:adjustRightInd w:val="0"/>
              <w:snapToGrid w:val="0"/>
              <w:spacing w:line="360" w:lineRule="auto"/>
              <w:ind w:firstLine="480" w:firstLineChars="200"/>
              <w:rPr>
                <w:rFonts w:ascii="Times New Roman" w:hAnsi="Times New Roman"/>
                <w:snapToGrid w:val="0"/>
                <w:color w:val="000000" w:themeColor="text1"/>
                <w:sz w:val="24"/>
                <w:szCs w:val="24"/>
                <w14:textFill>
                  <w14:solidFill>
                    <w14:schemeClr w14:val="tx1"/>
                  </w14:solidFill>
                </w14:textFill>
              </w:rPr>
            </w:pPr>
            <w:r>
              <w:rPr>
                <w:rFonts w:ascii="Times New Roman" w:hAnsi="Times New Roman"/>
                <w:snapToGrid w:val="0"/>
                <w:color w:val="000000" w:themeColor="text1"/>
                <w:sz w:val="24"/>
                <w:szCs w:val="24"/>
                <w14:textFill>
                  <w14:solidFill>
                    <w14:schemeClr w14:val="tx1"/>
                  </w14:solidFill>
                </w14:textFill>
              </w:rPr>
              <w:t>②</w:t>
            </w:r>
            <w:r>
              <w:rPr>
                <w:rFonts w:hint="eastAsia" w:ascii="Times New Roman" w:hAnsi="Times New Roman"/>
                <w:snapToGrid w:val="0"/>
                <w:color w:val="000000" w:themeColor="text1"/>
                <w:sz w:val="24"/>
                <w:szCs w:val="24"/>
                <w14:textFill>
                  <w14:solidFill>
                    <w14:schemeClr w14:val="tx1"/>
                  </w14:solidFill>
                </w14:textFill>
              </w:rPr>
              <w:t>废气治理</w:t>
            </w:r>
            <w:r>
              <w:rPr>
                <w:rFonts w:ascii="Times New Roman" w:hAnsi="Times New Roman"/>
                <w:snapToGrid w:val="0"/>
                <w:color w:val="000000" w:themeColor="text1"/>
                <w:sz w:val="24"/>
                <w:szCs w:val="24"/>
                <w14:textFill>
                  <w14:solidFill>
                    <w14:schemeClr w14:val="tx1"/>
                  </w14:solidFill>
                </w14:textFill>
              </w:rPr>
              <w:t>设施突发故障防治措施</w:t>
            </w:r>
          </w:p>
          <w:p w14:paraId="654DF446">
            <w:pPr>
              <w:pStyle w:val="12"/>
              <w:adjustRightInd w:val="0"/>
              <w:snapToGrid w:val="0"/>
              <w:spacing w:line="360" w:lineRule="auto"/>
              <w:ind w:firstLine="480" w:firstLineChars="200"/>
              <w:rPr>
                <w:rFonts w:ascii="Times New Roman" w:hAnsi="Times New Roman"/>
                <w:snapToGrid w:val="0"/>
                <w:color w:val="000000" w:themeColor="text1"/>
                <w:sz w:val="24"/>
                <w:szCs w:val="24"/>
                <w14:textFill>
                  <w14:solidFill>
                    <w14:schemeClr w14:val="tx1"/>
                  </w14:solidFill>
                </w14:textFill>
              </w:rPr>
            </w:pPr>
            <w:r>
              <w:rPr>
                <w:rFonts w:ascii="Times New Roman" w:hAnsi="Times New Roman"/>
                <w:snapToGrid w:val="0"/>
                <w:color w:val="000000" w:themeColor="text1"/>
                <w:sz w:val="24"/>
                <w:szCs w:val="24"/>
                <w14:textFill>
                  <w14:solidFill>
                    <w14:schemeClr w14:val="tx1"/>
                  </w14:solidFill>
                </w14:textFill>
              </w:rPr>
              <w:t>当</w:t>
            </w:r>
            <w:r>
              <w:rPr>
                <w:rFonts w:hint="eastAsia" w:ascii="Times New Roman" w:hAnsi="Times New Roman"/>
                <w:snapToGrid w:val="0"/>
                <w:color w:val="000000" w:themeColor="text1"/>
                <w:sz w:val="24"/>
                <w:szCs w:val="24"/>
                <w14:textFill>
                  <w14:solidFill>
                    <w14:schemeClr w14:val="tx1"/>
                  </w14:solidFill>
                </w14:textFill>
              </w:rPr>
              <w:t>废气</w:t>
            </w:r>
            <w:r>
              <w:rPr>
                <w:rFonts w:ascii="Times New Roman" w:hAnsi="Times New Roman"/>
                <w:snapToGrid w:val="0"/>
                <w:color w:val="000000" w:themeColor="text1"/>
                <w:sz w:val="24"/>
                <w:szCs w:val="24"/>
                <w14:textFill>
                  <w14:solidFill>
                    <w14:schemeClr w14:val="tx1"/>
                  </w14:solidFill>
                </w14:textFill>
              </w:rPr>
              <w:t>治理设施发生故障时，应马上停止</w:t>
            </w:r>
            <w:r>
              <w:rPr>
                <w:rFonts w:hint="eastAsia" w:ascii="Times New Roman" w:hAnsi="Times New Roman"/>
                <w:snapToGrid w:val="0"/>
                <w:color w:val="000000" w:themeColor="text1"/>
                <w:sz w:val="24"/>
                <w:szCs w:val="24"/>
                <w14:textFill>
                  <w14:solidFill>
                    <w14:schemeClr w14:val="tx1"/>
                  </w14:solidFill>
                </w14:textFill>
              </w:rPr>
              <w:t>生产工段</w:t>
            </w:r>
            <w:r>
              <w:rPr>
                <w:rFonts w:ascii="Times New Roman" w:hAnsi="Times New Roman"/>
                <w:snapToGrid w:val="0"/>
                <w:color w:val="000000" w:themeColor="text1"/>
                <w:sz w:val="24"/>
                <w:szCs w:val="24"/>
                <w14:textFill>
                  <w14:solidFill>
                    <w14:schemeClr w14:val="tx1"/>
                  </w14:solidFill>
                </w14:textFill>
              </w:rPr>
              <w:t>的运行及时安排工作人员对故障设备进行检修，待设备故障排除后，方可投入生产。</w:t>
            </w:r>
          </w:p>
          <w:p w14:paraId="472442C0">
            <w:pPr>
              <w:pStyle w:val="12"/>
              <w:adjustRightInd w:val="0"/>
              <w:snapToGrid w:val="0"/>
              <w:spacing w:line="360" w:lineRule="auto"/>
              <w:ind w:firstLine="480" w:firstLineChars="200"/>
              <w:rPr>
                <w:rFonts w:ascii="Times New Roman" w:hAnsi="Times New Roman"/>
                <w:snapToGrid w:val="0"/>
                <w:color w:val="000000" w:themeColor="text1"/>
                <w:sz w:val="24"/>
                <w:szCs w:val="24"/>
                <w14:textFill>
                  <w14:solidFill>
                    <w14:schemeClr w14:val="tx1"/>
                  </w14:solidFill>
                </w14:textFill>
              </w:rPr>
            </w:pPr>
            <w:r>
              <w:rPr>
                <w:rFonts w:ascii="Times New Roman" w:hAnsi="Times New Roman"/>
                <w:snapToGrid w:val="0"/>
                <w:color w:val="000000" w:themeColor="text1"/>
                <w:sz w:val="24"/>
                <w:szCs w:val="24"/>
                <w14:textFill>
                  <w14:solidFill>
                    <w14:schemeClr w14:val="tx1"/>
                  </w14:solidFill>
                </w14:textFill>
              </w:rPr>
              <w:t>③严格规范化操作</w:t>
            </w:r>
          </w:p>
          <w:p w14:paraId="7F9AED13">
            <w:pPr>
              <w:pStyle w:val="12"/>
              <w:adjustRightInd w:val="0"/>
              <w:snapToGrid w:val="0"/>
              <w:spacing w:line="360" w:lineRule="auto"/>
              <w:ind w:firstLine="480" w:firstLineChars="200"/>
              <w:rPr>
                <w:rFonts w:ascii="Times New Roman" w:hAnsi="Times New Roman"/>
                <w:snapToGrid w:val="0"/>
                <w:color w:val="000000" w:themeColor="text1"/>
                <w:sz w:val="24"/>
                <w:szCs w:val="24"/>
                <w14:textFill>
                  <w14:solidFill>
                    <w14:schemeClr w14:val="tx1"/>
                  </w14:solidFill>
                </w14:textFill>
              </w:rPr>
            </w:pPr>
            <w:r>
              <w:rPr>
                <w:rFonts w:ascii="Times New Roman" w:hAnsi="Times New Roman"/>
                <w:snapToGrid w:val="0"/>
                <w:color w:val="000000" w:themeColor="text1"/>
                <w:sz w:val="24"/>
                <w:szCs w:val="24"/>
                <w14:textFill>
                  <w14:solidFill>
                    <w14:schemeClr w14:val="tx1"/>
                  </w14:solidFill>
                </w14:textFill>
              </w:rPr>
              <w:t>对各治理设施实现规范化、制度化管理，操作人员必须持证上岗，严格执行操作管理规定，最大限度控制由于操作失误因素造成的废气事故性排放</w:t>
            </w:r>
            <w:r>
              <w:rPr>
                <w:rFonts w:hint="eastAsia" w:ascii="Times New Roman" w:hAnsi="Times New Roman"/>
                <w:snapToGrid w:val="0"/>
                <w:color w:val="000000" w:themeColor="text1"/>
                <w:sz w:val="24"/>
                <w:szCs w:val="24"/>
                <w14:textFill>
                  <w14:solidFill>
                    <w14:schemeClr w14:val="tx1"/>
                  </w14:solidFill>
                </w14:textFill>
              </w:rPr>
              <w:t>发生概率</w:t>
            </w:r>
            <w:r>
              <w:rPr>
                <w:rFonts w:ascii="Times New Roman" w:hAnsi="Times New Roman"/>
                <w:snapToGrid w:val="0"/>
                <w:color w:val="000000" w:themeColor="text1"/>
                <w:sz w:val="24"/>
                <w:szCs w:val="24"/>
                <w14:textFill>
                  <w14:solidFill>
                    <w14:schemeClr w14:val="tx1"/>
                  </w14:solidFill>
                </w14:textFill>
              </w:rPr>
              <w:t>。</w:t>
            </w:r>
          </w:p>
          <w:p w14:paraId="2E0042E0">
            <w:pPr>
              <w:pStyle w:val="12"/>
              <w:adjustRightInd w:val="0"/>
              <w:snapToGrid w:val="0"/>
              <w:spacing w:line="360" w:lineRule="auto"/>
              <w:ind w:firstLine="480" w:firstLineChars="200"/>
              <w:rPr>
                <w:rFonts w:ascii="Times New Roman" w:hAnsi="Times New Roman"/>
                <w:snapToGrid w:val="0"/>
                <w:color w:val="000000" w:themeColor="text1"/>
                <w:sz w:val="24"/>
                <w:szCs w:val="24"/>
                <w14:textFill>
                  <w14:solidFill>
                    <w14:schemeClr w14:val="tx1"/>
                  </w14:solidFill>
                </w14:textFill>
              </w:rPr>
            </w:pPr>
            <w:r>
              <w:rPr>
                <w:rFonts w:ascii="Times New Roman" w:hAnsi="Times New Roman"/>
                <w:snapToGrid w:val="0"/>
                <w:color w:val="000000" w:themeColor="text1"/>
                <w:sz w:val="24"/>
                <w:szCs w:val="24"/>
                <w14:textFill>
                  <w14:solidFill>
                    <w14:schemeClr w14:val="tx1"/>
                  </w14:solidFill>
                </w14:textFill>
              </w:rPr>
              <w:t>④制定事故及时处理计划</w:t>
            </w:r>
          </w:p>
          <w:p w14:paraId="43F84CDF">
            <w:pPr>
              <w:pStyle w:val="12"/>
              <w:adjustRightInd w:val="0"/>
              <w:snapToGrid w:val="0"/>
              <w:spacing w:line="360" w:lineRule="auto"/>
              <w:ind w:firstLine="480" w:firstLineChars="200"/>
              <w:rPr>
                <w:rFonts w:ascii="Times New Roman" w:hAnsi="Times New Roman"/>
                <w:snapToGrid w:val="0"/>
                <w:color w:val="000000" w:themeColor="text1"/>
                <w:sz w:val="24"/>
                <w:szCs w:val="24"/>
                <w14:textFill>
                  <w14:solidFill>
                    <w14:schemeClr w14:val="tx1"/>
                  </w14:solidFill>
                </w14:textFill>
              </w:rPr>
            </w:pPr>
            <w:r>
              <w:rPr>
                <w:rFonts w:ascii="Times New Roman" w:hAnsi="Times New Roman"/>
                <w:snapToGrid w:val="0"/>
                <w:color w:val="000000" w:themeColor="text1"/>
                <w:sz w:val="24"/>
                <w:szCs w:val="24"/>
                <w14:textFill>
                  <w14:solidFill>
                    <w14:schemeClr w14:val="tx1"/>
                  </w14:solidFill>
                </w14:textFill>
              </w:rPr>
              <w:t>制定事故处理应急计划，建立事故处理机构，落实各</w:t>
            </w:r>
            <w:r>
              <w:rPr>
                <w:rFonts w:hint="eastAsia" w:ascii="Times New Roman" w:hAnsi="Times New Roman"/>
                <w:snapToGrid w:val="0"/>
                <w:color w:val="000000" w:themeColor="text1"/>
                <w:sz w:val="24"/>
                <w:szCs w:val="24"/>
                <w:lang w:eastAsia="zh-CN"/>
                <w14:textFill>
                  <w14:solidFill>
                    <w14:schemeClr w14:val="tx1"/>
                  </w14:solidFill>
                </w14:textFill>
              </w:rPr>
              <w:t>部门</w:t>
            </w:r>
            <w:r>
              <w:rPr>
                <w:rFonts w:ascii="Times New Roman" w:hAnsi="Times New Roman"/>
                <w:snapToGrid w:val="0"/>
                <w:color w:val="000000" w:themeColor="text1"/>
                <w:sz w:val="24"/>
                <w:szCs w:val="24"/>
                <w14:textFill>
                  <w14:solidFill>
                    <w14:schemeClr w14:val="tx1"/>
                  </w14:solidFill>
                </w14:textFill>
              </w:rPr>
              <w:t>、各岗位、各操作管理人员的责任，一旦发生事故，及时采取处理措施并通知环保等管理部门在最短时间内排除故障。</w:t>
            </w:r>
          </w:p>
          <w:p w14:paraId="163FAFE7">
            <w:pPr>
              <w:widowControl/>
              <w:spacing w:line="360" w:lineRule="auto"/>
              <w:ind w:firstLine="480" w:firstLineChars="200"/>
              <w:jc w:val="left"/>
              <w:rPr>
                <w:b/>
                <w:bCs/>
                <w:color w:val="000000" w:themeColor="text1"/>
                <w:sz w:val="24"/>
                <w14:textFill>
                  <w14:solidFill>
                    <w14:schemeClr w14:val="tx1"/>
                  </w14:solidFill>
                </w14:textFill>
              </w:rPr>
            </w:pPr>
            <w:r>
              <w:rPr>
                <w:snapToGrid w:val="0"/>
                <w:color w:val="000000" w:themeColor="text1"/>
                <w:sz w:val="24"/>
                <w14:textFill>
                  <w14:solidFill>
                    <w14:schemeClr w14:val="tx1"/>
                  </w14:solidFill>
                </w14:textFill>
              </w:rPr>
              <w:t>综上所述，项目运营期加强废气治理设施运行管理，定期维护加强对操作人员的岗位培训，确保废气稳定达标排放，杜绝事故性排放，建立健全环保管理机制和各项环保规章制度，落实岗位环保责任制，</w:t>
            </w:r>
            <w:r>
              <w:rPr>
                <w:rFonts w:hint="eastAsia"/>
                <w:snapToGrid w:val="0"/>
                <w:color w:val="000000" w:themeColor="text1"/>
                <w:sz w:val="24"/>
                <w14:textFill>
                  <w14:solidFill>
                    <w14:schemeClr w14:val="tx1"/>
                  </w14:solidFill>
                </w14:textFill>
              </w:rPr>
              <w:t>加强环境风险防控</w:t>
            </w:r>
            <w:r>
              <w:rPr>
                <w:snapToGrid w:val="0"/>
                <w:color w:val="000000" w:themeColor="text1"/>
                <w:sz w:val="24"/>
                <w14:textFill>
                  <w14:solidFill>
                    <w14:schemeClr w14:val="tx1"/>
                  </w14:solidFill>
                </w14:textFill>
              </w:rPr>
              <w:t>工作，防止事故排放导致环境问题。</w:t>
            </w:r>
          </w:p>
          <w:p w14:paraId="4057000E">
            <w:pPr>
              <w:widowControl/>
              <w:spacing w:line="360" w:lineRule="auto"/>
              <w:ind w:firstLine="482" w:firstLineChars="200"/>
              <w:jc w:val="left"/>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w:t>
            </w:r>
            <w:r>
              <w:rPr>
                <w:rFonts w:hint="eastAsia"/>
                <w:b/>
                <w:bCs/>
                <w:color w:val="000000" w:themeColor="text1"/>
                <w:sz w:val="24"/>
                <w:lang w:val="en-US" w:eastAsia="zh-CN"/>
                <w14:textFill>
                  <w14:solidFill>
                    <w14:schemeClr w14:val="tx1"/>
                  </w14:solidFill>
                </w14:textFill>
              </w:rPr>
              <w:t>5</w:t>
            </w:r>
            <w:r>
              <w:rPr>
                <w:b/>
                <w:bCs/>
                <w:color w:val="000000" w:themeColor="text1"/>
                <w:sz w:val="24"/>
                <w14:textFill>
                  <w14:solidFill>
                    <w14:schemeClr w14:val="tx1"/>
                  </w14:solidFill>
                </w14:textFill>
              </w:rPr>
              <w:t>大气环境影响结论</w:t>
            </w:r>
          </w:p>
          <w:p w14:paraId="469E17FF">
            <w:pPr>
              <w:adjustRightInd w:val="0"/>
              <w:snapToGrid w:val="0"/>
              <w:spacing w:line="360" w:lineRule="auto"/>
              <w:ind w:firstLine="480" w:firstLineChars="200"/>
              <w:rPr>
                <w:b/>
                <w:bCs/>
                <w:color w:val="000000" w:themeColor="text1"/>
                <w:sz w:val="24"/>
                <w14:textFill>
                  <w14:solidFill>
                    <w14:schemeClr w14:val="tx1"/>
                  </w14:solidFill>
                </w14:textFill>
              </w:rPr>
            </w:pPr>
            <w:r>
              <w:rPr>
                <w:color w:val="000000" w:themeColor="text1"/>
                <w:sz w:val="24"/>
                <w14:textFill>
                  <w14:solidFill>
                    <w14:schemeClr w14:val="tx1"/>
                  </w14:solidFill>
                </w14:textFill>
              </w:rPr>
              <w:t>项目所在地环境空气质量达标，项目</w:t>
            </w:r>
            <w:r>
              <w:rPr>
                <w:rFonts w:hint="eastAsia"/>
                <w:color w:val="000000" w:themeColor="text1"/>
                <w:sz w:val="24"/>
                <w:lang w:val="en-US" w:eastAsia="zh-CN"/>
                <w14:textFill>
                  <w14:solidFill>
                    <w14:schemeClr w14:val="tx1"/>
                  </w14:solidFill>
                </w14:textFill>
              </w:rPr>
              <w:t>改扩建后产生的废气均设置废气收集、</w:t>
            </w:r>
            <w:r>
              <w:rPr>
                <w:color w:val="000000" w:themeColor="text1"/>
                <w:sz w:val="24"/>
                <w14:textFill>
                  <w14:solidFill>
                    <w14:schemeClr w14:val="tx1"/>
                  </w14:solidFill>
                </w14:textFill>
              </w:rPr>
              <w:t>净化</w:t>
            </w:r>
            <w:r>
              <w:rPr>
                <w:rFonts w:hint="eastAsia"/>
                <w:color w:val="000000" w:themeColor="text1"/>
                <w:sz w:val="24"/>
                <w:lang w:val="en-US" w:eastAsia="zh-CN"/>
                <w14:textFill>
                  <w14:solidFill>
                    <w14:schemeClr w14:val="tx1"/>
                  </w14:solidFill>
                </w14:textFill>
              </w:rPr>
              <w:t>设施，经废气处理设施</w:t>
            </w:r>
            <w:r>
              <w:rPr>
                <w:color w:val="000000" w:themeColor="text1"/>
                <w:sz w:val="24"/>
                <w14:textFill>
                  <w14:solidFill>
                    <w14:schemeClr w14:val="tx1"/>
                  </w14:solidFill>
                </w14:textFill>
              </w:rPr>
              <w:t>处理后</w:t>
            </w:r>
            <w:r>
              <w:rPr>
                <w:rFonts w:hint="eastAsia"/>
                <w:color w:val="000000" w:themeColor="text1"/>
                <w:sz w:val="24"/>
                <w:lang w:val="en-US" w:eastAsia="zh-CN"/>
                <w14:textFill>
                  <w14:solidFill>
                    <w14:schemeClr w14:val="tx1"/>
                  </w14:solidFill>
                </w14:textFill>
              </w:rPr>
              <w:t>均能达标</w:t>
            </w:r>
            <w:r>
              <w:rPr>
                <w:color w:val="000000" w:themeColor="text1"/>
                <w:sz w:val="24"/>
                <w14:textFill>
                  <w14:solidFill>
                    <w14:schemeClr w14:val="tx1"/>
                  </w14:solidFill>
                </w14:textFill>
              </w:rPr>
              <w:t>排放</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采取的治理技术可行，且项目500m范围内无环境空气保护目标分布</w:t>
            </w:r>
            <w:r>
              <w:rPr>
                <w:rFonts w:hint="eastAsia"/>
                <w:color w:val="000000" w:themeColor="text1"/>
                <w:sz w:val="24"/>
                <w14:textFill>
                  <w14:solidFill>
                    <w14:schemeClr w14:val="tx1"/>
                  </w14:solidFill>
                </w14:textFill>
              </w:rPr>
              <w:t>。</w:t>
            </w:r>
            <w:r>
              <w:rPr>
                <w:color w:val="000000" w:themeColor="text1"/>
                <w:sz w:val="24"/>
                <w:lang w:val="zh-CN"/>
                <w14:textFill>
                  <w14:solidFill>
                    <w14:schemeClr w14:val="tx1"/>
                  </w14:solidFill>
                </w14:textFill>
              </w:rPr>
              <w:t>综上分析，大气环境影响可接受。</w:t>
            </w:r>
          </w:p>
          <w:p w14:paraId="66F34884">
            <w:pPr>
              <w:adjustRightInd w:val="0"/>
              <w:snapToGrid w:val="0"/>
              <w:spacing w:line="360" w:lineRule="auto"/>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1.</w:t>
            </w:r>
            <w:r>
              <w:rPr>
                <w:rFonts w:hint="eastAsia"/>
                <w:b/>
                <w:bCs/>
                <w:color w:val="000000" w:themeColor="text1"/>
                <w:sz w:val="24"/>
                <w:lang w:val="en-US" w:eastAsia="zh-CN"/>
                <w14:textFill>
                  <w14:solidFill>
                    <w14:schemeClr w14:val="tx1"/>
                  </w14:solidFill>
                </w14:textFill>
              </w:rPr>
              <w:t>6</w:t>
            </w:r>
            <w:r>
              <w:rPr>
                <w:b/>
                <w:bCs/>
                <w:color w:val="000000" w:themeColor="text1"/>
                <w:sz w:val="24"/>
                <w14:textFill>
                  <w14:solidFill>
                    <w14:schemeClr w14:val="tx1"/>
                  </w14:solidFill>
                </w14:textFill>
              </w:rPr>
              <w:t>废气</w:t>
            </w:r>
            <w:r>
              <w:rPr>
                <w:rFonts w:hint="eastAsia"/>
                <w:b/>
                <w:bCs/>
                <w:color w:val="000000" w:themeColor="text1"/>
                <w:sz w:val="24"/>
                <w:lang w:val="en-US" w:eastAsia="zh-CN"/>
                <w14:textFill>
                  <w14:solidFill>
                    <w14:schemeClr w14:val="tx1"/>
                  </w14:solidFill>
                </w14:textFill>
              </w:rPr>
              <w:t>自行</w:t>
            </w:r>
            <w:r>
              <w:rPr>
                <w:b/>
                <w:bCs/>
                <w:color w:val="000000" w:themeColor="text1"/>
                <w:sz w:val="24"/>
                <w14:textFill>
                  <w14:solidFill>
                    <w14:schemeClr w14:val="tx1"/>
                  </w14:solidFill>
                </w14:textFill>
              </w:rPr>
              <w:t>监测要求</w:t>
            </w:r>
          </w:p>
          <w:p w14:paraId="182807C1">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根据</w:t>
            </w:r>
            <w:r>
              <w:rPr>
                <w:rFonts w:hint="eastAsia"/>
                <w:color w:val="000000" w:themeColor="text1"/>
                <w:sz w:val="24"/>
                <w:lang w:eastAsia="zh-CN"/>
                <w14:textFill>
                  <w14:solidFill>
                    <w14:schemeClr w14:val="tx1"/>
                  </w14:solidFill>
                </w14:textFill>
              </w:rPr>
              <w:t>《</w:t>
            </w:r>
            <w:r>
              <w:rPr>
                <w:rFonts w:hint="eastAsia"/>
                <w:bCs/>
                <w:color w:val="000000" w:themeColor="text1"/>
                <w:sz w:val="24"/>
                <w:lang w:val="en-US" w:eastAsia="zh-CN"/>
                <w14:textFill>
                  <w14:solidFill>
                    <w14:schemeClr w14:val="tx1"/>
                  </w14:solidFill>
                </w14:textFill>
              </w:rPr>
              <w:t>排污单位自行监测技术指南  砖瓦工业</w:t>
            </w:r>
            <w:r>
              <w:rPr>
                <w:rFonts w:hint="eastAsia"/>
                <w:bCs/>
                <w:color w:val="000000" w:themeColor="text1"/>
                <w:sz w:val="24"/>
                <w14:textFill>
                  <w14:solidFill>
                    <w14:schemeClr w14:val="tx1"/>
                  </w14:solidFill>
                </w14:textFill>
              </w:rPr>
              <w:t>》（HJ</w:t>
            </w:r>
            <w:r>
              <w:rPr>
                <w:rFonts w:hint="eastAsia"/>
                <w:bCs/>
                <w:color w:val="000000" w:themeColor="text1"/>
                <w:sz w:val="24"/>
                <w:lang w:val="en-US" w:eastAsia="zh-CN"/>
                <w14:textFill>
                  <w14:solidFill>
                    <w14:schemeClr w14:val="tx1"/>
                  </w14:solidFill>
                </w14:textFill>
              </w:rPr>
              <w:t>1254-</w:t>
            </w:r>
            <w:r>
              <w:rPr>
                <w:rFonts w:hint="eastAsia"/>
                <w:bCs/>
                <w:color w:val="000000" w:themeColor="text1"/>
                <w:sz w:val="24"/>
                <w14:textFill>
                  <w14:solidFill>
                    <w14:schemeClr w14:val="tx1"/>
                  </w14:solidFill>
                </w14:textFill>
              </w:rPr>
              <w:t>2</w:t>
            </w:r>
            <w:r>
              <w:rPr>
                <w:rFonts w:hint="eastAsia"/>
                <w:bCs/>
                <w:color w:val="000000" w:themeColor="text1"/>
                <w:sz w:val="24"/>
                <w:lang w:val="en-US" w:eastAsia="zh-CN"/>
                <w14:textFill>
                  <w14:solidFill>
                    <w14:schemeClr w14:val="tx1"/>
                  </w14:solidFill>
                </w14:textFill>
              </w:rPr>
              <w:t>022</w:t>
            </w:r>
            <w:r>
              <w:rPr>
                <w:rFonts w:hint="eastAsia"/>
                <w:bCs/>
                <w:color w:val="000000" w:themeColor="text1"/>
                <w:sz w:val="24"/>
                <w14:textFill>
                  <w14:solidFill>
                    <w14:schemeClr w14:val="tx1"/>
                  </w14:solidFill>
                </w14:textFill>
              </w:rPr>
              <w:t>）</w:t>
            </w:r>
            <w:r>
              <w:rPr>
                <w:color w:val="000000" w:themeColor="text1"/>
                <w:sz w:val="24"/>
                <w14:textFill>
                  <w14:solidFill>
                    <w14:schemeClr w14:val="tx1"/>
                  </w14:solidFill>
                </w14:textFill>
              </w:rPr>
              <w:t>中相关自行监测要求，依据项目的污染源分布、污染物性质与排放规律，以及厂区周边环境特征，建议项目废气监测计划见表4-</w:t>
            </w:r>
            <w:r>
              <w:rPr>
                <w:rFonts w:hint="eastAsia"/>
                <w:color w:val="000000" w:themeColor="text1"/>
                <w:sz w:val="24"/>
                <w14:textFill>
                  <w14:solidFill>
                    <w14:schemeClr w14:val="tx1"/>
                  </w14:solidFill>
                </w14:textFill>
              </w:rPr>
              <w:t>1</w:t>
            </w:r>
            <w:r>
              <w:rPr>
                <w:rFonts w:hint="eastAsia"/>
                <w:color w:val="000000" w:themeColor="text1"/>
                <w:sz w:val="24"/>
                <w:lang w:val="en-US" w:eastAsia="zh-CN"/>
                <w14:textFill>
                  <w14:solidFill>
                    <w14:schemeClr w14:val="tx1"/>
                  </w14:solidFill>
                </w14:textFill>
              </w:rPr>
              <w:t>7</w:t>
            </w:r>
            <w:r>
              <w:rPr>
                <w:color w:val="000000" w:themeColor="text1"/>
                <w:sz w:val="24"/>
                <w14:textFill>
                  <w14:solidFill>
                    <w14:schemeClr w14:val="tx1"/>
                  </w14:solidFill>
                </w14:textFill>
              </w:rPr>
              <w:t>。</w:t>
            </w:r>
          </w:p>
          <w:p w14:paraId="1C3C9408">
            <w:pPr>
              <w:adjustRightInd w:val="0"/>
              <w:snapToGrid w:val="0"/>
              <w:ind w:firstLine="482" w:firstLineChars="200"/>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表4-</w:t>
            </w:r>
            <w:r>
              <w:rPr>
                <w:rFonts w:hint="eastAsia"/>
                <w:b/>
                <w:color w:val="000000" w:themeColor="text1"/>
                <w:sz w:val="24"/>
                <w14:textFill>
                  <w14:solidFill>
                    <w14:schemeClr w14:val="tx1"/>
                  </w14:solidFill>
                </w14:textFill>
              </w:rPr>
              <w:t>1</w:t>
            </w:r>
            <w:r>
              <w:rPr>
                <w:rFonts w:hint="eastAsia"/>
                <w:b/>
                <w:color w:val="000000" w:themeColor="text1"/>
                <w:sz w:val="24"/>
                <w:lang w:val="en-US" w:eastAsia="zh-CN"/>
                <w14:textFill>
                  <w14:solidFill>
                    <w14:schemeClr w14:val="tx1"/>
                  </w14:solidFill>
                </w14:textFill>
              </w:rPr>
              <w:t>7</w:t>
            </w:r>
            <w:r>
              <w:rPr>
                <w:b/>
                <w:color w:val="000000" w:themeColor="text1"/>
                <w:sz w:val="24"/>
                <w14:textFill>
                  <w14:solidFill>
                    <w14:schemeClr w14:val="tx1"/>
                  </w14:solidFill>
                </w14:textFill>
              </w:rPr>
              <w:t xml:space="preserve">   项目废气监测计划一览表</w:t>
            </w:r>
          </w:p>
          <w:tbl>
            <w:tblPr>
              <w:tblStyle w:val="28"/>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3"/>
              <w:gridCol w:w="1000"/>
              <w:gridCol w:w="2567"/>
              <w:gridCol w:w="2668"/>
              <w:gridCol w:w="1186"/>
            </w:tblGrid>
            <w:tr w14:paraId="11E25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noWrap w:val="0"/>
                  <w:vAlign w:val="center"/>
                </w:tcPr>
                <w:p w14:paraId="16A8773B">
                  <w:pPr>
                    <w:pStyle w:val="12"/>
                    <w:spacing w:line="240" w:lineRule="auto"/>
                    <w:jc w:val="center"/>
                    <w:rPr>
                      <w:rFonts w:ascii="Times New Roman" w:hAnsi="Times New Roman"/>
                      <w:b/>
                      <w:color w:val="000000" w:themeColor="text1"/>
                      <w:sz w:val="21"/>
                      <w14:textFill>
                        <w14:solidFill>
                          <w14:schemeClr w14:val="tx1"/>
                        </w14:solidFill>
                      </w14:textFill>
                    </w:rPr>
                  </w:pPr>
                  <w:r>
                    <w:rPr>
                      <w:rFonts w:ascii="Times New Roman" w:hAnsi="Times New Roman"/>
                      <w:b/>
                      <w:color w:val="000000" w:themeColor="text1"/>
                      <w:sz w:val="21"/>
                      <w14:textFill>
                        <w14:solidFill>
                          <w14:schemeClr w14:val="tx1"/>
                        </w14:solidFill>
                      </w14:textFill>
                    </w:rPr>
                    <w:t>污染源名称</w:t>
                  </w:r>
                </w:p>
              </w:tc>
              <w:tc>
                <w:tcPr>
                  <w:tcW w:w="576" w:type="pct"/>
                  <w:noWrap w:val="0"/>
                  <w:vAlign w:val="center"/>
                </w:tcPr>
                <w:p w14:paraId="7895120F">
                  <w:pPr>
                    <w:pStyle w:val="12"/>
                    <w:spacing w:line="240" w:lineRule="auto"/>
                    <w:jc w:val="center"/>
                    <w:rPr>
                      <w:rFonts w:ascii="Times New Roman" w:hAnsi="Times New Roman"/>
                      <w:b/>
                      <w:color w:val="000000" w:themeColor="text1"/>
                      <w:sz w:val="21"/>
                      <w14:textFill>
                        <w14:solidFill>
                          <w14:schemeClr w14:val="tx1"/>
                        </w14:solidFill>
                      </w14:textFill>
                    </w:rPr>
                  </w:pPr>
                  <w:r>
                    <w:rPr>
                      <w:rFonts w:ascii="Times New Roman" w:hAnsi="Times New Roman"/>
                      <w:b/>
                      <w:color w:val="000000" w:themeColor="text1"/>
                      <w:sz w:val="21"/>
                      <w14:textFill>
                        <w14:solidFill>
                          <w14:schemeClr w14:val="tx1"/>
                        </w14:solidFill>
                      </w14:textFill>
                    </w:rPr>
                    <w:t>监测点位</w:t>
                  </w:r>
                </w:p>
              </w:tc>
              <w:tc>
                <w:tcPr>
                  <w:tcW w:w="1479" w:type="pct"/>
                  <w:noWrap w:val="0"/>
                  <w:vAlign w:val="center"/>
                </w:tcPr>
                <w:p w14:paraId="6FD99580">
                  <w:pPr>
                    <w:pStyle w:val="12"/>
                    <w:spacing w:line="240" w:lineRule="auto"/>
                    <w:jc w:val="center"/>
                    <w:rPr>
                      <w:rFonts w:ascii="Times New Roman" w:hAnsi="Times New Roman"/>
                      <w:b/>
                      <w:color w:val="000000" w:themeColor="text1"/>
                      <w:sz w:val="21"/>
                      <w14:textFill>
                        <w14:solidFill>
                          <w14:schemeClr w14:val="tx1"/>
                        </w14:solidFill>
                      </w14:textFill>
                    </w:rPr>
                  </w:pPr>
                  <w:r>
                    <w:rPr>
                      <w:rFonts w:ascii="Times New Roman" w:hAnsi="Times New Roman"/>
                      <w:b/>
                      <w:color w:val="000000" w:themeColor="text1"/>
                      <w:sz w:val="21"/>
                      <w14:textFill>
                        <w14:solidFill>
                          <w14:schemeClr w14:val="tx1"/>
                        </w14:solidFill>
                      </w14:textFill>
                    </w:rPr>
                    <w:t>监测项目</w:t>
                  </w:r>
                </w:p>
              </w:tc>
              <w:tc>
                <w:tcPr>
                  <w:tcW w:w="1537" w:type="pct"/>
                  <w:noWrap w:val="0"/>
                  <w:vAlign w:val="center"/>
                </w:tcPr>
                <w:p w14:paraId="7E7ACB7E">
                  <w:pPr>
                    <w:pStyle w:val="12"/>
                    <w:spacing w:line="240" w:lineRule="auto"/>
                    <w:jc w:val="center"/>
                    <w:rPr>
                      <w:rFonts w:ascii="Times New Roman" w:hAnsi="Times New Roman"/>
                      <w:b/>
                      <w:color w:val="000000" w:themeColor="text1"/>
                      <w:sz w:val="21"/>
                      <w14:textFill>
                        <w14:solidFill>
                          <w14:schemeClr w14:val="tx1"/>
                        </w14:solidFill>
                      </w14:textFill>
                    </w:rPr>
                  </w:pPr>
                  <w:r>
                    <w:rPr>
                      <w:rFonts w:ascii="Times New Roman" w:hAnsi="Times New Roman"/>
                      <w:b/>
                      <w:color w:val="000000" w:themeColor="text1"/>
                      <w:sz w:val="21"/>
                      <w14:textFill>
                        <w14:solidFill>
                          <w14:schemeClr w14:val="tx1"/>
                        </w14:solidFill>
                      </w14:textFill>
                    </w:rPr>
                    <w:t>执行标准</w:t>
                  </w:r>
                </w:p>
              </w:tc>
              <w:tc>
                <w:tcPr>
                  <w:tcW w:w="683" w:type="pct"/>
                  <w:noWrap w:val="0"/>
                  <w:vAlign w:val="center"/>
                </w:tcPr>
                <w:p w14:paraId="1C0CDDA2">
                  <w:pPr>
                    <w:pStyle w:val="12"/>
                    <w:spacing w:line="240" w:lineRule="auto"/>
                    <w:jc w:val="center"/>
                    <w:rPr>
                      <w:rFonts w:ascii="Times New Roman" w:hAnsi="Times New Roman"/>
                      <w:b/>
                      <w:color w:val="000000" w:themeColor="text1"/>
                      <w:sz w:val="21"/>
                      <w14:textFill>
                        <w14:solidFill>
                          <w14:schemeClr w14:val="tx1"/>
                        </w14:solidFill>
                      </w14:textFill>
                    </w:rPr>
                  </w:pPr>
                  <w:r>
                    <w:rPr>
                      <w:rFonts w:ascii="Times New Roman" w:hAnsi="Times New Roman"/>
                      <w:b/>
                      <w:color w:val="000000" w:themeColor="text1"/>
                      <w:sz w:val="21"/>
                      <w14:textFill>
                        <w14:solidFill>
                          <w14:schemeClr w14:val="tx1"/>
                        </w14:solidFill>
                      </w14:textFill>
                    </w:rPr>
                    <w:t>监测频次</w:t>
                  </w:r>
                </w:p>
              </w:tc>
            </w:tr>
            <w:tr w14:paraId="1D51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22" w:type="pct"/>
                  <w:noWrap w:val="0"/>
                  <w:vAlign w:val="center"/>
                </w:tcPr>
                <w:p w14:paraId="730D63EA">
                  <w:pPr>
                    <w:pStyle w:val="12"/>
                    <w:spacing w:line="240" w:lineRule="auto"/>
                    <w:jc w:val="center"/>
                    <w:rPr>
                      <w:rFonts w:hint="default" w:ascii="Times New Roman" w:hAnsi="Times New Roman" w:eastAsia="宋体"/>
                      <w:bCs/>
                      <w:color w:val="000000" w:themeColor="text1"/>
                      <w:sz w:val="21"/>
                      <w:lang w:val="en-US" w:eastAsia="zh-CN"/>
                      <w14:textFill>
                        <w14:solidFill>
                          <w14:schemeClr w14:val="tx1"/>
                        </w14:solidFill>
                      </w14:textFill>
                    </w:rPr>
                  </w:pPr>
                  <w:r>
                    <w:rPr>
                      <w:rFonts w:hint="eastAsia" w:hAnsi="Times New Roman"/>
                      <w:bCs/>
                      <w:color w:val="000000" w:themeColor="text1"/>
                      <w:sz w:val="21"/>
                      <w:lang w:val="en-US" w:eastAsia="zh-CN"/>
                      <w14:textFill>
                        <w14:solidFill>
                          <w14:schemeClr w14:val="tx1"/>
                        </w14:solidFill>
                      </w14:textFill>
                    </w:rPr>
                    <w:t>原料制备废气/DA002</w:t>
                  </w:r>
                </w:p>
              </w:tc>
              <w:tc>
                <w:tcPr>
                  <w:tcW w:w="576" w:type="pct"/>
                  <w:noWrap w:val="0"/>
                  <w:vAlign w:val="center"/>
                </w:tcPr>
                <w:p w14:paraId="7A13290D">
                  <w:pPr>
                    <w:pStyle w:val="12"/>
                    <w:spacing w:line="240" w:lineRule="auto"/>
                    <w:jc w:val="center"/>
                    <w:rPr>
                      <w:rFonts w:hint="default" w:ascii="Times New Roman" w:hAnsi="Times New Roman"/>
                      <w:bCs/>
                      <w:color w:val="000000" w:themeColor="text1"/>
                      <w:sz w:val="21"/>
                      <w:lang w:val="en-US" w:eastAsia="zh-CN"/>
                      <w14:textFill>
                        <w14:solidFill>
                          <w14:schemeClr w14:val="tx1"/>
                        </w14:solidFill>
                      </w14:textFill>
                    </w:rPr>
                  </w:pPr>
                  <w:r>
                    <w:rPr>
                      <w:rFonts w:hint="eastAsia" w:hAnsi="Times New Roman"/>
                      <w:bCs/>
                      <w:color w:val="000000" w:themeColor="text1"/>
                      <w:sz w:val="21"/>
                      <w:lang w:val="en-US" w:eastAsia="zh-CN"/>
                      <w14:textFill>
                        <w14:solidFill>
                          <w14:schemeClr w14:val="tx1"/>
                        </w14:solidFill>
                      </w14:textFill>
                    </w:rPr>
                    <w:t>原料制备废气排放口</w:t>
                  </w:r>
                </w:p>
              </w:tc>
              <w:tc>
                <w:tcPr>
                  <w:tcW w:w="1479" w:type="pct"/>
                  <w:noWrap w:val="0"/>
                  <w:vAlign w:val="center"/>
                </w:tcPr>
                <w:p w14:paraId="7A8DC654">
                  <w:pPr>
                    <w:pStyle w:val="12"/>
                    <w:spacing w:line="240" w:lineRule="auto"/>
                    <w:jc w:val="center"/>
                    <w:rPr>
                      <w:rFonts w:hint="eastAsia" w:ascii="Times New Roman" w:hAnsi="Times New Roman" w:eastAsia="宋体"/>
                      <w:bCs/>
                      <w:color w:val="000000" w:themeColor="text1"/>
                      <w:sz w:val="21"/>
                      <w:lang w:val="en-US" w:eastAsia="zh-CN"/>
                      <w14:textFill>
                        <w14:solidFill>
                          <w14:schemeClr w14:val="tx1"/>
                        </w14:solidFill>
                      </w14:textFill>
                    </w:rPr>
                  </w:pPr>
                  <w:r>
                    <w:rPr>
                      <w:rFonts w:hint="eastAsia" w:hAnsi="Times New Roman"/>
                      <w:bCs/>
                      <w:color w:val="000000" w:themeColor="text1"/>
                      <w:sz w:val="21"/>
                      <w:lang w:val="en-US" w:eastAsia="zh-CN"/>
                      <w14:textFill>
                        <w14:solidFill>
                          <w14:schemeClr w14:val="tx1"/>
                        </w14:solidFill>
                      </w14:textFill>
                    </w:rPr>
                    <w:t>颗粒物</w:t>
                  </w:r>
                </w:p>
              </w:tc>
              <w:tc>
                <w:tcPr>
                  <w:tcW w:w="1537" w:type="pct"/>
                  <w:vMerge w:val="restart"/>
                  <w:noWrap w:val="0"/>
                  <w:vAlign w:val="center"/>
                </w:tcPr>
                <w:p w14:paraId="3F0BFB47">
                  <w:pPr>
                    <w:pStyle w:val="12"/>
                    <w:spacing w:line="240" w:lineRule="auto"/>
                    <w:jc w:val="center"/>
                    <w:rPr>
                      <w:rFonts w:hint="eastAsia" w:ascii="Times New Roman" w:hAnsi="Times New Roman"/>
                      <w:color w:val="000000" w:themeColor="text1"/>
                      <w:sz w:val="21"/>
                      <w:lang w:eastAsia="zh-CN"/>
                      <w14:textFill>
                        <w14:solidFill>
                          <w14:schemeClr w14:val="tx1"/>
                        </w14:solidFill>
                      </w14:textFill>
                    </w:rPr>
                  </w:pPr>
                  <w:r>
                    <w:rPr>
                      <w:rFonts w:hint="eastAsia" w:ascii="Times New Roman" w:hAnsi="Times New Roman"/>
                      <w:color w:val="000000" w:themeColor="text1"/>
                      <w:sz w:val="21"/>
                      <w:lang w:eastAsia="zh-CN"/>
                      <w14:textFill>
                        <w14:solidFill>
                          <w14:schemeClr w14:val="tx1"/>
                        </w14:solidFill>
                      </w14:textFill>
                    </w:rPr>
                    <w:t>《</w:t>
                  </w:r>
                  <w:r>
                    <w:rPr>
                      <w:rFonts w:hint="eastAsia" w:ascii="Times New Roman" w:hAnsi="Times New Roman"/>
                      <w:color w:val="000000" w:themeColor="text1"/>
                      <w:sz w:val="21"/>
                      <w14:textFill>
                        <w14:solidFill>
                          <w14:schemeClr w14:val="tx1"/>
                        </w14:solidFill>
                      </w14:textFill>
                    </w:rPr>
                    <w:t>砖瓦工业大气污染物排放标准》（GB29620-2013）表2及修改单</w:t>
                  </w:r>
                </w:p>
              </w:tc>
              <w:tc>
                <w:tcPr>
                  <w:tcW w:w="683" w:type="pct"/>
                  <w:noWrap w:val="0"/>
                  <w:vAlign w:val="center"/>
                </w:tcPr>
                <w:p w14:paraId="3E478A01">
                  <w:pPr>
                    <w:pStyle w:val="12"/>
                    <w:spacing w:line="240" w:lineRule="auto"/>
                    <w:jc w:val="center"/>
                    <w:rPr>
                      <w:rFonts w:ascii="Times New Roman" w:hAnsi="Times New Roman"/>
                      <w:bCs/>
                      <w:color w:val="000000" w:themeColor="text1"/>
                      <w:sz w:val="21"/>
                      <w14:textFill>
                        <w14:solidFill>
                          <w14:schemeClr w14:val="tx1"/>
                        </w14:solidFill>
                      </w14:textFill>
                    </w:rPr>
                  </w:pPr>
                  <w:r>
                    <w:rPr>
                      <w:rFonts w:ascii="Times New Roman" w:hAnsi="Times New Roman"/>
                      <w:bCs/>
                      <w:color w:val="000000" w:themeColor="text1"/>
                      <w:sz w:val="21"/>
                      <w14:textFill>
                        <w14:solidFill>
                          <w14:schemeClr w14:val="tx1"/>
                        </w14:solidFill>
                      </w14:textFill>
                    </w:rPr>
                    <w:t>1次/</w:t>
                  </w:r>
                  <w:r>
                    <w:rPr>
                      <w:rFonts w:hint="eastAsia" w:ascii="Times New Roman" w:hAnsi="Times New Roman"/>
                      <w:bCs/>
                      <w:color w:val="000000" w:themeColor="text1"/>
                      <w:sz w:val="21"/>
                      <w:lang w:val="en-US" w:eastAsia="zh-CN"/>
                      <w14:textFill>
                        <w14:solidFill>
                          <w14:schemeClr w14:val="tx1"/>
                        </w14:solidFill>
                      </w14:textFill>
                    </w:rPr>
                    <w:t>年</w:t>
                  </w:r>
                </w:p>
              </w:tc>
            </w:tr>
            <w:tr w14:paraId="2E4E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22" w:type="pct"/>
                  <w:vMerge w:val="restart"/>
                  <w:noWrap w:val="0"/>
                  <w:vAlign w:val="center"/>
                </w:tcPr>
                <w:p w14:paraId="2B381786">
                  <w:pPr>
                    <w:pStyle w:val="12"/>
                    <w:spacing w:line="240" w:lineRule="auto"/>
                    <w:jc w:val="center"/>
                    <w:rPr>
                      <w:rFonts w:hint="eastAsia" w:ascii="Times New Roman" w:hAnsi="Times New Roman" w:eastAsia="宋体"/>
                      <w:bCs/>
                      <w:color w:val="000000" w:themeColor="text1"/>
                      <w:sz w:val="21"/>
                      <w:lang w:val="en-US" w:eastAsia="zh-CN"/>
                      <w14:textFill>
                        <w14:solidFill>
                          <w14:schemeClr w14:val="tx1"/>
                        </w14:solidFill>
                      </w14:textFill>
                    </w:rPr>
                  </w:pPr>
                  <w:r>
                    <w:rPr>
                      <w:rFonts w:hint="eastAsia" w:hAnsi="Times New Roman"/>
                      <w:bCs/>
                      <w:color w:val="000000" w:themeColor="text1"/>
                      <w:sz w:val="21"/>
                      <w:lang w:val="en-US" w:eastAsia="zh-CN"/>
                      <w14:textFill>
                        <w14:solidFill>
                          <w14:schemeClr w14:val="tx1"/>
                        </w14:solidFill>
                      </w14:textFill>
                    </w:rPr>
                    <w:t>窑烟囱/</w:t>
                  </w:r>
                  <w:r>
                    <w:rPr>
                      <w:rFonts w:hint="eastAsia" w:ascii="Times New Roman" w:hAnsi="Times New Roman"/>
                      <w:bCs/>
                      <w:color w:val="000000" w:themeColor="text1"/>
                      <w:sz w:val="21"/>
                      <w14:textFill>
                        <w14:solidFill>
                          <w14:schemeClr w14:val="tx1"/>
                        </w14:solidFill>
                      </w14:textFill>
                    </w:rPr>
                    <w:t>DA00</w:t>
                  </w:r>
                  <w:r>
                    <w:rPr>
                      <w:rFonts w:hint="eastAsia" w:hAnsi="Times New Roman"/>
                      <w:bCs/>
                      <w:color w:val="000000" w:themeColor="text1"/>
                      <w:sz w:val="21"/>
                      <w:lang w:val="en-US" w:eastAsia="zh-CN"/>
                      <w14:textFill>
                        <w14:solidFill>
                          <w14:schemeClr w14:val="tx1"/>
                        </w14:solidFill>
                      </w14:textFill>
                    </w:rPr>
                    <w:t>1</w:t>
                  </w:r>
                </w:p>
              </w:tc>
              <w:tc>
                <w:tcPr>
                  <w:tcW w:w="576" w:type="pct"/>
                  <w:vMerge w:val="restart"/>
                  <w:noWrap w:val="0"/>
                  <w:vAlign w:val="center"/>
                </w:tcPr>
                <w:p w14:paraId="21658937">
                  <w:pPr>
                    <w:pStyle w:val="12"/>
                    <w:spacing w:line="240" w:lineRule="auto"/>
                    <w:jc w:val="center"/>
                    <w:rPr>
                      <w:rFonts w:hint="default" w:ascii="Times New Roman" w:hAnsi="Times New Roman" w:eastAsia="宋体"/>
                      <w:bCs/>
                      <w:color w:val="000000" w:themeColor="text1"/>
                      <w:sz w:val="21"/>
                      <w:lang w:val="en-US" w:eastAsia="zh-CN"/>
                      <w14:textFill>
                        <w14:solidFill>
                          <w14:schemeClr w14:val="tx1"/>
                        </w14:solidFill>
                      </w14:textFill>
                    </w:rPr>
                  </w:pPr>
                  <w:r>
                    <w:rPr>
                      <w:rFonts w:hint="eastAsia" w:hAnsi="Times New Roman"/>
                      <w:bCs/>
                      <w:color w:val="000000" w:themeColor="text1"/>
                      <w:sz w:val="21"/>
                      <w:lang w:val="en-US" w:eastAsia="zh-CN"/>
                      <w14:textFill>
                        <w14:solidFill>
                          <w14:schemeClr w14:val="tx1"/>
                        </w14:solidFill>
                      </w14:textFill>
                    </w:rPr>
                    <w:t>窑烟囱</w:t>
                  </w:r>
                </w:p>
              </w:tc>
              <w:tc>
                <w:tcPr>
                  <w:tcW w:w="1479" w:type="pct"/>
                  <w:noWrap w:val="0"/>
                  <w:vAlign w:val="center"/>
                </w:tcPr>
                <w:p w14:paraId="0E2316AE">
                  <w:pPr>
                    <w:pStyle w:val="12"/>
                    <w:spacing w:line="240" w:lineRule="auto"/>
                    <w:jc w:val="center"/>
                    <w:rPr>
                      <w:rFonts w:ascii="Times New Roman" w:hAnsi="Times New Roman"/>
                      <w:bCs/>
                      <w:color w:val="000000" w:themeColor="text1"/>
                      <w:sz w:val="21"/>
                      <w14:textFill>
                        <w14:solidFill>
                          <w14:schemeClr w14:val="tx1"/>
                        </w14:solidFill>
                      </w14:textFill>
                    </w:rPr>
                  </w:pPr>
                  <w:r>
                    <w:rPr>
                      <w:rFonts w:ascii="Times New Roman" w:hAnsi="Times New Roman"/>
                      <w:bCs/>
                      <w:color w:val="000000" w:themeColor="text1"/>
                      <w:sz w:val="21"/>
                      <w14:textFill>
                        <w14:solidFill>
                          <w14:schemeClr w14:val="tx1"/>
                        </w14:solidFill>
                      </w14:textFill>
                    </w:rPr>
                    <w:t>颗粒物</w:t>
                  </w:r>
                  <w:r>
                    <w:rPr>
                      <w:rFonts w:hint="eastAsia" w:ascii="Times New Roman" w:hAnsi="Times New Roman"/>
                      <w:bCs/>
                      <w:color w:val="000000" w:themeColor="text1"/>
                      <w:sz w:val="21"/>
                      <w14:textFill>
                        <w14:solidFill>
                          <w14:schemeClr w14:val="tx1"/>
                        </w14:solidFill>
                      </w14:textFill>
                    </w:rPr>
                    <w:t>、二氧化硫、氮氧化物</w:t>
                  </w:r>
                </w:p>
              </w:tc>
              <w:tc>
                <w:tcPr>
                  <w:tcW w:w="1537" w:type="pct"/>
                  <w:vMerge w:val="continue"/>
                  <w:noWrap w:val="0"/>
                  <w:vAlign w:val="center"/>
                </w:tcPr>
                <w:p w14:paraId="6AE46FF6">
                  <w:pPr>
                    <w:pStyle w:val="12"/>
                    <w:spacing w:line="240" w:lineRule="auto"/>
                    <w:jc w:val="center"/>
                    <w:rPr>
                      <w:rFonts w:hint="eastAsia" w:ascii="Times New Roman" w:hAnsi="Times New Roman"/>
                      <w:color w:val="000000" w:themeColor="text1"/>
                      <w:sz w:val="21"/>
                      <w:lang w:eastAsia="zh-CN"/>
                      <w14:textFill>
                        <w14:solidFill>
                          <w14:schemeClr w14:val="tx1"/>
                        </w14:solidFill>
                      </w14:textFill>
                    </w:rPr>
                  </w:pPr>
                </w:p>
              </w:tc>
              <w:tc>
                <w:tcPr>
                  <w:tcW w:w="683" w:type="pct"/>
                  <w:noWrap w:val="0"/>
                  <w:vAlign w:val="center"/>
                </w:tcPr>
                <w:p w14:paraId="5609DAE7">
                  <w:pPr>
                    <w:pStyle w:val="12"/>
                    <w:spacing w:line="240" w:lineRule="auto"/>
                    <w:jc w:val="center"/>
                    <w:rPr>
                      <w:rFonts w:ascii="Times New Roman" w:hAnsi="Times New Roman"/>
                      <w:bCs/>
                      <w:color w:val="000000" w:themeColor="text1"/>
                      <w:sz w:val="21"/>
                      <w14:textFill>
                        <w14:solidFill>
                          <w14:schemeClr w14:val="tx1"/>
                        </w14:solidFill>
                      </w14:textFill>
                    </w:rPr>
                  </w:pPr>
                  <w:r>
                    <w:rPr>
                      <w:rFonts w:ascii="Times New Roman" w:hAnsi="Times New Roman"/>
                      <w:bCs/>
                      <w:color w:val="000000" w:themeColor="text1"/>
                      <w:sz w:val="21"/>
                      <w14:textFill>
                        <w14:solidFill>
                          <w14:schemeClr w14:val="tx1"/>
                        </w14:solidFill>
                      </w14:textFill>
                    </w:rPr>
                    <w:t>1次/</w:t>
                  </w:r>
                  <w:r>
                    <w:rPr>
                      <w:rFonts w:hint="eastAsia" w:ascii="Times New Roman" w:hAnsi="Times New Roman"/>
                      <w:bCs/>
                      <w:color w:val="000000" w:themeColor="text1"/>
                      <w:sz w:val="21"/>
                      <w:lang w:val="en-US" w:eastAsia="zh-CN"/>
                      <w14:textFill>
                        <w14:solidFill>
                          <w14:schemeClr w14:val="tx1"/>
                        </w14:solidFill>
                      </w14:textFill>
                    </w:rPr>
                    <w:t>半年</w:t>
                  </w:r>
                </w:p>
              </w:tc>
            </w:tr>
            <w:tr w14:paraId="11A2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22" w:type="pct"/>
                  <w:vMerge w:val="continue"/>
                  <w:noWrap w:val="0"/>
                  <w:vAlign w:val="center"/>
                </w:tcPr>
                <w:p w14:paraId="0DC79354">
                  <w:pPr>
                    <w:pStyle w:val="12"/>
                    <w:spacing w:line="240" w:lineRule="auto"/>
                    <w:jc w:val="center"/>
                    <w:rPr>
                      <w:color w:val="000000" w:themeColor="text1"/>
                      <w14:textFill>
                        <w14:solidFill>
                          <w14:schemeClr w14:val="tx1"/>
                        </w14:solidFill>
                      </w14:textFill>
                    </w:rPr>
                  </w:pPr>
                </w:p>
              </w:tc>
              <w:tc>
                <w:tcPr>
                  <w:tcW w:w="576" w:type="pct"/>
                  <w:vMerge w:val="continue"/>
                  <w:noWrap w:val="0"/>
                  <w:vAlign w:val="center"/>
                </w:tcPr>
                <w:p w14:paraId="4F324007">
                  <w:pPr>
                    <w:pStyle w:val="12"/>
                    <w:spacing w:line="240" w:lineRule="auto"/>
                    <w:jc w:val="center"/>
                    <w:rPr>
                      <w:color w:val="000000" w:themeColor="text1"/>
                      <w14:textFill>
                        <w14:solidFill>
                          <w14:schemeClr w14:val="tx1"/>
                        </w14:solidFill>
                      </w14:textFill>
                    </w:rPr>
                  </w:pPr>
                </w:p>
              </w:tc>
              <w:tc>
                <w:tcPr>
                  <w:tcW w:w="1479" w:type="pct"/>
                  <w:noWrap w:val="0"/>
                  <w:vAlign w:val="center"/>
                </w:tcPr>
                <w:p w14:paraId="4F222C97">
                  <w:pPr>
                    <w:pStyle w:val="12"/>
                    <w:spacing w:line="240" w:lineRule="auto"/>
                    <w:jc w:val="center"/>
                    <w:rPr>
                      <w:rFonts w:ascii="Times New Roman" w:hAnsi="Times New Roman"/>
                      <w:bCs/>
                      <w:color w:val="000000" w:themeColor="text1"/>
                      <w:sz w:val="21"/>
                      <w14:textFill>
                        <w14:solidFill>
                          <w14:schemeClr w14:val="tx1"/>
                        </w14:solidFill>
                      </w14:textFill>
                    </w:rPr>
                  </w:pPr>
                  <w:r>
                    <w:rPr>
                      <w:rFonts w:hint="eastAsia" w:ascii="Times New Roman" w:hAnsi="Times New Roman"/>
                      <w:bCs/>
                      <w:color w:val="000000" w:themeColor="text1"/>
                      <w:sz w:val="21"/>
                      <w:lang w:val="en-US" w:eastAsia="zh-CN"/>
                      <w14:textFill>
                        <w14:solidFill>
                          <w14:schemeClr w14:val="tx1"/>
                        </w14:solidFill>
                      </w14:textFill>
                    </w:rPr>
                    <w:t>氟化物</w:t>
                  </w:r>
                </w:p>
              </w:tc>
              <w:tc>
                <w:tcPr>
                  <w:tcW w:w="1537" w:type="pct"/>
                  <w:vMerge w:val="continue"/>
                  <w:noWrap w:val="0"/>
                  <w:vAlign w:val="center"/>
                </w:tcPr>
                <w:p w14:paraId="1229CE9F">
                  <w:pPr>
                    <w:pStyle w:val="12"/>
                    <w:spacing w:line="240" w:lineRule="auto"/>
                    <w:jc w:val="center"/>
                    <w:rPr>
                      <w:rFonts w:ascii="Times New Roman" w:hAnsi="Times New Roman"/>
                      <w:bCs/>
                      <w:color w:val="000000" w:themeColor="text1"/>
                      <w:sz w:val="21"/>
                      <w14:textFill>
                        <w14:solidFill>
                          <w14:schemeClr w14:val="tx1"/>
                        </w14:solidFill>
                      </w14:textFill>
                    </w:rPr>
                  </w:pPr>
                </w:p>
              </w:tc>
              <w:tc>
                <w:tcPr>
                  <w:tcW w:w="683" w:type="pct"/>
                  <w:noWrap w:val="0"/>
                  <w:vAlign w:val="center"/>
                </w:tcPr>
                <w:p w14:paraId="37F8F1A2">
                  <w:pPr>
                    <w:pStyle w:val="12"/>
                    <w:spacing w:line="240" w:lineRule="auto"/>
                    <w:jc w:val="center"/>
                    <w:rPr>
                      <w:rFonts w:ascii="Times New Roman" w:hAnsi="Times New Roman"/>
                      <w:bCs/>
                      <w:color w:val="000000" w:themeColor="text1"/>
                      <w:sz w:val="21"/>
                      <w14:textFill>
                        <w14:solidFill>
                          <w14:schemeClr w14:val="tx1"/>
                        </w14:solidFill>
                      </w14:textFill>
                    </w:rPr>
                  </w:pPr>
                  <w:r>
                    <w:rPr>
                      <w:rFonts w:ascii="Times New Roman" w:hAnsi="Times New Roman"/>
                      <w:bCs/>
                      <w:color w:val="000000" w:themeColor="text1"/>
                      <w:sz w:val="21"/>
                      <w14:textFill>
                        <w14:solidFill>
                          <w14:schemeClr w14:val="tx1"/>
                        </w14:solidFill>
                      </w14:textFill>
                    </w:rPr>
                    <w:t>1次/</w:t>
                  </w:r>
                  <w:r>
                    <w:rPr>
                      <w:rFonts w:hint="eastAsia" w:ascii="Times New Roman" w:hAnsi="Times New Roman"/>
                      <w:bCs/>
                      <w:color w:val="000000" w:themeColor="text1"/>
                      <w:sz w:val="21"/>
                      <w:lang w:val="en-US" w:eastAsia="zh-CN"/>
                      <w14:textFill>
                        <w14:solidFill>
                          <w14:schemeClr w14:val="tx1"/>
                        </w14:solidFill>
                      </w14:textFill>
                    </w:rPr>
                    <w:t>年</w:t>
                  </w:r>
                </w:p>
              </w:tc>
            </w:tr>
            <w:tr w14:paraId="4006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22" w:type="pct"/>
                  <w:noWrap w:val="0"/>
                  <w:vAlign w:val="center"/>
                </w:tcPr>
                <w:p w14:paraId="298E6A9E">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厂界无组织废气</w:t>
                  </w:r>
                </w:p>
              </w:tc>
              <w:tc>
                <w:tcPr>
                  <w:tcW w:w="576" w:type="pct"/>
                  <w:noWrap w:val="0"/>
                  <w:vAlign w:val="center"/>
                </w:tcPr>
                <w:p w14:paraId="7A0B0DD6">
                  <w:pPr>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厂界</w:t>
                  </w:r>
                </w:p>
              </w:tc>
              <w:tc>
                <w:tcPr>
                  <w:tcW w:w="1479" w:type="pct"/>
                  <w:noWrap w:val="0"/>
                  <w:vAlign w:val="center"/>
                </w:tcPr>
                <w:p w14:paraId="764DD691">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颗粒物、二氧化硫、氟化物</w:t>
                  </w:r>
                </w:p>
              </w:tc>
              <w:tc>
                <w:tcPr>
                  <w:tcW w:w="1537" w:type="pct"/>
                  <w:noWrap w:val="0"/>
                  <w:vAlign w:val="center"/>
                </w:tcPr>
                <w:p w14:paraId="6763D0B3">
                  <w:pPr>
                    <w:jc w:val="center"/>
                    <w:rPr>
                      <w:rFonts w:hint="eastAsia" w:eastAsia="宋体"/>
                      <w:color w:val="000000" w:themeColor="text1"/>
                      <w:szCs w:val="21"/>
                      <w:lang w:eastAsia="zh-CN"/>
                      <w14:textFill>
                        <w14:solidFill>
                          <w14:schemeClr w14:val="tx1"/>
                        </w14:solidFill>
                      </w14:textFill>
                    </w:rPr>
                  </w:pPr>
                  <w:r>
                    <w:rPr>
                      <w:rFonts w:hint="eastAsia" w:ascii="Times New Roman" w:hAnsi="Times New Roman"/>
                      <w:color w:val="000000" w:themeColor="text1"/>
                      <w:sz w:val="21"/>
                      <w:lang w:eastAsia="zh-CN"/>
                      <w14:textFill>
                        <w14:solidFill>
                          <w14:schemeClr w14:val="tx1"/>
                        </w14:solidFill>
                      </w14:textFill>
                    </w:rPr>
                    <w:t>《</w:t>
                  </w:r>
                  <w:r>
                    <w:rPr>
                      <w:rFonts w:hint="eastAsia" w:ascii="Times New Roman" w:hAnsi="Times New Roman"/>
                      <w:color w:val="000000" w:themeColor="text1"/>
                      <w:sz w:val="21"/>
                      <w14:textFill>
                        <w14:solidFill>
                          <w14:schemeClr w14:val="tx1"/>
                        </w14:solidFill>
                      </w14:textFill>
                    </w:rPr>
                    <w:t>砖瓦工业大气污染物排放标准》（GB29620-2013）表</w:t>
                  </w:r>
                  <w:r>
                    <w:rPr>
                      <w:rFonts w:hint="eastAsia" w:ascii="Times New Roman" w:hAnsi="Times New Roman"/>
                      <w:color w:val="000000" w:themeColor="text1"/>
                      <w:sz w:val="21"/>
                      <w:lang w:val="en-US" w:eastAsia="zh-CN"/>
                      <w14:textFill>
                        <w14:solidFill>
                          <w14:schemeClr w14:val="tx1"/>
                        </w14:solidFill>
                      </w14:textFill>
                    </w:rPr>
                    <w:t>3</w:t>
                  </w:r>
                </w:p>
              </w:tc>
              <w:tc>
                <w:tcPr>
                  <w:tcW w:w="683" w:type="pct"/>
                  <w:noWrap w:val="0"/>
                  <w:vAlign w:val="center"/>
                </w:tcPr>
                <w:p w14:paraId="506F19E5">
                  <w:pPr>
                    <w:jc w:val="center"/>
                    <w:rPr>
                      <w:color w:val="000000" w:themeColor="text1"/>
                      <w:szCs w:val="21"/>
                      <w14:textFill>
                        <w14:solidFill>
                          <w14:schemeClr w14:val="tx1"/>
                        </w14:solidFill>
                      </w14:textFill>
                    </w:rPr>
                  </w:pPr>
                  <w:r>
                    <w:rPr>
                      <w:rFonts w:ascii="Times New Roman" w:hAnsi="Times New Roman"/>
                      <w:bCs/>
                      <w:color w:val="000000" w:themeColor="text1"/>
                      <w:sz w:val="21"/>
                      <w14:textFill>
                        <w14:solidFill>
                          <w14:schemeClr w14:val="tx1"/>
                        </w14:solidFill>
                      </w14:textFill>
                    </w:rPr>
                    <w:t>1次/</w:t>
                  </w:r>
                  <w:r>
                    <w:rPr>
                      <w:rFonts w:hint="eastAsia" w:ascii="Times New Roman" w:hAnsi="Times New Roman"/>
                      <w:bCs/>
                      <w:color w:val="000000" w:themeColor="text1"/>
                      <w:sz w:val="21"/>
                      <w:lang w:val="en-US" w:eastAsia="zh-CN"/>
                      <w14:textFill>
                        <w14:solidFill>
                          <w14:schemeClr w14:val="tx1"/>
                        </w14:solidFill>
                      </w14:textFill>
                    </w:rPr>
                    <w:t>年</w:t>
                  </w:r>
                </w:p>
              </w:tc>
            </w:tr>
          </w:tbl>
          <w:p w14:paraId="7FF39D42">
            <w:pPr>
              <w:adjustRightInd w:val="0"/>
              <w:snapToGrid w:val="0"/>
              <w:spacing w:line="360" w:lineRule="auto"/>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2、废水</w:t>
            </w:r>
          </w:p>
          <w:p w14:paraId="49F2B0A5">
            <w:pPr>
              <w:keepNext w:val="0"/>
              <w:keepLines w:val="0"/>
              <w:pageBreakBefore w:val="0"/>
              <w:kinsoku/>
              <w:wordWrap w:val="0"/>
              <w:overflowPunct/>
              <w:topLinePunct w:val="0"/>
              <w:autoSpaceDE/>
              <w:autoSpaceDN/>
              <w:bidi w:val="0"/>
              <w:adjustRightInd w:val="0"/>
              <w:snapToGrid w:val="0"/>
              <w:spacing w:line="360" w:lineRule="auto"/>
              <w:ind w:firstLine="482" w:firstLineChars="200"/>
              <w:jc w:val="both"/>
              <w:textAlignment w:val="auto"/>
              <w:outlineLvl w:val="9"/>
              <w:rPr>
                <w:rFonts w:hint="default" w:cs="Times New Roman"/>
                <w:b/>
                <w:bCs w:val="0"/>
                <w:color w:val="000000" w:themeColor="text1"/>
                <w:sz w:val="24"/>
                <w:szCs w:val="24"/>
                <w:lang w:val="en-US" w:eastAsia="zh-CN"/>
                <w14:textFill>
                  <w14:solidFill>
                    <w14:schemeClr w14:val="tx1"/>
                  </w14:solidFill>
                </w14:textFill>
              </w:rPr>
            </w:pPr>
            <w:r>
              <w:rPr>
                <w:rFonts w:hint="eastAsia" w:cs="Times New Roman"/>
                <w:b/>
                <w:bCs w:val="0"/>
                <w:color w:val="000000" w:themeColor="text1"/>
                <w:sz w:val="24"/>
                <w:szCs w:val="24"/>
                <w:lang w:val="en-US" w:eastAsia="zh-CN"/>
                <w14:textFill>
                  <w14:solidFill>
                    <w14:schemeClr w14:val="tx1"/>
                  </w14:solidFill>
                </w14:textFill>
              </w:rPr>
              <w:t>2.1废水类别、污染物及污染治理设施</w:t>
            </w:r>
          </w:p>
          <w:p w14:paraId="1947570C">
            <w:pPr>
              <w:keepNext w:val="0"/>
              <w:keepLines w:val="0"/>
              <w:pageBreakBefore w:val="0"/>
              <w:widowControl w:val="0"/>
              <w:kinsoku/>
              <w:wordWrap w:val="0"/>
              <w:overflowPunct/>
              <w:topLinePunct w:val="0"/>
              <w:autoSpaceDE/>
              <w:autoSpaceDN/>
              <w:bidi w:val="0"/>
              <w:adjustRightInd w:val="0"/>
              <w:snapToGrid w:val="0"/>
              <w:spacing w:line="276" w:lineRule="auto"/>
              <w:ind w:firstLine="0" w:firstLineChars="0"/>
              <w:jc w:val="center"/>
              <w:textAlignment w:val="auto"/>
              <w:outlineLvl w:val="9"/>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cs="Times New Roman"/>
                <w:b/>
                <w:bCs w:val="0"/>
                <w:color w:val="000000" w:themeColor="text1"/>
                <w:sz w:val="24"/>
                <w:szCs w:val="24"/>
                <w:lang w:val="en-US" w:eastAsia="zh-CN"/>
                <w14:textFill>
                  <w14:solidFill>
                    <w14:schemeClr w14:val="tx1"/>
                  </w14:solidFill>
                </w14:textFill>
              </w:rPr>
              <w:t>表4-18  废水类别、污染物及污染治理设施信息表</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884"/>
              <w:gridCol w:w="1212"/>
              <w:gridCol w:w="1308"/>
              <w:gridCol w:w="1236"/>
              <w:gridCol w:w="1594"/>
            </w:tblGrid>
            <w:tr w14:paraId="586C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2" w:hRule="atLeast"/>
                <w:jc w:val="center"/>
              </w:trPr>
              <w:tc>
                <w:tcPr>
                  <w:tcW w:w="1440" w:type="dxa"/>
                  <w:vMerge w:val="restart"/>
                  <w:vAlign w:val="center"/>
                </w:tcPr>
                <w:p w14:paraId="2FEEBDE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废水类别</w:t>
                  </w:r>
                </w:p>
              </w:tc>
              <w:tc>
                <w:tcPr>
                  <w:tcW w:w="1884" w:type="dxa"/>
                  <w:vMerge w:val="restart"/>
                  <w:vAlign w:val="center"/>
                </w:tcPr>
                <w:p w14:paraId="0A1140D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污染物种类</w:t>
                  </w:r>
                </w:p>
              </w:tc>
              <w:tc>
                <w:tcPr>
                  <w:tcW w:w="2520" w:type="dxa"/>
                  <w:gridSpan w:val="2"/>
                  <w:vAlign w:val="center"/>
                </w:tcPr>
                <w:p w14:paraId="03B078A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污染治理设施</w:t>
                  </w:r>
                </w:p>
              </w:tc>
              <w:tc>
                <w:tcPr>
                  <w:tcW w:w="1236" w:type="dxa"/>
                  <w:vMerge w:val="restart"/>
                  <w:vAlign w:val="center"/>
                </w:tcPr>
                <w:p w14:paraId="24B6BFF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排放去向</w:t>
                  </w:r>
                </w:p>
              </w:tc>
              <w:tc>
                <w:tcPr>
                  <w:tcW w:w="1594" w:type="dxa"/>
                  <w:vMerge w:val="restart"/>
                  <w:vAlign w:val="center"/>
                </w:tcPr>
                <w:p w14:paraId="736E546E">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其他信息</w:t>
                  </w:r>
                </w:p>
              </w:tc>
            </w:tr>
            <w:tr w14:paraId="0556E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vMerge w:val="continue"/>
                  <w:vAlign w:val="center"/>
                </w:tcPr>
                <w:p w14:paraId="7BC3D8B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p>
              </w:tc>
              <w:tc>
                <w:tcPr>
                  <w:tcW w:w="1884" w:type="dxa"/>
                  <w:vMerge w:val="continue"/>
                  <w:vAlign w:val="center"/>
                </w:tcPr>
                <w:p w14:paraId="0C1B996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p>
              </w:tc>
              <w:tc>
                <w:tcPr>
                  <w:tcW w:w="1212" w:type="dxa"/>
                  <w:vAlign w:val="center"/>
                </w:tcPr>
                <w:p w14:paraId="772C824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污染治理设施编号</w:t>
                  </w:r>
                </w:p>
              </w:tc>
              <w:tc>
                <w:tcPr>
                  <w:tcW w:w="1308" w:type="dxa"/>
                  <w:vAlign w:val="center"/>
                </w:tcPr>
                <w:p w14:paraId="0CD1DB4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污染治理设施名称</w:t>
                  </w:r>
                </w:p>
              </w:tc>
              <w:tc>
                <w:tcPr>
                  <w:tcW w:w="1236" w:type="dxa"/>
                  <w:vMerge w:val="continue"/>
                  <w:vAlign w:val="center"/>
                </w:tcPr>
                <w:p w14:paraId="471D2BC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p>
              </w:tc>
              <w:tc>
                <w:tcPr>
                  <w:tcW w:w="1594" w:type="dxa"/>
                  <w:vMerge w:val="continue"/>
                  <w:vAlign w:val="center"/>
                </w:tcPr>
                <w:p w14:paraId="02C0996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p>
              </w:tc>
            </w:tr>
            <w:tr w14:paraId="0DD55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vAlign w:val="center"/>
                </w:tcPr>
                <w:p w14:paraId="498F548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生活污水</w:t>
                  </w:r>
                </w:p>
              </w:tc>
              <w:tc>
                <w:tcPr>
                  <w:tcW w:w="1884" w:type="dxa"/>
                  <w:vAlign w:val="center"/>
                </w:tcPr>
                <w:p w14:paraId="316B3C4F">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COD</w:t>
                  </w:r>
                  <w:r>
                    <w:rPr>
                      <w:rFonts w:hint="eastAsia" w:ascii="Times New Roman" w:hAnsi="Times New Roman" w:cs="Times New Roman" w:eastAsiaTheme="minorEastAsia"/>
                      <w:b w:val="0"/>
                      <w:bCs/>
                      <w:color w:val="000000" w:themeColor="text1"/>
                      <w:sz w:val="21"/>
                      <w:szCs w:val="21"/>
                      <w:vertAlign w:val="subscript"/>
                      <w:lang w:val="en-US" w:eastAsia="zh-CN"/>
                      <w14:textFill>
                        <w14:solidFill>
                          <w14:schemeClr w14:val="tx1"/>
                        </w14:solidFill>
                      </w14:textFill>
                    </w:rPr>
                    <w:t>cr</w:t>
                  </w: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w:t>
                  </w:r>
                  <w:r>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氨氮</w:t>
                  </w: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w:t>
                  </w:r>
                  <w:r>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总磷</w:t>
                  </w: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、SS、</w:t>
                  </w:r>
                  <w:r>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五日生化需氧量</w:t>
                  </w:r>
                </w:p>
              </w:tc>
              <w:tc>
                <w:tcPr>
                  <w:tcW w:w="1212" w:type="dxa"/>
                  <w:vAlign w:val="center"/>
                </w:tcPr>
                <w:p w14:paraId="137DD54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TW001</w:t>
                  </w:r>
                </w:p>
              </w:tc>
              <w:tc>
                <w:tcPr>
                  <w:tcW w:w="1308" w:type="dxa"/>
                  <w:vAlign w:val="center"/>
                </w:tcPr>
                <w:p w14:paraId="78737FD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化粪池</w:t>
                  </w:r>
                </w:p>
              </w:tc>
              <w:tc>
                <w:tcPr>
                  <w:tcW w:w="1236" w:type="dxa"/>
                  <w:vAlign w:val="center"/>
                </w:tcPr>
                <w:p w14:paraId="15ADDC2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不外排</w:t>
                  </w:r>
                </w:p>
              </w:tc>
              <w:tc>
                <w:tcPr>
                  <w:tcW w:w="1594" w:type="dxa"/>
                  <w:vAlign w:val="center"/>
                </w:tcPr>
                <w:p w14:paraId="36DE34E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周边农田施肥</w:t>
                  </w:r>
                </w:p>
              </w:tc>
            </w:tr>
            <w:tr w14:paraId="07CAD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vAlign w:val="center"/>
                </w:tcPr>
                <w:p w14:paraId="0AA58A2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生产废水-脱硫设备</w:t>
                  </w:r>
                </w:p>
              </w:tc>
              <w:tc>
                <w:tcPr>
                  <w:tcW w:w="1884" w:type="dxa"/>
                  <w:vAlign w:val="center"/>
                </w:tcPr>
                <w:p w14:paraId="24578AF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cs="Times New Roman" w:eastAsiaTheme="minorEastAsia"/>
                      <w:b w:val="0"/>
                      <w:bCs/>
                      <w:color w:val="000000" w:themeColor="text1"/>
                      <w:sz w:val="21"/>
                      <w:szCs w:val="21"/>
                      <w:vertAlign w:val="baseline"/>
                      <w:lang w:val="en-US" w:eastAsia="zh-CN"/>
                      <w14:textFill>
                        <w14:solidFill>
                          <w14:schemeClr w14:val="tx1"/>
                        </w14:solidFill>
                      </w14:textFill>
                    </w:rPr>
                    <w:t>pH、</w:t>
                  </w: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SS、COD、</w:t>
                  </w:r>
                  <w:r>
                    <w:rPr>
                      <w:rFonts w:hint="eastAsia" w:cs="Times New Roman" w:eastAsiaTheme="minorEastAsia"/>
                      <w:b w:val="0"/>
                      <w:bCs/>
                      <w:color w:val="000000" w:themeColor="text1"/>
                      <w:sz w:val="21"/>
                      <w:szCs w:val="21"/>
                      <w:vertAlign w:val="baseline"/>
                      <w:lang w:val="en-US" w:eastAsia="zh-CN"/>
                      <w14:textFill>
                        <w14:solidFill>
                          <w14:schemeClr w14:val="tx1"/>
                        </w14:solidFill>
                      </w14:textFill>
                    </w:rPr>
                    <w:t>盐类</w:t>
                  </w:r>
                </w:p>
              </w:tc>
              <w:tc>
                <w:tcPr>
                  <w:tcW w:w="1212" w:type="dxa"/>
                  <w:vAlign w:val="center"/>
                </w:tcPr>
                <w:p w14:paraId="4FA7621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TW002</w:t>
                  </w:r>
                </w:p>
              </w:tc>
              <w:tc>
                <w:tcPr>
                  <w:tcW w:w="1308" w:type="dxa"/>
                  <w:vAlign w:val="center"/>
                </w:tcPr>
                <w:p w14:paraId="3E5397D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cs="Times New Roman" w:eastAsiaTheme="minorEastAsia"/>
                      <w:b w:val="0"/>
                      <w:bCs/>
                      <w:color w:val="000000" w:themeColor="text1"/>
                      <w:sz w:val="21"/>
                      <w:szCs w:val="21"/>
                      <w:vertAlign w:val="baseline"/>
                      <w:lang w:val="en-US" w:eastAsia="zh-CN"/>
                      <w14:textFill>
                        <w14:solidFill>
                          <w14:schemeClr w14:val="tx1"/>
                        </w14:solidFill>
                      </w14:textFill>
                    </w:rPr>
                    <w:t>循环沉淀池（中和絮凝沉淀）</w:t>
                  </w:r>
                </w:p>
              </w:tc>
              <w:tc>
                <w:tcPr>
                  <w:tcW w:w="1236" w:type="dxa"/>
                  <w:vAlign w:val="center"/>
                </w:tcPr>
                <w:p w14:paraId="6D013D0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不外排</w:t>
                  </w:r>
                </w:p>
              </w:tc>
              <w:tc>
                <w:tcPr>
                  <w:tcW w:w="1594" w:type="dxa"/>
                  <w:vAlign w:val="center"/>
                </w:tcPr>
                <w:p w14:paraId="048104F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回用于</w:t>
                  </w:r>
                  <w:r>
                    <w:rPr>
                      <w:rFonts w:hint="eastAsia" w:cs="Times New Roman" w:eastAsiaTheme="minorEastAsia"/>
                      <w:b w:val="0"/>
                      <w:bCs/>
                      <w:color w:val="000000" w:themeColor="text1"/>
                      <w:sz w:val="21"/>
                      <w:szCs w:val="21"/>
                      <w:vertAlign w:val="baseline"/>
                      <w:lang w:val="en-US" w:eastAsia="zh-CN"/>
                      <w14:textFill>
                        <w14:solidFill>
                          <w14:schemeClr w14:val="tx1"/>
                        </w14:solidFill>
                      </w14:textFill>
                    </w:rPr>
                    <w:t>搅拌用水</w:t>
                  </w:r>
                </w:p>
              </w:tc>
            </w:tr>
            <w:tr w14:paraId="44055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vAlign w:val="center"/>
                </w:tcPr>
                <w:p w14:paraId="7484581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初期雨水</w:t>
                  </w:r>
                </w:p>
              </w:tc>
              <w:tc>
                <w:tcPr>
                  <w:tcW w:w="1884" w:type="dxa"/>
                  <w:vAlign w:val="center"/>
                </w:tcPr>
                <w:p w14:paraId="66872A2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COD</w:t>
                  </w:r>
                  <w:r>
                    <w:rPr>
                      <w:rFonts w:hint="eastAsia" w:ascii="Times New Roman" w:hAnsi="Times New Roman" w:cs="Times New Roman" w:eastAsiaTheme="minorEastAsia"/>
                      <w:b w:val="0"/>
                      <w:bCs/>
                      <w:color w:val="000000" w:themeColor="text1"/>
                      <w:sz w:val="21"/>
                      <w:szCs w:val="21"/>
                      <w:vertAlign w:val="subscript"/>
                      <w:lang w:val="en-US" w:eastAsia="zh-CN"/>
                      <w14:textFill>
                        <w14:solidFill>
                          <w14:schemeClr w14:val="tx1"/>
                        </w14:solidFill>
                      </w14:textFill>
                    </w:rPr>
                    <w:t>cr</w:t>
                  </w: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w:t>
                  </w:r>
                  <w:r>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氨氮</w:t>
                  </w: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、SS、</w:t>
                  </w:r>
                  <w:r>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石油类</w:t>
                  </w:r>
                </w:p>
              </w:tc>
              <w:tc>
                <w:tcPr>
                  <w:tcW w:w="1212" w:type="dxa"/>
                  <w:vAlign w:val="center"/>
                </w:tcPr>
                <w:p w14:paraId="2CC7157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TW003</w:t>
                  </w:r>
                </w:p>
              </w:tc>
              <w:tc>
                <w:tcPr>
                  <w:tcW w:w="1308" w:type="dxa"/>
                  <w:vAlign w:val="center"/>
                </w:tcPr>
                <w:p w14:paraId="473D7D5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初期雨水收集池</w:t>
                  </w:r>
                </w:p>
              </w:tc>
              <w:tc>
                <w:tcPr>
                  <w:tcW w:w="1236" w:type="dxa"/>
                  <w:vAlign w:val="center"/>
                </w:tcPr>
                <w:p w14:paraId="56EFA53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不外排</w:t>
                  </w:r>
                </w:p>
              </w:tc>
              <w:tc>
                <w:tcPr>
                  <w:tcW w:w="1594" w:type="dxa"/>
                  <w:vAlign w:val="center"/>
                </w:tcPr>
                <w:p w14:paraId="24C6238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回用于生产用水</w:t>
                  </w:r>
                </w:p>
              </w:tc>
            </w:tr>
          </w:tbl>
          <w:p w14:paraId="13FAC8E8">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outlineLvl w:val="9"/>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2.</w:t>
            </w:r>
            <w:r>
              <w:rPr>
                <w:rFonts w:hint="eastAsia" w:cs="Times New Roman"/>
                <w:b/>
                <w:bCs w:val="0"/>
                <w:color w:val="000000" w:themeColor="text1"/>
                <w:sz w:val="24"/>
                <w:szCs w:val="24"/>
                <w:lang w:val="en-US" w:eastAsia="zh-CN"/>
                <w14:textFill>
                  <w14:solidFill>
                    <w14:schemeClr w14:val="tx1"/>
                  </w14:solidFill>
                </w14:textFill>
              </w:rPr>
              <w:t>2</w:t>
            </w: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废水产排情况</w:t>
            </w:r>
          </w:p>
          <w:p w14:paraId="10231552">
            <w:pPr>
              <w:keepNext w:val="0"/>
              <w:keepLines w:val="0"/>
              <w:pageBreakBefore w:val="0"/>
              <w:numPr>
                <w:ilvl w:val="0"/>
                <w:numId w:val="0"/>
              </w:numPr>
              <w:kinsoku/>
              <w:wordWrap w:val="0"/>
              <w:overflowPunct/>
              <w:topLinePunct w:val="0"/>
              <w:bidi w:val="0"/>
              <w:snapToGrid w:val="0"/>
              <w:spacing w:line="360" w:lineRule="auto"/>
              <w:ind w:leftChars="200"/>
              <w:outlineLvl w:val="9"/>
              <w:rPr>
                <w:rFonts w:ascii="Times New Roman" w:hAnsi="Times New Roman" w:eastAsia="宋体" w:cs="Times New Roman"/>
                <w:b/>
                <w:bCs w:val="0"/>
                <w:color w:val="000000" w:themeColor="text1"/>
                <w:sz w:val="24"/>
                <w:szCs w:val="24"/>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（1）搅拌废水</w:t>
            </w:r>
          </w:p>
          <w:p w14:paraId="1CCD7E31">
            <w:pPr>
              <w:keepNext w:val="0"/>
              <w:keepLines w:val="0"/>
              <w:pageBreakBefore w:val="0"/>
              <w:kinsoku/>
              <w:wordWrap w:val="0"/>
              <w:overflowPunct/>
              <w:topLinePunct w:val="0"/>
              <w:autoSpaceDE/>
              <w:autoSpaceDN/>
              <w:bidi w:val="0"/>
              <w:adjustRightInd w:val="0"/>
              <w:snapToGrid w:val="0"/>
              <w:spacing w:line="360" w:lineRule="auto"/>
              <w:ind w:right="0" w:firstLine="480" w:firstLineChars="200"/>
              <w:textAlignment w:val="auto"/>
              <w:outlineLvl w:val="9"/>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搅拌用水随</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瓦坯</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进入</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烧结</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窑烧结时全部蒸发，</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无废水产生。</w:t>
            </w:r>
          </w:p>
          <w:p w14:paraId="53568552">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outlineLvl w:val="9"/>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4"/>
                <w:szCs w:val="24"/>
                <w:lang w:val="zh-CN"/>
                <w14:textFill>
                  <w14:solidFill>
                    <w14:schemeClr w14:val="tx1"/>
                  </w14:solidFill>
                </w14:textFill>
              </w:rPr>
              <w:t>（</w:t>
            </w:r>
            <w:r>
              <w:rPr>
                <w:rFonts w:hint="eastAsia" w:ascii="Times New Roman" w:hAnsi="Times New Roman" w:eastAsia="宋体" w:cs="Times New Roman"/>
                <w:b/>
                <w:bCs/>
                <w:color w:val="000000" w:themeColor="text1"/>
                <w:kern w:val="0"/>
                <w:sz w:val="24"/>
                <w:szCs w:val="24"/>
                <w:lang w:val="en-US" w:eastAsia="zh-CN"/>
                <w14:textFill>
                  <w14:solidFill>
                    <w14:schemeClr w14:val="tx1"/>
                  </w14:solidFill>
                </w14:textFill>
              </w:rPr>
              <w:t>2</w:t>
            </w:r>
            <w:r>
              <w:rPr>
                <w:rFonts w:hint="eastAsia" w:ascii="Times New Roman" w:hAnsi="Times New Roman" w:eastAsia="宋体" w:cs="Times New Roman"/>
                <w:b/>
                <w:bCs/>
                <w:color w:val="000000" w:themeColor="text1"/>
                <w:kern w:val="0"/>
                <w:sz w:val="24"/>
                <w:szCs w:val="24"/>
                <w:lang w:val="zh-CN"/>
                <w14:textFill>
                  <w14:solidFill>
                    <w14:schemeClr w14:val="tx1"/>
                  </w14:solidFill>
                </w14:textFill>
              </w:rPr>
              <w:t>）</w:t>
            </w:r>
            <w:r>
              <w:rPr>
                <w:rFonts w:hint="eastAsia" w:ascii="Times New Roman" w:hAnsi="Times New Roman" w:eastAsia="宋体" w:cs="Times New Roman"/>
                <w:b/>
                <w:bCs/>
                <w:color w:val="000000" w:themeColor="text1"/>
                <w:kern w:val="0"/>
                <w:sz w:val="24"/>
                <w:szCs w:val="24"/>
                <w:lang w:val="en-US" w:eastAsia="zh-CN"/>
                <w14:textFill>
                  <w14:solidFill>
                    <w14:schemeClr w14:val="tx1"/>
                  </w14:solidFill>
                </w14:textFill>
              </w:rPr>
              <w:t>炉窑降温废水</w:t>
            </w:r>
          </w:p>
          <w:p w14:paraId="0C547A72">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炉窑降温用水全部蒸发，无废水产生。</w:t>
            </w:r>
          </w:p>
          <w:p w14:paraId="4317EE8B">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outlineLvl w:val="9"/>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（3）烟气处理废水</w:t>
            </w:r>
          </w:p>
          <w:p w14:paraId="43B3F747">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脱硫塔损耗水由新鲜水补充，其余部分进入循环水池再生循环使用</w:t>
            </w:r>
            <w:r>
              <w:rPr>
                <w:rFonts w:hint="eastAsia" w:cs="Times New Roman"/>
                <w:b w:val="0"/>
                <w:bCs/>
                <w:color w:val="000000" w:themeColor="text1"/>
                <w:sz w:val="24"/>
                <w:szCs w:val="24"/>
                <w:lang w:val="en-US" w:eastAsia="zh-CN"/>
                <w14:textFill>
                  <w14:solidFill>
                    <w14:schemeClr w14:val="tx1"/>
                  </w14:solidFill>
                </w14:textFill>
              </w:rPr>
              <w:t>，定期排水</w:t>
            </w:r>
            <w:r>
              <w:rPr>
                <w:rFonts w:hint="eastAsia" w:cs="Times New Roman"/>
                <w:b w:val="0"/>
                <w:bCs/>
                <w:color w:val="000000" w:themeColor="text1"/>
                <w:sz w:val="24"/>
                <w:szCs w:val="24"/>
                <w:highlight w:val="none"/>
                <w:lang w:val="en-US" w:eastAsia="zh-CN"/>
                <w14:textFill>
                  <w14:solidFill>
                    <w14:schemeClr w14:val="tx1"/>
                  </w14:solidFill>
                </w14:textFill>
              </w:rPr>
              <w:t>设置有一个容积为80m</w:t>
            </w:r>
            <w:r>
              <w:rPr>
                <w:rFonts w:hint="eastAsia" w:cs="Times New Roman"/>
                <w:b w:val="0"/>
                <w:bCs/>
                <w:color w:val="000000" w:themeColor="text1"/>
                <w:sz w:val="24"/>
                <w:szCs w:val="24"/>
                <w:highlight w:val="none"/>
                <w:vertAlign w:val="superscript"/>
                <w:lang w:val="en-US" w:eastAsia="zh-CN"/>
                <w14:textFill>
                  <w14:solidFill>
                    <w14:schemeClr w14:val="tx1"/>
                  </w14:solidFill>
                </w14:textFill>
              </w:rPr>
              <w:t>3</w:t>
            </w:r>
            <w:r>
              <w:rPr>
                <w:rFonts w:hint="eastAsia" w:cs="Times New Roman"/>
                <w:b w:val="0"/>
                <w:bCs/>
                <w:color w:val="000000" w:themeColor="text1"/>
                <w:sz w:val="24"/>
                <w:szCs w:val="24"/>
                <w:highlight w:val="none"/>
                <w:vertAlign w:val="baseline"/>
                <w:lang w:val="en-US" w:eastAsia="zh-CN"/>
                <w14:textFill>
                  <w14:solidFill>
                    <w14:schemeClr w14:val="tx1"/>
                  </w14:solidFill>
                </w14:textFill>
              </w:rPr>
              <w:t>的循环沉淀池，经中和絮凝沉淀处理后全部回用于项目搅拌用水，不外排。</w:t>
            </w:r>
          </w:p>
          <w:p w14:paraId="2AB3D412">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outlineLvl w:val="9"/>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（4）生活污水</w:t>
            </w:r>
          </w:p>
          <w:p w14:paraId="29468FDE">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根据前文计算，生活污水</w:t>
            </w:r>
            <w:r>
              <w:rPr>
                <w:rFonts w:hint="eastAsia"/>
                <w:color w:val="000000" w:themeColor="text1"/>
                <w:sz w:val="24"/>
                <w:highlight w:val="none"/>
                <w14:textFill>
                  <w14:solidFill>
                    <w14:schemeClr w14:val="tx1"/>
                  </w14:solidFill>
                </w14:textFill>
              </w:rPr>
              <w:t>产生量为</w:t>
            </w:r>
            <w:r>
              <w:rPr>
                <w:rFonts w:hint="eastAsia"/>
                <w:color w:val="000000" w:themeColor="text1"/>
                <w:sz w:val="24"/>
                <w:highlight w:val="none"/>
                <w:lang w:val="en-US" w:eastAsia="zh-CN"/>
                <w14:textFill>
                  <w14:solidFill>
                    <w14:schemeClr w14:val="tx1"/>
                  </w14:solidFill>
                </w14:textFill>
              </w:rPr>
              <w:t>0.8</w:t>
            </w:r>
            <w:r>
              <w:rPr>
                <w:rFonts w:hint="eastAsia"/>
                <w:color w:val="000000" w:themeColor="text1"/>
                <w:sz w:val="24"/>
                <w:highlight w:val="none"/>
                <w14:textFill>
                  <w14:solidFill>
                    <w14:schemeClr w14:val="tx1"/>
                  </w14:solidFill>
                </w14:textFill>
              </w:rPr>
              <w:t>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/d、</w:t>
            </w:r>
            <w:r>
              <w:rPr>
                <w:rFonts w:hint="eastAsia"/>
                <w:color w:val="000000" w:themeColor="text1"/>
                <w:sz w:val="24"/>
                <w:highlight w:val="none"/>
                <w:lang w:val="en-US" w:eastAsia="zh-CN"/>
                <w14:textFill>
                  <w14:solidFill>
                    <w14:schemeClr w14:val="tx1"/>
                  </w14:solidFill>
                </w14:textFill>
              </w:rPr>
              <w:t>240</w:t>
            </w:r>
            <w:r>
              <w:rPr>
                <w:rFonts w:hint="eastAsia"/>
                <w:color w:val="000000" w:themeColor="text1"/>
                <w:sz w:val="24"/>
                <w:highlight w:val="none"/>
                <w14:textFill>
                  <w14:solidFill>
                    <w14:schemeClr w14:val="tx1"/>
                  </w14:solidFill>
                </w14:textFill>
              </w:rPr>
              <w:t>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/a</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经1个容积为10m</w:t>
            </w:r>
            <w:r>
              <w:rPr>
                <w:rFonts w:hint="eastAsia"/>
                <w:color w:val="000000" w:themeColor="text1"/>
                <w:sz w:val="24"/>
                <w:szCs w:val="24"/>
                <w:highlight w:val="none"/>
                <w:vertAlign w:val="superscript"/>
                <w:lang w:val="en-US" w:eastAsia="zh-CN"/>
                <w14:textFill>
                  <w14:solidFill>
                    <w14:schemeClr w14:val="tx1"/>
                  </w14:solidFill>
                </w14:textFill>
              </w:rPr>
              <w:t>3</w:t>
            </w:r>
            <w:r>
              <w:rPr>
                <w:rFonts w:hint="eastAsia"/>
                <w:color w:val="000000" w:themeColor="text1"/>
                <w:sz w:val="24"/>
                <w:szCs w:val="24"/>
                <w:highlight w:val="none"/>
                <w:vertAlign w:val="baseline"/>
                <w:lang w:val="en-US" w:eastAsia="zh-CN"/>
                <w14:textFill>
                  <w14:solidFill>
                    <w14:schemeClr w14:val="tx1"/>
                  </w14:solidFill>
                </w14:textFill>
              </w:rPr>
              <w:t>的</w:t>
            </w:r>
            <w:r>
              <w:rPr>
                <w:rFonts w:hint="eastAsia"/>
                <w:color w:val="000000" w:themeColor="text1"/>
                <w:sz w:val="24"/>
                <w:szCs w:val="24"/>
                <w:highlight w:val="none"/>
                <w:lang w:val="en-US" w:eastAsia="zh-CN"/>
                <w14:textFill>
                  <w14:solidFill>
                    <w14:schemeClr w14:val="tx1"/>
                  </w14:solidFill>
                </w14:textFill>
              </w:rPr>
              <w:t>化粪池处理后定期清掏用作农肥。</w:t>
            </w:r>
          </w:p>
          <w:p w14:paraId="061D9D10">
            <w:pPr>
              <w:pStyle w:val="16"/>
              <w:spacing w:after="0" w:line="360" w:lineRule="auto"/>
              <w:ind w:left="0" w:leftChars="0" w:firstLine="482" w:firstLineChars="200"/>
              <w:rPr>
                <w:color w:val="000000" w:themeColor="text1"/>
                <w:sz w:val="24"/>
                <w:highlight w:val="yellow"/>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（3）初期雨水</w:t>
            </w:r>
          </w:p>
          <w:p w14:paraId="6B5DD4EC">
            <w:pPr>
              <w:pStyle w:val="16"/>
              <w:spacing w:after="0" w:line="360" w:lineRule="auto"/>
              <w:ind w:left="0" w:leftChars="0" w:firstLine="480" w:firstLineChars="200"/>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根据前文计算，改扩建完成后初期</w:t>
            </w:r>
            <w:r>
              <w:rPr>
                <w:rFonts w:hint="default" w:ascii="Times New Roman" w:hAnsi="Times New Roman" w:eastAsia="宋体" w:cs="Times New Roman"/>
                <w:color w:val="000000" w:themeColor="text1"/>
                <w:sz w:val="24"/>
                <w:szCs w:val="24"/>
                <w:highlight w:val="none"/>
                <w14:textFill>
                  <w14:solidFill>
                    <w14:schemeClr w14:val="tx1"/>
                  </w14:solidFill>
                </w14:textFill>
              </w:rPr>
              <w:t>雨水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产生</w:t>
            </w:r>
            <w:r>
              <w:rPr>
                <w:rFonts w:hint="default" w:ascii="Times New Roman" w:hAnsi="Times New Roman" w:eastAsia="宋体" w:cs="Times New Roman"/>
                <w:color w:val="000000" w:themeColor="text1"/>
                <w:sz w:val="24"/>
                <w:szCs w:val="24"/>
                <w:highlight w:val="none"/>
                <w14:textFill>
                  <w14:solidFill>
                    <w14:schemeClr w14:val="tx1"/>
                  </w14:solidFill>
                </w14:textFill>
              </w:rPr>
              <w:t>量为</w:t>
            </w:r>
            <w:r>
              <w:rPr>
                <w:rFonts w:hint="eastAsia" w:cs="Times New Roman"/>
                <w:color w:val="000000" w:themeColor="text1"/>
                <w:sz w:val="24"/>
                <w:szCs w:val="24"/>
                <w:highlight w:val="none"/>
                <w:lang w:val="en-US" w:eastAsia="zh-CN"/>
                <w14:textFill>
                  <w14:solidFill>
                    <w14:schemeClr w14:val="tx1"/>
                  </w14:solidFill>
                </w14:textFill>
              </w:rPr>
              <w:t>19.4</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/次（</w:t>
            </w:r>
            <w:r>
              <w:rPr>
                <w:rFonts w:hint="eastAsia" w:cs="Times New Roman"/>
                <w:color w:val="000000" w:themeColor="text1"/>
                <w:sz w:val="24"/>
                <w:szCs w:val="24"/>
                <w:highlight w:val="none"/>
                <w:vertAlign w:val="baseline"/>
                <w:lang w:val="en-US" w:eastAsia="zh-CN"/>
                <w14:textFill>
                  <w14:solidFill>
                    <w14:schemeClr w14:val="tx1"/>
                  </w14:solidFill>
                </w14:textFill>
              </w:rPr>
              <w:t>2910</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/a），经</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1个容积为20m</w:t>
            </w:r>
            <w:r>
              <w:rPr>
                <w:rFonts w:hint="eastAsia" w:ascii="Times New Roman" w:hAnsi="Times New Roman" w:eastAsia="宋体" w:cs="Times New Roman"/>
                <w:bCs/>
                <w:color w:val="000000" w:themeColor="text1"/>
                <w:sz w:val="24"/>
                <w:szCs w:val="24"/>
                <w:vertAlign w:val="superscript"/>
                <w:lang w:val="en-US" w:eastAsia="zh-CN"/>
                <w14:textFill>
                  <w14:solidFill>
                    <w14:schemeClr w14:val="tx1"/>
                  </w14:solidFill>
                </w14:textFill>
              </w:rPr>
              <w:t>3</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的初期雨水收集池收集沉淀后全部回用于项目洒水降尘用水及搅拌用水，不外排。</w:t>
            </w:r>
          </w:p>
          <w:p w14:paraId="298AB51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2.</w:t>
            </w:r>
            <w:r>
              <w:rPr>
                <w:rFonts w:hint="eastAsia" w:cs="Times New Roman"/>
                <w:b/>
                <w:bCs/>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废水处置可行性分析</w:t>
            </w:r>
          </w:p>
          <w:p w14:paraId="24110B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宋体"/>
                <w:color w:val="000000" w:themeColor="text1"/>
                <w:sz w:val="24"/>
                <w:lang w:val="en-US" w:eastAsia="zh-CN"/>
                <w14:textFill>
                  <w14:solidFill>
                    <w14:schemeClr w14:val="tx1"/>
                  </w14:solidFill>
                </w14:textFill>
              </w:rPr>
              <w:t>项目搅拌用水随产品带走；炉窑冷却降温水高温蒸发。</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本次环评对</w:t>
            </w:r>
            <w:r>
              <w:rPr>
                <w:rFonts w:hint="eastAsia" w:cs="Times New Roman"/>
                <w:color w:val="000000" w:themeColor="text1"/>
                <w:sz w:val="24"/>
                <w:szCs w:val="24"/>
                <w:highlight w:val="none"/>
                <w:lang w:val="en-US" w:eastAsia="zh-CN"/>
                <w14:textFill>
                  <w14:solidFill>
                    <w14:schemeClr w14:val="tx1"/>
                  </w14:solidFill>
                </w14:textFill>
              </w:rPr>
              <w:t>脱硫塔定期排水、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生活</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污水和初期雨水处置可行性分析。</w:t>
            </w:r>
          </w:p>
          <w:p w14:paraId="6B48B85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（1）</w:t>
            </w:r>
            <w:r>
              <w:rPr>
                <w:rFonts w:hint="eastAsia" w:cs="Times New Roman"/>
                <w:b/>
                <w:bCs/>
                <w:color w:val="000000" w:themeColor="text1"/>
                <w:sz w:val="24"/>
                <w:szCs w:val="24"/>
                <w:lang w:val="en-US" w:eastAsia="zh-CN"/>
                <w14:textFill>
                  <w14:solidFill>
                    <w14:schemeClr w14:val="tx1"/>
                  </w14:solidFill>
                </w14:textFill>
              </w:rPr>
              <w:t>脱硫塔定期排水处置可行性分析</w:t>
            </w:r>
          </w:p>
          <w:p w14:paraId="332F75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14:textFill>
                  <w14:solidFill>
                    <w14:schemeClr w14:val="tx1"/>
                  </w14:solidFill>
                </w14:textFill>
              </w:rPr>
              <w:t>根据前文污染源源强核算，</w:t>
            </w:r>
            <w:r>
              <w:rPr>
                <w:rFonts w:hint="eastAsia" w:cs="Times New Roman"/>
                <w:color w:val="000000" w:themeColor="text1"/>
                <w:sz w:val="24"/>
                <w:szCs w:val="24"/>
                <w:lang w:val="en-US" w:eastAsia="zh-CN"/>
                <w14:textFill>
                  <w14:solidFill>
                    <w14:schemeClr w14:val="tx1"/>
                  </w14:solidFill>
                </w14:textFill>
              </w:rPr>
              <w:t>改扩建完成后脱硫塔定期排水量为27t/d，</w:t>
            </w:r>
            <w:r>
              <w:rPr>
                <w:rFonts w:hint="eastAsia" w:cs="Times New Roman"/>
                <w:b w:val="0"/>
                <w:bCs/>
                <w:color w:val="000000" w:themeColor="text1"/>
                <w:sz w:val="24"/>
                <w:szCs w:val="24"/>
                <w:lang w:val="en-US" w:eastAsia="zh-CN"/>
                <w14:textFill>
                  <w14:solidFill>
                    <w14:schemeClr w14:val="tx1"/>
                  </w14:solidFill>
                </w14:textFill>
              </w:rPr>
              <w:t>现有项目</w:t>
            </w:r>
            <w:r>
              <w:rPr>
                <w:rFonts w:hint="eastAsia" w:cs="Times New Roman"/>
                <w:b w:val="0"/>
                <w:bCs/>
                <w:color w:val="000000" w:themeColor="text1"/>
                <w:sz w:val="24"/>
                <w:szCs w:val="24"/>
                <w:highlight w:val="none"/>
                <w:lang w:val="en-US" w:eastAsia="zh-CN"/>
                <w14:textFill>
                  <w14:solidFill>
                    <w14:schemeClr w14:val="tx1"/>
                  </w14:solidFill>
                </w14:textFill>
              </w:rPr>
              <w:t>设置有一个容积为80m</w:t>
            </w:r>
            <w:r>
              <w:rPr>
                <w:rFonts w:hint="eastAsia" w:cs="Times New Roman"/>
                <w:b w:val="0"/>
                <w:bCs/>
                <w:color w:val="000000" w:themeColor="text1"/>
                <w:sz w:val="24"/>
                <w:szCs w:val="24"/>
                <w:highlight w:val="none"/>
                <w:vertAlign w:val="superscript"/>
                <w:lang w:val="en-US" w:eastAsia="zh-CN"/>
                <w14:textFill>
                  <w14:solidFill>
                    <w14:schemeClr w14:val="tx1"/>
                  </w14:solidFill>
                </w14:textFill>
              </w:rPr>
              <w:t>3</w:t>
            </w:r>
            <w:r>
              <w:rPr>
                <w:rFonts w:hint="eastAsia" w:cs="Times New Roman"/>
                <w:b w:val="0"/>
                <w:bCs/>
                <w:color w:val="000000" w:themeColor="text1"/>
                <w:sz w:val="24"/>
                <w:szCs w:val="24"/>
                <w:highlight w:val="none"/>
                <w:vertAlign w:val="baseline"/>
                <w:lang w:val="en-US" w:eastAsia="zh-CN"/>
                <w14:textFill>
                  <w14:solidFill>
                    <w14:schemeClr w14:val="tx1"/>
                  </w14:solidFill>
                </w14:textFill>
              </w:rPr>
              <w:t>的循环沉淀池，能够满足废水处理需求，脱硫塔废水污染物主要为SS、盐类，根据建设单位提供的资料，经中和絮凝沉淀处理后的脱硫废水少量多次回用于搅拌用水不会影响项目青瓦的品质，项目改扩建完成后搅拌用水量为9</w:t>
            </w:r>
            <w:r>
              <w:rPr>
                <w:rFonts w:hint="eastAsia" w:cs="宋体"/>
                <w:color w:val="000000" w:themeColor="text1"/>
                <w:kern w:val="0"/>
                <w:sz w:val="24"/>
                <w:szCs w:val="24"/>
                <w:highlight w:val="none"/>
                <w:lang w:val="en-US" w:eastAsia="zh-CN"/>
                <w14:textFill>
                  <w14:solidFill>
                    <w14:schemeClr w14:val="tx1"/>
                  </w14:solidFill>
                </w14:textFill>
              </w:rPr>
              <w:t>1300</w:t>
            </w:r>
            <w:r>
              <w:rPr>
                <w:rFonts w:hint="eastAsia" w:ascii="Times New Roman" w:hAnsi="Times New Roman" w:eastAsia="宋体" w:cs="宋体"/>
                <w:color w:val="000000" w:themeColor="text1"/>
                <w:kern w:val="0"/>
                <w:sz w:val="24"/>
                <w:szCs w:val="24"/>
                <w:highlight w:val="none"/>
                <w:lang w:val="en-US" w:eastAsia="zh-CN"/>
                <w14:textFill>
                  <w14:solidFill>
                    <w14:schemeClr w14:val="tx1"/>
                  </w14:solidFill>
                </w14:textFill>
              </w:rPr>
              <w:t>m</w:t>
            </w:r>
            <w:r>
              <w:rPr>
                <w:rFonts w:hint="eastAsia" w:ascii="Times New Roman" w:hAnsi="Times New Roman" w:eastAsia="宋体" w:cs="宋体"/>
                <w:color w:val="000000" w:themeColor="text1"/>
                <w:kern w:val="0"/>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宋体"/>
                <w:color w:val="000000" w:themeColor="text1"/>
                <w:kern w:val="0"/>
                <w:sz w:val="24"/>
                <w:szCs w:val="24"/>
                <w:highlight w:val="none"/>
                <w:vertAlign w:val="baseline"/>
                <w:lang w:val="en-US" w:eastAsia="zh-CN"/>
                <w14:textFill>
                  <w14:solidFill>
                    <w14:schemeClr w14:val="tx1"/>
                  </w14:solidFill>
                </w14:textFill>
              </w:rPr>
              <w:t>/a、</w:t>
            </w:r>
            <w:r>
              <w:rPr>
                <w:rFonts w:hint="eastAsia" w:cs="宋体"/>
                <w:color w:val="000000" w:themeColor="text1"/>
                <w:kern w:val="0"/>
                <w:sz w:val="24"/>
                <w:szCs w:val="24"/>
                <w:highlight w:val="none"/>
                <w:vertAlign w:val="baseline"/>
                <w:lang w:val="en-US" w:eastAsia="zh-CN"/>
                <w14:textFill>
                  <w14:solidFill>
                    <w14:schemeClr w14:val="tx1"/>
                  </w14:solidFill>
                </w14:textFill>
              </w:rPr>
              <w:t>304.3</w:t>
            </w:r>
            <w:r>
              <w:rPr>
                <w:rFonts w:hint="eastAsia" w:ascii="Times New Roman" w:hAnsi="Times New Roman" w:eastAsia="宋体" w:cs="宋体"/>
                <w:color w:val="000000" w:themeColor="text1"/>
                <w:kern w:val="0"/>
                <w:sz w:val="24"/>
                <w:szCs w:val="24"/>
                <w:highlight w:val="none"/>
                <w:vertAlign w:val="baseline"/>
                <w:lang w:val="en-US" w:eastAsia="zh-CN"/>
                <w14:textFill>
                  <w14:solidFill>
                    <w14:schemeClr w14:val="tx1"/>
                  </w14:solidFill>
                </w14:textFill>
              </w:rPr>
              <w:t>m</w:t>
            </w:r>
            <w:r>
              <w:rPr>
                <w:rFonts w:hint="eastAsia" w:ascii="Times New Roman" w:hAnsi="Times New Roman" w:eastAsia="宋体" w:cs="宋体"/>
                <w:color w:val="000000" w:themeColor="text1"/>
                <w:kern w:val="0"/>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宋体"/>
                <w:color w:val="000000" w:themeColor="text1"/>
                <w:kern w:val="0"/>
                <w:sz w:val="24"/>
                <w:szCs w:val="24"/>
                <w:highlight w:val="none"/>
                <w:vertAlign w:val="baseline"/>
                <w:lang w:val="en-US" w:eastAsia="zh-CN"/>
                <w14:textFill>
                  <w14:solidFill>
                    <w14:schemeClr w14:val="tx1"/>
                  </w14:solidFill>
                </w14:textFill>
              </w:rPr>
              <w:t>/d</w:t>
            </w:r>
            <w:r>
              <w:rPr>
                <w:rFonts w:hint="eastAsia" w:cs="宋体"/>
                <w:color w:val="000000" w:themeColor="text1"/>
                <w:kern w:val="0"/>
                <w:sz w:val="24"/>
                <w:szCs w:val="24"/>
                <w:highlight w:val="none"/>
                <w:vertAlign w:val="baseline"/>
                <w:lang w:val="en-US" w:eastAsia="zh-CN"/>
                <w14:textFill>
                  <w14:solidFill>
                    <w14:schemeClr w14:val="tx1"/>
                  </w14:solidFill>
                </w14:textFill>
              </w:rPr>
              <w:t>，项目脱硫废水产生量为</w:t>
            </w:r>
            <w:r>
              <w:rPr>
                <w:rFonts w:hint="eastAsia" w:cs="Times New Roman" w:eastAsiaTheme="minorEastAsia"/>
                <w:color w:val="000000" w:themeColor="text1"/>
                <w:kern w:val="0"/>
                <w:sz w:val="24"/>
                <w:szCs w:val="24"/>
                <w:highlight w:val="none"/>
                <w:lang w:val="en-US" w:eastAsia="zh-CN" w:bidi="ar"/>
                <w14:textFill>
                  <w14:solidFill>
                    <w14:schemeClr w14:val="tx1"/>
                  </w14:solidFill>
                </w14:textFill>
              </w:rPr>
              <w:t>6278.67</w:t>
            </w:r>
            <w:r>
              <w:rPr>
                <w:rFonts w:hint="default"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t/a</w:t>
            </w:r>
            <w:r>
              <w:rPr>
                <w:rFonts w:hint="eastAsia"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w:t>
            </w:r>
            <w:r>
              <w:rPr>
                <w:rFonts w:hint="eastAsia" w:cs="Times New Roman" w:eastAsiaTheme="minorEastAsia"/>
                <w:color w:val="000000" w:themeColor="text1"/>
                <w:kern w:val="0"/>
                <w:sz w:val="24"/>
                <w:szCs w:val="24"/>
                <w:highlight w:val="none"/>
                <w:lang w:val="en-US" w:eastAsia="zh-CN" w:bidi="ar"/>
                <w14:textFill>
                  <w14:solidFill>
                    <w14:schemeClr w14:val="tx1"/>
                  </w14:solidFill>
                </w14:textFill>
              </w:rPr>
              <w:t>27</w:t>
            </w:r>
            <w:r>
              <w:rPr>
                <w:rFonts w:hint="default" w:ascii="Times New Roman" w:hAnsi="Times New Roman" w:cs="Times New Roman" w:eastAsiaTheme="minorEastAsia"/>
                <w:color w:val="000000" w:themeColor="text1"/>
                <w:kern w:val="0"/>
                <w:sz w:val="24"/>
                <w:szCs w:val="24"/>
                <w:highlight w:val="none"/>
                <w:lang w:val="en-US" w:eastAsia="zh-CN" w:bidi="ar"/>
                <w14:textFill>
                  <w14:solidFill>
                    <w14:schemeClr w14:val="tx1"/>
                  </w14:solidFill>
                </w14:textFill>
              </w:rPr>
              <w:t>t/</w:t>
            </w:r>
            <w:r>
              <w:rPr>
                <w:rFonts w:hint="eastAsia" w:cs="Times New Roman" w:eastAsiaTheme="minorEastAsia"/>
                <w:color w:val="000000" w:themeColor="text1"/>
                <w:kern w:val="0"/>
                <w:sz w:val="24"/>
                <w:szCs w:val="24"/>
                <w:highlight w:val="none"/>
                <w:lang w:val="en-US" w:eastAsia="zh-CN" w:bidi="ar"/>
                <w14:textFill>
                  <w14:solidFill>
                    <w14:schemeClr w14:val="tx1"/>
                  </w14:solidFill>
                </w14:textFill>
              </w:rPr>
              <w:t>d</w:t>
            </w:r>
            <w:r>
              <w:rPr>
                <w:rFonts w:hint="eastAsia" w:ascii="Times New Roman" w:hAnsi="Times New Roman" w:eastAsia="宋体" w:cs="宋体"/>
                <w:color w:val="000000" w:themeColor="text1"/>
                <w:kern w:val="0"/>
                <w:sz w:val="24"/>
                <w:szCs w:val="24"/>
                <w:highlight w:val="none"/>
                <w:lang w:val="en-US" w:eastAsia="zh-CN"/>
                <w14:textFill>
                  <w14:solidFill>
                    <w14:schemeClr w14:val="tx1"/>
                  </w14:solidFill>
                </w14:textFill>
              </w:rPr>
              <w:t>。</w:t>
            </w:r>
            <w:r>
              <w:rPr>
                <w:rFonts w:hint="eastAsia" w:cs="宋体"/>
                <w:color w:val="000000" w:themeColor="text1"/>
                <w:kern w:val="0"/>
                <w:sz w:val="24"/>
                <w:szCs w:val="24"/>
                <w:highlight w:val="none"/>
                <w:lang w:val="en-US" w:eastAsia="zh-CN"/>
                <w14:textFill>
                  <w14:solidFill>
                    <w14:schemeClr w14:val="tx1"/>
                  </w14:solidFill>
                </w14:textFill>
              </w:rPr>
              <w:t>根据水量平衡分析，项目产生的脱硫废水能够全部回用搅拌用水，</w:t>
            </w:r>
            <w:r>
              <w:rPr>
                <w:rFonts w:hint="default" w:ascii="Times New Roman" w:hAnsi="Times New Roman" w:eastAsia="宋体" w:cs="Times New Roman"/>
                <w:color w:val="000000" w:themeColor="text1"/>
                <w:sz w:val="24"/>
                <w:szCs w:val="24"/>
                <w:lang w:val="en-US"/>
                <w14:textFill>
                  <w14:solidFill>
                    <w14:schemeClr w14:val="tx1"/>
                  </w14:solidFill>
                </w14:textFill>
              </w:rPr>
              <w:t>满足</w:t>
            </w:r>
            <w:r>
              <w:rPr>
                <w:rFonts w:hint="eastAsia" w:cs="Times New Roman"/>
                <w:color w:val="000000" w:themeColor="text1"/>
                <w:sz w:val="24"/>
                <w:szCs w:val="24"/>
                <w:lang w:val="en-US" w:eastAsia="zh-CN"/>
                <w14:textFill>
                  <w14:solidFill>
                    <w14:schemeClr w14:val="tx1"/>
                  </w14:solidFill>
                </w14:textFill>
              </w:rPr>
              <w:t>脱硫塔废水</w:t>
            </w:r>
            <w:r>
              <w:rPr>
                <w:rFonts w:hint="default" w:ascii="Times New Roman" w:hAnsi="Times New Roman" w:eastAsia="宋体" w:cs="Times New Roman"/>
                <w:color w:val="000000" w:themeColor="text1"/>
                <w:sz w:val="24"/>
                <w:szCs w:val="24"/>
                <w:lang w:val="en-US"/>
                <w14:textFill>
                  <w14:solidFill>
                    <w14:schemeClr w14:val="tx1"/>
                  </w14:solidFill>
                </w14:textFill>
              </w:rPr>
              <w:t>回用不外排的条件</w:t>
            </w:r>
            <w:r>
              <w:rPr>
                <w:rFonts w:hint="eastAsia" w:cs="Times New Roman"/>
                <w:color w:val="000000" w:themeColor="text1"/>
                <w:sz w:val="24"/>
                <w:szCs w:val="24"/>
                <w:lang w:val="en-US" w:eastAsia="zh-CN"/>
                <w14:textFill>
                  <w14:solidFill>
                    <w14:schemeClr w14:val="tx1"/>
                  </w14:solidFill>
                </w14:textFill>
              </w:rPr>
              <w:t>，</w:t>
            </w:r>
            <w:r>
              <w:rPr>
                <w:rFonts w:hint="eastAsia" w:cs="宋体"/>
                <w:color w:val="000000" w:themeColor="text1"/>
                <w:kern w:val="0"/>
                <w:sz w:val="24"/>
                <w:szCs w:val="24"/>
                <w:highlight w:val="none"/>
                <w:lang w:val="en-US" w:eastAsia="zh-CN"/>
                <w14:textFill>
                  <w14:solidFill>
                    <w14:schemeClr w14:val="tx1"/>
                  </w14:solidFill>
                </w14:textFill>
              </w:rPr>
              <w:t>因此，项目脱硫塔定期排水处理措施可行。</w:t>
            </w:r>
          </w:p>
          <w:p w14:paraId="2B6C115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生活污水处置可行性分析</w:t>
            </w:r>
          </w:p>
          <w:p w14:paraId="219A1D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14:textFill>
                  <w14:solidFill>
                    <w14:schemeClr w14:val="tx1"/>
                  </w14:solidFill>
                </w14:textFill>
              </w:rPr>
            </w:pPr>
            <w:r>
              <w:rPr>
                <w:rFonts w:hint="default" w:ascii="Times New Roman" w:hAnsi="Times New Roman" w:eastAsia="宋体" w:cs="Times New Roman"/>
                <w:color w:val="000000" w:themeColor="text1"/>
                <w:sz w:val="24"/>
                <w:szCs w:val="24"/>
                <w:lang w:val="en-US"/>
                <w14:textFill>
                  <w14:solidFill>
                    <w14:schemeClr w14:val="tx1"/>
                  </w14:solidFill>
                </w14:textFill>
              </w:rPr>
              <w:t>根据前文污染源源强核算，项目办公生活废水产生量为</w:t>
            </w:r>
            <w:r>
              <w:rPr>
                <w:rFonts w:hint="eastAsia"/>
                <w:color w:val="000000" w:themeColor="text1"/>
                <w:sz w:val="24"/>
                <w:highlight w:val="none"/>
                <w:lang w:val="en-US" w:eastAsia="zh-CN"/>
                <w14:textFill>
                  <w14:solidFill>
                    <w14:schemeClr w14:val="tx1"/>
                  </w14:solidFill>
                </w14:textFill>
              </w:rPr>
              <w:t>0.8</w:t>
            </w:r>
            <w:r>
              <w:rPr>
                <w:rFonts w:hint="eastAsia"/>
                <w:color w:val="000000" w:themeColor="text1"/>
                <w:sz w:val="24"/>
                <w:highlight w:val="none"/>
                <w14:textFill>
                  <w14:solidFill>
                    <w14:schemeClr w14:val="tx1"/>
                  </w14:solidFill>
                </w14:textFill>
              </w:rPr>
              <w:t>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/d、</w:t>
            </w:r>
            <w:r>
              <w:rPr>
                <w:rFonts w:hint="eastAsia"/>
                <w:color w:val="000000" w:themeColor="text1"/>
                <w:sz w:val="24"/>
                <w:highlight w:val="none"/>
                <w:lang w:val="en-US" w:eastAsia="zh-CN"/>
                <w14:textFill>
                  <w14:solidFill>
                    <w14:schemeClr w14:val="tx1"/>
                  </w14:solidFill>
                </w14:textFill>
              </w:rPr>
              <w:t>240</w:t>
            </w:r>
            <w:r>
              <w:rPr>
                <w:rFonts w:hint="eastAsia"/>
                <w:color w:val="000000" w:themeColor="text1"/>
                <w:sz w:val="24"/>
                <w:highlight w:val="none"/>
                <w14:textFill>
                  <w14:solidFill>
                    <w14:schemeClr w14:val="tx1"/>
                  </w14:solidFill>
                </w14:textFill>
              </w:rPr>
              <w:t>m</w:t>
            </w:r>
            <w:r>
              <w:rPr>
                <w:rFonts w:hint="eastAsia"/>
                <w:color w:val="000000" w:themeColor="text1"/>
                <w:sz w:val="24"/>
                <w:highlight w:val="none"/>
                <w:vertAlign w:val="superscript"/>
                <w14:textFill>
                  <w14:solidFill>
                    <w14:schemeClr w14:val="tx1"/>
                  </w14:solidFill>
                </w14:textFill>
              </w:rPr>
              <w:t>3</w:t>
            </w:r>
            <w:r>
              <w:rPr>
                <w:rFonts w:hint="eastAsia"/>
                <w:color w:val="000000" w:themeColor="text1"/>
                <w:sz w:val="24"/>
                <w:highlight w:val="none"/>
                <w14:textFill>
                  <w14:solidFill>
                    <w14:schemeClr w14:val="tx1"/>
                  </w14:solidFill>
                </w14:textFill>
              </w:rPr>
              <w:t>/a</w:t>
            </w:r>
            <w:r>
              <w:rPr>
                <w:rFonts w:hint="default" w:ascii="Times New Roman" w:hAnsi="Times New Roman" w:eastAsia="宋体" w:cs="Times New Roman"/>
                <w:color w:val="000000" w:themeColor="text1"/>
                <w:sz w:val="24"/>
                <w:szCs w:val="24"/>
                <w:lang w:val="en-US"/>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进入现有项目已设置的化粪池处理，容积为10m</w:t>
            </w:r>
            <w:r>
              <w:rPr>
                <w:rFonts w:hint="eastAsia"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能够满足项目生活污水处理需求</w:t>
            </w:r>
            <w:r>
              <w:rPr>
                <w:rFonts w:hint="default" w:ascii="Times New Roman" w:hAnsi="Times New Roman" w:eastAsia="宋体" w:cs="Times New Roman"/>
                <w:color w:val="000000" w:themeColor="text1"/>
                <w:sz w:val="24"/>
                <w:szCs w:val="24"/>
                <w:lang w:val="en-US"/>
                <w14:textFill>
                  <w14:solidFill>
                    <w14:schemeClr w14:val="tx1"/>
                  </w14:solidFill>
                </w14:textFill>
              </w:rPr>
              <w:t>，化粪池主要沉淀降解废水中SS、COD、氨氮和BOD</w:t>
            </w:r>
            <w:r>
              <w:rPr>
                <w:rFonts w:hint="default" w:ascii="Times New Roman" w:hAnsi="Times New Roman" w:eastAsia="宋体" w:cs="Times New Roman"/>
                <w:color w:val="000000" w:themeColor="text1"/>
                <w:sz w:val="24"/>
                <w:szCs w:val="24"/>
                <w:vertAlign w:val="subscript"/>
                <w:lang w:val="en-US"/>
                <w14:textFill>
                  <w14:solidFill>
                    <w14:schemeClr w14:val="tx1"/>
                  </w14:solidFill>
                </w14:textFill>
              </w:rPr>
              <w:t>5</w:t>
            </w:r>
            <w:r>
              <w:rPr>
                <w:rFonts w:hint="default" w:ascii="Times New Roman" w:hAnsi="Times New Roman" w:eastAsia="宋体" w:cs="Times New Roman"/>
                <w:color w:val="000000" w:themeColor="text1"/>
                <w:sz w:val="24"/>
                <w:szCs w:val="24"/>
                <w:lang w:val="en-US"/>
                <w14:textFill>
                  <w14:solidFill>
                    <w14:schemeClr w14:val="tx1"/>
                  </w14:solidFill>
                </w14:textFill>
              </w:rPr>
              <w:t>，经24h沉淀处理后，SS去除率可达30%，COD去除率可达15%，氨氮去除率可达3%，BOD</w:t>
            </w:r>
            <w:r>
              <w:rPr>
                <w:rFonts w:hint="default" w:ascii="Times New Roman" w:hAnsi="Times New Roman" w:eastAsia="宋体" w:cs="Times New Roman"/>
                <w:color w:val="000000" w:themeColor="text1"/>
                <w:sz w:val="24"/>
                <w:szCs w:val="24"/>
                <w:vertAlign w:val="subscript"/>
                <w:lang w:val="en-US"/>
                <w14:textFill>
                  <w14:solidFill>
                    <w14:schemeClr w14:val="tx1"/>
                  </w14:solidFill>
                </w14:textFill>
              </w:rPr>
              <w:t>5</w:t>
            </w:r>
            <w:r>
              <w:rPr>
                <w:rFonts w:hint="default" w:ascii="Times New Roman" w:hAnsi="Times New Roman" w:eastAsia="宋体" w:cs="Times New Roman"/>
                <w:color w:val="000000" w:themeColor="text1"/>
                <w:sz w:val="24"/>
                <w:szCs w:val="24"/>
                <w:lang w:val="en-US"/>
                <w14:textFill>
                  <w14:solidFill>
                    <w14:schemeClr w14:val="tx1"/>
                  </w14:solidFill>
                </w14:textFill>
              </w:rPr>
              <w:t>去除率可达9%。</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项目区无排水条件，周边有大量的农田</w:t>
            </w:r>
            <w:r>
              <w:rPr>
                <w:rFonts w:hint="default" w:ascii="Times New Roman" w:hAnsi="Times New Roman" w:eastAsia="宋体" w:cs="Times New Roman"/>
                <w:color w:val="000000" w:themeColor="text1"/>
                <w:sz w:val="24"/>
                <w:szCs w:val="24"/>
                <w:lang w:val="en-US"/>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本项目生活污水产生量小经化粪池处理后可作农肥使用，因此，项目生活污水处理措施可行</w:t>
            </w:r>
            <w:r>
              <w:rPr>
                <w:rFonts w:hint="default" w:ascii="Times New Roman" w:hAnsi="Times New Roman" w:eastAsia="宋体" w:cs="Times New Roman"/>
                <w:color w:val="000000" w:themeColor="text1"/>
                <w:sz w:val="24"/>
                <w:szCs w:val="24"/>
                <w:lang w:val="en-US"/>
                <w14:textFill>
                  <w14:solidFill>
                    <w14:schemeClr w14:val="tx1"/>
                  </w14:solidFill>
                </w14:textFill>
              </w:rPr>
              <w:t>。</w:t>
            </w:r>
          </w:p>
          <w:p w14:paraId="3580541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3</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）初期雨水处置可行性分析</w:t>
            </w:r>
          </w:p>
          <w:p w14:paraId="70B0F4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14:textFill>
                  <w14:solidFill>
                    <w14:schemeClr w14:val="tx1"/>
                  </w14:solidFill>
                </w14:textFill>
              </w:rPr>
            </w:pPr>
            <w:r>
              <w:rPr>
                <w:rFonts w:hint="default" w:ascii="Times New Roman" w:hAnsi="Times New Roman" w:eastAsia="宋体" w:cs="Times New Roman"/>
                <w:color w:val="000000" w:themeColor="text1"/>
                <w:sz w:val="24"/>
                <w:szCs w:val="24"/>
                <w:lang w:val="en-US"/>
                <w14:textFill>
                  <w14:solidFill>
                    <w14:schemeClr w14:val="tx1"/>
                  </w14:solidFill>
                </w14:textFill>
              </w:rPr>
              <w:t>改建完成后，全厂初期雨水量为</w:t>
            </w:r>
            <w:r>
              <w:rPr>
                <w:rFonts w:hint="eastAsia" w:cs="Times New Roman"/>
                <w:color w:val="000000" w:themeColor="text1"/>
                <w:sz w:val="24"/>
                <w:szCs w:val="24"/>
                <w:highlight w:val="none"/>
                <w:lang w:val="en-US" w:eastAsia="zh-CN"/>
                <w14:textFill>
                  <w14:solidFill>
                    <w14:schemeClr w14:val="tx1"/>
                  </w14:solidFill>
                </w14:textFill>
              </w:rPr>
              <w:t>19.4</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/次（</w:t>
            </w:r>
            <w:r>
              <w:rPr>
                <w:rFonts w:hint="eastAsia" w:cs="Times New Roman"/>
                <w:color w:val="000000" w:themeColor="text1"/>
                <w:sz w:val="24"/>
                <w:szCs w:val="24"/>
                <w:highlight w:val="none"/>
                <w:vertAlign w:val="baseline"/>
                <w:lang w:val="en-US" w:eastAsia="zh-CN"/>
                <w14:textFill>
                  <w14:solidFill>
                    <w14:schemeClr w14:val="tx1"/>
                  </w14:solidFill>
                </w14:textFill>
              </w:rPr>
              <w:t>2910</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/a）</w:t>
            </w:r>
            <w:r>
              <w:rPr>
                <w:rFonts w:hint="default" w:ascii="Times New Roman" w:hAnsi="Times New Roman" w:eastAsia="宋体" w:cs="Times New Roman"/>
                <w:color w:val="000000" w:themeColor="text1"/>
                <w:sz w:val="24"/>
                <w:szCs w:val="24"/>
                <w:lang w:val="en-US"/>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进入现有项目已设置的1个</w:t>
            </w:r>
            <w:r>
              <w:rPr>
                <w:rFonts w:hint="default" w:ascii="Times New Roman" w:hAnsi="Times New Roman" w:eastAsia="宋体" w:cs="Times New Roman"/>
                <w:color w:val="000000" w:themeColor="text1"/>
                <w:sz w:val="24"/>
                <w:szCs w:val="24"/>
                <w:lang w:val="en-US"/>
                <w14:textFill>
                  <w14:solidFill>
                    <w14:schemeClr w14:val="tx1"/>
                  </w14:solidFill>
                </w14:textFill>
              </w:rPr>
              <w:t>容积为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20</w:t>
            </w:r>
            <w:r>
              <w:rPr>
                <w:rFonts w:hint="default" w:ascii="Times New Roman" w:hAnsi="Times New Roman" w:eastAsia="宋体" w:cs="Times New Roman"/>
                <w:color w:val="000000" w:themeColor="text1"/>
                <w:sz w:val="24"/>
                <w:szCs w:val="24"/>
                <w:lang w:val="en-US"/>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lang w:val="en-US"/>
                <w14:textFill>
                  <w14:solidFill>
                    <w14:schemeClr w14:val="tx1"/>
                  </w14:solidFill>
                </w14:textFill>
              </w:rPr>
              <w:t>3</w:t>
            </w:r>
            <w:r>
              <w:rPr>
                <w:rFonts w:hint="default" w:ascii="Times New Roman" w:hAnsi="Times New Roman" w:eastAsia="宋体" w:cs="Times New Roman"/>
                <w:color w:val="000000" w:themeColor="text1"/>
                <w:sz w:val="24"/>
                <w:szCs w:val="24"/>
                <w:lang w:val="en-US"/>
                <w14:textFill>
                  <w14:solidFill>
                    <w14:schemeClr w14:val="tx1"/>
                  </w14:solidFill>
                </w14:textFill>
              </w:rPr>
              <w:t>的</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初期雨水收集池收集沉淀后全部回用于项目洒水降尘用水及搅拌用水</w:t>
            </w:r>
            <w:r>
              <w:rPr>
                <w:rFonts w:hint="default" w:ascii="Times New Roman" w:hAnsi="Times New Roman" w:eastAsia="宋体" w:cs="Times New Roman"/>
                <w:color w:val="000000" w:themeColor="text1"/>
                <w:sz w:val="24"/>
                <w:szCs w:val="24"/>
                <w:lang w:val="en-US"/>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14:textFill>
                  <w14:solidFill>
                    <w14:schemeClr w14:val="tx1"/>
                  </w14:solidFill>
                </w14:textFill>
              </w:rPr>
              <w:t>项目改建完成后</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项目洒水降尘用水及搅拌用水</w:t>
            </w:r>
            <w:r>
              <w:rPr>
                <w:rFonts w:hint="eastAsia" w:cs="Times New Roman"/>
                <w:bCs/>
                <w:color w:val="000000" w:themeColor="text1"/>
                <w:sz w:val="24"/>
                <w:szCs w:val="24"/>
                <w:highlight w:val="none"/>
                <w:lang w:val="en-US" w:eastAsia="zh-CN"/>
                <w14:textFill>
                  <w14:solidFill>
                    <w14:schemeClr w14:val="tx1"/>
                  </w14:solidFill>
                </w14:textFill>
              </w:rPr>
              <w:t>总</w:t>
            </w:r>
            <w:r>
              <w:rPr>
                <w:rFonts w:hint="default" w:ascii="Times New Roman" w:hAnsi="Times New Roman" w:eastAsia="宋体" w:cs="Times New Roman"/>
                <w:color w:val="000000" w:themeColor="text1"/>
                <w:sz w:val="24"/>
                <w:szCs w:val="24"/>
                <w:highlight w:val="none"/>
                <w:lang w:val="en-US"/>
                <w14:textFill>
                  <w14:solidFill>
                    <w14:schemeClr w14:val="tx1"/>
                  </w14:solidFill>
                </w14:textFill>
              </w:rPr>
              <w:t>量为</w:t>
            </w:r>
            <w:r>
              <w:rPr>
                <w:rFonts w:hint="eastAsia" w:cs="Times New Roman"/>
                <w:color w:val="000000" w:themeColor="text1"/>
                <w:sz w:val="24"/>
                <w:szCs w:val="24"/>
                <w:highlight w:val="none"/>
                <w:lang w:val="en-US" w:eastAsia="zh-CN"/>
                <w14:textFill>
                  <w14:solidFill>
                    <w14:schemeClr w14:val="tx1"/>
                  </w14:solidFill>
                </w14:textFill>
              </w:rPr>
              <w:t>309.06</w:t>
            </w:r>
            <w:r>
              <w:rPr>
                <w:rFonts w:hint="default" w:ascii="Times New Roman" w:hAnsi="Times New Roman" w:eastAsia="宋体" w:cs="Times New Roman"/>
                <w:color w:val="000000" w:themeColor="text1"/>
                <w:sz w:val="24"/>
                <w:szCs w:val="24"/>
                <w:highlight w:val="none"/>
                <w:lang w:val="en-US"/>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lang w:val="en-US"/>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d（</w:t>
            </w:r>
            <w:r>
              <w:rPr>
                <w:rFonts w:hint="eastAsia" w:cs="Times New Roman"/>
                <w:color w:val="000000" w:themeColor="text1"/>
                <w:sz w:val="24"/>
                <w:szCs w:val="24"/>
                <w:highlight w:val="none"/>
                <w:lang w:val="en-US" w:eastAsia="zh-CN"/>
                <w14:textFill>
                  <w14:solidFill>
                    <w14:schemeClr w14:val="tx1"/>
                  </w14:solidFill>
                </w14:textFill>
              </w:rPr>
              <w:t>92354</w:t>
            </w:r>
            <w:r>
              <w:rPr>
                <w:rFonts w:hint="default" w:ascii="Times New Roman" w:hAnsi="Times New Roman" w:eastAsia="宋体" w:cs="Times New Roman"/>
                <w:color w:val="000000" w:themeColor="text1"/>
                <w:sz w:val="24"/>
                <w:szCs w:val="24"/>
                <w:highlight w:val="none"/>
                <w:lang w:val="en-US"/>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lang w:val="en-US"/>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a）</w:t>
            </w:r>
            <w:r>
              <w:rPr>
                <w:rFonts w:hint="default" w:ascii="Times New Roman" w:hAnsi="Times New Roman" w:eastAsia="宋体" w:cs="Times New Roman"/>
                <w:color w:val="000000" w:themeColor="text1"/>
                <w:sz w:val="24"/>
                <w:szCs w:val="24"/>
                <w:highlight w:val="none"/>
                <w:lang w:val="en-US"/>
                <w14:textFill>
                  <w14:solidFill>
                    <w14:schemeClr w14:val="tx1"/>
                  </w14:solidFill>
                </w14:textFill>
              </w:rPr>
              <w:t>，</w:t>
            </w:r>
            <w:r>
              <w:rPr>
                <w:rFonts w:hint="eastAsia" w:cs="宋体"/>
                <w:color w:val="000000" w:themeColor="text1"/>
                <w:kern w:val="0"/>
                <w:sz w:val="24"/>
                <w:szCs w:val="24"/>
                <w:highlight w:val="none"/>
                <w:lang w:val="en-US" w:eastAsia="zh-CN"/>
                <w14:textFill>
                  <w14:solidFill>
                    <w14:schemeClr w14:val="tx1"/>
                  </w14:solidFill>
                </w14:textFill>
              </w:rPr>
              <w:t>根据水量平衡分析，项目初期雨水能够全部回用搅拌用水，</w:t>
            </w:r>
            <w:r>
              <w:rPr>
                <w:rFonts w:hint="default" w:ascii="Times New Roman" w:hAnsi="Times New Roman" w:eastAsia="宋体" w:cs="Times New Roman"/>
                <w:color w:val="000000" w:themeColor="text1"/>
                <w:sz w:val="24"/>
                <w:szCs w:val="24"/>
                <w:lang w:val="en-US"/>
                <w14:textFill>
                  <w14:solidFill>
                    <w14:schemeClr w14:val="tx1"/>
                  </w14:solidFill>
                </w14:textFill>
              </w:rPr>
              <w:t>满足初期雨水回用不外排的条件。且</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现有项目已建的</w:t>
            </w:r>
            <w:r>
              <w:rPr>
                <w:rFonts w:hint="default" w:ascii="Times New Roman" w:hAnsi="Times New Roman" w:eastAsia="宋体" w:cs="Times New Roman"/>
                <w:color w:val="000000" w:themeColor="text1"/>
                <w:sz w:val="24"/>
                <w:szCs w:val="24"/>
                <w:lang w:val="en-US"/>
                <w14:textFill>
                  <w14:solidFill>
                    <w14:schemeClr w14:val="tx1"/>
                  </w14:solidFill>
                </w14:textFill>
              </w:rPr>
              <w:t>初期雨水池容量</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满足</w:t>
            </w:r>
            <w:r>
              <w:rPr>
                <w:rFonts w:hint="default" w:ascii="Times New Roman" w:hAnsi="Times New Roman" w:eastAsia="宋体" w:cs="Times New Roman"/>
                <w:color w:val="000000" w:themeColor="text1"/>
                <w:sz w:val="24"/>
                <w:szCs w:val="24"/>
                <w:lang w:val="en-US"/>
                <w14:textFill>
                  <w14:solidFill>
                    <w14:schemeClr w14:val="tx1"/>
                  </w14:solidFill>
                </w14:textFill>
              </w:rPr>
              <w:t>初期雨水收集</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需求</w:t>
            </w:r>
            <w:r>
              <w:rPr>
                <w:rFonts w:hint="default" w:ascii="Times New Roman" w:hAnsi="Times New Roman" w:eastAsia="宋体" w:cs="Times New Roman"/>
                <w:color w:val="000000" w:themeColor="text1"/>
                <w:sz w:val="24"/>
                <w:szCs w:val="24"/>
                <w:lang w:val="en-US"/>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其次</w:t>
            </w:r>
            <w:r>
              <w:rPr>
                <w:rFonts w:hint="default" w:ascii="Times New Roman" w:hAnsi="Times New Roman" w:eastAsia="宋体" w:cs="Times New Roman"/>
                <w:color w:val="000000" w:themeColor="text1"/>
                <w:sz w:val="24"/>
                <w:szCs w:val="24"/>
                <w:lang w:val="en-US"/>
                <w14:textFill>
                  <w14:solidFill>
                    <w14:schemeClr w14:val="tx1"/>
                  </w14:solidFill>
                </w14:textFill>
              </w:rPr>
              <w:t>初期雨水中主要的污染物为雨水冲刷地面的灰尘带来的SS，通过初期雨水池收集，收集池有一定的沉淀作用，可以去除部分污染物，</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项目搅拌</w:t>
            </w:r>
            <w:r>
              <w:rPr>
                <w:rFonts w:hint="default" w:ascii="Times New Roman" w:hAnsi="Times New Roman" w:eastAsia="宋体" w:cs="Times New Roman"/>
                <w:color w:val="000000" w:themeColor="text1"/>
                <w:sz w:val="24"/>
                <w:szCs w:val="24"/>
                <w:lang w:val="en-US"/>
                <w14:textFill>
                  <w14:solidFill>
                    <w14:schemeClr w14:val="tx1"/>
                  </w14:solidFill>
                </w14:textFill>
              </w:rPr>
              <w:t>用水</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及洒水降尘用水</w:t>
            </w:r>
            <w:r>
              <w:rPr>
                <w:rFonts w:hint="default" w:ascii="Times New Roman" w:hAnsi="Times New Roman" w:eastAsia="宋体" w:cs="Times New Roman"/>
                <w:color w:val="000000" w:themeColor="text1"/>
                <w:sz w:val="24"/>
                <w:szCs w:val="24"/>
                <w:lang w:val="en-US"/>
                <w14:textFill>
                  <w14:solidFill>
                    <w14:schemeClr w14:val="tx1"/>
                  </w14:solidFill>
                </w14:textFill>
              </w:rPr>
              <w:t>对水质没有较高的要求，因此初期雨水经初期雨水池</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沉淀</w:t>
            </w:r>
            <w:r>
              <w:rPr>
                <w:rFonts w:hint="default" w:ascii="Times New Roman" w:hAnsi="Times New Roman" w:eastAsia="宋体" w:cs="Times New Roman"/>
                <w:color w:val="000000" w:themeColor="text1"/>
                <w:sz w:val="24"/>
                <w:szCs w:val="24"/>
                <w:lang w:val="en-US"/>
                <w14:textFill>
                  <w14:solidFill>
                    <w14:schemeClr w14:val="tx1"/>
                  </w14:solidFill>
                </w14:textFill>
              </w:rPr>
              <w:t>后回用是可行的。综上所述，项目初期雨水</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处置</w:t>
            </w:r>
            <w:r>
              <w:rPr>
                <w:rFonts w:hint="default" w:ascii="Times New Roman" w:hAnsi="Times New Roman" w:eastAsia="宋体" w:cs="Times New Roman"/>
                <w:color w:val="000000" w:themeColor="text1"/>
                <w:sz w:val="24"/>
                <w:szCs w:val="24"/>
                <w:lang w:val="en-US"/>
                <w14:textFill>
                  <w14:solidFill>
                    <w14:schemeClr w14:val="tx1"/>
                  </w14:solidFill>
                </w14:textFill>
              </w:rPr>
              <w:t>可行。</w:t>
            </w:r>
          </w:p>
          <w:p w14:paraId="7B5390C0">
            <w:pPr>
              <w:pStyle w:val="16"/>
              <w:spacing w:after="0" w:line="360" w:lineRule="auto"/>
              <w:ind w:left="0" w:leftChars="0" w:firstLine="482" w:firstLineChars="200"/>
              <w:rPr>
                <w:b/>
                <w:bCs/>
                <w:color w:val="000000" w:themeColor="text1"/>
                <w:lang w:val="en-US"/>
                <w14:textFill>
                  <w14:solidFill>
                    <w14:schemeClr w14:val="tx1"/>
                  </w14:solidFill>
                </w14:textFill>
              </w:rPr>
            </w:pPr>
            <w:r>
              <w:rPr>
                <w:rFonts w:hint="eastAsia"/>
                <w:b/>
                <w:bCs/>
                <w:color w:val="000000" w:themeColor="text1"/>
                <w:lang w:val="en-US"/>
                <w14:textFill>
                  <w14:solidFill>
                    <w14:schemeClr w14:val="tx1"/>
                  </w14:solidFill>
                </w14:textFill>
              </w:rPr>
              <w:t>2.</w:t>
            </w:r>
            <w:r>
              <w:rPr>
                <w:rFonts w:hint="eastAsia"/>
                <w:b/>
                <w:bCs/>
                <w:color w:val="000000" w:themeColor="text1"/>
                <w:lang w:val="en-US" w:eastAsia="zh-CN"/>
                <w14:textFill>
                  <w14:solidFill>
                    <w14:schemeClr w14:val="tx1"/>
                  </w14:solidFill>
                </w14:textFill>
              </w:rPr>
              <w:t>4</w:t>
            </w:r>
            <w:r>
              <w:rPr>
                <w:b/>
                <w:bCs/>
                <w:color w:val="000000" w:themeColor="text1"/>
                <w:lang w:val="en-US"/>
                <w14:textFill>
                  <w14:solidFill>
                    <w14:schemeClr w14:val="tx1"/>
                  </w14:solidFill>
                </w14:textFill>
              </w:rPr>
              <w:t>废水影响分析结论</w:t>
            </w:r>
          </w:p>
          <w:p w14:paraId="6AA98762">
            <w:pPr>
              <w:autoSpaceDE w:val="0"/>
              <w:autoSpaceDN w:val="0"/>
              <w:adjustRightInd w:val="0"/>
              <w:snapToGrid w:val="0"/>
              <w:spacing w:line="360" w:lineRule="auto"/>
              <w:ind w:firstLine="480" w:firstLineChars="200"/>
              <w:rPr>
                <w:rFonts w:hint="default" w:eastAsia="宋体"/>
                <w:color w:val="000000" w:themeColor="text1"/>
                <w:kern w:val="0"/>
                <w:sz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项目改扩建完成后，项目区</w:t>
            </w:r>
            <w:r>
              <w:rPr>
                <w:rFonts w:hint="eastAsia"/>
                <w:color w:val="000000" w:themeColor="text1"/>
                <w:sz w:val="24"/>
                <w:szCs w:val="24"/>
                <w14:textFill>
                  <w14:solidFill>
                    <w14:schemeClr w14:val="tx1"/>
                  </w14:solidFill>
                </w14:textFill>
              </w:rPr>
              <w:t>建设完善的雨污分流排水系统</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雨水经雨水</w:t>
            </w:r>
            <w:r>
              <w:rPr>
                <w:rFonts w:hint="eastAsia"/>
                <w:color w:val="000000" w:themeColor="text1"/>
                <w:sz w:val="24"/>
                <w:szCs w:val="24"/>
                <w:lang w:val="en-US" w:eastAsia="zh-CN"/>
                <w14:textFill>
                  <w14:solidFill>
                    <w14:schemeClr w14:val="tx1"/>
                  </w14:solidFill>
                </w14:textFill>
              </w:rPr>
              <w:t>沟收集后</w:t>
            </w:r>
            <w:r>
              <w:rPr>
                <w:rFonts w:hint="eastAsia"/>
                <w:b w:val="0"/>
                <w:bCs w:val="0"/>
                <w:color w:val="000000" w:themeColor="text1"/>
                <w:sz w:val="24"/>
                <w:szCs w:val="24"/>
                <w:vertAlign w:val="baseline"/>
                <w:lang w:val="en-US" w:eastAsia="zh-CN"/>
                <w14:textFill>
                  <w14:solidFill>
                    <w14:schemeClr w14:val="tx1"/>
                  </w14:solidFill>
                </w14:textFill>
              </w:rPr>
              <w:t>前15min初期雨水依托原有的</w:t>
            </w:r>
            <w:r>
              <w:rPr>
                <w:rFonts w:hint="eastAsia"/>
                <w:color w:val="000000" w:themeColor="text1"/>
                <w:sz w:val="24"/>
                <w:szCs w:val="24"/>
                <w14:textFill>
                  <w14:solidFill>
                    <w14:schemeClr w14:val="tx1"/>
                  </w14:solidFill>
                </w14:textFill>
              </w:rPr>
              <w:t>1个容积为20m</w:t>
            </w:r>
            <w:r>
              <w:rPr>
                <w:rFonts w:hint="eastAsia"/>
                <w:color w:val="000000" w:themeColor="text1"/>
                <w:sz w:val="24"/>
                <w:szCs w:val="24"/>
                <w:vertAlign w:val="superscript"/>
                <w14:textFill>
                  <w14:solidFill>
                    <w14:schemeClr w14:val="tx1"/>
                  </w14:solidFill>
                </w14:textFill>
              </w:rPr>
              <w:t>3</w:t>
            </w:r>
            <w:r>
              <w:rPr>
                <w:rFonts w:hint="eastAsia"/>
                <w:color w:val="000000" w:themeColor="text1"/>
                <w:sz w:val="24"/>
                <w:szCs w:val="24"/>
                <w14:textFill>
                  <w14:solidFill>
                    <w14:schemeClr w14:val="tx1"/>
                  </w14:solidFill>
                </w14:textFill>
              </w:rPr>
              <w:t>的</w:t>
            </w:r>
            <w:r>
              <w:rPr>
                <w:rFonts w:hint="eastAsia"/>
                <w:color w:val="000000" w:themeColor="text1"/>
                <w:sz w:val="24"/>
                <w:szCs w:val="24"/>
                <w:lang w:eastAsia="zh-CN"/>
                <w14:textFill>
                  <w14:solidFill>
                    <w14:schemeClr w14:val="tx1"/>
                  </w14:solidFill>
                </w14:textFill>
              </w:rPr>
              <w:t>初期雨水收集池收集沉淀后</w:t>
            </w:r>
            <w:r>
              <w:rPr>
                <w:rFonts w:hint="eastAsia"/>
                <w:b w:val="0"/>
                <w:bCs w:val="0"/>
                <w:color w:val="000000" w:themeColor="text1"/>
                <w:sz w:val="24"/>
                <w:szCs w:val="24"/>
                <w:vertAlign w:val="baseline"/>
                <w:lang w:val="en-US" w:eastAsia="zh-CN"/>
                <w14:textFill>
                  <w14:solidFill>
                    <w14:schemeClr w14:val="tx1"/>
                  </w14:solidFill>
                </w14:textFill>
              </w:rPr>
              <w:t>，新增回用系统全部</w:t>
            </w:r>
            <w:r>
              <w:rPr>
                <w:rFonts w:hint="eastAsia"/>
                <w:color w:val="000000" w:themeColor="text1"/>
                <w:sz w:val="24"/>
                <w:szCs w:val="24"/>
                <w:lang w:val="en-US" w:eastAsia="zh-CN"/>
                <w14:textFill>
                  <w14:solidFill>
                    <w14:schemeClr w14:val="tx1"/>
                  </w14:solidFill>
                </w14:textFill>
              </w:rPr>
              <w:t>回用至搅拌用水及洒水降尘用水，</w:t>
            </w:r>
            <w:r>
              <w:rPr>
                <w:rFonts w:hint="eastAsia"/>
                <w:b w:val="0"/>
                <w:bCs w:val="0"/>
                <w:color w:val="000000" w:themeColor="text1"/>
                <w:sz w:val="24"/>
                <w:szCs w:val="24"/>
                <w:vertAlign w:val="baseline"/>
                <w:lang w:val="en-US" w:eastAsia="zh-CN"/>
                <w14:textFill>
                  <w14:solidFill>
                    <w14:schemeClr w14:val="tx1"/>
                  </w14:solidFill>
                </w14:textFill>
              </w:rPr>
              <w:t>后期雨水通过雨水沟渠外排，并设置规范的雨水排放口。</w:t>
            </w:r>
            <w:r>
              <w:rPr>
                <w:rFonts w:hint="eastAsia"/>
                <w:color w:val="000000" w:themeColor="text1"/>
                <w:sz w:val="24"/>
                <w14:textFill>
                  <w14:solidFill>
                    <w14:schemeClr w14:val="tx1"/>
                  </w14:solidFill>
                </w14:textFill>
              </w:rPr>
              <w:t>生活区生活污水</w:t>
            </w:r>
            <w:r>
              <w:rPr>
                <w:rFonts w:hint="eastAsia"/>
                <w:color w:val="000000" w:themeColor="text1"/>
                <w:sz w:val="24"/>
                <w:lang w:val="en-US" w:eastAsia="zh-CN"/>
                <w14:textFill>
                  <w14:solidFill>
                    <w14:schemeClr w14:val="tx1"/>
                  </w14:solidFill>
                </w14:textFill>
              </w:rPr>
              <w:t>依托原有的</w:t>
            </w:r>
            <w:r>
              <w:rPr>
                <w:rFonts w:hint="eastAsia"/>
                <w:color w:val="000000" w:themeColor="text1"/>
                <w:sz w:val="24"/>
                <w14:textFill>
                  <w14:solidFill>
                    <w14:schemeClr w14:val="tx1"/>
                  </w14:solidFill>
                </w14:textFill>
              </w:rPr>
              <w:t>1个容积为10m</w:t>
            </w:r>
            <w:r>
              <w:rPr>
                <w:rFonts w:hint="eastAsia"/>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的化粪池处理后定期清掏用作农肥。</w:t>
            </w:r>
            <w:r>
              <w:rPr>
                <w:rFonts w:hint="eastAsia"/>
                <w:color w:val="000000" w:themeColor="text1"/>
                <w:sz w:val="24"/>
                <w:lang w:val="en-US" w:eastAsia="zh-CN"/>
                <w14:textFill>
                  <w14:solidFill>
                    <w14:schemeClr w14:val="tx1"/>
                  </w14:solidFill>
                </w14:textFill>
              </w:rPr>
              <w:t>脱硫塔定期排水依托原有的</w:t>
            </w:r>
            <w:r>
              <w:rPr>
                <w:rFonts w:hint="eastAsia"/>
                <w:color w:val="000000" w:themeColor="text1"/>
                <w:sz w:val="24"/>
                <w14:textFill>
                  <w14:solidFill>
                    <w14:schemeClr w14:val="tx1"/>
                  </w14:solidFill>
                </w14:textFill>
              </w:rPr>
              <w:t>1个容积为80m</w:t>
            </w:r>
            <w:r>
              <w:rPr>
                <w:rFonts w:hint="eastAsia"/>
                <w:color w:val="000000" w:themeColor="text1"/>
                <w:sz w:val="24"/>
                <w:vertAlign w:val="superscript"/>
                <w14:textFill>
                  <w14:solidFill>
                    <w14:schemeClr w14:val="tx1"/>
                  </w14:solidFill>
                </w14:textFill>
              </w:rPr>
              <w:t>3</w:t>
            </w:r>
            <w:r>
              <w:rPr>
                <w:rFonts w:hint="eastAsia"/>
                <w:color w:val="000000" w:themeColor="text1"/>
                <w:sz w:val="24"/>
                <w:lang w:val="en-US" w:eastAsia="zh-CN"/>
                <w14:textFill>
                  <w14:solidFill>
                    <w14:schemeClr w14:val="tx1"/>
                  </w14:solidFill>
                </w14:textFill>
              </w:rPr>
              <w:t>的循环沉淀池</w:t>
            </w:r>
            <w:r>
              <w:rPr>
                <w:rFonts w:hint="eastAsia" w:cs="Times New Roman"/>
                <w:b w:val="0"/>
                <w:bCs/>
                <w:color w:val="000000" w:themeColor="text1"/>
                <w:sz w:val="24"/>
                <w:szCs w:val="24"/>
                <w:highlight w:val="none"/>
                <w:vertAlign w:val="baseline"/>
                <w:lang w:val="en-US" w:eastAsia="zh-CN"/>
                <w14:textFill>
                  <w14:solidFill>
                    <w14:schemeClr w14:val="tx1"/>
                  </w14:solidFill>
                </w14:textFill>
              </w:rPr>
              <w:t>中和絮凝沉淀处理</w:t>
            </w:r>
            <w:r>
              <w:rPr>
                <w:rFonts w:hint="eastAsia"/>
                <w:color w:val="000000" w:themeColor="text1"/>
                <w:sz w:val="24"/>
                <w14:textFill>
                  <w14:solidFill>
                    <w14:schemeClr w14:val="tx1"/>
                  </w14:solidFill>
                </w14:textFill>
              </w:rPr>
              <w:t>后全部回用于</w:t>
            </w:r>
            <w:r>
              <w:rPr>
                <w:rFonts w:hint="eastAsia"/>
                <w:color w:val="000000" w:themeColor="text1"/>
                <w:sz w:val="24"/>
                <w:lang w:val="en-US" w:eastAsia="zh-CN"/>
                <w14:textFill>
                  <w14:solidFill>
                    <w14:schemeClr w14:val="tx1"/>
                  </w14:solidFill>
                </w14:textFill>
              </w:rPr>
              <w:t>搅拌用水</w:t>
            </w:r>
            <w:r>
              <w:rPr>
                <w:rFonts w:hint="eastAsia"/>
                <w:color w:val="000000" w:themeColor="text1"/>
                <w:sz w:val="24"/>
                <w14:textFill>
                  <w14:solidFill>
                    <w14:schemeClr w14:val="tx1"/>
                  </w14:solidFill>
                </w14:textFill>
              </w:rPr>
              <w:t>，不外排</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根据水量平衡，项目产生的废水能够全部回用，</w:t>
            </w:r>
            <w:r>
              <w:rPr>
                <w:rFonts w:hint="eastAsia"/>
                <w:color w:val="000000" w:themeColor="text1"/>
                <w:sz w:val="24"/>
                <w14:textFill>
                  <w14:solidFill>
                    <w14:schemeClr w14:val="tx1"/>
                  </w14:solidFill>
                </w14:textFill>
              </w:rPr>
              <w:t>无废水直排</w:t>
            </w:r>
            <w:r>
              <w:rPr>
                <w:rFonts w:hint="eastAsia" w:ascii="宋体" w:hAnsi="宋体" w:cs="宋体"/>
                <w:color w:val="000000" w:themeColor="text1"/>
                <w:kern w:val="0"/>
                <w:sz w:val="24"/>
                <w:lang w:bidi="ar"/>
                <w14:textFill>
                  <w14:solidFill>
                    <w14:schemeClr w14:val="tx1"/>
                  </w14:solidFill>
                </w14:textFill>
              </w:rPr>
              <w:t>，对区域地表水环境影响较小。</w:t>
            </w:r>
          </w:p>
          <w:p w14:paraId="3926DCE7">
            <w:pPr>
              <w:pStyle w:val="9"/>
              <w:adjustRightInd w:val="0"/>
              <w:spacing w:before="0" w:after="0" w:line="360" w:lineRule="auto"/>
              <w:ind w:right="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3、噪声</w:t>
            </w:r>
          </w:p>
          <w:p w14:paraId="37B06224">
            <w:pPr>
              <w:pStyle w:val="9"/>
              <w:adjustRightInd w:val="0"/>
              <w:spacing w:before="0" w:after="0" w:line="360" w:lineRule="auto"/>
              <w:ind w:right="0"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3.1噪声污染源强分析</w:t>
            </w:r>
          </w:p>
          <w:p w14:paraId="39A6D930">
            <w:pPr>
              <w:adjustRightInd w:val="0"/>
              <w:snapToGrid w:val="0"/>
              <w:spacing w:line="360" w:lineRule="auto"/>
              <w:ind w:firstLine="480" w:firstLineChars="200"/>
              <w:rPr>
                <w:color w:val="000000" w:themeColor="text1"/>
                <w:kern w:val="0"/>
                <w:sz w:val="24"/>
                <w:lang w:val="zh-CN" w:bidi="ar"/>
                <w14:textFill>
                  <w14:solidFill>
                    <w14:schemeClr w14:val="tx1"/>
                  </w14:solidFill>
                </w14:textFill>
              </w:rPr>
            </w:pPr>
            <w:r>
              <w:rPr>
                <w:color w:val="000000" w:themeColor="text1"/>
                <w:kern w:val="0"/>
                <w:sz w:val="24"/>
                <w:lang w:val="zh-CN" w:bidi="ar"/>
                <w14:textFill>
                  <w14:solidFill>
                    <w14:schemeClr w14:val="tx1"/>
                  </w14:solidFill>
                </w14:textFill>
              </w:rPr>
              <w:t>项目噪声来源于</w:t>
            </w:r>
            <w:r>
              <w:rPr>
                <w:rFonts w:hint="eastAsia"/>
                <w:color w:val="000000" w:themeColor="text1"/>
                <w:kern w:val="0"/>
                <w:sz w:val="24"/>
                <w:lang w:val="en-US" w:eastAsia="zh-CN" w:bidi="ar"/>
                <w14:textFill>
                  <w14:solidFill>
                    <w14:schemeClr w14:val="tx1"/>
                  </w14:solidFill>
                </w14:textFill>
              </w:rPr>
              <w:t>破碎机、筛分机、风机</w:t>
            </w:r>
            <w:r>
              <w:rPr>
                <w:color w:val="000000" w:themeColor="text1"/>
                <w:kern w:val="0"/>
                <w:sz w:val="24"/>
                <w:lang w:val="zh-CN" w:bidi="ar"/>
                <w14:textFill>
                  <w14:solidFill>
                    <w14:schemeClr w14:val="tx1"/>
                  </w14:solidFill>
                </w14:textFill>
              </w:rPr>
              <w:t>等设备的运行过程，噪声源强范围在</w:t>
            </w:r>
            <w:r>
              <w:rPr>
                <w:rFonts w:hint="eastAsia"/>
                <w:color w:val="000000" w:themeColor="text1"/>
                <w:kern w:val="0"/>
                <w:sz w:val="24"/>
                <w:lang w:val="en-US" w:eastAsia="zh-CN" w:bidi="ar"/>
                <w14:textFill>
                  <w14:solidFill>
                    <w14:schemeClr w14:val="tx1"/>
                  </w14:solidFill>
                </w14:textFill>
              </w:rPr>
              <w:t>75</w:t>
            </w:r>
            <w:r>
              <w:rPr>
                <w:color w:val="000000" w:themeColor="text1"/>
                <w:kern w:val="0"/>
                <w:sz w:val="24"/>
                <w:lang w:val="zh-CN" w:bidi="ar"/>
                <w14:textFill>
                  <w14:solidFill>
                    <w14:schemeClr w14:val="tx1"/>
                  </w14:solidFill>
                </w14:textFill>
              </w:rPr>
              <w:t>～</w:t>
            </w:r>
            <w:r>
              <w:rPr>
                <w:rFonts w:hint="eastAsia"/>
                <w:color w:val="000000" w:themeColor="text1"/>
                <w:kern w:val="0"/>
                <w:sz w:val="24"/>
                <w:lang w:val="en-US" w:eastAsia="zh-CN" w:bidi="ar"/>
                <w14:textFill>
                  <w14:solidFill>
                    <w14:schemeClr w14:val="tx1"/>
                  </w14:solidFill>
                </w14:textFill>
              </w:rPr>
              <w:t>95</w:t>
            </w:r>
            <w:r>
              <w:rPr>
                <w:color w:val="000000" w:themeColor="text1"/>
                <w:kern w:val="0"/>
                <w:sz w:val="24"/>
                <w:lang w:val="zh-CN" w:bidi="ar"/>
                <w14:textFill>
                  <w14:solidFill>
                    <w14:schemeClr w14:val="tx1"/>
                  </w14:solidFill>
                </w14:textFill>
              </w:rPr>
              <w:t>dB</w:t>
            </w:r>
            <w:r>
              <w:rPr>
                <w:rFonts w:hint="eastAsia"/>
                <w:color w:val="000000" w:themeColor="text1"/>
                <w:kern w:val="0"/>
                <w:sz w:val="24"/>
                <w:lang w:val="zh-CN" w:bidi="ar"/>
                <w14:textFill>
                  <w14:solidFill>
                    <w14:schemeClr w14:val="tx1"/>
                  </w14:solidFill>
                </w14:textFill>
              </w:rPr>
              <w:t>（</w:t>
            </w:r>
            <w:r>
              <w:rPr>
                <w:rFonts w:hint="eastAsia"/>
                <w:color w:val="000000" w:themeColor="text1"/>
                <w:kern w:val="0"/>
                <w:sz w:val="24"/>
                <w:lang w:bidi="ar"/>
                <w14:textFill>
                  <w14:solidFill>
                    <w14:schemeClr w14:val="tx1"/>
                  </w14:solidFill>
                </w14:textFill>
              </w:rPr>
              <w:t>A</w:t>
            </w:r>
            <w:r>
              <w:rPr>
                <w:rFonts w:hint="eastAsia"/>
                <w:color w:val="000000" w:themeColor="text1"/>
                <w:kern w:val="0"/>
                <w:sz w:val="24"/>
                <w:lang w:val="zh-CN" w:bidi="ar"/>
                <w14:textFill>
                  <w14:solidFill>
                    <w14:schemeClr w14:val="tx1"/>
                  </w14:solidFill>
                </w14:textFill>
              </w:rPr>
              <w:t>）</w:t>
            </w:r>
            <w:r>
              <w:rPr>
                <w:color w:val="000000" w:themeColor="text1"/>
                <w:kern w:val="0"/>
                <w:sz w:val="24"/>
                <w:lang w:val="zh-CN" w:bidi="ar"/>
                <w14:textFill>
                  <w14:solidFill>
                    <w14:schemeClr w14:val="tx1"/>
                  </w14:solidFill>
                </w14:textFill>
              </w:rPr>
              <w:t>之间，噪声源声级列于表</w:t>
            </w:r>
            <w:r>
              <w:rPr>
                <w:color w:val="000000" w:themeColor="text1"/>
                <w:kern w:val="0"/>
                <w:sz w:val="24"/>
                <w:lang w:bidi="ar"/>
                <w14:textFill>
                  <w14:solidFill>
                    <w14:schemeClr w14:val="tx1"/>
                  </w14:solidFill>
                </w14:textFill>
              </w:rPr>
              <w:t>4-</w:t>
            </w:r>
            <w:r>
              <w:rPr>
                <w:rFonts w:hint="eastAsia"/>
                <w:color w:val="000000" w:themeColor="text1"/>
                <w:kern w:val="0"/>
                <w:sz w:val="24"/>
                <w:lang w:bidi="ar"/>
                <w14:textFill>
                  <w14:solidFill>
                    <w14:schemeClr w14:val="tx1"/>
                  </w14:solidFill>
                </w14:textFill>
              </w:rPr>
              <w:t>1</w:t>
            </w:r>
            <w:r>
              <w:rPr>
                <w:rFonts w:hint="eastAsia"/>
                <w:color w:val="000000" w:themeColor="text1"/>
                <w:kern w:val="0"/>
                <w:sz w:val="24"/>
                <w:lang w:val="en-US" w:eastAsia="zh-CN" w:bidi="ar"/>
                <w14:textFill>
                  <w14:solidFill>
                    <w14:schemeClr w14:val="tx1"/>
                  </w14:solidFill>
                </w14:textFill>
              </w:rPr>
              <w:t>9</w:t>
            </w:r>
            <w:r>
              <w:rPr>
                <w:color w:val="000000" w:themeColor="text1"/>
                <w:kern w:val="0"/>
                <w:sz w:val="24"/>
                <w:lang w:val="zh-CN" w:bidi="ar"/>
                <w14:textFill>
                  <w14:solidFill>
                    <w14:schemeClr w14:val="tx1"/>
                  </w14:solidFill>
                </w14:textFill>
              </w:rPr>
              <w:t>。</w:t>
            </w:r>
          </w:p>
          <w:p w14:paraId="2A976449">
            <w:pPr>
              <w:adjustRightInd w:val="0"/>
              <w:snapToGrid w:val="0"/>
              <w:ind w:firstLine="482" w:firstLineChars="200"/>
              <w:jc w:val="center"/>
              <w:rPr>
                <w:rFonts w:hint="default" w:eastAsia="宋体"/>
                <w:b/>
                <w:color w:val="000000" w:themeColor="text1"/>
                <w:sz w:val="24"/>
                <w:lang w:val="en-US" w:eastAsia="zh-CN"/>
                <w14:textFill>
                  <w14:solidFill>
                    <w14:schemeClr w14:val="tx1"/>
                  </w14:solidFill>
                </w14:textFill>
              </w:rPr>
            </w:pPr>
            <w:r>
              <w:rPr>
                <w:b/>
                <w:color w:val="000000" w:themeColor="text1"/>
                <w:sz w:val="24"/>
                <w14:textFill>
                  <w14:solidFill>
                    <w14:schemeClr w14:val="tx1"/>
                  </w14:solidFill>
                </w14:textFill>
              </w:rPr>
              <w:t>表4-</w:t>
            </w:r>
            <w:r>
              <w:rPr>
                <w:rFonts w:hint="eastAsia"/>
                <w:b/>
                <w:color w:val="000000" w:themeColor="text1"/>
                <w:sz w:val="24"/>
                <w14:textFill>
                  <w14:solidFill>
                    <w14:schemeClr w14:val="tx1"/>
                  </w14:solidFill>
                </w14:textFill>
              </w:rPr>
              <w:t>1</w:t>
            </w:r>
            <w:r>
              <w:rPr>
                <w:rFonts w:hint="eastAsia"/>
                <w:b/>
                <w:color w:val="000000" w:themeColor="text1"/>
                <w:sz w:val="24"/>
                <w:lang w:val="en-US" w:eastAsia="zh-CN"/>
                <w14:textFill>
                  <w14:solidFill>
                    <w14:schemeClr w14:val="tx1"/>
                  </w14:solidFill>
                </w14:textFill>
              </w:rPr>
              <w:t>9</w:t>
            </w:r>
            <w:r>
              <w:rPr>
                <w:b/>
                <w:color w:val="000000" w:themeColor="text1"/>
                <w:sz w:val="24"/>
                <w14:textFill>
                  <w14:solidFill>
                    <w14:schemeClr w14:val="tx1"/>
                  </w14:solidFill>
                </w14:textFill>
              </w:rPr>
              <w:t xml:space="preserve">   运营期</w:t>
            </w:r>
            <w:r>
              <w:rPr>
                <w:rFonts w:hint="eastAsia"/>
                <w:b/>
                <w:color w:val="000000" w:themeColor="text1"/>
                <w:sz w:val="24"/>
                <w:lang w:val="en-US" w:eastAsia="zh-CN"/>
                <w14:textFill>
                  <w14:solidFill>
                    <w14:schemeClr w14:val="tx1"/>
                  </w14:solidFill>
                </w14:textFill>
              </w:rPr>
              <w:t>噪声源调查一览表</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748"/>
              <w:gridCol w:w="623"/>
              <w:gridCol w:w="636"/>
              <w:gridCol w:w="807"/>
              <w:gridCol w:w="849"/>
              <w:gridCol w:w="516"/>
              <w:gridCol w:w="624"/>
              <w:gridCol w:w="696"/>
              <w:gridCol w:w="624"/>
              <w:gridCol w:w="730"/>
              <w:gridCol w:w="724"/>
              <w:gridCol w:w="630"/>
            </w:tblGrid>
            <w:tr w14:paraId="1C0C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restart"/>
                  <w:noWrap w:val="0"/>
                  <w:vAlign w:val="center"/>
                </w:tcPr>
                <w:p w14:paraId="3C530AD5">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建筑名称</w:t>
                  </w:r>
                </w:p>
              </w:tc>
              <w:tc>
                <w:tcPr>
                  <w:tcW w:w="431" w:type="pct"/>
                  <w:vMerge w:val="restart"/>
                  <w:noWrap w:val="0"/>
                  <w:vAlign w:val="center"/>
                </w:tcPr>
                <w:p w14:paraId="02B2BFE1">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声源</w:t>
                  </w:r>
                </w:p>
                <w:p w14:paraId="33A47687">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名称</w:t>
                  </w:r>
                </w:p>
              </w:tc>
              <w:tc>
                <w:tcPr>
                  <w:tcW w:w="359" w:type="pct"/>
                  <w:vMerge w:val="restart"/>
                  <w:noWrap w:val="0"/>
                  <w:vAlign w:val="center"/>
                </w:tcPr>
                <w:p w14:paraId="05CD03B2">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声压级</w:t>
                  </w:r>
                  <w:r>
                    <w:rPr>
                      <w:rFonts w:hint="eastAsia"/>
                      <w:bCs/>
                      <w:color w:val="000000" w:themeColor="text1"/>
                      <w:sz w:val="18"/>
                      <w:szCs w:val="18"/>
                      <w:lang w:val="en-US" w:eastAsia="zh-CN"/>
                      <w14:textFill>
                        <w14:solidFill>
                          <w14:schemeClr w14:val="tx1"/>
                        </w14:solidFill>
                      </w14:textFill>
                    </w:rPr>
                    <w:t>/</w:t>
                  </w:r>
                  <w:r>
                    <w:rPr>
                      <w:rFonts w:hint="eastAsia"/>
                      <w:color w:val="000000" w:themeColor="text1"/>
                      <w:sz w:val="18"/>
                      <w:szCs w:val="18"/>
                      <w14:textFill>
                        <w14:solidFill>
                          <w14:schemeClr w14:val="tx1"/>
                        </w14:solidFill>
                      </w14:textFill>
                    </w:rPr>
                    <w:t>dB（A）</w:t>
                  </w:r>
                </w:p>
              </w:tc>
              <w:tc>
                <w:tcPr>
                  <w:tcW w:w="366" w:type="pct"/>
                  <w:vMerge w:val="restart"/>
                  <w:noWrap w:val="0"/>
                  <w:vAlign w:val="center"/>
                </w:tcPr>
                <w:p w14:paraId="16473F3F">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控制措施</w:t>
                  </w:r>
                </w:p>
              </w:tc>
              <w:tc>
                <w:tcPr>
                  <w:tcW w:w="1252" w:type="pct"/>
                  <w:gridSpan w:val="3"/>
                  <w:noWrap w:val="0"/>
                  <w:vAlign w:val="center"/>
                </w:tcPr>
                <w:p w14:paraId="714BB034">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相对空间位置</w:t>
                  </w:r>
                  <w:r>
                    <w:rPr>
                      <w:rFonts w:hint="eastAsia"/>
                      <w:bCs/>
                      <w:color w:val="000000" w:themeColor="text1"/>
                      <w:sz w:val="18"/>
                      <w:szCs w:val="18"/>
                      <w14:textFill>
                        <w14:solidFill>
                          <w14:schemeClr w14:val="tx1"/>
                        </w14:solidFill>
                      </w14:textFill>
                    </w:rPr>
                    <w:t>/m</w:t>
                  </w:r>
                </w:p>
              </w:tc>
              <w:tc>
                <w:tcPr>
                  <w:tcW w:w="359" w:type="pct"/>
                  <w:vMerge w:val="restart"/>
                  <w:noWrap w:val="0"/>
                  <w:vAlign w:val="center"/>
                </w:tcPr>
                <w:p w14:paraId="14F61E84">
                  <w:pPr>
                    <w:jc w:val="center"/>
                    <w:rPr>
                      <w:rFonts w:hint="default" w:eastAsia="宋体"/>
                      <w:bCs/>
                      <w:color w:val="000000" w:themeColor="text1"/>
                      <w:sz w:val="18"/>
                      <w:szCs w:val="18"/>
                      <w:lang w:val="en-US" w:eastAsia="zh-CN"/>
                      <w14:textFill>
                        <w14:solidFill>
                          <w14:schemeClr w14:val="tx1"/>
                        </w14:solidFill>
                      </w14:textFill>
                    </w:rPr>
                  </w:pPr>
                  <w:r>
                    <w:rPr>
                      <w:bCs/>
                      <w:color w:val="000000" w:themeColor="text1"/>
                      <w:sz w:val="18"/>
                      <w:szCs w:val="18"/>
                      <w14:textFill>
                        <w14:solidFill>
                          <w14:schemeClr w14:val="tx1"/>
                        </w14:solidFill>
                      </w14:textFill>
                    </w:rPr>
                    <w:t>距室内边界距离</w:t>
                  </w:r>
                  <w:r>
                    <w:rPr>
                      <w:rFonts w:hint="eastAsia"/>
                      <w:bCs/>
                      <w:color w:val="000000" w:themeColor="text1"/>
                      <w:sz w:val="18"/>
                      <w:szCs w:val="18"/>
                      <w:lang w:val="en-US" w:eastAsia="zh-CN"/>
                      <w14:textFill>
                        <w14:solidFill>
                          <w14:schemeClr w14:val="tx1"/>
                        </w14:solidFill>
                      </w14:textFill>
                    </w:rPr>
                    <w:t>/m</w:t>
                  </w:r>
                </w:p>
              </w:tc>
              <w:tc>
                <w:tcPr>
                  <w:tcW w:w="401" w:type="pct"/>
                  <w:vMerge w:val="restart"/>
                  <w:noWrap w:val="0"/>
                  <w:vAlign w:val="center"/>
                </w:tcPr>
                <w:p w14:paraId="25944165">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室内边界声级</w:t>
                  </w:r>
                  <w:r>
                    <w:rPr>
                      <w:rFonts w:hint="eastAsia"/>
                      <w:bCs/>
                      <w:color w:val="000000" w:themeColor="text1"/>
                      <w:sz w:val="18"/>
                      <w:szCs w:val="18"/>
                      <w:lang w:val="en-US" w:eastAsia="zh-CN"/>
                      <w14:textFill>
                        <w14:solidFill>
                          <w14:schemeClr w14:val="tx1"/>
                        </w14:solidFill>
                      </w14:textFill>
                    </w:rPr>
                    <w:t>/</w:t>
                  </w:r>
                  <w:r>
                    <w:rPr>
                      <w:rFonts w:hint="eastAsia"/>
                      <w:color w:val="000000" w:themeColor="text1"/>
                      <w:sz w:val="18"/>
                      <w:szCs w:val="18"/>
                      <w14:textFill>
                        <w14:solidFill>
                          <w14:schemeClr w14:val="tx1"/>
                        </w14:solidFill>
                      </w14:textFill>
                    </w:rPr>
                    <w:t>dB（A）</w:t>
                  </w:r>
                </w:p>
              </w:tc>
              <w:tc>
                <w:tcPr>
                  <w:tcW w:w="359" w:type="pct"/>
                  <w:vMerge w:val="restart"/>
                  <w:noWrap w:val="0"/>
                  <w:vAlign w:val="center"/>
                </w:tcPr>
                <w:p w14:paraId="6EBE6A4D">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运行时段</w:t>
                  </w:r>
                </w:p>
              </w:tc>
              <w:tc>
                <w:tcPr>
                  <w:tcW w:w="420" w:type="pct"/>
                  <w:vMerge w:val="restart"/>
                  <w:noWrap w:val="0"/>
                  <w:vAlign w:val="center"/>
                </w:tcPr>
                <w:p w14:paraId="5298CC02">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建筑物插入损失</w:t>
                  </w:r>
                  <w:r>
                    <w:rPr>
                      <w:rFonts w:hint="eastAsia"/>
                      <w:color w:val="000000" w:themeColor="text1"/>
                      <w:sz w:val="18"/>
                      <w:szCs w:val="18"/>
                      <w14:textFill>
                        <w14:solidFill>
                          <w14:schemeClr w14:val="tx1"/>
                        </w14:solidFill>
                      </w14:textFill>
                    </w:rPr>
                    <w:t>dB（A）</w:t>
                  </w:r>
                </w:p>
              </w:tc>
              <w:tc>
                <w:tcPr>
                  <w:tcW w:w="780" w:type="pct"/>
                  <w:gridSpan w:val="2"/>
                  <w:noWrap w:val="0"/>
                  <w:vAlign w:val="center"/>
                </w:tcPr>
                <w:p w14:paraId="51CDF156">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建筑物外噪声</w:t>
                  </w:r>
                </w:p>
              </w:tc>
            </w:tr>
            <w:tr w14:paraId="0964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noWrap w:val="0"/>
                  <w:vAlign w:val="center"/>
                </w:tcPr>
                <w:p w14:paraId="014240ED">
                  <w:pPr>
                    <w:jc w:val="center"/>
                    <w:rPr>
                      <w:bCs/>
                      <w:color w:val="000000" w:themeColor="text1"/>
                      <w:sz w:val="18"/>
                      <w:szCs w:val="18"/>
                      <w14:textFill>
                        <w14:solidFill>
                          <w14:schemeClr w14:val="tx1"/>
                        </w14:solidFill>
                      </w14:textFill>
                    </w:rPr>
                  </w:pPr>
                </w:p>
              </w:tc>
              <w:tc>
                <w:tcPr>
                  <w:tcW w:w="431" w:type="pct"/>
                  <w:vMerge w:val="continue"/>
                  <w:noWrap w:val="0"/>
                  <w:vAlign w:val="center"/>
                </w:tcPr>
                <w:p w14:paraId="0B538692">
                  <w:pPr>
                    <w:jc w:val="center"/>
                    <w:rPr>
                      <w:bCs/>
                      <w:color w:val="000000" w:themeColor="text1"/>
                      <w:sz w:val="18"/>
                      <w:szCs w:val="18"/>
                      <w14:textFill>
                        <w14:solidFill>
                          <w14:schemeClr w14:val="tx1"/>
                        </w14:solidFill>
                      </w14:textFill>
                    </w:rPr>
                  </w:pPr>
                </w:p>
              </w:tc>
              <w:tc>
                <w:tcPr>
                  <w:tcW w:w="359" w:type="pct"/>
                  <w:vMerge w:val="continue"/>
                  <w:noWrap w:val="0"/>
                  <w:vAlign w:val="center"/>
                </w:tcPr>
                <w:p w14:paraId="5C921D65">
                  <w:pPr>
                    <w:jc w:val="center"/>
                    <w:rPr>
                      <w:bCs/>
                      <w:color w:val="000000" w:themeColor="text1"/>
                      <w:sz w:val="18"/>
                      <w:szCs w:val="18"/>
                      <w14:textFill>
                        <w14:solidFill>
                          <w14:schemeClr w14:val="tx1"/>
                        </w14:solidFill>
                      </w14:textFill>
                    </w:rPr>
                  </w:pPr>
                </w:p>
              </w:tc>
              <w:tc>
                <w:tcPr>
                  <w:tcW w:w="366" w:type="pct"/>
                  <w:vMerge w:val="continue"/>
                  <w:noWrap w:val="0"/>
                  <w:vAlign w:val="center"/>
                </w:tcPr>
                <w:p w14:paraId="0DDC8DA0">
                  <w:pPr>
                    <w:jc w:val="center"/>
                    <w:rPr>
                      <w:bCs/>
                      <w:color w:val="000000" w:themeColor="text1"/>
                      <w:sz w:val="18"/>
                      <w:szCs w:val="18"/>
                      <w14:textFill>
                        <w14:solidFill>
                          <w14:schemeClr w14:val="tx1"/>
                        </w14:solidFill>
                      </w14:textFill>
                    </w:rPr>
                  </w:pPr>
                </w:p>
              </w:tc>
              <w:tc>
                <w:tcPr>
                  <w:tcW w:w="465" w:type="pct"/>
                  <w:noWrap w:val="0"/>
                  <w:vAlign w:val="center"/>
                </w:tcPr>
                <w:p w14:paraId="3612FFC0">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X</w:t>
                  </w:r>
                </w:p>
              </w:tc>
              <w:tc>
                <w:tcPr>
                  <w:tcW w:w="489" w:type="pct"/>
                  <w:noWrap w:val="0"/>
                  <w:vAlign w:val="center"/>
                </w:tcPr>
                <w:p w14:paraId="2FEA9756">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Y</w:t>
                  </w:r>
                </w:p>
              </w:tc>
              <w:tc>
                <w:tcPr>
                  <w:tcW w:w="297" w:type="pct"/>
                  <w:noWrap w:val="0"/>
                  <w:vAlign w:val="center"/>
                </w:tcPr>
                <w:p w14:paraId="5C8CA35B">
                  <w:pPr>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Z</w:t>
                  </w:r>
                </w:p>
              </w:tc>
              <w:tc>
                <w:tcPr>
                  <w:tcW w:w="359" w:type="pct"/>
                  <w:vMerge w:val="continue"/>
                  <w:noWrap w:val="0"/>
                  <w:vAlign w:val="center"/>
                </w:tcPr>
                <w:p w14:paraId="090FB3C4">
                  <w:pPr>
                    <w:jc w:val="center"/>
                    <w:rPr>
                      <w:bCs/>
                      <w:color w:val="000000" w:themeColor="text1"/>
                      <w:sz w:val="18"/>
                      <w:szCs w:val="18"/>
                      <w14:textFill>
                        <w14:solidFill>
                          <w14:schemeClr w14:val="tx1"/>
                        </w14:solidFill>
                      </w14:textFill>
                    </w:rPr>
                  </w:pPr>
                </w:p>
              </w:tc>
              <w:tc>
                <w:tcPr>
                  <w:tcW w:w="401" w:type="pct"/>
                  <w:vMerge w:val="continue"/>
                  <w:noWrap w:val="0"/>
                  <w:vAlign w:val="center"/>
                </w:tcPr>
                <w:p w14:paraId="7F5F412F">
                  <w:pPr>
                    <w:jc w:val="center"/>
                    <w:rPr>
                      <w:bCs/>
                      <w:color w:val="000000" w:themeColor="text1"/>
                      <w:sz w:val="18"/>
                      <w:szCs w:val="18"/>
                      <w14:textFill>
                        <w14:solidFill>
                          <w14:schemeClr w14:val="tx1"/>
                        </w14:solidFill>
                      </w14:textFill>
                    </w:rPr>
                  </w:pPr>
                </w:p>
              </w:tc>
              <w:tc>
                <w:tcPr>
                  <w:tcW w:w="359" w:type="pct"/>
                  <w:vMerge w:val="continue"/>
                  <w:noWrap w:val="0"/>
                  <w:vAlign w:val="center"/>
                </w:tcPr>
                <w:p w14:paraId="252DA10A">
                  <w:pPr>
                    <w:jc w:val="center"/>
                    <w:rPr>
                      <w:bCs/>
                      <w:color w:val="000000" w:themeColor="text1"/>
                      <w:sz w:val="18"/>
                      <w:szCs w:val="18"/>
                      <w14:textFill>
                        <w14:solidFill>
                          <w14:schemeClr w14:val="tx1"/>
                        </w14:solidFill>
                      </w14:textFill>
                    </w:rPr>
                  </w:pPr>
                </w:p>
              </w:tc>
              <w:tc>
                <w:tcPr>
                  <w:tcW w:w="420" w:type="pct"/>
                  <w:vMerge w:val="continue"/>
                  <w:noWrap w:val="0"/>
                  <w:vAlign w:val="center"/>
                </w:tcPr>
                <w:p w14:paraId="1E1A84C1">
                  <w:pPr>
                    <w:jc w:val="center"/>
                    <w:rPr>
                      <w:bCs/>
                      <w:color w:val="000000" w:themeColor="text1"/>
                      <w:sz w:val="18"/>
                      <w:szCs w:val="18"/>
                      <w14:textFill>
                        <w14:solidFill>
                          <w14:schemeClr w14:val="tx1"/>
                        </w14:solidFill>
                      </w14:textFill>
                    </w:rPr>
                  </w:pPr>
                </w:p>
              </w:tc>
              <w:tc>
                <w:tcPr>
                  <w:tcW w:w="417" w:type="pct"/>
                  <w:noWrap w:val="0"/>
                  <w:vAlign w:val="center"/>
                </w:tcPr>
                <w:p w14:paraId="33C2E6C7">
                  <w:pPr>
                    <w:pStyle w:val="78"/>
                    <w:ind w:firstLine="0" w:firstLineChars="0"/>
                    <w:rPr>
                      <w:rFonts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t>声压级/dB（A）</w:t>
                  </w:r>
                </w:p>
              </w:tc>
              <w:tc>
                <w:tcPr>
                  <w:tcW w:w="363" w:type="pct"/>
                  <w:noWrap w:val="0"/>
                  <w:vAlign w:val="center"/>
                </w:tcPr>
                <w:p w14:paraId="4FE57FCF">
                  <w:pPr>
                    <w:pStyle w:val="78"/>
                    <w:ind w:firstLine="0" w:firstLineChars="0"/>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2"/>
                      <w:sz w:val="18"/>
                      <w:szCs w:val="18"/>
                      <w:lang w:val="en-US" w:eastAsia="zh-CN" w:bidi="ar-SA"/>
                      <w14:textFill>
                        <w14:solidFill>
                          <w14:schemeClr w14:val="tx1"/>
                        </w14:solidFill>
                      </w14:textFill>
                    </w:rPr>
                    <w:t>建筑物外距离</w:t>
                  </w:r>
                  <w:r>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t>/m</w:t>
                  </w:r>
                </w:p>
              </w:tc>
            </w:tr>
            <w:tr w14:paraId="2831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restart"/>
                  <w:noWrap w:val="0"/>
                  <w:vAlign w:val="center"/>
                </w:tcPr>
                <w:p w14:paraId="52C71CE8">
                  <w:pPr>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原料贮存库</w:t>
                  </w:r>
                </w:p>
              </w:tc>
              <w:tc>
                <w:tcPr>
                  <w:tcW w:w="431" w:type="pct"/>
                  <w:noWrap w:val="0"/>
                  <w:vAlign w:val="center"/>
                </w:tcPr>
                <w:p w14:paraId="6C1212E2">
                  <w:pPr>
                    <w:widowControl/>
                    <w:jc w:val="center"/>
                    <w:textAlignment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破碎机</w:t>
                  </w:r>
                </w:p>
              </w:tc>
              <w:tc>
                <w:tcPr>
                  <w:tcW w:w="359" w:type="pct"/>
                  <w:noWrap w:val="0"/>
                  <w:vAlign w:val="center"/>
                </w:tcPr>
                <w:p w14:paraId="43834EDF">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95</w:t>
                  </w:r>
                </w:p>
              </w:tc>
              <w:tc>
                <w:tcPr>
                  <w:tcW w:w="366" w:type="pct"/>
                  <w:vMerge w:val="restart"/>
                  <w:noWrap w:val="0"/>
                  <w:vAlign w:val="center"/>
                </w:tcPr>
                <w:p w14:paraId="21EC6A29">
                  <w:pPr>
                    <w:jc w:val="center"/>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厂房隔声基础减振降噪</w:t>
                  </w:r>
                </w:p>
              </w:tc>
              <w:tc>
                <w:tcPr>
                  <w:tcW w:w="465" w:type="pct"/>
                  <w:noWrap w:val="0"/>
                  <w:vAlign w:val="center"/>
                </w:tcPr>
                <w:p w14:paraId="2F29C4D5">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-249.64</w:t>
                  </w:r>
                </w:p>
              </w:tc>
              <w:tc>
                <w:tcPr>
                  <w:tcW w:w="489" w:type="pct"/>
                  <w:noWrap w:val="0"/>
                  <w:vAlign w:val="center"/>
                </w:tcPr>
                <w:p w14:paraId="47579425">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-525.2</w:t>
                  </w:r>
                </w:p>
              </w:tc>
              <w:tc>
                <w:tcPr>
                  <w:tcW w:w="297" w:type="pct"/>
                  <w:noWrap w:val="0"/>
                  <w:vAlign w:val="center"/>
                </w:tcPr>
                <w:p w14:paraId="6B3C9E8C">
                  <w:pPr>
                    <w:jc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w:t>
                  </w:r>
                </w:p>
              </w:tc>
              <w:tc>
                <w:tcPr>
                  <w:tcW w:w="359" w:type="pct"/>
                  <w:noWrap w:val="0"/>
                  <w:vAlign w:val="center"/>
                </w:tcPr>
                <w:p w14:paraId="28B04CC1">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42</w:t>
                  </w:r>
                </w:p>
              </w:tc>
              <w:tc>
                <w:tcPr>
                  <w:tcW w:w="401" w:type="pct"/>
                  <w:noWrap w:val="0"/>
                  <w:vAlign w:val="center"/>
                </w:tcPr>
                <w:p w14:paraId="235ABDFF">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62.5</w:t>
                  </w:r>
                </w:p>
              </w:tc>
              <w:tc>
                <w:tcPr>
                  <w:tcW w:w="359" w:type="pct"/>
                  <w:vMerge w:val="restart"/>
                  <w:noWrap w:val="0"/>
                  <w:vAlign w:val="center"/>
                </w:tcPr>
                <w:p w14:paraId="053C9CFE">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8</w:t>
                  </w:r>
                  <w:r>
                    <w:rPr>
                      <w:rFonts w:hint="eastAsia"/>
                      <w:bCs/>
                      <w:color w:val="000000" w:themeColor="text1"/>
                      <w:sz w:val="18"/>
                      <w:szCs w:val="18"/>
                      <w14:textFill>
                        <w14:solidFill>
                          <w14:schemeClr w14:val="tx1"/>
                        </w14:solidFill>
                      </w14:textFill>
                    </w:rPr>
                    <w:t>:00~</w:t>
                  </w:r>
                </w:p>
                <w:p w14:paraId="288789A9">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20</w:t>
                  </w:r>
                  <w:r>
                    <w:rPr>
                      <w:rFonts w:hint="eastAsia"/>
                      <w:bCs/>
                      <w:color w:val="000000" w:themeColor="text1"/>
                      <w:sz w:val="18"/>
                      <w:szCs w:val="18"/>
                      <w14:textFill>
                        <w14:solidFill>
                          <w14:schemeClr w14:val="tx1"/>
                        </w14:solidFill>
                      </w14:textFill>
                    </w:rPr>
                    <w:t>:00</w:t>
                  </w:r>
                </w:p>
              </w:tc>
              <w:tc>
                <w:tcPr>
                  <w:tcW w:w="420" w:type="pct"/>
                  <w:noWrap w:val="0"/>
                  <w:vAlign w:val="center"/>
                </w:tcPr>
                <w:p w14:paraId="2995E5EF">
                  <w:pPr>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15</w:t>
                  </w:r>
                </w:p>
              </w:tc>
              <w:tc>
                <w:tcPr>
                  <w:tcW w:w="417" w:type="pct"/>
                  <w:noWrap w:val="0"/>
                  <w:vAlign w:val="center"/>
                </w:tcPr>
                <w:p w14:paraId="025DC7F3">
                  <w:pPr>
                    <w:keepNext w:val="0"/>
                    <w:keepLines w:val="0"/>
                    <w:widowControl/>
                    <w:suppressLineNumbers w:val="0"/>
                    <w:jc w:val="center"/>
                    <w:textAlignment w:val="center"/>
                    <w:rPr>
                      <w:bCs/>
                      <w:color w:val="000000" w:themeColor="text1"/>
                      <w:sz w:val="18"/>
                      <w:szCs w:val="18"/>
                      <w14:textFill>
                        <w14:solidFill>
                          <w14:schemeClr w14:val="tx1"/>
                        </w14:solidFill>
                      </w14:textFill>
                    </w:rPr>
                  </w:pPr>
                  <w:r>
                    <w:rPr>
                      <w:rFonts w:hint="default" w:ascii="Times New Roman" w:hAnsi="Times New Roman" w:eastAsia="等线" w:cs="Times New Roman"/>
                      <w:i w:val="0"/>
                      <w:iCs w:val="0"/>
                      <w:color w:val="000000" w:themeColor="text1"/>
                      <w:kern w:val="0"/>
                      <w:sz w:val="18"/>
                      <w:szCs w:val="18"/>
                      <w:u w:val="none"/>
                      <w:lang w:val="en-US" w:eastAsia="zh-CN" w:bidi="ar"/>
                      <w14:textFill>
                        <w14:solidFill>
                          <w14:schemeClr w14:val="tx1"/>
                        </w14:solidFill>
                      </w14:textFill>
                    </w:rPr>
                    <w:t>47.5</w:t>
                  </w:r>
                </w:p>
              </w:tc>
              <w:tc>
                <w:tcPr>
                  <w:tcW w:w="363" w:type="pct"/>
                  <w:noWrap w:val="0"/>
                  <w:vAlign w:val="center"/>
                </w:tcPr>
                <w:p w14:paraId="33A60249">
                  <w:pPr>
                    <w:jc w:val="center"/>
                    <w:rPr>
                      <w:rFonts w:hint="eastAsia"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w:t>
                  </w:r>
                </w:p>
              </w:tc>
            </w:tr>
            <w:tr w14:paraId="4417D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noWrap w:val="0"/>
                  <w:vAlign w:val="center"/>
                </w:tcPr>
                <w:p w14:paraId="73038897">
                  <w:pPr>
                    <w:jc w:val="center"/>
                    <w:rPr>
                      <w:bCs/>
                      <w:color w:val="000000" w:themeColor="text1"/>
                      <w:sz w:val="18"/>
                      <w:szCs w:val="18"/>
                      <w14:textFill>
                        <w14:solidFill>
                          <w14:schemeClr w14:val="tx1"/>
                        </w14:solidFill>
                      </w14:textFill>
                    </w:rPr>
                  </w:pPr>
                </w:p>
              </w:tc>
              <w:tc>
                <w:tcPr>
                  <w:tcW w:w="431" w:type="pct"/>
                  <w:noWrap w:val="0"/>
                  <w:vAlign w:val="center"/>
                </w:tcPr>
                <w:p w14:paraId="454D7FBE">
                  <w:pPr>
                    <w:widowControl/>
                    <w:jc w:val="center"/>
                    <w:textAlignment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筛分机</w:t>
                  </w:r>
                </w:p>
              </w:tc>
              <w:tc>
                <w:tcPr>
                  <w:tcW w:w="359" w:type="pct"/>
                  <w:noWrap w:val="0"/>
                  <w:vAlign w:val="center"/>
                </w:tcPr>
                <w:p w14:paraId="25CD5196">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90</w:t>
                  </w:r>
                </w:p>
              </w:tc>
              <w:tc>
                <w:tcPr>
                  <w:tcW w:w="366" w:type="pct"/>
                  <w:vMerge w:val="continue"/>
                  <w:noWrap w:val="0"/>
                  <w:vAlign w:val="center"/>
                </w:tcPr>
                <w:p w14:paraId="15122C99">
                  <w:pPr>
                    <w:jc w:val="center"/>
                    <w:rPr>
                      <w:bCs/>
                      <w:color w:val="000000" w:themeColor="text1"/>
                      <w:sz w:val="18"/>
                      <w:szCs w:val="18"/>
                      <w14:textFill>
                        <w14:solidFill>
                          <w14:schemeClr w14:val="tx1"/>
                        </w14:solidFill>
                      </w14:textFill>
                    </w:rPr>
                  </w:pPr>
                </w:p>
              </w:tc>
              <w:tc>
                <w:tcPr>
                  <w:tcW w:w="465" w:type="pct"/>
                  <w:noWrap w:val="0"/>
                  <w:vAlign w:val="center"/>
                </w:tcPr>
                <w:p w14:paraId="3741E905">
                  <w:pPr>
                    <w:pStyle w:val="82"/>
                    <w:spacing w:line="240" w:lineRule="auto"/>
                    <w:ind w:firstLine="0"/>
                    <w:jc w:val="center"/>
                    <w:outlineLvl w:val="2"/>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-277.52</w:t>
                  </w:r>
                </w:p>
              </w:tc>
              <w:tc>
                <w:tcPr>
                  <w:tcW w:w="489" w:type="pct"/>
                  <w:noWrap w:val="0"/>
                  <w:vAlign w:val="center"/>
                </w:tcPr>
                <w:p w14:paraId="5DCCD0EF">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-529.56</w:t>
                  </w:r>
                </w:p>
              </w:tc>
              <w:tc>
                <w:tcPr>
                  <w:tcW w:w="297" w:type="pct"/>
                  <w:noWrap w:val="0"/>
                  <w:vAlign w:val="center"/>
                </w:tcPr>
                <w:p w14:paraId="347FAF36">
                  <w:pPr>
                    <w:jc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w:t>
                  </w:r>
                </w:p>
              </w:tc>
              <w:tc>
                <w:tcPr>
                  <w:tcW w:w="359" w:type="pct"/>
                  <w:noWrap w:val="0"/>
                  <w:vAlign w:val="center"/>
                </w:tcPr>
                <w:p w14:paraId="78374B45">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45</w:t>
                  </w:r>
                </w:p>
              </w:tc>
              <w:tc>
                <w:tcPr>
                  <w:tcW w:w="401" w:type="pct"/>
                  <w:noWrap w:val="0"/>
                  <w:vAlign w:val="center"/>
                </w:tcPr>
                <w:p w14:paraId="3335DD99">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56.9</w:t>
                  </w:r>
                </w:p>
              </w:tc>
              <w:tc>
                <w:tcPr>
                  <w:tcW w:w="359" w:type="pct"/>
                  <w:vMerge w:val="continue"/>
                  <w:noWrap w:val="0"/>
                  <w:vAlign w:val="center"/>
                </w:tcPr>
                <w:p w14:paraId="0F338423">
                  <w:pPr>
                    <w:jc w:val="center"/>
                    <w:rPr>
                      <w:bCs/>
                      <w:color w:val="000000" w:themeColor="text1"/>
                      <w:sz w:val="18"/>
                      <w:szCs w:val="18"/>
                      <w14:textFill>
                        <w14:solidFill>
                          <w14:schemeClr w14:val="tx1"/>
                        </w14:solidFill>
                      </w14:textFill>
                    </w:rPr>
                  </w:pPr>
                </w:p>
              </w:tc>
              <w:tc>
                <w:tcPr>
                  <w:tcW w:w="420" w:type="pct"/>
                  <w:noWrap w:val="0"/>
                  <w:vAlign w:val="center"/>
                </w:tcPr>
                <w:p w14:paraId="16C56B42">
                  <w:pPr>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15</w:t>
                  </w:r>
                </w:p>
              </w:tc>
              <w:tc>
                <w:tcPr>
                  <w:tcW w:w="417" w:type="pct"/>
                  <w:noWrap w:val="0"/>
                  <w:vAlign w:val="center"/>
                </w:tcPr>
                <w:p w14:paraId="327061F4">
                  <w:pPr>
                    <w:keepNext w:val="0"/>
                    <w:keepLines w:val="0"/>
                    <w:widowControl/>
                    <w:suppressLineNumbers w:val="0"/>
                    <w:jc w:val="center"/>
                    <w:textAlignment w:val="center"/>
                    <w:rPr>
                      <w:bCs/>
                      <w:color w:val="000000" w:themeColor="text1"/>
                      <w:sz w:val="18"/>
                      <w:szCs w:val="18"/>
                      <w14:textFill>
                        <w14:solidFill>
                          <w14:schemeClr w14:val="tx1"/>
                        </w14:solidFill>
                      </w14:textFill>
                    </w:rPr>
                  </w:pPr>
                  <w:r>
                    <w:rPr>
                      <w:rFonts w:hint="default" w:ascii="Times New Roman" w:hAnsi="Times New Roman" w:eastAsia="等线" w:cs="Times New Roman"/>
                      <w:i w:val="0"/>
                      <w:iCs w:val="0"/>
                      <w:color w:val="000000" w:themeColor="text1"/>
                      <w:kern w:val="0"/>
                      <w:sz w:val="18"/>
                      <w:szCs w:val="18"/>
                      <w:u w:val="none"/>
                      <w:lang w:val="en-US" w:eastAsia="zh-CN" w:bidi="ar"/>
                      <w14:textFill>
                        <w14:solidFill>
                          <w14:schemeClr w14:val="tx1"/>
                        </w14:solidFill>
                      </w14:textFill>
                    </w:rPr>
                    <w:t>41.9</w:t>
                  </w:r>
                </w:p>
              </w:tc>
              <w:tc>
                <w:tcPr>
                  <w:tcW w:w="363" w:type="pct"/>
                  <w:noWrap w:val="0"/>
                  <w:vAlign w:val="center"/>
                </w:tcPr>
                <w:p w14:paraId="7373B12B">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w:t>
                  </w:r>
                </w:p>
              </w:tc>
            </w:tr>
            <w:tr w14:paraId="558FE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noWrap w:val="0"/>
                  <w:vAlign w:val="center"/>
                </w:tcPr>
                <w:p w14:paraId="714B86E5">
                  <w:pPr>
                    <w:jc w:val="center"/>
                    <w:rPr>
                      <w:bCs/>
                      <w:color w:val="000000" w:themeColor="text1"/>
                      <w:sz w:val="18"/>
                      <w:szCs w:val="18"/>
                      <w14:textFill>
                        <w14:solidFill>
                          <w14:schemeClr w14:val="tx1"/>
                        </w14:solidFill>
                      </w14:textFill>
                    </w:rPr>
                  </w:pPr>
                </w:p>
              </w:tc>
              <w:tc>
                <w:tcPr>
                  <w:tcW w:w="431" w:type="pct"/>
                  <w:noWrap w:val="0"/>
                  <w:vAlign w:val="center"/>
                </w:tcPr>
                <w:p w14:paraId="0802B7BC">
                  <w:pPr>
                    <w:widowControl/>
                    <w:jc w:val="center"/>
                    <w:textAlignment w:val="center"/>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粉磨机</w:t>
                  </w:r>
                </w:p>
              </w:tc>
              <w:tc>
                <w:tcPr>
                  <w:tcW w:w="359" w:type="pct"/>
                  <w:noWrap w:val="0"/>
                  <w:vAlign w:val="center"/>
                </w:tcPr>
                <w:p w14:paraId="638C00B1">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90</w:t>
                  </w:r>
                </w:p>
              </w:tc>
              <w:tc>
                <w:tcPr>
                  <w:tcW w:w="366" w:type="pct"/>
                  <w:vMerge w:val="continue"/>
                  <w:noWrap w:val="0"/>
                  <w:vAlign w:val="center"/>
                </w:tcPr>
                <w:p w14:paraId="6036F57C">
                  <w:pPr>
                    <w:jc w:val="center"/>
                    <w:rPr>
                      <w:bCs/>
                      <w:color w:val="000000" w:themeColor="text1"/>
                      <w:sz w:val="18"/>
                      <w:szCs w:val="18"/>
                      <w14:textFill>
                        <w14:solidFill>
                          <w14:schemeClr w14:val="tx1"/>
                        </w14:solidFill>
                      </w14:textFill>
                    </w:rPr>
                  </w:pPr>
                </w:p>
              </w:tc>
              <w:tc>
                <w:tcPr>
                  <w:tcW w:w="465" w:type="pct"/>
                  <w:noWrap w:val="0"/>
                  <w:vAlign w:val="center"/>
                </w:tcPr>
                <w:p w14:paraId="52166913">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-266.19</w:t>
                  </w:r>
                </w:p>
              </w:tc>
              <w:tc>
                <w:tcPr>
                  <w:tcW w:w="489" w:type="pct"/>
                  <w:noWrap w:val="0"/>
                  <w:vAlign w:val="center"/>
                </w:tcPr>
                <w:p w14:paraId="14B0D7FA">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-529.56</w:t>
                  </w:r>
                </w:p>
              </w:tc>
              <w:tc>
                <w:tcPr>
                  <w:tcW w:w="297" w:type="pct"/>
                  <w:noWrap w:val="0"/>
                  <w:vAlign w:val="center"/>
                </w:tcPr>
                <w:p w14:paraId="5988EDF2">
                  <w:pPr>
                    <w:jc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w:t>
                  </w:r>
                </w:p>
              </w:tc>
              <w:tc>
                <w:tcPr>
                  <w:tcW w:w="359" w:type="pct"/>
                  <w:noWrap w:val="0"/>
                  <w:vAlign w:val="center"/>
                </w:tcPr>
                <w:p w14:paraId="602A86ED">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54</w:t>
                  </w:r>
                </w:p>
              </w:tc>
              <w:tc>
                <w:tcPr>
                  <w:tcW w:w="401" w:type="pct"/>
                  <w:noWrap w:val="0"/>
                  <w:vAlign w:val="center"/>
                </w:tcPr>
                <w:p w14:paraId="6EFC4C77">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55.3</w:t>
                  </w:r>
                </w:p>
              </w:tc>
              <w:tc>
                <w:tcPr>
                  <w:tcW w:w="359" w:type="pct"/>
                  <w:vMerge w:val="continue"/>
                  <w:noWrap w:val="0"/>
                  <w:vAlign w:val="center"/>
                </w:tcPr>
                <w:p w14:paraId="2A208280">
                  <w:pPr>
                    <w:jc w:val="center"/>
                    <w:rPr>
                      <w:bCs/>
                      <w:color w:val="000000" w:themeColor="text1"/>
                      <w:sz w:val="18"/>
                      <w:szCs w:val="18"/>
                      <w14:textFill>
                        <w14:solidFill>
                          <w14:schemeClr w14:val="tx1"/>
                        </w14:solidFill>
                      </w14:textFill>
                    </w:rPr>
                  </w:pPr>
                </w:p>
              </w:tc>
              <w:tc>
                <w:tcPr>
                  <w:tcW w:w="420" w:type="pct"/>
                  <w:noWrap w:val="0"/>
                  <w:vAlign w:val="center"/>
                </w:tcPr>
                <w:p w14:paraId="5573CF27">
                  <w:pPr>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15</w:t>
                  </w:r>
                </w:p>
              </w:tc>
              <w:tc>
                <w:tcPr>
                  <w:tcW w:w="417" w:type="pct"/>
                  <w:noWrap w:val="0"/>
                  <w:vAlign w:val="center"/>
                </w:tcPr>
                <w:p w14:paraId="01F7BAA8">
                  <w:pPr>
                    <w:keepNext w:val="0"/>
                    <w:keepLines w:val="0"/>
                    <w:widowControl/>
                    <w:suppressLineNumbers w:val="0"/>
                    <w:jc w:val="center"/>
                    <w:textAlignment w:val="center"/>
                    <w:rPr>
                      <w:bCs/>
                      <w:color w:val="000000" w:themeColor="text1"/>
                      <w:sz w:val="18"/>
                      <w:szCs w:val="18"/>
                      <w14:textFill>
                        <w14:solidFill>
                          <w14:schemeClr w14:val="tx1"/>
                        </w14:solidFill>
                      </w14:textFill>
                    </w:rPr>
                  </w:pPr>
                  <w:r>
                    <w:rPr>
                      <w:rFonts w:hint="default" w:ascii="Times New Roman" w:hAnsi="Times New Roman" w:eastAsia="等线" w:cs="Times New Roman"/>
                      <w:i w:val="0"/>
                      <w:iCs w:val="0"/>
                      <w:color w:val="000000" w:themeColor="text1"/>
                      <w:kern w:val="0"/>
                      <w:sz w:val="18"/>
                      <w:szCs w:val="18"/>
                      <w:u w:val="none"/>
                      <w:lang w:val="en-US" w:eastAsia="zh-CN" w:bidi="ar"/>
                      <w14:textFill>
                        <w14:solidFill>
                          <w14:schemeClr w14:val="tx1"/>
                        </w14:solidFill>
                      </w14:textFill>
                    </w:rPr>
                    <w:t>40.3</w:t>
                  </w:r>
                </w:p>
              </w:tc>
              <w:tc>
                <w:tcPr>
                  <w:tcW w:w="363" w:type="pct"/>
                  <w:noWrap w:val="0"/>
                  <w:vAlign w:val="center"/>
                </w:tcPr>
                <w:p w14:paraId="324FDCF1">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w:t>
                  </w:r>
                </w:p>
              </w:tc>
            </w:tr>
            <w:tr w14:paraId="15959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noWrap w:val="0"/>
                  <w:vAlign w:val="center"/>
                </w:tcPr>
                <w:p w14:paraId="6C9F610A">
                  <w:pPr>
                    <w:jc w:val="center"/>
                    <w:rPr>
                      <w:bCs/>
                      <w:color w:val="000000" w:themeColor="text1"/>
                      <w:sz w:val="18"/>
                      <w:szCs w:val="18"/>
                      <w14:textFill>
                        <w14:solidFill>
                          <w14:schemeClr w14:val="tx1"/>
                        </w14:solidFill>
                      </w14:textFill>
                    </w:rPr>
                  </w:pPr>
                </w:p>
              </w:tc>
              <w:tc>
                <w:tcPr>
                  <w:tcW w:w="431" w:type="pct"/>
                  <w:noWrap w:val="0"/>
                  <w:vAlign w:val="center"/>
                </w:tcPr>
                <w:p w14:paraId="7F0DBBC3">
                  <w:pPr>
                    <w:widowControl/>
                    <w:jc w:val="center"/>
                    <w:textAlignment w:val="center"/>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引风机</w:t>
                  </w:r>
                </w:p>
              </w:tc>
              <w:tc>
                <w:tcPr>
                  <w:tcW w:w="359" w:type="pct"/>
                  <w:noWrap w:val="0"/>
                  <w:vAlign w:val="center"/>
                </w:tcPr>
                <w:p w14:paraId="4A86B20B">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90</w:t>
                  </w:r>
                </w:p>
              </w:tc>
              <w:tc>
                <w:tcPr>
                  <w:tcW w:w="366" w:type="pct"/>
                  <w:vMerge w:val="continue"/>
                  <w:noWrap w:val="0"/>
                  <w:vAlign w:val="center"/>
                </w:tcPr>
                <w:p w14:paraId="43376B9B">
                  <w:pPr>
                    <w:jc w:val="center"/>
                    <w:rPr>
                      <w:bCs/>
                      <w:color w:val="000000" w:themeColor="text1"/>
                      <w:sz w:val="18"/>
                      <w:szCs w:val="18"/>
                      <w14:textFill>
                        <w14:solidFill>
                          <w14:schemeClr w14:val="tx1"/>
                        </w14:solidFill>
                      </w14:textFill>
                    </w:rPr>
                  </w:pPr>
                </w:p>
              </w:tc>
              <w:tc>
                <w:tcPr>
                  <w:tcW w:w="465" w:type="pct"/>
                  <w:noWrap w:val="0"/>
                  <w:vAlign w:val="center"/>
                </w:tcPr>
                <w:p w14:paraId="410DB4AF">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-265.32</w:t>
                  </w:r>
                </w:p>
              </w:tc>
              <w:tc>
                <w:tcPr>
                  <w:tcW w:w="489" w:type="pct"/>
                  <w:noWrap w:val="0"/>
                  <w:vAlign w:val="center"/>
                </w:tcPr>
                <w:p w14:paraId="38B638C2">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-532.17</w:t>
                  </w:r>
                </w:p>
              </w:tc>
              <w:tc>
                <w:tcPr>
                  <w:tcW w:w="297" w:type="pct"/>
                  <w:noWrap w:val="0"/>
                  <w:vAlign w:val="center"/>
                </w:tcPr>
                <w:p w14:paraId="5CF65D7B">
                  <w:pPr>
                    <w:jc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0</w:t>
                  </w:r>
                </w:p>
              </w:tc>
              <w:tc>
                <w:tcPr>
                  <w:tcW w:w="359" w:type="pct"/>
                  <w:noWrap w:val="0"/>
                  <w:vAlign w:val="center"/>
                </w:tcPr>
                <w:p w14:paraId="547C2F90">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54</w:t>
                  </w:r>
                </w:p>
              </w:tc>
              <w:tc>
                <w:tcPr>
                  <w:tcW w:w="401" w:type="pct"/>
                  <w:noWrap w:val="0"/>
                  <w:vAlign w:val="center"/>
                </w:tcPr>
                <w:p w14:paraId="52757541">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55.3</w:t>
                  </w:r>
                </w:p>
              </w:tc>
              <w:tc>
                <w:tcPr>
                  <w:tcW w:w="359" w:type="pct"/>
                  <w:vMerge w:val="continue"/>
                  <w:noWrap w:val="0"/>
                  <w:vAlign w:val="center"/>
                </w:tcPr>
                <w:p w14:paraId="644C7937">
                  <w:pPr>
                    <w:jc w:val="center"/>
                    <w:rPr>
                      <w:bCs/>
                      <w:color w:val="000000" w:themeColor="text1"/>
                      <w:sz w:val="18"/>
                      <w:szCs w:val="18"/>
                      <w14:textFill>
                        <w14:solidFill>
                          <w14:schemeClr w14:val="tx1"/>
                        </w14:solidFill>
                      </w14:textFill>
                    </w:rPr>
                  </w:pPr>
                </w:p>
              </w:tc>
              <w:tc>
                <w:tcPr>
                  <w:tcW w:w="420" w:type="pct"/>
                  <w:noWrap w:val="0"/>
                  <w:vAlign w:val="center"/>
                </w:tcPr>
                <w:p w14:paraId="6050FC48">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15</w:t>
                  </w:r>
                </w:p>
              </w:tc>
              <w:tc>
                <w:tcPr>
                  <w:tcW w:w="417" w:type="pct"/>
                  <w:noWrap w:val="0"/>
                  <w:vAlign w:val="center"/>
                </w:tcPr>
                <w:p w14:paraId="6B0DEF2D">
                  <w:pPr>
                    <w:keepNext w:val="0"/>
                    <w:keepLines w:val="0"/>
                    <w:widowControl/>
                    <w:suppressLineNumbers w:val="0"/>
                    <w:jc w:val="center"/>
                    <w:textAlignment w:val="center"/>
                    <w:rPr>
                      <w:bCs/>
                      <w:color w:val="000000" w:themeColor="text1"/>
                      <w:sz w:val="18"/>
                      <w:szCs w:val="18"/>
                      <w14:textFill>
                        <w14:solidFill>
                          <w14:schemeClr w14:val="tx1"/>
                        </w14:solidFill>
                      </w14:textFill>
                    </w:rPr>
                  </w:pPr>
                  <w:r>
                    <w:rPr>
                      <w:rFonts w:hint="default" w:ascii="Times New Roman" w:hAnsi="Times New Roman" w:eastAsia="等线" w:cs="Times New Roman"/>
                      <w:i w:val="0"/>
                      <w:iCs w:val="0"/>
                      <w:color w:val="000000" w:themeColor="text1"/>
                      <w:kern w:val="0"/>
                      <w:sz w:val="18"/>
                      <w:szCs w:val="18"/>
                      <w:u w:val="none"/>
                      <w:lang w:val="en-US" w:eastAsia="zh-CN" w:bidi="ar"/>
                      <w14:textFill>
                        <w14:solidFill>
                          <w14:schemeClr w14:val="tx1"/>
                        </w14:solidFill>
                      </w14:textFill>
                    </w:rPr>
                    <w:t>40.3</w:t>
                  </w:r>
                </w:p>
              </w:tc>
              <w:tc>
                <w:tcPr>
                  <w:tcW w:w="363" w:type="pct"/>
                  <w:noWrap w:val="0"/>
                  <w:vAlign w:val="center"/>
                </w:tcPr>
                <w:p w14:paraId="3A36CA8A">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w:t>
                  </w:r>
                </w:p>
              </w:tc>
            </w:tr>
            <w:tr w14:paraId="5574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noWrap w:val="0"/>
                  <w:vAlign w:val="center"/>
                </w:tcPr>
                <w:p w14:paraId="2BE93F99">
                  <w:pPr>
                    <w:jc w:val="center"/>
                    <w:rPr>
                      <w:bCs/>
                      <w:color w:val="000000" w:themeColor="text1"/>
                      <w:sz w:val="18"/>
                      <w:szCs w:val="18"/>
                      <w14:textFill>
                        <w14:solidFill>
                          <w14:schemeClr w14:val="tx1"/>
                        </w14:solidFill>
                      </w14:textFill>
                    </w:rPr>
                  </w:pPr>
                </w:p>
              </w:tc>
              <w:tc>
                <w:tcPr>
                  <w:tcW w:w="431" w:type="pct"/>
                  <w:noWrap w:val="0"/>
                  <w:vAlign w:val="center"/>
                </w:tcPr>
                <w:p w14:paraId="1240F84B">
                  <w:pPr>
                    <w:widowControl/>
                    <w:jc w:val="center"/>
                    <w:textAlignment w:val="center"/>
                    <w:rPr>
                      <w:rFonts w:hint="eastAsia"/>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搅拌机</w:t>
                  </w:r>
                </w:p>
              </w:tc>
              <w:tc>
                <w:tcPr>
                  <w:tcW w:w="359" w:type="pct"/>
                  <w:noWrap w:val="0"/>
                  <w:vAlign w:val="center"/>
                </w:tcPr>
                <w:p w14:paraId="12E79756">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90</w:t>
                  </w:r>
                </w:p>
              </w:tc>
              <w:tc>
                <w:tcPr>
                  <w:tcW w:w="366" w:type="pct"/>
                  <w:vMerge w:val="continue"/>
                  <w:noWrap w:val="0"/>
                  <w:vAlign w:val="center"/>
                </w:tcPr>
                <w:p w14:paraId="290DFB84">
                  <w:pPr>
                    <w:jc w:val="center"/>
                    <w:rPr>
                      <w:bCs/>
                      <w:color w:val="000000" w:themeColor="text1"/>
                      <w:sz w:val="18"/>
                      <w:szCs w:val="18"/>
                      <w14:textFill>
                        <w14:solidFill>
                          <w14:schemeClr w14:val="tx1"/>
                        </w14:solidFill>
                      </w14:textFill>
                    </w:rPr>
                  </w:pPr>
                </w:p>
              </w:tc>
              <w:tc>
                <w:tcPr>
                  <w:tcW w:w="465" w:type="pct"/>
                  <w:noWrap w:val="0"/>
                  <w:vAlign w:val="center"/>
                </w:tcPr>
                <w:p w14:paraId="38A5C8C6">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-277.52</w:t>
                  </w:r>
                </w:p>
              </w:tc>
              <w:tc>
                <w:tcPr>
                  <w:tcW w:w="489" w:type="pct"/>
                  <w:noWrap w:val="0"/>
                  <w:vAlign w:val="center"/>
                </w:tcPr>
                <w:p w14:paraId="47DD11D6">
                  <w:pPr>
                    <w:pStyle w:val="82"/>
                    <w:spacing w:line="240" w:lineRule="auto"/>
                    <w:ind w:firstLine="0"/>
                    <w:jc w:val="center"/>
                    <w:outlineLvl w:val="2"/>
                    <w:rPr>
                      <w:color w:val="000000" w:themeColor="text1"/>
                      <w:sz w:val="18"/>
                      <w:szCs w:val="18"/>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-529.56</w:t>
                  </w:r>
                </w:p>
              </w:tc>
              <w:tc>
                <w:tcPr>
                  <w:tcW w:w="297" w:type="pct"/>
                  <w:noWrap w:val="0"/>
                  <w:vAlign w:val="center"/>
                </w:tcPr>
                <w:p w14:paraId="293BE0F4">
                  <w:pPr>
                    <w:jc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w:t>
                  </w:r>
                </w:p>
              </w:tc>
              <w:tc>
                <w:tcPr>
                  <w:tcW w:w="359" w:type="pct"/>
                  <w:noWrap w:val="0"/>
                  <w:vAlign w:val="center"/>
                </w:tcPr>
                <w:p w14:paraId="4988AE7F">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41</w:t>
                  </w:r>
                </w:p>
              </w:tc>
              <w:tc>
                <w:tcPr>
                  <w:tcW w:w="401" w:type="pct"/>
                  <w:noWrap w:val="0"/>
                  <w:vAlign w:val="center"/>
                </w:tcPr>
                <w:p w14:paraId="0774C58F">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57.7</w:t>
                  </w:r>
                </w:p>
              </w:tc>
              <w:tc>
                <w:tcPr>
                  <w:tcW w:w="359" w:type="pct"/>
                  <w:vMerge w:val="continue"/>
                  <w:noWrap w:val="0"/>
                  <w:vAlign w:val="center"/>
                </w:tcPr>
                <w:p w14:paraId="20F8CE7A">
                  <w:pPr>
                    <w:jc w:val="center"/>
                    <w:rPr>
                      <w:bCs/>
                      <w:color w:val="000000" w:themeColor="text1"/>
                      <w:sz w:val="18"/>
                      <w:szCs w:val="18"/>
                      <w14:textFill>
                        <w14:solidFill>
                          <w14:schemeClr w14:val="tx1"/>
                        </w14:solidFill>
                      </w14:textFill>
                    </w:rPr>
                  </w:pPr>
                </w:p>
              </w:tc>
              <w:tc>
                <w:tcPr>
                  <w:tcW w:w="420" w:type="pct"/>
                  <w:noWrap w:val="0"/>
                  <w:vAlign w:val="center"/>
                </w:tcPr>
                <w:p w14:paraId="4766EB93">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15</w:t>
                  </w:r>
                </w:p>
              </w:tc>
              <w:tc>
                <w:tcPr>
                  <w:tcW w:w="417" w:type="pct"/>
                  <w:noWrap w:val="0"/>
                  <w:vAlign w:val="center"/>
                </w:tcPr>
                <w:p w14:paraId="0EC3604A">
                  <w:pPr>
                    <w:keepNext w:val="0"/>
                    <w:keepLines w:val="0"/>
                    <w:widowControl/>
                    <w:suppressLineNumbers w:val="0"/>
                    <w:jc w:val="center"/>
                    <w:textAlignment w:val="center"/>
                    <w:rPr>
                      <w:bCs/>
                      <w:color w:val="000000" w:themeColor="text1"/>
                      <w:sz w:val="18"/>
                      <w:szCs w:val="18"/>
                      <w14:textFill>
                        <w14:solidFill>
                          <w14:schemeClr w14:val="tx1"/>
                        </w14:solidFill>
                      </w14:textFill>
                    </w:rPr>
                  </w:pPr>
                  <w:r>
                    <w:rPr>
                      <w:rFonts w:hint="default" w:ascii="Times New Roman" w:hAnsi="Times New Roman" w:eastAsia="等线" w:cs="Times New Roman"/>
                      <w:i w:val="0"/>
                      <w:iCs w:val="0"/>
                      <w:color w:val="000000" w:themeColor="text1"/>
                      <w:kern w:val="0"/>
                      <w:sz w:val="18"/>
                      <w:szCs w:val="18"/>
                      <w:u w:val="none"/>
                      <w:lang w:val="en-US" w:eastAsia="zh-CN" w:bidi="ar"/>
                      <w14:textFill>
                        <w14:solidFill>
                          <w14:schemeClr w14:val="tx1"/>
                        </w14:solidFill>
                      </w14:textFill>
                    </w:rPr>
                    <w:t>42.7</w:t>
                  </w:r>
                </w:p>
              </w:tc>
              <w:tc>
                <w:tcPr>
                  <w:tcW w:w="363" w:type="pct"/>
                  <w:noWrap w:val="0"/>
                  <w:vAlign w:val="center"/>
                </w:tcPr>
                <w:p w14:paraId="731ACAA8">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w:t>
                  </w:r>
                </w:p>
              </w:tc>
            </w:tr>
            <w:tr w14:paraId="6526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noWrap w:val="0"/>
                  <w:vAlign w:val="center"/>
                </w:tcPr>
                <w:p w14:paraId="53C3DF12">
                  <w:pPr>
                    <w:jc w:val="center"/>
                    <w:rPr>
                      <w:bCs/>
                      <w:color w:val="000000" w:themeColor="text1"/>
                      <w:sz w:val="18"/>
                      <w:szCs w:val="18"/>
                      <w14:textFill>
                        <w14:solidFill>
                          <w14:schemeClr w14:val="tx1"/>
                        </w14:solidFill>
                      </w14:textFill>
                    </w:rPr>
                  </w:pPr>
                </w:p>
              </w:tc>
              <w:tc>
                <w:tcPr>
                  <w:tcW w:w="431" w:type="pct"/>
                  <w:noWrap w:val="0"/>
                  <w:vAlign w:val="center"/>
                </w:tcPr>
                <w:p w14:paraId="18180E03">
                  <w:pPr>
                    <w:widowControl/>
                    <w:jc w:val="center"/>
                    <w:textAlignment w:val="center"/>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引风机</w:t>
                  </w:r>
                </w:p>
              </w:tc>
              <w:tc>
                <w:tcPr>
                  <w:tcW w:w="359" w:type="pct"/>
                  <w:noWrap w:val="0"/>
                  <w:vAlign w:val="center"/>
                </w:tcPr>
                <w:p w14:paraId="13AE5ED3">
                  <w:pPr>
                    <w:jc w:val="center"/>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90</w:t>
                  </w:r>
                </w:p>
              </w:tc>
              <w:tc>
                <w:tcPr>
                  <w:tcW w:w="366" w:type="pct"/>
                  <w:vMerge w:val="continue"/>
                  <w:noWrap w:val="0"/>
                  <w:vAlign w:val="center"/>
                </w:tcPr>
                <w:p w14:paraId="4D398030">
                  <w:pPr>
                    <w:jc w:val="center"/>
                    <w:rPr>
                      <w:bCs/>
                      <w:color w:val="000000" w:themeColor="text1"/>
                      <w:sz w:val="18"/>
                      <w:szCs w:val="18"/>
                      <w14:textFill>
                        <w14:solidFill>
                          <w14:schemeClr w14:val="tx1"/>
                        </w14:solidFill>
                      </w14:textFill>
                    </w:rPr>
                  </w:pPr>
                </w:p>
              </w:tc>
              <w:tc>
                <w:tcPr>
                  <w:tcW w:w="465" w:type="pct"/>
                  <w:noWrap w:val="0"/>
                  <w:vAlign w:val="center"/>
                </w:tcPr>
                <w:p w14:paraId="77F1031D">
                  <w:pPr>
                    <w:pStyle w:val="82"/>
                    <w:spacing w:line="240" w:lineRule="auto"/>
                    <w:ind w:firstLine="0"/>
                    <w:jc w:val="center"/>
                    <w:outlineLvl w:val="2"/>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-288.45</w:t>
                  </w:r>
                </w:p>
              </w:tc>
              <w:tc>
                <w:tcPr>
                  <w:tcW w:w="489" w:type="pct"/>
                  <w:noWrap w:val="0"/>
                  <w:vAlign w:val="center"/>
                </w:tcPr>
                <w:p w14:paraId="664D02E9">
                  <w:pPr>
                    <w:pStyle w:val="82"/>
                    <w:spacing w:line="240" w:lineRule="auto"/>
                    <w:ind w:firstLine="0"/>
                    <w:jc w:val="center"/>
                    <w:outlineLvl w:val="2"/>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-541.41</w:t>
                  </w:r>
                </w:p>
              </w:tc>
              <w:tc>
                <w:tcPr>
                  <w:tcW w:w="297" w:type="pct"/>
                  <w:noWrap w:val="0"/>
                  <w:vAlign w:val="center"/>
                </w:tcPr>
                <w:p w14:paraId="17192856">
                  <w:pPr>
                    <w:jc w:val="center"/>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w:t>
                  </w:r>
                </w:p>
              </w:tc>
              <w:tc>
                <w:tcPr>
                  <w:tcW w:w="359" w:type="pct"/>
                  <w:noWrap w:val="0"/>
                  <w:vAlign w:val="center"/>
                </w:tcPr>
                <w:p w14:paraId="1F25FCB6">
                  <w:pPr>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40</w:t>
                  </w:r>
                </w:p>
              </w:tc>
              <w:tc>
                <w:tcPr>
                  <w:tcW w:w="401" w:type="pct"/>
                  <w:noWrap w:val="0"/>
                  <w:vAlign w:val="center"/>
                </w:tcPr>
                <w:p w14:paraId="38C5320B">
                  <w:pPr>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57.9</w:t>
                  </w:r>
                </w:p>
              </w:tc>
              <w:tc>
                <w:tcPr>
                  <w:tcW w:w="359" w:type="pct"/>
                  <w:vMerge w:val="continue"/>
                  <w:noWrap w:val="0"/>
                  <w:vAlign w:val="center"/>
                </w:tcPr>
                <w:p w14:paraId="7DE941A6">
                  <w:pPr>
                    <w:jc w:val="center"/>
                    <w:rPr>
                      <w:bCs/>
                      <w:color w:val="000000" w:themeColor="text1"/>
                      <w:sz w:val="18"/>
                      <w:szCs w:val="18"/>
                      <w14:textFill>
                        <w14:solidFill>
                          <w14:schemeClr w14:val="tx1"/>
                        </w14:solidFill>
                      </w14:textFill>
                    </w:rPr>
                  </w:pPr>
                </w:p>
              </w:tc>
              <w:tc>
                <w:tcPr>
                  <w:tcW w:w="420" w:type="pct"/>
                  <w:noWrap w:val="0"/>
                  <w:vAlign w:val="center"/>
                </w:tcPr>
                <w:p w14:paraId="458D95C9">
                  <w:pPr>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15</w:t>
                  </w:r>
                </w:p>
              </w:tc>
              <w:tc>
                <w:tcPr>
                  <w:tcW w:w="417" w:type="pct"/>
                  <w:noWrap w:val="0"/>
                  <w:vAlign w:val="center"/>
                </w:tcPr>
                <w:p w14:paraId="1AD06BF2">
                  <w:pPr>
                    <w:keepNext w:val="0"/>
                    <w:keepLines w:val="0"/>
                    <w:widowControl/>
                    <w:suppressLineNumbers w:val="0"/>
                    <w:jc w:val="center"/>
                    <w:textAlignment w:val="center"/>
                    <w:rPr>
                      <w:rFonts w:hint="default" w:ascii="Times New Roman" w:hAnsi="Times New Roman" w:eastAsia="等线" w:cs="Times New Roman"/>
                      <w:i w:val="0"/>
                      <w:iCs w:val="0"/>
                      <w:color w:val="000000" w:themeColor="text1"/>
                      <w:kern w:val="0"/>
                      <w:sz w:val="18"/>
                      <w:szCs w:val="18"/>
                      <w:u w:val="none"/>
                      <w:lang w:val="en-US" w:eastAsia="zh-CN" w:bidi="ar"/>
                      <w14:textFill>
                        <w14:solidFill>
                          <w14:schemeClr w14:val="tx1"/>
                        </w14:solidFill>
                      </w14:textFill>
                    </w:rPr>
                  </w:pPr>
                  <w:r>
                    <w:rPr>
                      <w:rFonts w:hint="eastAsia" w:eastAsia="等线" w:cs="Times New Roman"/>
                      <w:i w:val="0"/>
                      <w:iCs w:val="0"/>
                      <w:color w:val="000000" w:themeColor="text1"/>
                      <w:kern w:val="0"/>
                      <w:sz w:val="18"/>
                      <w:szCs w:val="18"/>
                      <w:u w:val="none"/>
                      <w:lang w:val="en-US" w:eastAsia="zh-CN" w:bidi="ar"/>
                      <w14:textFill>
                        <w14:solidFill>
                          <w14:schemeClr w14:val="tx1"/>
                        </w14:solidFill>
                      </w14:textFill>
                    </w:rPr>
                    <w:t>42.9</w:t>
                  </w:r>
                </w:p>
              </w:tc>
              <w:tc>
                <w:tcPr>
                  <w:tcW w:w="363" w:type="pct"/>
                  <w:noWrap w:val="0"/>
                  <w:vAlign w:val="center"/>
                </w:tcPr>
                <w:p w14:paraId="56368394">
                  <w:pPr>
                    <w:jc w:val="center"/>
                    <w:rPr>
                      <w:rFonts w:hint="default"/>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w:t>
                  </w:r>
                </w:p>
              </w:tc>
            </w:tr>
            <w:tr w14:paraId="13ED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restart"/>
                  <w:noWrap w:val="0"/>
                  <w:vAlign w:val="center"/>
                </w:tcPr>
                <w:p w14:paraId="7EF4325C">
                  <w:pPr>
                    <w:jc w:val="center"/>
                    <w:rPr>
                      <w:rFonts w:hint="eastAsia"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制瓦车间</w:t>
                  </w:r>
                </w:p>
              </w:tc>
              <w:tc>
                <w:tcPr>
                  <w:tcW w:w="431" w:type="pct"/>
                  <w:noWrap w:val="0"/>
                  <w:vAlign w:val="center"/>
                </w:tcPr>
                <w:p w14:paraId="7E93B9F6">
                  <w:pPr>
                    <w:widowControl/>
                    <w:jc w:val="center"/>
                    <w:textAlignment w:val="center"/>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1#真空瓦机</w:t>
                  </w:r>
                </w:p>
              </w:tc>
              <w:tc>
                <w:tcPr>
                  <w:tcW w:w="359" w:type="pct"/>
                  <w:noWrap w:val="0"/>
                  <w:vAlign w:val="center"/>
                </w:tcPr>
                <w:p w14:paraId="32F0586B">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85</w:t>
                  </w:r>
                </w:p>
              </w:tc>
              <w:tc>
                <w:tcPr>
                  <w:tcW w:w="366" w:type="pct"/>
                  <w:vMerge w:val="continue"/>
                  <w:noWrap w:val="0"/>
                  <w:vAlign w:val="center"/>
                </w:tcPr>
                <w:p w14:paraId="466B0969">
                  <w:pPr>
                    <w:jc w:val="center"/>
                    <w:rPr>
                      <w:bCs/>
                      <w:color w:val="000000" w:themeColor="text1"/>
                      <w:sz w:val="18"/>
                      <w:szCs w:val="18"/>
                      <w14:textFill>
                        <w14:solidFill>
                          <w14:schemeClr w14:val="tx1"/>
                        </w14:solidFill>
                      </w14:textFill>
                    </w:rPr>
                  </w:pPr>
                </w:p>
              </w:tc>
              <w:tc>
                <w:tcPr>
                  <w:tcW w:w="465" w:type="pct"/>
                  <w:noWrap w:val="0"/>
                  <w:vAlign w:val="center"/>
                </w:tcPr>
                <w:p w14:paraId="723C58E0">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-314.11</w:t>
                  </w:r>
                </w:p>
              </w:tc>
              <w:tc>
                <w:tcPr>
                  <w:tcW w:w="489" w:type="pct"/>
                  <w:noWrap w:val="0"/>
                  <w:vAlign w:val="center"/>
                </w:tcPr>
                <w:p w14:paraId="725EE923">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-529.56</w:t>
                  </w:r>
                </w:p>
              </w:tc>
              <w:tc>
                <w:tcPr>
                  <w:tcW w:w="297" w:type="pct"/>
                  <w:noWrap w:val="0"/>
                  <w:vAlign w:val="center"/>
                </w:tcPr>
                <w:p w14:paraId="2E9D352B">
                  <w:pPr>
                    <w:jc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w:t>
                  </w:r>
                </w:p>
              </w:tc>
              <w:tc>
                <w:tcPr>
                  <w:tcW w:w="359" w:type="pct"/>
                  <w:noWrap w:val="0"/>
                  <w:vAlign w:val="center"/>
                </w:tcPr>
                <w:p w14:paraId="54AE60DA">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26</w:t>
                  </w:r>
                </w:p>
              </w:tc>
              <w:tc>
                <w:tcPr>
                  <w:tcW w:w="401" w:type="pct"/>
                  <w:noWrap w:val="0"/>
                  <w:vAlign w:val="center"/>
                </w:tcPr>
                <w:p w14:paraId="077ACB78">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56.7</w:t>
                  </w:r>
                </w:p>
              </w:tc>
              <w:tc>
                <w:tcPr>
                  <w:tcW w:w="359" w:type="pct"/>
                  <w:vMerge w:val="continue"/>
                  <w:noWrap w:val="0"/>
                  <w:vAlign w:val="center"/>
                </w:tcPr>
                <w:p w14:paraId="309ABFD2">
                  <w:pPr>
                    <w:jc w:val="center"/>
                    <w:rPr>
                      <w:rFonts w:hint="eastAsia"/>
                      <w:bCs/>
                      <w:color w:val="000000" w:themeColor="text1"/>
                      <w:sz w:val="18"/>
                      <w:szCs w:val="18"/>
                      <w14:textFill>
                        <w14:solidFill>
                          <w14:schemeClr w14:val="tx1"/>
                        </w14:solidFill>
                      </w14:textFill>
                    </w:rPr>
                  </w:pPr>
                </w:p>
              </w:tc>
              <w:tc>
                <w:tcPr>
                  <w:tcW w:w="420" w:type="pct"/>
                  <w:noWrap w:val="0"/>
                  <w:vAlign w:val="center"/>
                </w:tcPr>
                <w:p w14:paraId="5B700979">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15</w:t>
                  </w:r>
                </w:p>
              </w:tc>
              <w:tc>
                <w:tcPr>
                  <w:tcW w:w="417" w:type="pct"/>
                  <w:noWrap w:val="0"/>
                  <w:vAlign w:val="center"/>
                </w:tcPr>
                <w:p w14:paraId="3538E7DD">
                  <w:pPr>
                    <w:keepNext w:val="0"/>
                    <w:keepLines w:val="0"/>
                    <w:widowControl/>
                    <w:suppressLineNumbers w:val="0"/>
                    <w:jc w:val="center"/>
                    <w:textAlignment w:val="center"/>
                    <w:rPr>
                      <w:bCs/>
                      <w:color w:val="000000" w:themeColor="text1"/>
                      <w:sz w:val="18"/>
                      <w:szCs w:val="18"/>
                      <w14:textFill>
                        <w14:solidFill>
                          <w14:schemeClr w14:val="tx1"/>
                        </w14:solidFill>
                      </w14:textFill>
                    </w:rPr>
                  </w:pPr>
                  <w:r>
                    <w:rPr>
                      <w:rFonts w:hint="default" w:ascii="Times New Roman" w:hAnsi="Times New Roman" w:eastAsia="等线" w:cs="Times New Roman"/>
                      <w:i w:val="0"/>
                      <w:iCs w:val="0"/>
                      <w:color w:val="000000" w:themeColor="text1"/>
                      <w:kern w:val="0"/>
                      <w:sz w:val="18"/>
                      <w:szCs w:val="18"/>
                      <w:u w:val="none"/>
                      <w:lang w:val="en-US" w:eastAsia="zh-CN" w:bidi="ar"/>
                      <w14:textFill>
                        <w14:solidFill>
                          <w14:schemeClr w14:val="tx1"/>
                        </w14:solidFill>
                      </w14:textFill>
                    </w:rPr>
                    <w:t>41.7</w:t>
                  </w:r>
                </w:p>
              </w:tc>
              <w:tc>
                <w:tcPr>
                  <w:tcW w:w="363" w:type="pct"/>
                  <w:noWrap w:val="0"/>
                  <w:vAlign w:val="center"/>
                </w:tcPr>
                <w:p w14:paraId="133A4286">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w:t>
                  </w:r>
                </w:p>
              </w:tc>
            </w:tr>
            <w:tr w14:paraId="1C492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noWrap w:val="0"/>
                  <w:vAlign w:val="center"/>
                </w:tcPr>
                <w:p w14:paraId="374DDC9F">
                  <w:pPr>
                    <w:jc w:val="center"/>
                    <w:rPr>
                      <w:rFonts w:hint="eastAsia" w:eastAsia="宋体"/>
                      <w:bCs/>
                      <w:color w:val="000000" w:themeColor="text1"/>
                      <w:sz w:val="18"/>
                      <w:szCs w:val="18"/>
                      <w:lang w:val="en-US" w:eastAsia="zh-CN"/>
                      <w14:textFill>
                        <w14:solidFill>
                          <w14:schemeClr w14:val="tx1"/>
                        </w14:solidFill>
                      </w14:textFill>
                    </w:rPr>
                  </w:pPr>
                </w:p>
              </w:tc>
              <w:tc>
                <w:tcPr>
                  <w:tcW w:w="431" w:type="pct"/>
                  <w:noWrap w:val="0"/>
                  <w:vAlign w:val="center"/>
                </w:tcPr>
                <w:p w14:paraId="0E98B5E8">
                  <w:pPr>
                    <w:widowControl/>
                    <w:jc w:val="center"/>
                    <w:textAlignment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2#真空瓦机</w:t>
                  </w:r>
                </w:p>
              </w:tc>
              <w:tc>
                <w:tcPr>
                  <w:tcW w:w="359" w:type="pct"/>
                  <w:noWrap w:val="0"/>
                  <w:vAlign w:val="center"/>
                </w:tcPr>
                <w:p w14:paraId="0625B4E3">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85</w:t>
                  </w:r>
                </w:p>
              </w:tc>
              <w:tc>
                <w:tcPr>
                  <w:tcW w:w="366" w:type="pct"/>
                  <w:vMerge w:val="continue"/>
                  <w:noWrap w:val="0"/>
                  <w:vAlign w:val="center"/>
                </w:tcPr>
                <w:p w14:paraId="205EA101">
                  <w:pPr>
                    <w:jc w:val="center"/>
                    <w:rPr>
                      <w:bCs/>
                      <w:color w:val="000000" w:themeColor="text1"/>
                      <w:sz w:val="18"/>
                      <w:szCs w:val="18"/>
                      <w14:textFill>
                        <w14:solidFill>
                          <w14:schemeClr w14:val="tx1"/>
                        </w14:solidFill>
                      </w14:textFill>
                    </w:rPr>
                  </w:pPr>
                </w:p>
              </w:tc>
              <w:tc>
                <w:tcPr>
                  <w:tcW w:w="465" w:type="pct"/>
                  <w:noWrap w:val="0"/>
                  <w:vAlign w:val="center"/>
                </w:tcPr>
                <w:p w14:paraId="67B95CB7">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-314.98</w:t>
                  </w:r>
                </w:p>
              </w:tc>
              <w:tc>
                <w:tcPr>
                  <w:tcW w:w="489" w:type="pct"/>
                  <w:noWrap w:val="0"/>
                  <w:vAlign w:val="center"/>
                </w:tcPr>
                <w:p w14:paraId="6C73496F">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-519.98</w:t>
                  </w:r>
                </w:p>
              </w:tc>
              <w:tc>
                <w:tcPr>
                  <w:tcW w:w="297" w:type="pct"/>
                  <w:noWrap w:val="0"/>
                  <w:vAlign w:val="center"/>
                </w:tcPr>
                <w:p w14:paraId="372AB475">
                  <w:pPr>
                    <w:jc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w:t>
                  </w:r>
                </w:p>
              </w:tc>
              <w:tc>
                <w:tcPr>
                  <w:tcW w:w="359" w:type="pct"/>
                  <w:noWrap w:val="0"/>
                  <w:vAlign w:val="center"/>
                </w:tcPr>
                <w:p w14:paraId="33850E9F">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28</w:t>
                  </w:r>
                </w:p>
              </w:tc>
              <w:tc>
                <w:tcPr>
                  <w:tcW w:w="401" w:type="pct"/>
                  <w:noWrap w:val="0"/>
                  <w:vAlign w:val="center"/>
                </w:tcPr>
                <w:p w14:paraId="0D278041">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56.0</w:t>
                  </w:r>
                </w:p>
              </w:tc>
              <w:tc>
                <w:tcPr>
                  <w:tcW w:w="359" w:type="pct"/>
                  <w:vMerge w:val="continue"/>
                  <w:noWrap w:val="0"/>
                  <w:vAlign w:val="center"/>
                </w:tcPr>
                <w:p w14:paraId="7E4606F6">
                  <w:pPr>
                    <w:jc w:val="center"/>
                    <w:rPr>
                      <w:bCs/>
                      <w:color w:val="000000" w:themeColor="text1"/>
                      <w:sz w:val="18"/>
                      <w:szCs w:val="18"/>
                      <w14:textFill>
                        <w14:solidFill>
                          <w14:schemeClr w14:val="tx1"/>
                        </w14:solidFill>
                      </w14:textFill>
                    </w:rPr>
                  </w:pPr>
                </w:p>
              </w:tc>
              <w:tc>
                <w:tcPr>
                  <w:tcW w:w="420" w:type="pct"/>
                  <w:noWrap w:val="0"/>
                  <w:vAlign w:val="center"/>
                </w:tcPr>
                <w:p w14:paraId="5F000AAD">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15</w:t>
                  </w:r>
                </w:p>
              </w:tc>
              <w:tc>
                <w:tcPr>
                  <w:tcW w:w="417" w:type="pct"/>
                  <w:noWrap w:val="0"/>
                  <w:vAlign w:val="center"/>
                </w:tcPr>
                <w:p w14:paraId="01479242">
                  <w:pPr>
                    <w:keepNext w:val="0"/>
                    <w:keepLines w:val="0"/>
                    <w:widowControl/>
                    <w:suppressLineNumbers w:val="0"/>
                    <w:jc w:val="center"/>
                    <w:textAlignment w:val="center"/>
                    <w:rPr>
                      <w:bCs/>
                      <w:color w:val="000000" w:themeColor="text1"/>
                      <w:sz w:val="18"/>
                      <w:szCs w:val="18"/>
                      <w14:textFill>
                        <w14:solidFill>
                          <w14:schemeClr w14:val="tx1"/>
                        </w14:solidFill>
                      </w14:textFill>
                    </w:rPr>
                  </w:pPr>
                  <w:r>
                    <w:rPr>
                      <w:rFonts w:hint="default" w:ascii="Times New Roman" w:hAnsi="Times New Roman" w:eastAsia="等线" w:cs="Times New Roman"/>
                      <w:i w:val="0"/>
                      <w:iCs w:val="0"/>
                      <w:color w:val="000000" w:themeColor="text1"/>
                      <w:kern w:val="0"/>
                      <w:sz w:val="18"/>
                      <w:szCs w:val="18"/>
                      <w:u w:val="none"/>
                      <w:lang w:val="en-US" w:eastAsia="zh-CN" w:bidi="ar"/>
                      <w14:textFill>
                        <w14:solidFill>
                          <w14:schemeClr w14:val="tx1"/>
                        </w14:solidFill>
                      </w14:textFill>
                    </w:rPr>
                    <w:t>41</w:t>
                  </w:r>
                </w:p>
              </w:tc>
              <w:tc>
                <w:tcPr>
                  <w:tcW w:w="363" w:type="pct"/>
                  <w:noWrap w:val="0"/>
                  <w:vAlign w:val="center"/>
                </w:tcPr>
                <w:p w14:paraId="5A71BA45">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w:t>
                  </w:r>
                </w:p>
              </w:tc>
            </w:tr>
            <w:tr w14:paraId="268B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noWrap w:val="0"/>
                  <w:vAlign w:val="center"/>
                </w:tcPr>
                <w:p w14:paraId="69568FE7">
                  <w:pPr>
                    <w:jc w:val="center"/>
                    <w:rPr>
                      <w:bCs/>
                      <w:color w:val="000000" w:themeColor="text1"/>
                      <w:sz w:val="18"/>
                      <w:szCs w:val="18"/>
                      <w14:textFill>
                        <w14:solidFill>
                          <w14:schemeClr w14:val="tx1"/>
                        </w14:solidFill>
                      </w14:textFill>
                    </w:rPr>
                  </w:pPr>
                </w:p>
              </w:tc>
              <w:tc>
                <w:tcPr>
                  <w:tcW w:w="431" w:type="pct"/>
                  <w:noWrap w:val="0"/>
                  <w:vAlign w:val="center"/>
                </w:tcPr>
                <w:p w14:paraId="68A5BB11">
                  <w:pPr>
                    <w:widowControl/>
                    <w:jc w:val="center"/>
                    <w:textAlignment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1#切条机</w:t>
                  </w:r>
                </w:p>
              </w:tc>
              <w:tc>
                <w:tcPr>
                  <w:tcW w:w="359" w:type="pct"/>
                  <w:noWrap w:val="0"/>
                  <w:vAlign w:val="center"/>
                </w:tcPr>
                <w:p w14:paraId="0A41B685">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85</w:t>
                  </w:r>
                </w:p>
              </w:tc>
              <w:tc>
                <w:tcPr>
                  <w:tcW w:w="366" w:type="pct"/>
                  <w:vMerge w:val="continue"/>
                  <w:noWrap w:val="0"/>
                  <w:vAlign w:val="center"/>
                </w:tcPr>
                <w:p w14:paraId="1D418FD4">
                  <w:pPr>
                    <w:jc w:val="center"/>
                    <w:rPr>
                      <w:bCs/>
                      <w:color w:val="000000" w:themeColor="text1"/>
                      <w:sz w:val="18"/>
                      <w:szCs w:val="18"/>
                      <w14:textFill>
                        <w14:solidFill>
                          <w14:schemeClr w14:val="tx1"/>
                        </w14:solidFill>
                      </w14:textFill>
                    </w:rPr>
                  </w:pPr>
                </w:p>
              </w:tc>
              <w:tc>
                <w:tcPr>
                  <w:tcW w:w="465" w:type="pct"/>
                  <w:noWrap w:val="0"/>
                  <w:vAlign w:val="center"/>
                </w:tcPr>
                <w:p w14:paraId="7F177B8E">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-323.69</w:t>
                  </w:r>
                </w:p>
              </w:tc>
              <w:tc>
                <w:tcPr>
                  <w:tcW w:w="489" w:type="pct"/>
                  <w:noWrap w:val="0"/>
                  <w:vAlign w:val="center"/>
                </w:tcPr>
                <w:p w14:paraId="647CE371">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-531.3</w:t>
                  </w:r>
                </w:p>
              </w:tc>
              <w:tc>
                <w:tcPr>
                  <w:tcW w:w="297" w:type="pct"/>
                  <w:noWrap w:val="0"/>
                  <w:vAlign w:val="center"/>
                </w:tcPr>
                <w:p w14:paraId="3F86674A">
                  <w:pPr>
                    <w:jc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w:t>
                  </w:r>
                </w:p>
              </w:tc>
              <w:tc>
                <w:tcPr>
                  <w:tcW w:w="359" w:type="pct"/>
                  <w:noWrap w:val="0"/>
                  <w:vAlign w:val="center"/>
                </w:tcPr>
                <w:p w14:paraId="4C89F7C0">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26</w:t>
                  </w:r>
                </w:p>
              </w:tc>
              <w:tc>
                <w:tcPr>
                  <w:tcW w:w="401" w:type="pct"/>
                  <w:noWrap w:val="0"/>
                  <w:vAlign w:val="center"/>
                </w:tcPr>
                <w:p w14:paraId="6A01114A">
                  <w:pPr>
                    <w:jc w:val="center"/>
                    <w:rPr>
                      <w:bCs/>
                      <w:color w:val="000000" w:themeColor="text1"/>
                      <w:sz w:val="18"/>
                      <w:szCs w:val="18"/>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56.7</w:t>
                  </w:r>
                </w:p>
              </w:tc>
              <w:tc>
                <w:tcPr>
                  <w:tcW w:w="359" w:type="pct"/>
                  <w:vMerge w:val="continue"/>
                  <w:noWrap w:val="0"/>
                  <w:vAlign w:val="center"/>
                </w:tcPr>
                <w:p w14:paraId="6991180D">
                  <w:pPr>
                    <w:jc w:val="center"/>
                    <w:rPr>
                      <w:bCs/>
                      <w:color w:val="000000" w:themeColor="text1"/>
                      <w:sz w:val="18"/>
                      <w:szCs w:val="18"/>
                      <w14:textFill>
                        <w14:solidFill>
                          <w14:schemeClr w14:val="tx1"/>
                        </w14:solidFill>
                      </w14:textFill>
                    </w:rPr>
                  </w:pPr>
                </w:p>
              </w:tc>
              <w:tc>
                <w:tcPr>
                  <w:tcW w:w="420" w:type="pct"/>
                  <w:noWrap w:val="0"/>
                  <w:vAlign w:val="center"/>
                </w:tcPr>
                <w:p w14:paraId="6EC13BC4">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15</w:t>
                  </w:r>
                </w:p>
              </w:tc>
              <w:tc>
                <w:tcPr>
                  <w:tcW w:w="417" w:type="pct"/>
                  <w:noWrap w:val="0"/>
                  <w:vAlign w:val="center"/>
                </w:tcPr>
                <w:p w14:paraId="7E1FA9E9">
                  <w:pPr>
                    <w:keepNext w:val="0"/>
                    <w:keepLines w:val="0"/>
                    <w:widowControl/>
                    <w:suppressLineNumbers w:val="0"/>
                    <w:jc w:val="center"/>
                    <w:textAlignment w:val="center"/>
                    <w:rPr>
                      <w:bCs/>
                      <w:color w:val="000000" w:themeColor="text1"/>
                      <w:sz w:val="18"/>
                      <w:szCs w:val="18"/>
                      <w14:textFill>
                        <w14:solidFill>
                          <w14:schemeClr w14:val="tx1"/>
                        </w14:solidFill>
                      </w14:textFill>
                    </w:rPr>
                  </w:pPr>
                  <w:r>
                    <w:rPr>
                      <w:rFonts w:hint="default" w:ascii="Times New Roman" w:hAnsi="Times New Roman" w:eastAsia="等线" w:cs="Times New Roman"/>
                      <w:i w:val="0"/>
                      <w:iCs w:val="0"/>
                      <w:color w:val="000000" w:themeColor="text1"/>
                      <w:kern w:val="0"/>
                      <w:sz w:val="18"/>
                      <w:szCs w:val="18"/>
                      <w:u w:val="none"/>
                      <w:lang w:val="en-US" w:eastAsia="zh-CN" w:bidi="ar"/>
                      <w14:textFill>
                        <w14:solidFill>
                          <w14:schemeClr w14:val="tx1"/>
                        </w14:solidFill>
                      </w14:textFill>
                    </w:rPr>
                    <w:t>41.7</w:t>
                  </w:r>
                </w:p>
              </w:tc>
              <w:tc>
                <w:tcPr>
                  <w:tcW w:w="363" w:type="pct"/>
                  <w:noWrap w:val="0"/>
                  <w:vAlign w:val="center"/>
                </w:tcPr>
                <w:p w14:paraId="646D5C4B">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w:t>
                  </w:r>
                </w:p>
              </w:tc>
            </w:tr>
            <w:tr w14:paraId="2DFA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noWrap w:val="0"/>
                  <w:vAlign w:val="center"/>
                </w:tcPr>
                <w:p w14:paraId="768F7980">
                  <w:pPr>
                    <w:jc w:val="center"/>
                    <w:rPr>
                      <w:bCs/>
                      <w:color w:val="000000" w:themeColor="text1"/>
                      <w:sz w:val="18"/>
                      <w:szCs w:val="18"/>
                      <w14:textFill>
                        <w14:solidFill>
                          <w14:schemeClr w14:val="tx1"/>
                        </w14:solidFill>
                      </w14:textFill>
                    </w:rPr>
                  </w:pPr>
                </w:p>
              </w:tc>
              <w:tc>
                <w:tcPr>
                  <w:tcW w:w="431" w:type="pct"/>
                  <w:noWrap w:val="0"/>
                  <w:vAlign w:val="center"/>
                </w:tcPr>
                <w:p w14:paraId="2CC55AE8">
                  <w:pPr>
                    <w:widowControl/>
                    <w:jc w:val="center"/>
                    <w:textAlignment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2#切条机</w:t>
                  </w:r>
                </w:p>
              </w:tc>
              <w:tc>
                <w:tcPr>
                  <w:tcW w:w="359" w:type="pct"/>
                  <w:noWrap w:val="0"/>
                  <w:vAlign w:val="center"/>
                </w:tcPr>
                <w:p w14:paraId="0C0FD1D2">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85</w:t>
                  </w:r>
                </w:p>
              </w:tc>
              <w:tc>
                <w:tcPr>
                  <w:tcW w:w="366" w:type="pct"/>
                  <w:vMerge w:val="continue"/>
                  <w:noWrap w:val="0"/>
                  <w:vAlign w:val="center"/>
                </w:tcPr>
                <w:p w14:paraId="5AB00E75">
                  <w:pPr>
                    <w:jc w:val="center"/>
                    <w:rPr>
                      <w:bCs/>
                      <w:color w:val="000000" w:themeColor="text1"/>
                      <w:sz w:val="18"/>
                      <w:szCs w:val="18"/>
                      <w14:textFill>
                        <w14:solidFill>
                          <w14:schemeClr w14:val="tx1"/>
                        </w14:solidFill>
                      </w14:textFill>
                    </w:rPr>
                  </w:pPr>
                </w:p>
              </w:tc>
              <w:tc>
                <w:tcPr>
                  <w:tcW w:w="465" w:type="pct"/>
                  <w:noWrap w:val="0"/>
                  <w:vAlign w:val="center"/>
                </w:tcPr>
                <w:p w14:paraId="4FD2561F">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-323.69</w:t>
                  </w:r>
                </w:p>
              </w:tc>
              <w:tc>
                <w:tcPr>
                  <w:tcW w:w="489" w:type="pct"/>
                  <w:noWrap w:val="0"/>
                  <w:vAlign w:val="center"/>
                </w:tcPr>
                <w:p w14:paraId="46868D5E">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521.72</w:t>
                  </w:r>
                </w:p>
              </w:tc>
              <w:tc>
                <w:tcPr>
                  <w:tcW w:w="297" w:type="pct"/>
                  <w:noWrap w:val="0"/>
                  <w:vAlign w:val="center"/>
                </w:tcPr>
                <w:p w14:paraId="18ED212F">
                  <w:pPr>
                    <w:jc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w:t>
                  </w:r>
                </w:p>
              </w:tc>
              <w:tc>
                <w:tcPr>
                  <w:tcW w:w="359" w:type="pct"/>
                  <w:noWrap w:val="0"/>
                  <w:vAlign w:val="center"/>
                </w:tcPr>
                <w:p w14:paraId="63CE5F58">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28</w:t>
                  </w:r>
                </w:p>
              </w:tc>
              <w:tc>
                <w:tcPr>
                  <w:tcW w:w="401" w:type="pct"/>
                  <w:noWrap w:val="0"/>
                  <w:vAlign w:val="center"/>
                </w:tcPr>
                <w:p w14:paraId="734B2568">
                  <w:pPr>
                    <w:jc w:val="center"/>
                    <w:rPr>
                      <w:rFonts w:hint="default"/>
                      <w:bCs/>
                      <w:color w:val="000000" w:themeColor="text1"/>
                      <w:sz w:val="18"/>
                      <w:szCs w:val="18"/>
                      <w:lang w:val="en-US"/>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56.0</w:t>
                  </w:r>
                </w:p>
              </w:tc>
              <w:tc>
                <w:tcPr>
                  <w:tcW w:w="359" w:type="pct"/>
                  <w:vMerge w:val="continue"/>
                  <w:noWrap w:val="0"/>
                  <w:vAlign w:val="center"/>
                </w:tcPr>
                <w:p w14:paraId="165FCA47">
                  <w:pPr>
                    <w:jc w:val="center"/>
                    <w:rPr>
                      <w:bCs/>
                      <w:color w:val="000000" w:themeColor="text1"/>
                      <w:sz w:val="18"/>
                      <w:szCs w:val="18"/>
                      <w14:textFill>
                        <w14:solidFill>
                          <w14:schemeClr w14:val="tx1"/>
                        </w14:solidFill>
                      </w14:textFill>
                    </w:rPr>
                  </w:pPr>
                </w:p>
              </w:tc>
              <w:tc>
                <w:tcPr>
                  <w:tcW w:w="420" w:type="pct"/>
                  <w:noWrap w:val="0"/>
                  <w:vAlign w:val="center"/>
                </w:tcPr>
                <w:p w14:paraId="004D741C">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15</w:t>
                  </w:r>
                </w:p>
              </w:tc>
              <w:tc>
                <w:tcPr>
                  <w:tcW w:w="417" w:type="pct"/>
                  <w:noWrap w:val="0"/>
                  <w:vAlign w:val="center"/>
                </w:tcPr>
                <w:p w14:paraId="26D66E25">
                  <w:pPr>
                    <w:keepNext w:val="0"/>
                    <w:keepLines w:val="0"/>
                    <w:widowControl/>
                    <w:suppressLineNumbers w:val="0"/>
                    <w:jc w:val="center"/>
                    <w:textAlignment w:val="center"/>
                    <w:rPr>
                      <w:bCs/>
                      <w:color w:val="000000" w:themeColor="text1"/>
                      <w:sz w:val="18"/>
                      <w:szCs w:val="18"/>
                      <w14:textFill>
                        <w14:solidFill>
                          <w14:schemeClr w14:val="tx1"/>
                        </w14:solidFill>
                      </w14:textFill>
                    </w:rPr>
                  </w:pPr>
                  <w:r>
                    <w:rPr>
                      <w:rFonts w:hint="default" w:ascii="Times New Roman" w:hAnsi="Times New Roman" w:eastAsia="等线" w:cs="Times New Roman"/>
                      <w:i w:val="0"/>
                      <w:iCs w:val="0"/>
                      <w:color w:val="000000" w:themeColor="text1"/>
                      <w:kern w:val="0"/>
                      <w:sz w:val="18"/>
                      <w:szCs w:val="18"/>
                      <w:u w:val="none"/>
                      <w:lang w:val="en-US" w:eastAsia="zh-CN" w:bidi="ar"/>
                      <w14:textFill>
                        <w14:solidFill>
                          <w14:schemeClr w14:val="tx1"/>
                        </w14:solidFill>
                      </w14:textFill>
                    </w:rPr>
                    <w:t>41</w:t>
                  </w:r>
                </w:p>
              </w:tc>
              <w:tc>
                <w:tcPr>
                  <w:tcW w:w="363" w:type="pct"/>
                  <w:noWrap w:val="0"/>
                  <w:vAlign w:val="center"/>
                </w:tcPr>
                <w:p w14:paraId="43FBEE41">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w:t>
                  </w:r>
                </w:p>
              </w:tc>
            </w:tr>
            <w:tr w14:paraId="44F3E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noWrap w:val="0"/>
                  <w:vAlign w:val="center"/>
                </w:tcPr>
                <w:p w14:paraId="790388E8">
                  <w:pPr>
                    <w:jc w:val="center"/>
                    <w:rPr>
                      <w:bCs/>
                      <w:color w:val="000000" w:themeColor="text1"/>
                      <w:sz w:val="18"/>
                      <w:szCs w:val="18"/>
                      <w14:textFill>
                        <w14:solidFill>
                          <w14:schemeClr w14:val="tx1"/>
                        </w14:solidFill>
                      </w14:textFill>
                    </w:rPr>
                  </w:pPr>
                </w:p>
              </w:tc>
              <w:tc>
                <w:tcPr>
                  <w:tcW w:w="431" w:type="pct"/>
                  <w:noWrap w:val="0"/>
                  <w:vAlign w:val="center"/>
                </w:tcPr>
                <w:p w14:paraId="78BB4D80">
                  <w:pPr>
                    <w:widowControl/>
                    <w:jc w:val="center"/>
                    <w:textAlignment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1#切坯机</w:t>
                  </w:r>
                </w:p>
              </w:tc>
              <w:tc>
                <w:tcPr>
                  <w:tcW w:w="359" w:type="pct"/>
                  <w:noWrap w:val="0"/>
                  <w:vAlign w:val="center"/>
                </w:tcPr>
                <w:p w14:paraId="2AE8669C">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85</w:t>
                  </w:r>
                </w:p>
              </w:tc>
              <w:tc>
                <w:tcPr>
                  <w:tcW w:w="366" w:type="pct"/>
                  <w:vMerge w:val="continue"/>
                  <w:noWrap w:val="0"/>
                  <w:vAlign w:val="center"/>
                </w:tcPr>
                <w:p w14:paraId="28DBC876">
                  <w:pPr>
                    <w:jc w:val="center"/>
                    <w:rPr>
                      <w:bCs/>
                      <w:color w:val="000000" w:themeColor="text1"/>
                      <w:sz w:val="18"/>
                      <w:szCs w:val="18"/>
                      <w14:textFill>
                        <w14:solidFill>
                          <w14:schemeClr w14:val="tx1"/>
                        </w14:solidFill>
                      </w14:textFill>
                    </w:rPr>
                  </w:pPr>
                </w:p>
              </w:tc>
              <w:tc>
                <w:tcPr>
                  <w:tcW w:w="465" w:type="pct"/>
                  <w:noWrap w:val="0"/>
                  <w:vAlign w:val="center"/>
                </w:tcPr>
                <w:p w14:paraId="13B065DD">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-331.53</w:t>
                  </w:r>
                </w:p>
              </w:tc>
              <w:tc>
                <w:tcPr>
                  <w:tcW w:w="489" w:type="pct"/>
                  <w:noWrap w:val="0"/>
                  <w:vAlign w:val="center"/>
                </w:tcPr>
                <w:p w14:paraId="51A8E5BB">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-533.92</w:t>
                  </w:r>
                </w:p>
              </w:tc>
              <w:tc>
                <w:tcPr>
                  <w:tcW w:w="297" w:type="pct"/>
                  <w:noWrap w:val="0"/>
                  <w:vAlign w:val="center"/>
                </w:tcPr>
                <w:p w14:paraId="417FF4FA">
                  <w:pPr>
                    <w:jc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w:t>
                  </w:r>
                </w:p>
              </w:tc>
              <w:tc>
                <w:tcPr>
                  <w:tcW w:w="359" w:type="pct"/>
                  <w:noWrap w:val="0"/>
                  <w:vAlign w:val="center"/>
                </w:tcPr>
                <w:p w14:paraId="16D9274B">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26</w:t>
                  </w:r>
                </w:p>
              </w:tc>
              <w:tc>
                <w:tcPr>
                  <w:tcW w:w="401" w:type="pct"/>
                  <w:noWrap w:val="0"/>
                  <w:vAlign w:val="center"/>
                </w:tcPr>
                <w:p w14:paraId="302AAF6A">
                  <w:pPr>
                    <w:jc w:val="center"/>
                    <w:rPr>
                      <w:bCs/>
                      <w:color w:val="000000" w:themeColor="text1"/>
                      <w:sz w:val="18"/>
                      <w:szCs w:val="18"/>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56.7</w:t>
                  </w:r>
                </w:p>
              </w:tc>
              <w:tc>
                <w:tcPr>
                  <w:tcW w:w="359" w:type="pct"/>
                  <w:vMerge w:val="continue"/>
                  <w:noWrap w:val="0"/>
                  <w:vAlign w:val="center"/>
                </w:tcPr>
                <w:p w14:paraId="333A9527">
                  <w:pPr>
                    <w:jc w:val="center"/>
                    <w:rPr>
                      <w:bCs/>
                      <w:color w:val="000000" w:themeColor="text1"/>
                      <w:sz w:val="18"/>
                      <w:szCs w:val="18"/>
                      <w14:textFill>
                        <w14:solidFill>
                          <w14:schemeClr w14:val="tx1"/>
                        </w14:solidFill>
                      </w14:textFill>
                    </w:rPr>
                  </w:pPr>
                </w:p>
              </w:tc>
              <w:tc>
                <w:tcPr>
                  <w:tcW w:w="420" w:type="pct"/>
                  <w:noWrap w:val="0"/>
                  <w:vAlign w:val="center"/>
                </w:tcPr>
                <w:p w14:paraId="645B30F8">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15</w:t>
                  </w:r>
                </w:p>
              </w:tc>
              <w:tc>
                <w:tcPr>
                  <w:tcW w:w="417" w:type="pct"/>
                  <w:noWrap w:val="0"/>
                  <w:vAlign w:val="center"/>
                </w:tcPr>
                <w:p w14:paraId="584D6CF4">
                  <w:pPr>
                    <w:keepNext w:val="0"/>
                    <w:keepLines w:val="0"/>
                    <w:widowControl/>
                    <w:suppressLineNumbers w:val="0"/>
                    <w:jc w:val="center"/>
                    <w:textAlignment w:val="center"/>
                    <w:rPr>
                      <w:bCs/>
                      <w:color w:val="000000" w:themeColor="text1"/>
                      <w:sz w:val="18"/>
                      <w:szCs w:val="18"/>
                      <w14:textFill>
                        <w14:solidFill>
                          <w14:schemeClr w14:val="tx1"/>
                        </w14:solidFill>
                      </w14:textFill>
                    </w:rPr>
                  </w:pPr>
                  <w:r>
                    <w:rPr>
                      <w:rFonts w:hint="default" w:ascii="Times New Roman" w:hAnsi="Times New Roman" w:eastAsia="等线" w:cs="Times New Roman"/>
                      <w:i w:val="0"/>
                      <w:iCs w:val="0"/>
                      <w:color w:val="000000" w:themeColor="text1"/>
                      <w:kern w:val="0"/>
                      <w:sz w:val="18"/>
                      <w:szCs w:val="18"/>
                      <w:u w:val="none"/>
                      <w:lang w:val="en-US" w:eastAsia="zh-CN" w:bidi="ar"/>
                      <w14:textFill>
                        <w14:solidFill>
                          <w14:schemeClr w14:val="tx1"/>
                        </w14:solidFill>
                      </w14:textFill>
                    </w:rPr>
                    <w:t>41.7</w:t>
                  </w:r>
                </w:p>
              </w:tc>
              <w:tc>
                <w:tcPr>
                  <w:tcW w:w="363" w:type="pct"/>
                  <w:noWrap w:val="0"/>
                  <w:vAlign w:val="center"/>
                </w:tcPr>
                <w:p w14:paraId="0893CA25">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w:t>
                  </w:r>
                </w:p>
              </w:tc>
            </w:tr>
            <w:tr w14:paraId="62A4B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noWrap w:val="0"/>
                  <w:vAlign w:val="center"/>
                </w:tcPr>
                <w:p w14:paraId="2B9BAF18">
                  <w:pPr>
                    <w:jc w:val="center"/>
                    <w:rPr>
                      <w:bCs/>
                      <w:color w:val="000000" w:themeColor="text1"/>
                      <w:sz w:val="18"/>
                      <w:szCs w:val="18"/>
                      <w14:textFill>
                        <w14:solidFill>
                          <w14:schemeClr w14:val="tx1"/>
                        </w14:solidFill>
                      </w14:textFill>
                    </w:rPr>
                  </w:pPr>
                </w:p>
              </w:tc>
              <w:tc>
                <w:tcPr>
                  <w:tcW w:w="431" w:type="pct"/>
                  <w:noWrap w:val="0"/>
                  <w:vAlign w:val="center"/>
                </w:tcPr>
                <w:p w14:paraId="54EFEA21">
                  <w:pPr>
                    <w:widowControl/>
                    <w:jc w:val="center"/>
                    <w:textAlignment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2#切坯机</w:t>
                  </w:r>
                </w:p>
              </w:tc>
              <w:tc>
                <w:tcPr>
                  <w:tcW w:w="359" w:type="pct"/>
                  <w:noWrap w:val="0"/>
                  <w:vAlign w:val="center"/>
                </w:tcPr>
                <w:p w14:paraId="200663B2">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85</w:t>
                  </w:r>
                </w:p>
              </w:tc>
              <w:tc>
                <w:tcPr>
                  <w:tcW w:w="366" w:type="pct"/>
                  <w:vMerge w:val="continue"/>
                  <w:noWrap w:val="0"/>
                  <w:vAlign w:val="center"/>
                </w:tcPr>
                <w:p w14:paraId="29A6D83E">
                  <w:pPr>
                    <w:jc w:val="center"/>
                    <w:rPr>
                      <w:bCs/>
                      <w:color w:val="000000" w:themeColor="text1"/>
                      <w:sz w:val="18"/>
                      <w:szCs w:val="18"/>
                      <w14:textFill>
                        <w14:solidFill>
                          <w14:schemeClr w14:val="tx1"/>
                        </w14:solidFill>
                      </w14:textFill>
                    </w:rPr>
                  </w:pPr>
                </w:p>
              </w:tc>
              <w:tc>
                <w:tcPr>
                  <w:tcW w:w="465" w:type="pct"/>
                  <w:noWrap w:val="0"/>
                  <w:vAlign w:val="center"/>
                </w:tcPr>
                <w:p w14:paraId="72B0E7F5">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-334.15</w:t>
                  </w:r>
                </w:p>
              </w:tc>
              <w:tc>
                <w:tcPr>
                  <w:tcW w:w="489" w:type="pct"/>
                  <w:noWrap w:val="0"/>
                  <w:vAlign w:val="center"/>
                </w:tcPr>
                <w:p w14:paraId="0393CEAE">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-523.56</w:t>
                  </w:r>
                </w:p>
              </w:tc>
              <w:tc>
                <w:tcPr>
                  <w:tcW w:w="297" w:type="pct"/>
                  <w:noWrap w:val="0"/>
                  <w:vAlign w:val="center"/>
                </w:tcPr>
                <w:p w14:paraId="0D7A97CF">
                  <w:pPr>
                    <w:jc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w:t>
                  </w:r>
                </w:p>
              </w:tc>
              <w:tc>
                <w:tcPr>
                  <w:tcW w:w="359" w:type="pct"/>
                  <w:noWrap w:val="0"/>
                  <w:vAlign w:val="center"/>
                </w:tcPr>
                <w:p w14:paraId="70E599F8">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28</w:t>
                  </w:r>
                </w:p>
              </w:tc>
              <w:tc>
                <w:tcPr>
                  <w:tcW w:w="401" w:type="pct"/>
                  <w:noWrap w:val="0"/>
                  <w:vAlign w:val="center"/>
                </w:tcPr>
                <w:p w14:paraId="4C711386">
                  <w:pPr>
                    <w:jc w:val="center"/>
                    <w:rPr>
                      <w:bCs/>
                      <w:color w:val="000000" w:themeColor="text1"/>
                      <w:sz w:val="18"/>
                      <w:szCs w:val="18"/>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56.0</w:t>
                  </w:r>
                </w:p>
              </w:tc>
              <w:tc>
                <w:tcPr>
                  <w:tcW w:w="359" w:type="pct"/>
                  <w:vMerge w:val="continue"/>
                  <w:noWrap w:val="0"/>
                  <w:vAlign w:val="center"/>
                </w:tcPr>
                <w:p w14:paraId="7AF00BD2">
                  <w:pPr>
                    <w:jc w:val="center"/>
                    <w:rPr>
                      <w:bCs/>
                      <w:color w:val="000000" w:themeColor="text1"/>
                      <w:sz w:val="18"/>
                      <w:szCs w:val="18"/>
                      <w14:textFill>
                        <w14:solidFill>
                          <w14:schemeClr w14:val="tx1"/>
                        </w14:solidFill>
                      </w14:textFill>
                    </w:rPr>
                  </w:pPr>
                </w:p>
              </w:tc>
              <w:tc>
                <w:tcPr>
                  <w:tcW w:w="420" w:type="pct"/>
                  <w:noWrap w:val="0"/>
                  <w:vAlign w:val="center"/>
                </w:tcPr>
                <w:p w14:paraId="0A26FC03">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15</w:t>
                  </w:r>
                </w:p>
              </w:tc>
              <w:tc>
                <w:tcPr>
                  <w:tcW w:w="417" w:type="pct"/>
                  <w:noWrap w:val="0"/>
                  <w:vAlign w:val="center"/>
                </w:tcPr>
                <w:p w14:paraId="3E0B0F83">
                  <w:pPr>
                    <w:keepNext w:val="0"/>
                    <w:keepLines w:val="0"/>
                    <w:widowControl/>
                    <w:suppressLineNumbers w:val="0"/>
                    <w:jc w:val="center"/>
                    <w:textAlignment w:val="center"/>
                    <w:rPr>
                      <w:bCs/>
                      <w:color w:val="000000" w:themeColor="text1"/>
                      <w:sz w:val="18"/>
                      <w:szCs w:val="18"/>
                      <w14:textFill>
                        <w14:solidFill>
                          <w14:schemeClr w14:val="tx1"/>
                        </w14:solidFill>
                      </w14:textFill>
                    </w:rPr>
                  </w:pPr>
                  <w:r>
                    <w:rPr>
                      <w:rFonts w:hint="default" w:ascii="Times New Roman" w:hAnsi="Times New Roman" w:eastAsia="等线" w:cs="Times New Roman"/>
                      <w:i w:val="0"/>
                      <w:iCs w:val="0"/>
                      <w:color w:val="000000" w:themeColor="text1"/>
                      <w:kern w:val="0"/>
                      <w:sz w:val="18"/>
                      <w:szCs w:val="18"/>
                      <w:u w:val="none"/>
                      <w:lang w:val="en-US" w:eastAsia="zh-CN" w:bidi="ar"/>
                      <w14:textFill>
                        <w14:solidFill>
                          <w14:schemeClr w14:val="tx1"/>
                        </w14:solidFill>
                      </w14:textFill>
                    </w:rPr>
                    <w:t>41</w:t>
                  </w:r>
                </w:p>
              </w:tc>
              <w:tc>
                <w:tcPr>
                  <w:tcW w:w="363" w:type="pct"/>
                  <w:noWrap w:val="0"/>
                  <w:vAlign w:val="center"/>
                </w:tcPr>
                <w:p w14:paraId="1C1DD0D4">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w:t>
                  </w:r>
                </w:p>
              </w:tc>
            </w:tr>
            <w:tr w14:paraId="37349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noWrap w:val="0"/>
                  <w:vAlign w:val="center"/>
                </w:tcPr>
                <w:p w14:paraId="7FF14056">
                  <w:pPr>
                    <w:jc w:val="center"/>
                    <w:rPr>
                      <w:bCs/>
                      <w:color w:val="000000" w:themeColor="text1"/>
                      <w:sz w:val="18"/>
                      <w:szCs w:val="18"/>
                      <w14:textFill>
                        <w14:solidFill>
                          <w14:schemeClr w14:val="tx1"/>
                        </w14:solidFill>
                      </w14:textFill>
                    </w:rPr>
                  </w:pPr>
                </w:p>
              </w:tc>
              <w:tc>
                <w:tcPr>
                  <w:tcW w:w="431" w:type="pct"/>
                  <w:noWrap w:val="0"/>
                  <w:vAlign w:val="center"/>
                </w:tcPr>
                <w:p w14:paraId="495D9DD0">
                  <w:pPr>
                    <w:widowControl/>
                    <w:jc w:val="center"/>
                    <w:textAlignment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1#输送皮带</w:t>
                  </w:r>
                </w:p>
              </w:tc>
              <w:tc>
                <w:tcPr>
                  <w:tcW w:w="359" w:type="pct"/>
                  <w:noWrap w:val="0"/>
                  <w:vAlign w:val="center"/>
                </w:tcPr>
                <w:p w14:paraId="2623DA2A">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75</w:t>
                  </w:r>
                </w:p>
              </w:tc>
              <w:tc>
                <w:tcPr>
                  <w:tcW w:w="366" w:type="pct"/>
                  <w:vMerge w:val="continue"/>
                  <w:noWrap w:val="0"/>
                  <w:vAlign w:val="center"/>
                </w:tcPr>
                <w:p w14:paraId="60AA0E90">
                  <w:pPr>
                    <w:jc w:val="center"/>
                    <w:rPr>
                      <w:bCs/>
                      <w:color w:val="000000" w:themeColor="text1"/>
                      <w:sz w:val="18"/>
                      <w:szCs w:val="18"/>
                      <w14:textFill>
                        <w14:solidFill>
                          <w14:schemeClr w14:val="tx1"/>
                        </w14:solidFill>
                      </w14:textFill>
                    </w:rPr>
                  </w:pPr>
                </w:p>
              </w:tc>
              <w:tc>
                <w:tcPr>
                  <w:tcW w:w="465" w:type="pct"/>
                  <w:noWrap w:val="0"/>
                  <w:vAlign w:val="center"/>
                </w:tcPr>
                <w:p w14:paraId="3C5CC008">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-278.39</w:t>
                  </w:r>
                </w:p>
              </w:tc>
              <w:tc>
                <w:tcPr>
                  <w:tcW w:w="489" w:type="pct"/>
                  <w:noWrap w:val="0"/>
                  <w:vAlign w:val="center"/>
                </w:tcPr>
                <w:p w14:paraId="06EE1B65">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-530.43</w:t>
                  </w:r>
                </w:p>
              </w:tc>
              <w:tc>
                <w:tcPr>
                  <w:tcW w:w="297" w:type="pct"/>
                  <w:noWrap w:val="0"/>
                  <w:vAlign w:val="center"/>
                </w:tcPr>
                <w:p w14:paraId="3FBFE3E0">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1.5</w:t>
                  </w:r>
                </w:p>
              </w:tc>
              <w:tc>
                <w:tcPr>
                  <w:tcW w:w="359" w:type="pct"/>
                  <w:noWrap w:val="0"/>
                  <w:vAlign w:val="center"/>
                </w:tcPr>
                <w:p w14:paraId="08F7FDD8">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11</w:t>
                  </w:r>
                </w:p>
              </w:tc>
              <w:tc>
                <w:tcPr>
                  <w:tcW w:w="401" w:type="pct"/>
                  <w:noWrap w:val="0"/>
                  <w:vAlign w:val="center"/>
                </w:tcPr>
                <w:p w14:paraId="1245A363">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54.1</w:t>
                  </w:r>
                </w:p>
              </w:tc>
              <w:tc>
                <w:tcPr>
                  <w:tcW w:w="359" w:type="pct"/>
                  <w:vMerge w:val="continue"/>
                  <w:noWrap w:val="0"/>
                  <w:vAlign w:val="center"/>
                </w:tcPr>
                <w:p w14:paraId="03EEFCC9">
                  <w:pPr>
                    <w:jc w:val="center"/>
                    <w:rPr>
                      <w:bCs/>
                      <w:color w:val="000000" w:themeColor="text1"/>
                      <w:sz w:val="18"/>
                      <w:szCs w:val="18"/>
                      <w14:textFill>
                        <w14:solidFill>
                          <w14:schemeClr w14:val="tx1"/>
                        </w14:solidFill>
                      </w14:textFill>
                    </w:rPr>
                  </w:pPr>
                </w:p>
              </w:tc>
              <w:tc>
                <w:tcPr>
                  <w:tcW w:w="420" w:type="pct"/>
                  <w:noWrap w:val="0"/>
                  <w:vAlign w:val="center"/>
                </w:tcPr>
                <w:p w14:paraId="284EDE89">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15</w:t>
                  </w:r>
                </w:p>
              </w:tc>
              <w:tc>
                <w:tcPr>
                  <w:tcW w:w="417" w:type="pct"/>
                  <w:noWrap w:val="0"/>
                  <w:vAlign w:val="center"/>
                </w:tcPr>
                <w:p w14:paraId="521DDC65">
                  <w:pPr>
                    <w:keepNext w:val="0"/>
                    <w:keepLines w:val="0"/>
                    <w:widowControl/>
                    <w:suppressLineNumbers w:val="0"/>
                    <w:jc w:val="center"/>
                    <w:textAlignment w:val="center"/>
                    <w:rPr>
                      <w:bCs/>
                      <w:color w:val="000000" w:themeColor="text1"/>
                      <w:sz w:val="18"/>
                      <w:szCs w:val="18"/>
                      <w14:textFill>
                        <w14:solidFill>
                          <w14:schemeClr w14:val="tx1"/>
                        </w14:solidFill>
                      </w14:textFill>
                    </w:rPr>
                  </w:pPr>
                  <w:r>
                    <w:rPr>
                      <w:rFonts w:hint="default" w:ascii="Times New Roman" w:hAnsi="Times New Roman" w:eastAsia="等线" w:cs="Times New Roman"/>
                      <w:i w:val="0"/>
                      <w:iCs w:val="0"/>
                      <w:color w:val="000000" w:themeColor="text1"/>
                      <w:kern w:val="0"/>
                      <w:sz w:val="18"/>
                      <w:szCs w:val="18"/>
                      <w:u w:val="none"/>
                      <w:lang w:val="en-US" w:eastAsia="zh-CN" w:bidi="ar"/>
                      <w14:textFill>
                        <w14:solidFill>
                          <w14:schemeClr w14:val="tx1"/>
                        </w14:solidFill>
                      </w14:textFill>
                    </w:rPr>
                    <w:t>39.1</w:t>
                  </w:r>
                </w:p>
              </w:tc>
              <w:tc>
                <w:tcPr>
                  <w:tcW w:w="363" w:type="pct"/>
                  <w:noWrap w:val="0"/>
                  <w:vAlign w:val="center"/>
                </w:tcPr>
                <w:p w14:paraId="3E9A9895">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w:t>
                  </w:r>
                </w:p>
              </w:tc>
            </w:tr>
            <w:tr w14:paraId="1672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noWrap w:val="0"/>
                  <w:vAlign w:val="center"/>
                </w:tcPr>
                <w:p w14:paraId="7AD31912">
                  <w:pPr>
                    <w:jc w:val="center"/>
                    <w:rPr>
                      <w:bCs/>
                      <w:color w:val="000000" w:themeColor="text1"/>
                      <w:sz w:val="18"/>
                      <w:szCs w:val="18"/>
                      <w14:textFill>
                        <w14:solidFill>
                          <w14:schemeClr w14:val="tx1"/>
                        </w14:solidFill>
                      </w14:textFill>
                    </w:rPr>
                  </w:pPr>
                </w:p>
              </w:tc>
              <w:tc>
                <w:tcPr>
                  <w:tcW w:w="431" w:type="pct"/>
                  <w:noWrap w:val="0"/>
                  <w:vAlign w:val="center"/>
                </w:tcPr>
                <w:p w14:paraId="664A60DF">
                  <w:pPr>
                    <w:widowControl/>
                    <w:jc w:val="center"/>
                    <w:textAlignment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2#输送皮带</w:t>
                  </w:r>
                </w:p>
              </w:tc>
              <w:tc>
                <w:tcPr>
                  <w:tcW w:w="359" w:type="pct"/>
                  <w:noWrap w:val="0"/>
                  <w:vAlign w:val="center"/>
                </w:tcPr>
                <w:p w14:paraId="2C1CFCEE">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75</w:t>
                  </w:r>
                </w:p>
              </w:tc>
              <w:tc>
                <w:tcPr>
                  <w:tcW w:w="366" w:type="pct"/>
                  <w:vMerge w:val="continue"/>
                  <w:noWrap w:val="0"/>
                  <w:vAlign w:val="center"/>
                </w:tcPr>
                <w:p w14:paraId="44DAE3CE">
                  <w:pPr>
                    <w:jc w:val="center"/>
                    <w:rPr>
                      <w:bCs/>
                      <w:color w:val="000000" w:themeColor="text1"/>
                      <w:sz w:val="18"/>
                      <w:szCs w:val="18"/>
                      <w14:textFill>
                        <w14:solidFill>
                          <w14:schemeClr w14:val="tx1"/>
                        </w14:solidFill>
                      </w14:textFill>
                    </w:rPr>
                  </w:pPr>
                </w:p>
              </w:tc>
              <w:tc>
                <w:tcPr>
                  <w:tcW w:w="465" w:type="pct"/>
                  <w:noWrap w:val="0"/>
                  <w:vAlign w:val="center"/>
                </w:tcPr>
                <w:p w14:paraId="588700D9">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-314.98</w:t>
                  </w:r>
                </w:p>
              </w:tc>
              <w:tc>
                <w:tcPr>
                  <w:tcW w:w="489" w:type="pct"/>
                  <w:noWrap w:val="0"/>
                  <w:vAlign w:val="center"/>
                </w:tcPr>
                <w:p w14:paraId="6EEEA7FA">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-520.85</w:t>
                  </w:r>
                </w:p>
              </w:tc>
              <w:tc>
                <w:tcPr>
                  <w:tcW w:w="297" w:type="pct"/>
                  <w:noWrap w:val="0"/>
                  <w:vAlign w:val="center"/>
                </w:tcPr>
                <w:p w14:paraId="79D5E4EA">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1.5</w:t>
                  </w:r>
                </w:p>
              </w:tc>
              <w:tc>
                <w:tcPr>
                  <w:tcW w:w="359" w:type="pct"/>
                  <w:noWrap w:val="0"/>
                  <w:vAlign w:val="center"/>
                </w:tcPr>
                <w:p w14:paraId="3633D1F6">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26</w:t>
                  </w:r>
                </w:p>
              </w:tc>
              <w:tc>
                <w:tcPr>
                  <w:tcW w:w="401" w:type="pct"/>
                  <w:noWrap w:val="0"/>
                  <w:vAlign w:val="center"/>
                </w:tcPr>
                <w:p w14:paraId="04115F89">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46.7</w:t>
                  </w:r>
                </w:p>
              </w:tc>
              <w:tc>
                <w:tcPr>
                  <w:tcW w:w="359" w:type="pct"/>
                  <w:vMerge w:val="continue"/>
                  <w:noWrap w:val="0"/>
                  <w:vAlign w:val="center"/>
                </w:tcPr>
                <w:p w14:paraId="1C366518">
                  <w:pPr>
                    <w:jc w:val="center"/>
                    <w:rPr>
                      <w:bCs/>
                      <w:color w:val="000000" w:themeColor="text1"/>
                      <w:sz w:val="18"/>
                      <w:szCs w:val="18"/>
                      <w14:textFill>
                        <w14:solidFill>
                          <w14:schemeClr w14:val="tx1"/>
                        </w14:solidFill>
                      </w14:textFill>
                    </w:rPr>
                  </w:pPr>
                </w:p>
              </w:tc>
              <w:tc>
                <w:tcPr>
                  <w:tcW w:w="420" w:type="pct"/>
                  <w:noWrap w:val="0"/>
                  <w:vAlign w:val="center"/>
                </w:tcPr>
                <w:p w14:paraId="14612CD7">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15</w:t>
                  </w:r>
                </w:p>
              </w:tc>
              <w:tc>
                <w:tcPr>
                  <w:tcW w:w="417" w:type="pct"/>
                  <w:noWrap w:val="0"/>
                  <w:vAlign w:val="center"/>
                </w:tcPr>
                <w:p w14:paraId="2795DD75">
                  <w:pPr>
                    <w:keepNext w:val="0"/>
                    <w:keepLines w:val="0"/>
                    <w:widowControl/>
                    <w:suppressLineNumbers w:val="0"/>
                    <w:jc w:val="center"/>
                    <w:textAlignment w:val="center"/>
                    <w:rPr>
                      <w:rFonts w:hint="default" w:eastAsia="宋体"/>
                      <w:bCs/>
                      <w:color w:val="000000" w:themeColor="text1"/>
                      <w:sz w:val="18"/>
                      <w:szCs w:val="18"/>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18"/>
                      <w:szCs w:val="18"/>
                      <w:u w:val="none"/>
                      <w:lang w:val="en-US" w:eastAsia="zh-CN" w:bidi="ar"/>
                      <w14:textFill>
                        <w14:solidFill>
                          <w14:schemeClr w14:val="tx1"/>
                        </w14:solidFill>
                      </w14:textFill>
                    </w:rPr>
                    <w:t>31.7</w:t>
                  </w:r>
                </w:p>
              </w:tc>
              <w:tc>
                <w:tcPr>
                  <w:tcW w:w="363" w:type="pct"/>
                  <w:noWrap w:val="0"/>
                  <w:vAlign w:val="center"/>
                </w:tcPr>
                <w:p w14:paraId="0F7910CB">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w:t>
                  </w:r>
                </w:p>
              </w:tc>
            </w:tr>
            <w:tr w14:paraId="1764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noWrap w:val="0"/>
                  <w:vAlign w:val="center"/>
                </w:tcPr>
                <w:p w14:paraId="225F2112">
                  <w:pPr>
                    <w:jc w:val="center"/>
                    <w:rPr>
                      <w:bCs/>
                      <w:color w:val="000000" w:themeColor="text1"/>
                      <w:sz w:val="18"/>
                      <w:szCs w:val="18"/>
                      <w14:textFill>
                        <w14:solidFill>
                          <w14:schemeClr w14:val="tx1"/>
                        </w14:solidFill>
                      </w14:textFill>
                    </w:rPr>
                  </w:pPr>
                </w:p>
              </w:tc>
              <w:tc>
                <w:tcPr>
                  <w:tcW w:w="431" w:type="pct"/>
                  <w:noWrap w:val="0"/>
                  <w:vAlign w:val="center"/>
                </w:tcPr>
                <w:p w14:paraId="26CF3EE9">
                  <w:pPr>
                    <w:widowControl/>
                    <w:jc w:val="center"/>
                    <w:textAlignment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3#输送皮带</w:t>
                  </w:r>
                </w:p>
              </w:tc>
              <w:tc>
                <w:tcPr>
                  <w:tcW w:w="359" w:type="pct"/>
                  <w:noWrap w:val="0"/>
                  <w:vAlign w:val="center"/>
                </w:tcPr>
                <w:p w14:paraId="1FEB9D4F">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75</w:t>
                  </w:r>
                </w:p>
              </w:tc>
              <w:tc>
                <w:tcPr>
                  <w:tcW w:w="366" w:type="pct"/>
                  <w:vMerge w:val="continue"/>
                  <w:noWrap w:val="0"/>
                  <w:vAlign w:val="center"/>
                </w:tcPr>
                <w:p w14:paraId="0DC62327">
                  <w:pPr>
                    <w:jc w:val="center"/>
                    <w:rPr>
                      <w:bCs/>
                      <w:color w:val="000000" w:themeColor="text1"/>
                      <w:sz w:val="18"/>
                      <w:szCs w:val="18"/>
                      <w14:textFill>
                        <w14:solidFill>
                          <w14:schemeClr w14:val="tx1"/>
                        </w14:solidFill>
                      </w14:textFill>
                    </w:rPr>
                  </w:pPr>
                </w:p>
              </w:tc>
              <w:tc>
                <w:tcPr>
                  <w:tcW w:w="465" w:type="pct"/>
                  <w:noWrap w:val="0"/>
                  <w:vAlign w:val="center"/>
                </w:tcPr>
                <w:p w14:paraId="3A0672A8">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-313.5</w:t>
                  </w:r>
                </w:p>
              </w:tc>
              <w:tc>
                <w:tcPr>
                  <w:tcW w:w="489" w:type="pct"/>
                  <w:noWrap w:val="0"/>
                  <w:vAlign w:val="center"/>
                </w:tcPr>
                <w:p w14:paraId="589102B1">
                  <w:pPr>
                    <w:pStyle w:val="82"/>
                    <w:spacing w:line="240" w:lineRule="auto"/>
                    <w:ind w:firstLine="0"/>
                    <w:jc w:val="center"/>
                    <w:outlineLvl w:val="2"/>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-529.81</w:t>
                  </w:r>
                </w:p>
              </w:tc>
              <w:tc>
                <w:tcPr>
                  <w:tcW w:w="297" w:type="pct"/>
                  <w:noWrap w:val="0"/>
                  <w:vAlign w:val="center"/>
                </w:tcPr>
                <w:p w14:paraId="0A9AC535">
                  <w:pPr>
                    <w:jc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w:t>
                  </w:r>
                </w:p>
              </w:tc>
              <w:tc>
                <w:tcPr>
                  <w:tcW w:w="359" w:type="pct"/>
                  <w:noWrap w:val="0"/>
                  <w:vAlign w:val="center"/>
                </w:tcPr>
                <w:p w14:paraId="4B28F24B">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28</w:t>
                  </w:r>
                </w:p>
              </w:tc>
              <w:tc>
                <w:tcPr>
                  <w:tcW w:w="401" w:type="pct"/>
                  <w:noWrap w:val="0"/>
                  <w:vAlign w:val="center"/>
                </w:tcPr>
                <w:p w14:paraId="01432D74">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46.0</w:t>
                  </w:r>
                </w:p>
              </w:tc>
              <w:tc>
                <w:tcPr>
                  <w:tcW w:w="359" w:type="pct"/>
                  <w:vMerge w:val="continue"/>
                  <w:noWrap w:val="0"/>
                  <w:vAlign w:val="center"/>
                </w:tcPr>
                <w:p w14:paraId="3495376A">
                  <w:pPr>
                    <w:jc w:val="center"/>
                    <w:rPr>
                      <w:bCs/>
                      <w:color w:val="000000" w:themeColor="text1"/>
                      <w:sz w:val="18"/>
                      <w:szCs w:val="18"/>
                      <w14:textFill>
                        <w14:solidFill>
                          <w14:schemeClr w14:val="tx1"/>
                        </w14:solidFill>
                      </w14:textFill>
                    </w:rPr>
                  </w:pPr>
                </w:p>
              </w:tc>
              <w:tc>
                <w:tcPr>
                  <w:tcW w:w="420" w:type="pct"/>
                  <w:noWrap w:val="0"/>
                  <w:vAlign w:val="center"/>
                </w:tcPr>
                <w:p w14:paraId="34F4083D">
                  <w:pPr>
                    <w:jc w:val="center"/>
                    <w:rPr>
                      <w:rFonts w:hint="default"/>
                      <w:bCs/>
                      <w:color w:val="000000" w:themeColor="text1"/>
                      <w:sz w:val="18"/>
                      <w:szCs w:val="18"/>
                      <w:lang w:val="en-US"/>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15</w:t>
                  </w:r>
                </w:p>
              </w:tc>
              <w:tc>
                <w:tcPr>
                  <w:tcW w:w="417" w:type="pct"/>
                  <w:noWrap w:val="0"/>
                  <w:vAlign w:val="center"/>
                </w:tcPr>
                <w:p w14:paraId="53B362EE">
                  <w:pPr>
                    <w:keepNext w:val="0"/>
                    <w:keepLines w:val="0"/>
                    <w:widowControl/>
                    <w:suppressLineNumbers w:val="0"/>
                    <w:jc w:val="center"/>
                    <w:textAlignment w:val="center"/>
                    <w:rPr>
                      <w:rFonts w:hint="default" w:eastAsia="宋体"/>
                      <w:bCs/>
                      <w:color w:val="000000" w:themeColor="text1"/>
                      <w:sz w:val="18"/>
                      <w:szCs w:val="18"/>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18"/>
                      <w:szCs w:val="18"/>
                      <w:u w:val="none"/>
                      <w:lang w:val="en-US" w:eastAsia="zh-CN" w:bidi="ar"/>
                      <w14:textFill>
                        <w14:solidFill>
                          <w14:schemeClr w14:val="tx1"/>
                        </w14:solidFill>
                      </w14:textFill>
                    </w:rPr>
                    <w:t>31</w:t>
                  </w:r>
                </w:p>
              </w:tc>
              <w:tc>
                <w:tcPr>
                  <w:tcW w:w="363" w:type="pct"/>
                  <w:noWrap w:val="0"/>
                  <w:vAlign w:val="center"/>
                </w:tcPr>
                <w:p w14:paraId="7569B7D7">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w:t>
                  </w:r>
                </w:p>
              </w:tc>
            </w:tr>
            <w:tr w14:paraId="5D73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restart"/>
                  <w:noWrap w:val="0"/>
                  <w:vAlign w:val="center"/>
                </w:tcPr>
                <w:p w14:paraId="7F670BD2">
                  <w:pPr>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废气治理设施</w:t>
                  </w:r>
                </w:p>
              </w:tc>
              <w:tc>
                <w:tcPr>
                  <w:tcW w:w="431" w:type="pct"/>
                  <w:noWrap w:val="0"/>
                  <w:vAlign w:val="center"/>
                </w:tcPr>
                <w:p w14:paraId="6ECBEA1F">
                  <w:pPr>
                    <w:widowControl/>
                    <w:jc w:val="center"/>
                    <w:textAlignment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引风机</w:t>
                  </w:r>
                </w:p>
              </w:tc>
              <w:tc>
                <w:tcPr>
                  <w:tcW w:w="359" w:type="pct"/>
                  <w:noWrap w:val="0"/>
                  <w:vAlign w:val="center"/>
                </w:tcPr>
                <w:p w14:paraId="2C243D48">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90</w:t>
                  </w:r>
                </w:p>
              </w:tc>
              <w:tc>
                <w:tcPr>
                  <w:tcW w:w="366" w:type="pct"/>
                  <w:noWrap w:val="0"/>
                  <w:vAlign w:val="center"/>
                </w:tcPr>
                <w:p w14:paraId="2C18AA9B">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设置于房间内，基础减振</w:t>
                  </w:r>
                </w:p>
              </w:tc>
              <w:tc>
                <w:tcPr>
                  <w:tcW w:w="465" w:type="pct"/>
                  <w:noWrap w:val="0"/>
                  <w:vAlign w:val="center"/>
                </w:tcPr>
                <w:p w14:paraId="750AAB6D">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-391.41</w:t>
                  </w:r>
                </w:p>
              </w:tc>
              <w:tc>
                <w:tcPr>
                  <w:tcW w:w="489" w:type="pct"/>
                  <w:noWrap w:val="0"/>
                  <w:vAlign w:val="center"/>
                </w:tcPr>
                <w:p w14:paraId="00B597DC">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-610.01</w:t>
                  </w:r>
                </w:p>
              </w:tc>
              <w:tc>
                <w:tcPr>
                  <w:tcW w:w="297" w:type="pct"/>
                  <w:noWrap w:val="0"/>
                  <w:vAlign w:val="center"/>
                </w:tcPr>
                <w:p w14:paraId="31727271">
                  <w:pPr>
                    <w:jc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w:t>
                  </w:r>
                </w:p>
              </w:tc>
              <w:tc>
                <w:tcPr>
                  <w:tcW w:w="359" w:type="pct"/>
                  <w:noWrap w:val="0"/>
                  <w:vAlign w:val="center"/>
                </w:tcPr>
                <w:p w14:paraId="321D1B11">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43</w:t>
                  </w:r>
                </w:p>
              </w:tc>
              <w:tc>
                <w:tcPr>
                  <w:tcW w:w="401" w:type="pct"/>
                  <w:noWrap w:val="0"/>
                  <w:vAlign w:val="center"/>
                </w:tcPr>
                <w:p w14:paraId="16717063">
                  <w:pPr>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57.3</w:t>
                  </w:r>
                </w:p>
              </w:tc>
              <w:tc>
                <w:tcPr>
                  <w:tcW w:w="359" w:type="pct"/>
                  <w:vMerge w:val="restart"/>
                  <w:noWrap w:val="0"/>
                  <w:vAlign w:val="center"/>
                </w:tcPr>
                <w:p w14:paraId="5FFCADB3">
                  <w:pPr>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全天</w:t>
                  </w:r>
                </w:p>
              </w:tc>
              <w:tc>
                <w:tcPr>
                  <w:tcW w:w="420" w:type="pct"/>
                  <w:noWrap w:val="0"/>
                  <w:vAlign w:val="center"/>
                </w:tcPr>
                <w:p w14:paraId="18B3907B">
                  <w:pPr>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15</w:t>
                  </w:r>
                </w:p>
              </w:tc>
              <w:tc>
                <w:tcPr>
                  <w:tcW w:w="417" w:type="pct"/>
                  <w:noWrap w:val="0"/>
                  <w:vAlign w:val="center"/>
                </w:tcPr>
                <w:p w14:paraId="77C2D6A0">
                  <w:pPr>
                    <w:keepNext w:val="0"/>
                    <w:keepLines w:val="0"/>
                    <w:widowControl/>
                    <w:suppressLineNumbers w:val="0"/>
                    <w:jc w:val="center"/>
                    <w:textAlignment w:val="center"/>
                    <w:rPr>
                      <w:rFonts w:hint="default" w:eastAsia="宋体"/>
                      <w:bCs/>
                      <w:color w:val="000000" w:themeColor="text1"/>
                      <w:sz w:val="18"/>
                      <w:szCs w:val="18"/>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18"/>
                      <w:szCs w:val="18"/>
                      <w:u w:val="none"/>
                      <w:lang w:val="en-US" w:eastAsia="zh-CN" w:bidi="ar"/>
                      <w14:textFill>
                        <w14:solidFill>
                          <w14:schemeClr w14:val="tx1"/>
                        </w14:solidFill>
                      </w14:textFill>
                    </w:rPr>
                    <w:t>42.3</w:t>
                  </w:r>
                </w:p>
              </w:tc>
              <w:tc>
                <w:tcPr>
                  <w:tcW w:w="363" w:type="pct"/>
                  <w:noWrap w:val="0"/>
                  <w:vAlign w:val="center"/>
                </w:tcPr>
                <w:p w14:paraId="65C3077D">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w:t>
                  </w:r>
                </w:p>
              </w:tc>
            </w:tr>
            <w:tr w14:paraId="67357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noWrap w:val="0"/>
                  <w:vAlign w:val="center"/>
                </w:tcPr>
                <w:p w14:paraId="2116A3F2">
                  <w:pPr>
                    <w:jc w:val="center"/>
                    <w:rPr>
                      <w:bCs/>
                      <w:color w:val="000000" w:themeColor="text1"/>
                      <w:sz w:val="18"/>
                      <w:szCs w:val="18"/>
                      <w14:textFill>
                        <w14:solidFill>
                          <w14:schemeClr w14:val="tx1"/>
                        </w14:solidFill>
                      </w14:textFill>
                    </w:rPr>
                  </w:pPr>
                </w:p>
              </w:tc>
              <w:tc>
                <w:tcPr>
                  <w:tcW w:w="431" w:type="pct"/>
                  <w:noWrap w:val="0"/>
                  <w:vAlign w:val="center"/>
                </w:tcPr>
                <w:p w14:paraId="71AE23E8">
                  <w:pPr>
                    <w:widowControl/>
                    <w:jc w:val="center"/>
                    <w:textAlignment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1#循环水泵</w:t>
                  </w:r>
                </w:p>
              </w:tc>
              <w:tc>
                <w:tcPr>
                  <w:tcW w:w="359" w:type="pct"/>
                  <w:noWrap w:val="0"/>
                  <w:vAlign w:val="center"/>
                </w:tcPr>
                <w:p w14:paraId="65FE8E14">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90</w:t>
                  </w:r>
                </w:p>
              </w:tc>
              <w:tc>
                <w:tcPr>
                  <w:tcW w:w="366" w:type="pct"/>
                  <w:vMerge w:val="restart"/>
                  <w:noWrap w:val="0"/>
                  <w:vAlign w:val="center"/>
                </w:tcPr>
                <w:p w14:paraId="25B89480">
                  <w:pPr>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设置于循环水池内</w:t>
                  </w:r>
                </w:p>
              </w:tc>
              <w:tc>
                <w:tcPr>
                  <w:tcW w:w="465" w:type="pct"/>
                  <w:noWrap w:val="0"/>
                  <w:vAlign w:val="center"/>
                </w:tcPr>
                <w:p w14:paraId="19CE29EF">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-391</w:t>
                  </w:r>
                </w:p>
              </w:tc>
              <w:tc>
                <w:tcPr>
                  <w:tcW w:w="489" w:type="pct"/>
                  <w:noWrap w:val="0"/>
                  <w:vAlign w:val="center"/>
                </w:tcPr>
                <w:p w14:paraId="0572EE5F">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-607.51</w:t>
                  </w:r>
                </w:p>
              </w:tc>
              <w:tc>
                <w:tcPr>
                  <w:tcW w:w="297" w:type="pct"/>
                  <w:noWrap w:val="0"/>
                  <w:vAlign w:val="center"/>
                </w:tcPr>
                <w:p w14:paraId="1C0820C4">
                  <w:pPr>
                    <w:jc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w:t>
                  </w:r>
                </w:p>
              </w:tc>
              <w:tc>
                <w:tcPr>
                  <w:tcW w:w="359" w:type="pct"/>
                  <w:noWrap w:val="0"/>
                  <w:vAlign w:val="center"/>
                </w:tcPr>
                <w:p w14:paraId="0BF84E52">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1</w:t>
                  </w:r>
                </w:p>
              </w:tc>
              <w:tc>
                <w:tcPr>
                  <w:tcW w:w="401" w:type="pct"/>
                  <w:noWrap w:val="0"/>
                  <w:vAlign w:val="center"/>
                </w:tcPr>
                <w:p w14:paraId="03C3C8BE">
                  <w:pPr>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90</w:t>
                  </w:r>
                </w:p>
              </w:tc>
              <w:tc>
                <w:tcPr>
                  <w:tcW w:w="359" w:type="pct"/>
                  <w:vMerge w:val="continue"/>
                  <w:noWrap w:val="0"/>
                  <w:vAlign w:val="center"/>
                </w:tcPr>
                <w:p w14:paraId="5B8481E6">
                  <w:pPr>
                    <w:jc w:val="center"/>
                    <w:rPr>
                      <w:bCs/>
                      <w:color w:val="000000" w:themeColor="text1"/>
                      <w:sz w:val="18"/>
                      <w:szCs w:val="18"/>
                      <w14:textFill>
                        <w14:solidFill>
                          <w14:schemeClr w14:val="tx1"/>
                        </w14:solidFill>
                      </w14:textFill>
                    </w:rPr>
                  </w:pPr>
                </w:p>
              </w:tc>
              <w:tc>
                <w:tcPr>
                  <w:tcW w:w="420" w:type="pct"/>
                  <w:noWrap w:val="0"/>
                  <w:vAlign w:val="center"/>
                </w:tcPr>
                <w:p w14:paraId="6CC6ACB0">
                  <w:pPr>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25</w:t>
                  </w:r>
                </w:p>
              </w:tc>
              <w:tc>
                <w:tcPr>
                  <w:tcW w:w="417" w:type="pct"/>
                  <w:noWrap w:val="0"/>
                  <w:vAlign w:val="center"/>
                </w:tcPr>
                <w:p w14:paraId="4DBFC4FA">
                  <w:pPr>
                    <w:keepNext w:val="0"/>
                    <w:keepLines w:val="0"/>
                    <w:widowControl/>
                    <w:suppressLineNumbers w:val="0"/>
                    <w:jc w:val="center"/>
                    <w:textAlignment w:val="center"/>
                    <w:rPr>
                      <w:rFonts w:hint="default" w:eastAsia="宋体"/>
                      <w:bCs/>
                      <w:color w:val="000000" w:themeColor="text1"/>
                      <w:sz w:val="18"/>
                      <w:szCs w:val="18"/>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18"/>
                      <w:szCs w:val="18"/>
                      <w:u w:val="none"/>
                      <w:lang w:val="en-US" w:eastAsia="zh-CN" w:bidi="ar"/>
                      <w14:textFill>
                        <w14:solidFill>
                          <w14:schemeClr w14:val="tx1"/>
                        </w14:solidFill>
                      </w14:textFill>
                    </w:rPr>
                    <w:t>65</w:t>
                  </w:r>
                </w:p>
              </w:tc>
              <w:tc>
                <w:tcPr>
                  <w:tcW w:w="363" w:type="pct"/>
                  <w:noWrap w:val="0"/>
                  <w:vAlign w:val="center"/>
                </w:tcPr>
                <w:p w14:paraId="3C638FB9">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w:t>
                  </w:r>
                </w:p>
              </w:tc>
            </w:tr>
            <w:tr w14:paraId="641A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noWrap w:val="0"/>
                  <w:vAlign w:val="center"/>
                </w:tcPr>
                <w:p w14:paraId="276E7DF6">
                  <w:pPr>
                    <w:jc w:val="center"/>
                    <w:rPr>
                      <w:bCs/>
                      <w:color w:val="000000" w:themeColor="text1"/>
                      <w:sz w:val="18"/>
                      <w:szCs w:val="18"/>
                      <w14:textFill>
                        <w14:solidFill>
                          <w14:schemeClr w14:val="tx1"/>
                        </w14:solidFill>
                      </w14:textFill>
                    </w:rPr>
                  </w:pPr>
                </w:p>
              </w:tc>
              <w:tc>
                <w:tcPr>
                  <w:tcW w:w="431" w:type="pct"/>
                  <w:noWrap w:val="0"/>
                  <w:vAlign w:val="center"/>
                </w:tcPr>
                <w:p w14:paraId="2E43E9FF">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2#循环水泵</w:t>
                  </w:r>
                </w:p>
              </w:tc>
              <w:tc>
                <w:tcPr>
                  <w:tcW w:w="359" w:type="pct"/>
                  <w:noWrap w:val="0"/>
                  <w:vAlign w:val="center"/>
                </w:tcPr>
                <w:p w14:paraId="09E2FC54">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90</w:t>
                  </w:r>
                </w:p>
              </w:tc>
              <w:tc>
                <w:tcPr>
                  <w:tcW w:w="366" w:type="pct"/>
                  <w:vMerge w:val="continue"/>
                  <w:noWrap w:val="0"/>
                  <w:vAlign w:val="center"/>
                </w:tcPr>
                <w:p w14:paraId="0089E35C">
                  <w:pPr>
                    <w:jc w:val="center"/>
                    <w:rPr>
                      <w:bCs/>
                      <w:color w:val="000000" w:themeColor="text1"/>
                      <w:sz w:val="18"/>
                      <w:szCs w:val="18"/>
                      <w14:textFill>
                        <w14:solidFill>
                          <w14:schemeClr w14:val="tx1"/>
                        </w14:solidFill>
                      </w14:textFill>
                    </w:rPr>
                  </w:pPr>
                </w:p>
              </w:tc>
              <w:tc>
                <w:tcPr>
                  <w:tcW w:w="465" w:type="pct"/>
                  <w:noWrap w:val="0"/>
                  <w:vAlign w:val="center"/>
                </w:tcPr>
                <w:p w14:paraId="6FFBA8E1">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-391</w:t>
                  </w:r>
                </w:p>
              </w:tc>
              <w:tc>
                <w:tcPr>
                  <w:tcW w:w="489" w:type="pct"/>
                  <w:noWrap w:val="0"/>
                  <w:vAlign w:val="center"/>
                </w:tcPr>
                <w:p w14:paraId="5DBAA61F">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-607.22</w:t>
                  </w:r>
                </w:p>
              </w:tc>
              <w:tc>
                <w:tcPr>
                  <w:tcW w:w="297" w:type="pct"/>
                  <w:noWrap w:val="0"/>
                  <w:vAlign w:val="center"/>
                </w:tcPr>
                <w:p w14:paraId="097BA858">
                  <w:pPr>
                    <w:jc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w:t>
                  </w:r>
                </w:p>
              </w:tc>
              <w:tc>
                <w:tcPr>
                  <w:tcW w:w="359" w:type="pct"/>
                  <w:noWrap w:val="0"/>
                  <w:vAlign w:val="center"/>
                </w:tcPr>
                <w:p w14:paraId="647E9F58">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1</w:t>
                  </w:r>
                </w:p>
              </w:tc>
              <w:tc>
                <w:tcPr>
                  <w:tcW w:w="401" w:type="pct"/>
                  <w:noWrap w:val="0"/>
                  <w:vAlign w:val="center"/>
                </w:tcPr>
                <w:p w14:paraId="308A6D52">
                  <w:pPr>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90</w:t>
                  </w:r>
                </w:p>
              </w:tc>
              <w:tc>
                <w:tcPr>
                  <w:tcW w:w="359" w:type="pct"/>
                  <w:vMerge w:val="continue"/>
                  <w:noWrap w:val="0"/>
                  <w:vAlign w:val="center"/>
                </w:tcPr>
                <w:p w14:paraId="6820B3FE">
                  <w:pPr>
                    <w:jc w:val="center"/>
                    <w:rPr>
                      <w:bCs/>
                      <w:color w:val="000000" w:themeColor="text1"/>
                      <w:sz w:val="18"/>
                      <w:szCs w:val="18"/>
                      <w14:textFill>
                        <w14:solidFill>
                          <w14:schemeClr w14:val="tx1"/>
                        </w14:solidFill>
                      </w14:textFill>
                    </w:rPr>
                  </w:pPr>
                </w:p>
              </w:tc>
              <w:tc>
                <w:tcPr>
                  <w:tcW w:w="420" w:type="pct"/>
                  <w:noWrap w:val="0"/>
                  <w:vAlign w:val="center"/>
                </w:tcPr>
                <w:p w14:paraId="07416231">
                  <w:pPr>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25</w:t>
                  </w:r>
                </w:p>
              </w:tc>
              <w:tc>
                <w:tcPr>
                  <w:tcW w:w="417" w:type="pct"/>
                  <w:noWrap w:val="0"/>
                  <w:vAlign w:val="center"/>
                </w:tcPr>
                <w:p w14:paraId="17A1CCA1">
                  <w:pPr>
                    <w:keepNext w:val="0"/>
                    <w:keepLines w:val="0"/>
                    <w:widowControl/>
                    <w:suppressLineNumbers w:val="0"/>
                    <w:jc w:val="center"/>
                    <w:textAlignment w:val="center"/>
                    <w:rPr>
                      <w:rFonts w:hint="default" w:eastAsia="宋体"/>
                      <w:bCs/>
                      <w:color w:val="000000" w:themeColor="text1"/>
                      <w:sz w:val="18"/>
                      <w:szCs w:val="18"/>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18"/>
                      <w:szCs w:val="18"/>
                      <w:u w:val="none"/>
                      <w:lang w:val="en-US" w:eastAsia="zh-CN" w:bidi="ar"/>
                      <w14:textFill>
                        <w14:solidFill>
                          <w14:schemeClr w14:val="tx1"/>
                        </w14:solidFill>
                      </w14:textFill>
                    </w:rPr>
                    <w:t>65</w:t>
                  </w:r>
                </w:p>
              </w:tc>
              <w:tc>
                <w:tcPr>
                  <w:tcW w:w="363" w:type="pct"/>
                  <w:noWrap w:val="0"/>
                  <w:vAlign w:val="center"/>
                </w:tcPr>
                <w:p w14:paraId="3F497EB9">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w:t>
                  </w:r>
                </w:p>
              </w:tc>
            </w:tr>
            <w:tr w14:paraId="1D5D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noWrap w:val="0"/>
                  <w:vAlign w:val="center"/>
                </w:tcPr>
                <w:p w14:paraId="57BFBF37">
                  <w:pPr>
                    <w:jc w:val="center"/>
                    <w:rPr>
                      <w:bCs/>
                      <w:color w:val="000000" w:themeColor="text1"/>
                      <w:sz w:val="18"/>
                      <w:szCs w:val="18"/>
                      <w14:textFill>
                        <w14:solidFill>
                          <w14:schemeClr w14:val="tx1"/>
                        </w14:solidFill>
                      </w14:textFill>
                    </w:rPr>
                  </w:pPr>
                </w:p>
              </w:tc>
              <w:tc>
                <w:tcPr>
                  <w:tcW w:w="431" w:type="pct"/>
                  <w:noWrap w:val="0"/>
                  <w:vAlign w:val="center"/>
                </w:tcPr>
                <w:p w14:paraId="5C35E416">
                  <w:pPr>
                    <w:jc w:val="center"/>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脉冲泵</w:t>
                  </w:r>
                </w:p>
              </w:tc>
              <w:tc>
                <w:tcPr>
                  <w:tcW w:w="359" w:type="pct"/>
                  <w:noWrap w:val="0"/>
                  <w:vAlign w:val="center"/>
                </w:tcPr>
                <w:p w14:paraId="0C8DA974">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90</w:t>
                  </w:r>
                </w:p>
              </w:tc>
              <w:tc>
                <w:tcPr>
                  <w:tcW w:w="366" w:type="pct"/>
                  <w:vMerge w:val="continue"/>
                  <w:noWrap w:val="0"/>
                  <w:vAlign w:val="center"/>
                </w:tcPr>
                <w:p w14:paraId="2C5DC978">
                  <w:pPr>
                    <w:jc w:val="center"/>
                    <w:rPr>
                      <w:bCs/>
                      <w:color w:val="000000" w:themeColor="text1"/>
                      <w:sz w:val="18"/>
                      <w:szCs w:val="18"/>
                      <w14:textFill>
                        <w14:solidFill>
                          <w14:schemeClr w14:val="tx1"/>
                        </w14:solidFill>
                      </w14:textFill>
                    </w:rPr>
                  </w:pPr>
                </w:p>
              </w:tc>
              <w:tc>
                <w:tcPr>
                  <w:tcW w:w="465" w:type="pct"/>
                  <w:noWrap w:val="0"/>
                  <w:vAlign w:val="center"/>
                </w:tcPr>
                <w:p w14:paraId="6EDAC6B3">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-391.93</w:t>
                  </w:r>
                </w:p>
              </w:tc>
              <w:tc>
                <w:tcPr>
                  <w:tcW w:w="489" w:type="pct"/>
                  <w:noWrap w:val="0"/>
                  <w:vAlign w:val="center"/>
                </w:tcPr>
                <w:p w14:paraId="4A75F093">
                  <w:pPr>
                    <w:jc w:val="center"/>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-6060.5</w:t>
                  </w:r>
                </w:p>
              </w:tc>
              <w:tc>
                <w:tcPr>
                  <w:tcW w:w="297" w:type="pct"/>
                  <w:noWrap w:val="0"/>
                  <w:vAlign w:val="center"/>
                </w:tcPr>
                <w:p w14:paraId="6D469B35">
                  <w:pPr>
                    <w:jc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1</w:t>
                  </w:r>
                </w:p>
              </w:tc>
              <w:tc>
                <w:tcPr>
                  <w:tcW w:w="359" w:type="pct"/>
                  <w:noWrap w:val="0"/>
                  <w:vAlign w:val="center"/>
                </w:tcPr>
                <w:p w14:paraId="1B93DE97">
                  <w:pPr>
                    <w:jc w:val="center"/>
                    <w:rPr>
                      <w:rFonts w:hint="default" w:eastAsia="宋体"/>
                      <w:bCs/>
                      <w:color w:val="000000" w:themeColor="text1"/>
                      <w:sz w:val="18"/>
                      <w:szCs w:val="18"/>
                      <w:lang w:val="en-US" w:eastAsia="zh-CN"/>
                      <w14:textFill>
                        <w14:solidFill>
                          <w14:schemeClr w14:val="tx1"/>
                        </w14:solidFill>
                      </w14:textFill>
                    </w:rPr>
                  </w:pPr>
                  <w:r>
                    <w:rPr>
                      <w:rFonts w:hint="eastAsia" w:eastAsia="宋体"/>
                      <w:bCs/>
                      <w:color w:val="000000" w:themeColor="text1"/>
                      <w:sz w:val="18"/>
                      <w:szCs w:val="18"/>
                      <w:lang w:val="en-US" w:eastAsia="zh-CN"/>
                      <w14:textFill>
                        <w14:solidFill>
                          <w14:schemeClr w14:val="tx1"/>
                        </w14:solidFill>
                      </w14:textFill>
                    </w:rPr>
                    <w:t>1</w:t>
                  </w:r>
                </w:p>
              </w:tc>
              <w:tc>
                <w:tcPr>
                  <w:tcW w:w="401" w:type="pct"/>
                  <w:noWrap w:val="0"/>
                  <w:vAlign w:val="center"/>
                </w:tcPr>
                <w:p w14:paraId="75DE918F">
                  <w:pPr>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90</w:t>
                  </w:r>
                </w:p>
              </w:tc>
              <w:tc>
                <w:tcPr>
                  <w:tcW w:w="359" w:type="pct"/>
                  <w:vMerge w:val="continue"/>
                  <w:noWrap w:val="0"/>
                  <w:vAlign w:val="center"/>
                </w:tcPr>
                <w:p w14:paraId="4DC1E190">
                  <w:pPr>
                    <w:jc w:val="center"/>
                    <w:rPr>
                      <w:bCs/>
                      <w:color w:val="000000" w:themeColor="text1"/>
                      <w:sz w:val="18"/>
                      <w:szCs w:val="18"/>
                      <w14:textFill>
                        <w14:solidFill>
                          <w14:schemeClr w14:val="tx1"/>
                        </w14:solidFill>
                      </w14:textFill>
                    </w:rPr>
                  </w:pPr>
                </w:p>
              </w:tc>
              <w:tc>
                <w:tcPr>
                  <w:tcW w:w="420" w:type="pct"/>
                  <w:noWrap w:val="0"/>
                  <w:vAlign w:val="center"/>
                </w:tcPr>
                <w:p w14:paraId="46173D4D">
                  <w:pPr>
                    <w:jc w:val="center"/>
                    <w:rPr>
                      <w:rFonts w:hint="default" w:eastAsia="宋体"/>
                      <w:bCs/>
                      <w:color w:val="000000" w:themeColor="text1"/>
                      <w:sz w:val="18"/>
                      <w:szCs w:val="18"/>
                      <w:lang w:val="en-US" w:eastAsia="zh-CN"/>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25</w:t>
                  </w:r>
                </w:p>
              </w:tc>
              <w:tc>
                <w:tcPr>
                  <w:tcW w:w="417" w:type="pct"/>
                  <w:noWrap w:val="0"/>
                  <w:vAlign w:val="center"/>
                </w:tcPr>
                <w:p w14:paraId="69343112">
                  <w:pPr>
                    <w:keepNext w:val="0"/>
                    <w:keepLines w:val="0"/>
                    <w:widowControl/>
                    <w:suppressLineNumbers w:val="0"/>
                    <w:jc w:val="center"/>
                    <w:textAlignment w:val="center"/>
                    <w:rPr>
                      <w:rFonts w:hint="default" w:eastAsia="宋体"/>
                      <w:bCs/>
                      <w:color w:val="000000" w:themeColor="text1"/>
                      <w:sz w:val="18"/>
                      <w:szCs w:val="18"/>
                      <w:lang w:val="en-US" w:eastAsia="zh-CN"/>
                      <w14:textFill>
                        <w14:solidFill>
                          <w14:schemeClr w14:val="tx1"/>
                        </w14:solidFill>
                      </w14:textFill>
                    </w:rPr>
                  </w:pPr>
                  <w:r>
                    <w:rPr>
                      <w:rFonts w:hint="default" w:ascii="Times New Roman" w:hAnsi="Times New Roman" w:eastAsia="等线" w:cs="Times New Roman"/>
                      <w:i w:val="0"/>
                      <w:iCs w:val="0"/>
                      <w:color w:val="000000" w:themeColor="text1"/>
                      <w:kern w:val="0"/>
                      <w:sz w:val="18"/>
                      <w:szCs w:val="18"/>
                      <w:u w:val="none"/>
                      <w:lang w:val="en-US" w:eastAsia="zh-CN" w:bidi="ar"/>
                      <w14:textFill>
                        <w14:solidFill>
                          <w14:schemeClr w14:val="tx1"/>
                        </w14:solidFill>
                      </w14:textFill>
                    </w:rPr>
                    <w:t>65</w:t>
                  </w:r>
                </w:p>
              </w:tc>
              <w:tc>
                <w:tcPr>
                  <w:tcW w:w="363" w:type="pct"/>
                  <w:noWrap w:val="0"/>
                  <w:vAlign w:val="center"/>
                </w:tcPr>
                <w:p w14:paraId="57DE822B">
                  <w:pPr>
                    <w:jc w:val="center"/>
                    <w:rPr>
                      <w:bCs/>
                      <w:color w:val="000000" w:themeColor="text1"/>
                      <w:sz w:val="18"/>
                      <w:szCs w:val="18"/>
                      <w14:textFill>
                        <w14:solidFill>
                          <w14:schemeClr w14:val="tx1"/>
                        </w14:solidFill>
                      </w14:textFill>
                    </w:rPr>
                  </w:pPr>
                  <w:r>
                    <w:rPr>
                      <w:rFonts w:hint="eastAsia"/>
                      <w:bCs/>
                      <w:color w:val="000000" w:themeColor="text1"/>
                      <w:sz w:val="18"/>
                      <w:szCs w:val="18"/>
                      <w:lang w:val="en-US" w:eastAsia="zh-CN"/>
                      <w14:textFill>
                        <w14:solidFill>
                          <w14:schemeClr w14:val="tx1"/>
                        </w14:solidFill>
                      </w14:textFill>
                    </w:rPr>
                    <w:t>1</w:t>
                  </w:r>
                </w:p>
              </w:tc>
            </w:tr>
          </w:tbl>
          <w:p w14:paraId="2BF5B385">
            <w:pPr>
              <w:widowControl/>
              <w:spacing w:line="360" w:lineRule="auto"/>
              <w:ind w:firstLine="482" w:firstLineChars="200"/>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3.2预测模式</w:t>
            </w:r>
          </w:p>
          <w:p w14:paraId="09288676">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经现场踏勘，本项目厂界外</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50</w:t>
            </w:r>
            <w:r>
              <w:rPr>
                <w:rFonts w:hint="default" w:ascii="Times New Roman" w:hAnsi="Times New Roman" w:eastAsia="宋体" w:cs="Times New Roman"/>
                <w:color w:val="000000" w:themeColor="text1"/>
                <w:sz w:val="24"/>
                <w:szCs w:val="24"/>
                <w14:textFill>
                  <w14:solidFill>
                    <w14:schemeClr w14:val="tx1"/>
                  </w14:solidFill>
                </w14:textFill>
              </w:rPr>
              <w:t>m范围内无声环境保护目标分布，本次评价预测主要针对项目区厂界噪声</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进行评价</w:t>
            </w:r>
            <w:r>
              <w:rPr>
                <w:rFonts w:hint="default" w:ascii="Times New Roman" w:hAnsi="Times New Roman" w:eastAsia="宋体" w:cs="Times New Roman"/>
                <w:color w:val="000000" w:themeColor="text1"/>
                <w:sz w:val="24"/>
                <w:szCs w:val="24"/>
                <w14:textFill>
                  <w14:solidFill>
                    <w14:schemeClr w14:val="tx1"/>
                  </w14:solidFill>
                </w14:textFill>
              </w:rPr>
              <w:t>。本次评价采用《环境影响评价技术导则 声环境》（HJ2.1-2021）推荐模型预测。</w:t>
            </w:r>
          </w:p>
          <w:p w14:paraId="2A6013A4">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如图4-</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14:textFill>
                  <w14:solidFill>
                    <w14:schemeClr w14:val="tx1"/>
                  </w14:solidFill>
                </w14:textFill>
              </w:rPr>
              <w:t>所示，声源位于室内，室内声源可采用等效室外声源声功率级法进行计算。设靠近开口处（或窗户）室内、室外某倍频带的声压级或A声级分别为Lp1和Lp2，若声源所在室内声场为近似扩散声场，则室外的倍频带声压级可按下式近似求出：</w:t>
            </w:r>
          </w:p>
          <w:p w14:paraId="14771856">
            <w:pPr>
              <w:spacing w:line="360" w:lineRule="auto"/>
              <w:jc w:val="center"/>
              <w:rPr>
                <w:rFonts w:hint="default" w:ascii="Times New Roman" w:hAnsi="Times New Roman" w:eastAsia="宋体" w:cs="Times New Roman"/>
                <w:color w:val="000000" w:themeColor="text1"/>
                <w:sz w:val="24"/>
                <w:szCs w:val="24"/>
                <w14:textFill>
                  <w14:solidFill>
                    <w14:schemeClr w14:val="tx1"/>
                  </w14:solidFill>
                </w14:textFill>
              </w:rPr>
            </w:pPr>
            <m:oMathPara>
              <m:oMath>
                <m:sSub>
                  <m:sSubPr>
                    <m:ctrlPr>
                      <w:rPr>
                        <w:rFonts w:hint="default" w:ascii="Cambria Math" w:hAnsi="Cambria Math" w:cs="宋体"/>
                        <w:color w:val="000000" w:themeColor="text1"/>
                        <w:sz w:val="24"/>
                        <w14:textFill>
                          <w14:solidFill>
                            <w14:schemeClr w14:val="tx1"/>
                          </w14:solidFill>
                        </w14:textFill>
                      </w:rPr>
                    </m:ctrlPr>
                  </m:sSubPr>
                  <m:e>
                    <m:r>
                      <m:rPr>
                        <m:sty m:val="p"/>
                      </m:rPr>
                      <w:rPr>
                        <w:rFonts w:hint="eastAsia" w:ascii="Cambria Math" w:hAnsi="Cambria Math" w:cs="宋体"/>
                        <w:color w:val="000000" w:themeColor="text1"/>
                        <w:sz w:val="24"/>
                        <w14:textFill>
                          <w14:solidFill>
                            <w14:schemeClr w14:val="tx1"/>
                          </w14:solidFill>
                        </w14:textFill>
                      </w:rPr>
                      <m:t>L</m:t>
                    </m:r>
                    <m:ctrlPr>
                      <w:rPr>
                        <w:rFonts w:hint="default" w:ascii="Cambria Math" w:hAnsi="Cambria Math" w:cs="宋体"/>
                        <w:color w:val="000000" w:themeColor="text1"/>
                        <w:sz w:val="24"/>
                        <w14:textFill>
                          <w14:solidFill>
                            <w14:schemeClr w14:val="tx1"/>
                          </w14:solidFill>
                        </w14:textFill>
                      </w:rPr>
                    </m:ctrlPr>
                  </m:e>
                  <m:sub>
                    <m:r>
                      <m:rPr/>
                      <w:rPr>
                        <w:rFonts w:hint="default" w:ascii="Cambria Math" w:hAnsi="Cambria Math" w:cs="宋体"/>
                        <w:color w:val="000000" w:themeColor="text1"/>
                        <w:sz w:val="24"/>
                        <w14:textFill>
                          <w14:solidFill>
                            <w14:schemeClr w14:val="tx1"/>
                          </w14:solidFill>
                        </w14:textFill>
                      </w:rPr>
                      <m:t>p2</m:t>
                    </m:r>
                    <m:ctrlPr>
                      <w:rPr>
                        <w:rFonts w:hint="default" w:ascii="Cambria Math" w:hAnsi="Cambria Math" w:cs="宋体"/>
                        <w:color w:val="000000" w:themeColor="text1"/>
                        <w:sz w:val="24"/>
                        <w14:textFill>
                          <w14:solidFill>
                            <w14:schemeClr w14:val="tx1"/>
                          </w14:solidFill>
                        </w14:textFill>
                      </w:rPr>
                    </m:ctrlPr>
                  </m:sub>
                </m:sSub>
                <m:r>
                  <m:rPr/>
                  <w:rPr>
                    <w:rFonts w:hint="eastAsia" w:ascii="Cambria Math" w:hAnsi="Cambria Math" w:cs="宋体"/>
                    <w:color w:val="000000" w:themeColor="text1"/>
                    <w:sz w:val="24"/>
                    <w14:textFill>
                      <w14:solidFill>
                        <w14:schemeClr w14:val="tx1"/>
                      </w14:solidFill>
                    </w14:textFill>
                  </w:rPr>
                  <m:t>=</m:t>
                </m:r>
                <m:sSub>
                  <m:sSubPr>
                    <m:ctrlPr>
                      <w:rPr>
                        <w:rFonts w:hint="default" w:ascii="Cambria Math" w:hAnsi="Cambria Math" w:cs="宋体"/>
                        <w:i/>
                        <w:color w:val="000000" w:themeColor="text1"/>
                        <w:sz w:val="24"/>
                        <w14:textFill>
                          <w14:solidFill>
                            <w14:schemeClr w14:val="tx1"/>
                          </w14:solidFill>
                        </w14:textFill>
                      </w:rPr>
                    </m:ctrlPr>
                  </m:sSubPr>
                  <m:e>
                    <m:r>
                      <m:rPr/>
                      <w:rPr>
                        <w:rFonts w:hint="default" w:ascii="Cambria Math" w:hAnsi="Cambria Math" w:cs="宋体"/>
                        <w:color w:val="000000" w:themeColor="text1"/>
                        <w:sz w:val="24"/>
                        <w14:textFill>
                          <w14:solidFill>
                            <w14:schemeClr w14:val="tx1"/>
                          </w14:solidFill>
                        </w14:textFill>
                      </w:rPr>
                      <m:t>L</m:t>
                    </m:r>
                    <m:ctrlPr>
                      <w:rPr>
                        <w:rFonts w:hint="default" w:ascii="Cambria Math" w:hAnsi="Cambria Math" w:cs="宋体"/>
                        <w:i/>
                        <w:color w:val="000000" w:themeColor="text1"/>
                        <w:sz w:val="24"/>
                        <w14:textFill>
                          <w14:solidFill>
                            <w14:schemeClr w14:val="tx1"/>
                          </w14:solidFill>
                        </w14:textFill>
                      </w:rPr>
                    </m:ctrlPr>
                  </m:e>
                  <m:sub>
                    <m:r>
                      <m:rPr/>
                      <w:rPr>
                        <w:rFonts w:hint="default" w:ascii="Cambria Math" w:hAnsi="Cambria Math" w:cs="宋体"/>
                        <w:color w:val="000000" w:themeColor="text1"/>
                        <w:sz w:val="24"/>
                        <w14:textFill>
                          <w14:solidFill>
                            <w14:schemeClr w14:val="tx1"/>
                          </w14:solidFill>
                        </w14:textFill>
                      </w:rPr>
                      <m:t>p1</m:t>
                    </m:r>
                    <m:ctrlPr>
                      <w:rPr>
                        <w:rFonts w:hint="default" w:ascii="Cambria Math" w:hAnsi="Cambria Math" w:cs="宋体"/>
                        <w:i/>
                        <w:color w:val="000000" w:themeColor="text1"/>
                        <w:sz w:val="24"/>
                        <w14:textFill>
                          <w14:solidFill>
                            <w14:schemeClr w14:val="tx1"/>
                          </w14:solidFill>
                        </w14:textFill>
                      </w:rPr>
                    </m:ctrlPr>
                  </m:sub>
                </m:sSub>
                <m:r>
                  <m:rPr/>
                  <w:rPr>
                    <w:rFonts w:hint="default" w:ascii="Cambria Math" w:hAnsi="Cambria Math" w:cs="宋体"/>
                    <w:color w:val="000000" w:themeColor="text1"/>
                    <w:sz w:val="24"/>
                    <w14:textFill>
                      <w14:solidFill>
                        <w14:schemeClr w14:val="tx1"/>
                      </w14:solidFill>
                    </w14:textFill>
                  </w:rPr>
                  <m:t>−</m:t>
                </m:r>
                <m:d>
                  <m:dPr>
                    <m:ctrlPr>
                      <w:rPr>
                        <w:rFonts w:hint="default" w:ascii="Cambria Math" w:hAnsi="Cambria Math" w:cs="宋体"/>
                        <w:i/>
                        <w:color w:val="000000" w:themeColor="text1"/>
                        <w:sz w:val="24"/>
                        <w14:textFill>
                          <w14:solidFill>
                            <w14:schemeClr w14:val="tx1"/>
                          </w14:solidFill>
                        </w14:textFill>
                      </w:rPr>
                    </m:ctrlPr>
                  </m:dPr>
                  <m:e>
                    <m:r>
                      <m:rPr/>
                      <w:rPr>
                        <w:rFonts w:hint="default" w:ascii="Cambria Math" w:hAnsi="Cambria Math" w:cs="宋体"/>
                        <w:color w:val="000000" w:themeColor="text1"/>
                        <w:sz w:val="24"/>
                        <w14:textFill>
                          <w14:solidFill>
                            <w14:schemeClr w14:val="tx1"/>
                          </w14:solidFill>
                        </w14:textFill>
                      </w:rPr>
                      <m:t>TL+6</m:t>
                    </m:r>
                    <m:ctrlPr>
                      <w:rPr>
                        <w:rFonts w:hint="default" w:ascii="Cambria Math" w:hAnsi="Cambria Math" w:cs="宋体"/>
                        <w:i/>
                        <w:color w:val="000000" w:themeColor="text1"/>
                        <w:sz w:val="24"/>
                        <w14:textFill>
                          <w14:solidFill>
                            <w14:schemeClr w14:val="tx1"/>
                          </w14:solidFill>
                        </w14:textFill>
                      </w:rPr>
                    </m:ctrlPr>
                  </m:e>
                </m:d>
              </m:oMath>
            </m:oMathPara>
          </w:p>
          <w:p w14:paraId="06D203C3">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式中：L</w:t>
            </w:r>
            <w:r>
              <w:rPr>
                <w:rFonts w:hint="default" w:ascii="Times New Roman" w:hAnsi="Times New Roman" w:eastAsia="宋体" w:cs="Times New Roman"/>
                <w:color w:val="000000" w:themeColor="text1"/>
                <w:sz w:val="24"/>
                <w:szCs w:val="24"/>
                <w:vertAlign w:val="subscript"/>
                <w14:textFill>
                  <w14:solidFill>
                    <w14:schemeClr w14:val="tx1"/>
                  </w14:solidFill>
                </w14:textFill>
              </w:rPr>
              <w:t>p1</w:t>
            </w:r>
            <w:r>
              <w:rPr>
                <w:rFonts w:hint="default" w:ascii="Times New Roman" w:hAnsi="Times New Roman" w:eastAsia="宋体" w:cs="Times New Roman"/>
                <w:color w:val="000000" w:themeColor="text1"/>
                <w:sz w:val="24"/>
                <w:szCs w:val="24"/>
                <w14:textFill>
                  <w14:solidFill>
                    <w14:schemeClr w14:val="tx1"/>
                  </w14:solidFill>
                </w14:textFill>
              </w:rPr>
              <w:t>—靠近开口处（或窗户）室内某倍频带的声压级或A声级，dB；</w:t>
            </w:r>
          </w:p>
          <w:p w14:paraId="75F00678">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      L</w:t>
            </w:r>
            <w:r>
              <w:rPr>
                <w:rFonts w:hint="default" w:ascii="Times New Roman" w:hAnsi="Times New Roman" w:eastAsia="宋体" w:cs="Times New Roman"/>
                <w:color w:val="000000" w:themeColor="text1"/>
                <w:sz w:val="24"/>
                <w:szCs w:val="24"/>
                <w:vertAlign w:val="subscript"/>
                <w14:textFill>
                  <w14:solidFill>
                    <w14:schemeClr w14:val="tx1"/>
                  </w14:solidFill>
                </w14:textFill>
              </w:rPr>
              <w:t>p2</w:t>
            </w:r>
            <w:r>
              <w:rPr>
                <w:rFonts w:hint="default" w:ascii="Times New Roman" w:hAnsi="Times New Roman" w:eastAsia="宋体" w:cs="Times New Roman"/>
                <w:color w:val="000000" w:themeColor="text1"/>
                <w:sz w:val="24"/>
                <w:szCs w:val="24"/>
                <w14:textFill>
                  <w14:solidFill>
                    <w14:schemeClr w14:val="tx1"/>
                  </w14:solidFill>
                </w14:textFill>
              </w:rPr>
              <w:t>—靠近开口处（或窗户）室外某倍频带的声压级或A声级，dB；</w:t>
            </w:r>
          </w:p>
          <w:p w14:paraId="3CC7C364">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      TL—隔墙（或窗户）倍频带或A声级的隔声量，dB。</w:t>
            </w:r>
          </w:p>
          <w:p w14:paraId="45E1A1D4">
            <w:pPr>
              <w:spacing w:line="360" w:lineRule="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mc:AlternateContent>
                <mc:Choice Requires="wpc">
                  <w:drawing>
                    <wp:inline distT="0" distB="0" distL="114300" distR="114300">
                      <wp:extent cx="5486400" cy="1228725"/>
                      <wp:effectExtent l="0" t="0" r="0" b="0"/>
                      <wp:docPr id="1" name="画布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87" name="文本框 38"/>
                              <wps:cNvSpPr txBox="1"/>
                              <wps:spPr>
                                <a:xfrm>
                                  <a:off x="3321580" y="336499"/>
                                  <a:ext cx="460375" cy="295140"/>
                                </a:xfrm>
                                <a:prstGeom prst="rect">
                                  <a:avLst/>
                                </a:prstGeom>
                                <a:noFill/>
                                <a:ln w="6350">
                                  <a:noFill/>
                                </a:ln>
                                <a:effectLst/>
                              </wps:spPr>
                              <wps:txbx>
                                <w:txbxContent>
                                  <w:p w14:paraId="7ECEF06E">
                                    <w:pPr>
                                      <w:pStyle w:val="24"/>
                                      <w:spacing w:before="0" w:beforeAutospacing="0" w:after="0" w:afterAutospacing="0"/>
                                      <w:jc w:val="both"/>
                                    </w:pPr>
                                    <w:r>
                                      <w:rPr>
                                        <w:rFonts w:hint="eastAsia" w:ascii="Times New Roman"/>
                                        <w:kern w:val="2"/>
                                        <w:sz w:val="21"/>
                                        <w:szCs w:val="21"/>
                                      </w:rPr>
                                      <w:t>L</w:t>
                                    </w:r>
                                    <w:r>
                                      <w:rPr>
                                        <w:rFonts w:hint="eastAsia" w:ascii="Times New Roman"/>
                                        <w:kern w:val="2"/>
                                        <w:sz w:val="21"/>
                                        <w:szCs w:val="21"/>
                                        <w:vertAlign w:val="subscript"/>
                                      </w:rPr>
                                      <w:t>p1</w:t>
                                    </w:r>
                                  </w:p>
                                </w:txbxContent>
                              </wps:txbx>
                              <wps:bodyPr rot="0" spcFirstLastPara="0" vert="horz" wrap="square" lIns="91440" tIns="45720" rIns="91440" bIns="45720" numCol="1" spcCol="0" rtlCol="0" fromWordArt="0" anchor="t" anchorCtr="0" forceAA="0" compatLnSpc="1">
                                <a:noAutofit/>
                              </wps:bodyPr>
                            </wps:wsp>
                            <wps:wsp>
                              <wps:cNvPr id="38" name="文本框 38"/>
                              <wps:cNvSpPr txBox="1"/>
                              <wps:spPr>
                                <a:xfrm>
                                  <a:off x="1689818" y="468166"/>
                                  <a:ext cx="460858" cy="226771"/>
                                </a:xfrm>
                                <a:prstGeom prst="rect">
                                  <a:avLst/>
                                </a:prstGeom>
                                <a:noFill/>
                                <a:ln w="6350">
                                  <a:noFill/>
                                </a:ln>
                                <a:effectLst/>
                              </wps:spPr>
                              <wps:txbx>
                                <w:txbxContent>
                                  <w:p w14:paraId="50F45360">
                                    <w:r>
                                      <w:rPr>
                                        <w:rFonts w:hint="eastAsia"/>
                                      </w:rPr>
                                      <w:t>声源</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 name="矩形 11"/>
                              <wps:cNvSpPr/>
                              <wps:spPr>
                                <a:xfrm>
                                  <a:off x="1719071" y="80468"/>
                                  <a:ext cx="2062886" cy="1089964"/>
                                </a:xfrm>
                                <a:prstGeom prst="rect">
                                  <a:avLst/>
                                </a:prstGeom>
                                <a:noFill/>
                                <a:ln w="25400"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4" name="矩形 14"/>
                              <wps:cNvSpPr/>
                              <wps:spPr>
                                <a:xfrm>
                                  <a:off x="3650284" y="285292"/>
                                  <a:ext cx="263347" cy="651052"/>
                                </a:xfrm>
                                <a:prstGeom prst="rect">
                                  <a:avLst/>
                                </a:prstGeom>
                                <a:solidFill>
                                  <a:srgbClr val="FFFFFF"/>
                                </a:solidFill>
                                <a:ln w="25400"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0" name="椭圆 20"/>
                              <wps:cNvSpPr/>
                              <wps:spPr>
                                <a:xfrm>
                                  <a:off x="2092147" y="468172"/>
                                  <a:ext cx="124359" cy="241402"/>
                                </a:xfrm>
                                <a:prstGeom prst="ellipse">
                                  <a:avLst/>
                                </a:prstGeom>
                                <a:noFill/>
                                <a:ln w="25400"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34" name="直接连接符 34"/>
                              <wps:cNvCnPr>
                                <a:stCxn id="20" idx="6"/>
                              </wps:cNvCnPr>
                              <wps:spPr>
                                <a:xfrm>
                                  <a:off x="2216506" y="588873"/>
                                  <a:ext cx="1272845" cy="3658"/>
                                </a:xfrm>
                                <a:prstGeom prst="line">
                                  <a:avLst/>
                                </a:prstGeom>
                                <a:noFill/>
                                <a:ln w="9525" cap="flat" cmpd="sng" algn="ctr">
                                  <a:solidFill>
                                    <a:srgbClr val="000000">
                                      <a:shade val="95000"/>
                                      <a:satMod val="105000"/>
                                    </a:srgbClr>
                                  </a:solidFill>
                                  <a:prstDash val="solid"/>
                                </a:ln>
                                <a:effectLst/>
                              </wps:spPr>
                              <wps:bodyPr/>
                            </wps:wsp>
                            <wps:wsp>
                              <wps:cNvPr id="36" name="流程图: 联系 36"/>
                              <wps:cNvSpPr/>
                              <wps:spPr>
                                <a:xfrm>
                                  <a:off x="3489353" y="561442"/>
                                  <a:ext cx="45719" cy="45719"/>
                                </a:xfrm>
                                <a:prstGeom prst="flowChartConnector">
                                  <a:avLst/>
                                </a:prstGeom>
                                <a:solidFill>
                                  <a:srgbClr val="000000"/>
                                </a:solidFill>
                                <a:ln w="25400"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88" name="流程图: 联系 188"/>
                              <wps:cNvSpPr/>
                              <wps:spPr>
                                <a:xfrm>
                                  <a:off x="4013165" y="560391"/>
                                  <a:ext cx="45085" cy="45085"/>
                                </a:xfrm>
                                <a:prstGeom prst="flowChartConnector">
                                  <a:avLst/>
                                </a:prstGeom>
                                <a:solidFill>
                                  <a:srgbClr val="000000"/>
                                </a:solidFill>
                                <a:ln w="25400" cap="flat" cmpd="sng" algn="ctr">
                                  <a:solidFill>
                                    <a:srgbClr val="000000"/>
                                  </a:solidFill>
                                  <a:prstDash val="solid"/>
                                </a:ln>
                                <a:effectLst/>
                              </wps:spPr>
                              <wps:bodyPr rot="0" spcFirstLastPara="0" vert="horz" wrap="square" lIns="91440" tIns="45720" rIns="91440" bIns="45720" numCol="1" spcCol="0" rtlCol="0" fromWordArt="0" anchor="ctr" anchorCtr="0" forceAA="0" compatLnSpc="1">
                                <a:noAutofit/>
                              </wps:bodyPr>
                            </wps:wsp>
                            <wps:wsp>
                              <wps:cNvPr id="189" name="文本框 38"/>
                              <wps:cNvSpPr txBox="1"/>
                              <wps:spPr>
                                <a:xfrm>
                                  <a:off x="3884367" y="322369"/>
                                  <a:ext cx="460375" cy="294640"/>
                                </a:xfrm>
                                <a:prstGeom prst="rect">
                                  <a:avLst/>
                                </a:prstGeom>
                                <a:noFill/>
                                <a:ln w="6350">
                                  <a:noFill/>
                                </a:ln>
                                <a:effectLst/>
                              </wps:spPr>
                              <wps:txbx>
                                <w:txbxContent>
                                  <w:p w14:paraId="5A838CFA">
                                    <w:pPr>
                                      <w:pStyle w:val="24"/>
                                      <w:spacing w:before="0" w:beforeAutospacing="0" w:after="0" w:afterAutospacing="0"/>
                                      <w:jc w:val="both"/>
                                    </w:pPr>
                                    <w:r>
                                      <w:rPr>
                                        <w:rFonts w:ascii="Times New Roman" w:hAnsi="Times New Roman"/>
                                        <w:kern w:val="2"/>
                                        <w:sz w:val="21"/>
                                        <w:szCs w:val="21"/>
                                      </w:rPr>
                                      <w:t>L</w:t>
                                    </w:r>
                                    <w:r>
                                      <w:rPr>
                                        <w:rFonts w:ascii="Times New Roman" w:hAnsi="Times New Roman"/>
                                        <w:kern w:val="2"/>
                                        <w:position w:val="-5"/>
                                        <w:sz w:val="21"/>
                                        <w:szCs w:val="21"/>
                                        <w:vertAlign w:val="subscript"/>
                                      </w:rPr>
                                      <w:t>p</w:t>
                                    </w:r>
                                    <w:r>
                                      <w:rPr>
                                        <w:rFonts w:hint="eastAsia" w:ascii="Times New Roman" w:hAnsi="Times New Roman"/>
                                        <w:kern w:val="2"/>
                                        <w:position w:val="-5"/>
                                        <w:sz w:val="21"/>
                                        <w:szCs w:val="21"/>
                                        <w:vertAlign w:val="subscript"/>
                                      </w:rPr>
                                      <w:t>2</w:t>
                                    </w:r>
                                  </w:p>
                                </w:txbxContent>
                              </wps:txbx>
                              <wps:bodyPr rot="0" spcFirstLastPara="0" vert="horz" wrap="square" lIns="91440" tIns="45720" rIns="91440" bIns="45720" numCol="1" spcCol="0" rtlCol="0" fromWordArt="0" anchor="t" anchorCtr="0" forceAA="0" compatLnSpc="1">
                                <a:noAutofit/>
                              </wps:bodyPr>
                            </wps:wsp>
                          </wpc:wpc>
                        </a:graphicData>
                      </a:graphic>
                    </wp:inline>
                  </w:drawing>
                </mc:Choice>
                <mc:Fallback>
                  <w:pict>
                    <v:group id="画布 6" o:spid="_x0000_s1026" o:spt="203" style="height:96.75pt;width:432pt;" coordsize="5486400,1228725" editas="canvas" o:gfxdata="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">
                      <o:lock v:ext="edit" aspectratio="f"/>
                      <v:shape id="画布 6" o:spid="_x0000_s1026" style="position:absolute;left:0;top:0;height:1228725;width:5486400;" filled="f" stroked="f" coordsize="21600,21600" o:gfxdata="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">
                        <v:fill on="f" focussize="0,0"/>
                        <v:stroke on="f"/>
                        <v:imagedata o:title=""/>
                        <o:lock v:ext="edit" aspectratio="t"/>
                      </v:shape>
                      <v:shape id="文本框 38" o:spid="_x0000_s1026" o:spt="202" type="#_x0000_t202" style="position:absolute;left:3321580;top:336499;height:295140;width:460375;" filled="f" stroked="f" coordsize="21600,21600" o:gfxdata="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s0JgLWAAAABQEAAA8AAAAAAAAAAQAgAAAAIgAAAGRycy9k&#10;b3ducmV2LnhtbFBLAQIUABQAAAAIAIdO4kCEud3IPQIAAFEEAAAOAAAAAAAAAAEAIAAAACUBAABk&#10;cnMvZTJvRG9jLnhtbFBLBQYAAAAABgAGAFkBAADUBQAAAAA=&#10;">
                        <v:fill on="f" focussize="0,0"/>
                        <v:stroke on="f" weight="0.5pt"/>
                        <v:imagedata o:title=""/>
                        <o:lock v:ext="edit" aspectratio="f"/>
                        <v:textbox>
                          <w:txbxContent>
                            <w:p w14:paraId="7ECEF06E">
                              <w:pPr>
                                <w:pStyle w:val="24"/>
                                <w:spacing w:before="0" w:beforeAutospacing="0" w:after="0" w:afterAutospacing="0"/>
                                <w:jc w:val="both"/>
                              </w:pPr>
                              <w:r>
                                <w:rPr>
                                  <w:rFonts w:hint="eastAsia" w:ascii="Times New Roman"/>
                                  <w:kern w:val="2"/>
                                  <w:sz w:val="21"/>
                                  <w:szCs w:val="21"/>
                                </w:rPr>
                                <w:t>L</w:t>
                              </w:r>
                              <w:r>
                                <w:rPr>
                                  <w:rFonts w:hint="eastAsia" w:ascii="Times New Roman"/>
                                  <w:kern w:val="2"/>
                                  <w:sz w:val="21"/>
                                  <w:szCs w:val="21"/>
                                  <w:vertAlign w:val="subscript"/>
                                </w:rPr>
                                <w:t>p1</w:t>
                              </w:r>
                            </w:p>
                          </w:txbxContent>
                        </v:textbox>
                      </v:shape>
                      <v:shape id="_x0000_s1026" o:spid="_x0000_s1026" o:spt="202" type="#_x0000_t202" style="position:absolute;left:1689818;top:468166;height:226771;width:460858;" filled="f" stroked="f" coordsize="21600,21600" o:gfxdata="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yzQmAtYAAAAFAQAADwAAAAAA&#10;AAABACAAAAAiAAAAZHJzL2Rvd25yZXYueG1sUEsBAhQAFAAAAAgAh07iQPwUUDNOAgAAgAQAAA4A&#10;AAAAAAAAAQAgAAAAJQEAAGRycy9lMm9Eb2MueG1sUEsFBgAAAAAGAAYAWQEAAOUFAAAAAA==&#10;">
                        <v:fill on="f" focussize="0,0"/>
                        <v:stroke on="f" weight="0.5pt"/>
                        <v:imagedata o:title=""/>
                        <o:lock v:ext="edit" aspectratio="f"/>
                        <v:textbox>
                          <w:txbxContent>
                            <w:p w14:paraId="50F45360">
                              <w:r>
                                <w:rPr>
                                  <w:rFonts w:hint="eastAsia"/>
                                </w:rPr>
                                <w:t>声源</w:t>
                              </w:r>
                            </w:p>
                          </w:txbxContent>
                        </v:textbox>
                      </v:shape>
                      <v:rect id="_x0000_s1026" o:spid="_x0000_s1026" o:spt="1" style="position:absolute;left:1719071;top:80468;height:1089964;width:2062886;v-text-anchor:middle;" filled="f" stroked="t" coordsize="21600,21600" o:gfxdata="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C3HE9zWAAAABQEAAA8AAAAAAAAAAQAgAAAAIgAAAGRycy9kb3ducmV2Lnht&#10;bFBLAQIUABQAAAAIAIdO4kAWrv57bQIAAM8EAAAOAAAAAAAAAAEAIAAAACUBAABkcnMvZTJvRG9j&#10;LnhtbFBLBQYAAAAABgAGAFkBAAAEBgAAAAA=&#10;">
                        <v:fill on="f" focussize="0,0"/>
                        <v:stroke weight="2pt" color="#000000" joinstyle="round"/>
                        <v:imagedata o:title=""/>
                        <o:lock v:ext="edit" aspectratio="f"/>
                      </v:rect>
                      <v:rect id="_x0000_s1026" o:spid="_x0000_s1026" o:spt="1" style="position:absolute;left:3650284;top:285292;height:651052;width:263347;v-text-anchor:middle;" fillcolor="#FFFFFF" filled="t" stroked="t" coordsize="21600,21600" o:gfxdata="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lo2n4tQAAAAFAQAADwAAAAAAAAABACAAAAAiAAAAZHJzL2Rv&#10;d25yZXYueG1sUEsBAhQAFAAAAAgAh07iQJWfxyt3AgAA9wQAAA4AAAAAAAAAAQAgAAAAIwEAAGRy&#10;cy9lMm9Eb2MueG1sUEsFBgAAAAAGAAYAWQEAAAwGAAAAAA==&#10;">
                        <v:fill on="t" focussize="0,0"/>
                        <v:stroke weight="2pt" color="#000000" joinstyle="round"/>
                        <v:imagedata o:title=""/>
                        <o:lock v:ext="edit" aspectratio="f"/>
                      </v:rect>
                      <v:shape id="_x0000_s1026" o:spid="_x0000_s1026" o:spt="3" type="#_x0000_t3" style="position:absolute;left:2092147;top:468172;height:241402;width:124359;v-text-anchor:middle;" filled="f" stroked="t" coordsize="21600,21600" o:gfxdata="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4gc321QAAAAUBAAAPAAAAAAAAAAEAIAAAACIAAABkcnMvZG93bnJldi54&#10;bWxQSwECFAAUAAAACACHTuJA8xbY1W8CAADRBAAADgAAAAAAAAABACAAAAAkAQAAZHJzL2Uyb0Rv&#10;Yy54bWxQSwUGAAAAAAYABgBZAQAABQYAAAAA&#10;">
                        <v:fill on="f" focussize="0,0"/>
                        <v:stroke weight="2pt" color="#000000" joinstyle="round"/>
                        <v:imagedata o:title=""/>
                        <o:lock v:ext="edit" aspectratio="f"/>
                      </v:shape>
                      <v:line id="_x0000_s1026" o:spid="_x0000_s1026" o:spt="20" style="position:absolute;left:2216506;top:588873;height:3658;width:1272845;" filled="f" stroked="t" coordsize="21600,21600" o:gfxdata="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Ke3fPUAAAABQEAAA8AAAAA&#10;AAAAAQAgAAAAIgAAAGRycy9kb3ducmV2LnhtbFBLAQIUABQAAAAIAIdO4kDRxnp5GAIAABgEAAAO&#10;AAAAAAAAAAEAIAAAACMBAABkcnMvZTJvRG9jLnhtbFBLBQYAAAAABgAGAFkBAACtBQAAAAA=&#10;">
                        <v:fill on="f" focussize="0,0"/>
                        <v:stroke color="#000000" joinstyle="round"/>
                        <v:imagedata o:title=""/>
                        <o:lock v:ext="edit" aspectratio="f"/>
                      </v:line>
                      <v:shape id="_x0000_s1026" o:spid="_x0000_s1026" o:spt="120" type="#_x0000_t120" style="position:absolute;left:3489353;top:561442;height:45719;width:45719;v-text-anchor:middle;" fillcolor="#000000" filled="t" stroked="t" coordsize="21600,21600" o:gfxdata="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gXfb6dMAAAAFAQAADwAAAAAAAAAB&#10;ACAAAAAiAAAAZHJzL2Rvd25yZXYueG1sUEsBAhQAFAAAAAgAh07iQB3ZE8GHAgAADgUAAA4AAAAA&#10;AAAAAQAgAAAAIgEAAGRycy9lMm9Eb2MueG1sUEsFBgAAAAAGAAYAWQEAABsGAAAAAA==&#10;">
                        <v:fill on="t" focussize="0,0"/>
                        <v:stroke weight="2pt" color="#000000" joinstyle="round"/>
                        <v:imagedata o:title=""/>
                        <o:lock v:ext="edit" aspectratio="f"/>
                      </v:shape>
                      <v:shape id="_x0000_s1026" o:spid="_x0000_s1026" o:spt="120" type="#_x0000_t120" style="position:absolute;left:4013165;top:560391;height:45085;width:45085;v-text-anchor:middle;" fillcolor="#000000" filled="t" stroked="t" coordsize="21600,21600" o:gfxdata="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Bd9vp0wAAAAUBAAAPAAAAAAAAAAEAIAAAACIAAABkcnMvZG93&#10;bnJldi54bWxQSwECFAAUAAAACACHTuJAX4g6QXcCAADgBAAADgAAAAAAAAABACAAAAAiAQAAZHJz&#10;L2Uyb0RvYy54bWxQSwUGAAAAAAYABgBZAQAACwYAAAAA&#10;">
                        <v:fill on="t" focussize="0,0"/>
                        <v:stroke weight="2pt" color="#000000" joinstyle="round"/>
                        <v:imagedata o:title=""/>
                        <o:lock v:ext="edit" aspectratio="f"/>
                      </v:shape>
                      <v:shape id="文本框 38" o:spid="_x0000_s1026" o:spt="202" type="#_x0000_t202" style="position:absolute;left:3884367;top:322369;height:294640;width:460375;" filled="f" stroked="f" coordsize="21600,21600" o:gfxdata="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yzQmAtYAAAAFAQAADwAAAAAAAAABACAAAAAiAAAAZHJz&#10;L2Rvd25yZXYueG1sUEsBAhQAFAAAAAgAh07iQK1xjL4/AgAAUQQAAA4AAAAAAAAAAQAgAAAAJQEA&#10;AGRycy9lMm9Eb2MueG1sUEsFBgAAAAAGAAYAWQEAANYFAAAAAA==&#10;">
                        <v:fill on="f" focussize="0,0"/>
                        <v:stroke on="f" weight="0.5pt"/>
                        <v:imagedata o:title=""/>
                        <o:lock v:ext="edit" aspectratio="f"/>
                        <v:textbox>
                          <w:txbxContent>
                            <w:p w14:paraId="5A838CFA">
                              <w:pPr>
                                <w:pStyle w:val="24"/>
                                <w:spacing w:before="0" w:beforeAutospacing="0" w:after="0" w:afterAutospacing="0"/>
                                <w:jc w:val="both"/>
                              </w:pPr>
                              <w:r>
                                <w:rPr>
                                  <w:rFonts w:ascii="Times New Roman" w:hAnsi="Times New Roman"/>
                                  <w:kern w:val="2"/>
                                  <w:sz w:val="21"/>
                                  <w:szCs w:val="21"/>
                                </w:rPr>
                                <w:t>L</w:t>
                              </w:r>
                              <w:r>
                                <w:rPr>
                                  <w:rFonts w:ascii="Times New Roman" w:hAnsi="Times New Roman"/>
                                  <w:kern w:val="2"/>
                                  <w:position w:val="-5"/>
                                  <w:sz w:val="21"/>
                                  <w:szCs w:val="21"/>
                                  <w:vertAlign w:val="subscript"/>
                                </w:rPr>
                                <w:t>p</w:t>
                              </w:r>
                              <w:r>
                                <w:rPr>
                                  <w:rFonts w:hint="eastAsia" w:ascii="Times New Roman" w:hAnsi="Times New Roman"/>
                                  <w:kern w:val="2"/>
                                  <w:position w:val="-5"/>
                                  <w:sz w:val="21"/>
                                  <w:szCs w:val="21"/>
                                  <w:vertAlign w:val="subscript"/>
                                </w:rPr>
                                <w:t>2</w:t>
                              </w:r>
                            </w:p>
                          </w:txbxContent>
                        </v:textbox>
                      </v:shape>
                      <w10:wrap type="none"/>
                      <w10:anchorlock/>
                    </v:group>
                  </w:pict>
                </mc:Fallback>
              </mc:AlternateContent>
            </w:r>
          </w:p>
          <w:p w14:paraId="2DDE6934">
            <w:pPr>
              <w:jc w:val="center"/>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图4-</w:t>
            </w:r>
            <w:r>
              <w:rPr>
                <w:rFonts w:hint="eastAsia" w:ascii="Times New Roman" w:hAnsi="Times New Roman" w:eastAsia="宋体" w:cs="Times New Roman"/>
                <w:b/>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b/>
                <w:color w:val="000000" w:themeColor="text1"/>
                <w:sz w:val="24"/>
                <w:szCs w:val="24"/>
                <w14:textFill>
                  <w14:solidFill>
                    <w14:schemeClr w14:val="tx1"/>
                  </w14:solidFill>
                </w14:textFill>
              </w:rPr>
              <w:t xml:space="preserve">  室内声源等效为室外声源图例</w:t>
            </w:r>
          </w:p>
          <w:p w14:paraId="3928E70F">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然后按下式计算出所有室内声源在围护结构处产生的i倍频带声压级，dB：</w:t>
            </w:r>
          </w:p>
          <w:p w14:paraId="0AFB8CE2">
            <w:pPr>
              <w:spacing w:line="360" w:lineRule="auto"/>
              <w:jc w:val="center"/>
              <w:rPr>
                <w:rFonts w:hint="default" w:ascii="Times New Roman" w:hAnsi="Times New Roman" w:eastAsia="宋体" w:cs="Times New Roman"/>
                <w:color w:val="000000" w:themeColor="text1"/>
                <w:sz w:val="24"/>
                <w:szCs w:val="24"/>
                <w14:textFill>
                  <w14:solidFill>
                    <w14:schemeClr w14:val="tx1"/>
                  </w14:solidFill>
                </w14:textFill>
              </w:rPr>
            </w:pPr>
            <m:oMathPara>
              <m:oMath>
                <m:sSub>
                  <m:sSubPr>
                    <m:ctrlPr>
                      <w:rPr>
                        <w:rFonts w:hint="default" w:ascii="Cambria Math" w:hAnsi="Cambria Math" w:cs="宋体"/>
                        <w:color w:val="000000" w:themeColor="text1"/>
                        <w:sz w:val="24"/>
                        <w14:textFill>
                          <w14:solidFill>
                            <w14:schemeClr w14:val="tx1"/>
                          </w14:solidFill>
                        </w14:textFill>
                      </w:rPr>
                    </m:ctrlPr>
                  </m:sSubPr>
                  <m:e>
                    <m:r>
                      <m:rPr/>
                      <w:rPr>
                        <w:rFonts w:hint="default" w:ascii="Cambria Math" w:hAnsi="Cambria Math" w:cs="宋体"/>
                        <w:color w:val="000000" w:themeColor="text1"/>
                        <w:sz w:val="24"/>
                        <w14:textFill>
                          <w14:solidFill>
                            <w14:schemeClr w14:val="tx1"/>
                          </w14:solidFill>
                        </w14:textFill>
                      </w:rPr>
                      <m:t>L</m:t>
                    </m:r>
                    <m:ctrlPr>
                      <w:rPr>
                        <w:rFonts w:hint="default" w:ascii="Cambria Math" w:hAnsi="Cambria Math" w:cs="宋体"/>
                        <w:color w:val="000000" w:themeColor="text1"/>
                        <w:sz w:val="24"/>
                        <w14:textFill>
                          <w14:solidFill>
                            <w14:schemeClr w14:val="tx1"/>
                          </w14:solidFill>
                        </w14:textFill>
                      </w:rPr>
                    </m:ctrlPr>
                  </m:e>
                  <m:sub>
                    <m:r>
                      <m:rPr/>
                      <w:rPr>
                        <w:rFonts w:hint="default" w:ascii="Cambria Math" w:hAnsi="Cambria Math" w:cs="宋体"/>
                        <w:color w:val="000000" w:themeColor="text1"/>
                        <w:sz w:val="24"/>
                        <w14:textFill>
                          <w14:solidFill>
                            <w14:schemeClr w14:val="tx1"/>
                          </w14:solidFill>
                        </w14:textFill>
                      </w:rPr>
                      <m:t>p1i</m:t>
                    </m:r>
                    <m:ctrlPr>
                      <w:rPr>
                        <w:rFonts w:hint="default" w:ascii="Cambria Math" w:hAnsi="Cambria Math" w:cs="宋体"/>
                        <w:color w:val="000000" w:themeColor="text1"/>
                        <w:sz w:val="24"/>
                        <w14:textFill>
                          <w14:solidFill>
                            <w14:schemeClr w14:val="tx1"/>
                          </w14:solidFill>
                        </w14:textFill>
                      </w:rPr>
                    </m:ctrlPr>
                  </m:sub>
                </m:sSub>
                <m:d>
                  <m:dPr>
                    <m:ctrlPr>
                      <w:rPr>
                        <w:rFonts w:hint="default" w:ascii="Cambria Math" w:hAnsi="Cambria Math" w:cs="宋体"/>
                        <w:i/>
                        <w:color w:val="000000" w:themeColor="text1"/>
                        <w:sz w:val="24"/>
                        <w14:textFill>
                          <w14:solidFill>
                            <w14:schemeClr w14:val="tx1"/>
                          </w14:solidFill>
                        </w14:textFill>
                      </w:rPr>
                    </m:ctrlPr>
                  </m:dPr>
                  <m:e>
                    <m:r>
                      <m:rPr/>
                      <w:rPr>
                        <w:rFonts w:hint="default" w:ascii="Cambria Math" w:hAnsi="Cambria Math" w:cs="宋体"/>
                        <w:color w:val="000000" w:themeColor="text1"/>
                        <w:sz w:val="24"/>
                        <w14:textFill>
                          <w14:solidFill>
                            <w14:schemeClr w14:val="tx1"/>
                          </w14:solidFill>
                        </w14:textFill>
                      </w:rPr>
                      <m:t>T</m:t>
                    </m:r>
                    <m:ctrlPr>
                      <w:rPr>
                        <w:rFonts w:hint="default" w:ascii="Cambria Math" w:hAnsi="Cambria Math" w:cs="宋体"/>
                        <w:i/>
                        <w:color w:val="000000" w:themeColor="text1"/>
                        <w:sz w:val="24"/>
                        <w14:textFill>
                          <w14:solidFill>
                            <w14:schemeClr w14:val="tx1"/>
                          </w14:solidFill>
                        </w14:textFill>
                      </w:rPr>
                    </m:ctrlPr>
                  </m:e>
                </m:d>
                <m:r>
                  <m:rPr/>
                  <w:rPr>
                    <w:rFonts w:hint="eastAsia" w:ascii="Cambria Math" w:hAnsi="Cambria Math" w:cs="宋体"/>
                    <w:color w:val="000000" w:themeColor="text1"/>
                    <w:sz w:val="24"/>
                    <w14:textFill>
                      <w14:solidFill>
                        <w14:schemeClr w14:val="tx1"/>
                      </w14:solidFill>
                    </w14:textFill>
                  </w:rPr>
                  <m:t>=</m:t>
                </m:r>
                <m:r>
                  <m:rPr/>
                  <w:rPr>
                    <w:rFonts w:hint="default" w:ascii="Cambria Math" w:hAnsi="Cambria Math" w:cs="宋体"/>
                    <w:color w:val="000000" w:themeColor="text1"/>
                    <w:sz w:val="24"/>
                    <w14:textFill>
                      <w14:solidFill>
                        <w14:schemeClr w14:val="tx1"/>
                      </w14:solidFill>
                    </w14:textFill>
                  </w:rPr>
                  <m:t>10</m:t>
                </m:r>
                <m:d>
                  <m:dPr>
                    <m:begChr m:val="["/>
                    <m:endChr m:val="]"/>
                    <m:ctrlPr>
                      <w:rPr>
                        <w:rFonts w:hint="default" w:ascii="Cambria Math" w:hAnsi="Cambria Math" w:cs="宋体"/>
                        <w:i/>
                        <w:color w:val="000000" w:themeColor="text1"/>
                        <w:sz w:val="24"/>
                        <w14:textFill>
                          <w14:solidFill>
                            <w14:schemeClr w14:val="tx1"/>
                          </w14:solidFill>
                        </w14:textFill>
                      </w:rPr>
                    </m:ctrlPr>
                  </m:dPr>
                  <m:e>
                    <m:nary>
                      <m:naryPr>
                        <m:chr m:val="∑"/>
                        <m:limLoc m:val="undOvr"/>
                        <m:ctrlPr>
                          <w:rPr>
                            <w:rFonts w:hint="default" w:ascii="Cambria Math" w:hAnsi="Cambria Math" w:cs="宋体"/>
                            <w:i/>
                            <w:color w:val="000000" w:themeColor="text1"/>
                            <w:sz w:val="24"/>
                            <w14:textFill>
                              <w14:solidFill>
                                <w14:schemeClr w14:val="tx1"/>
                              </w14:solidFill>
                            </w14:textFill>
                          </w:rPr>
                        </m:ctrlPr>
                      </m:naryPr>
                      <m:sub>
                        <m:r>
                          <m:rPr/>
                          <w:rPr>
                            <w:rFonts w:hint="default" w:ascii="Cambria Math" w:hAnsi="Cambria Math" w:cs="宋体"/>
                            <w:color w:val="000000" w:themeColor="text1"/>
                            <w:sz w:val="24"/>
                            <w14:textFill>
                              <w14:solidFill>
                                <w14:schemeClr w14:val="tx1"/>
                              </w14:solidFill>
                            </w14:textFill>
                          </w:rPr>
                          <m:t>j</m:t>
                        </m:r>
                        <m:r>
                          <m:rPr/>
                          <w:rPr>
                            <w:rFonts w:hint="eastAsia" w:ascii="Cambria Math" w:hAnsi="Cambria Math" w:cs="宋体"/>
                            <w:color w:val="000000" w:themeColor="text1"/>
                            <w:sz w:val="24"/>
                            <w14:textFill>
                              <w14:solidFill>
                                <w14:schemeClr w14:val="tx1"/>
                              </w14:solidFill>
                            </w14:textFill>
                          </w:rPr>
                          <m:t>=</m:t>
                        </m:r>
                        <m:r>
                          <m:rPr/>
                          <w:rPr>
                            <w:rFonts w:hint="default" w:ascii="Cambria Math" w:hAnsi="Cambria Math" w:cs="宋体"/>
                            <w:color w:val="000000" w:themeColor="text1"/>
                            <w:sz w:val="24"/>
                            <w14:textFill>
                              <w14:solidFill>
                                <w14:schemeClr w14:val="tx1"/>
                              </w14:solidFill>
                            </w14:textFill>
                          </w:rPr>
                          <m:t>i</m:t>
                        </m:r>
                        <m:ctrlPr>
                          <w:rPr>
                            <w:rFonts w:hint="default" w:ascii="Cambria Math" w:hAnsi="Cambria Math" w:cs="宋体"/>
                            <w:i/>
                            <w:color w:val="000000" w:themeColor="text1"/>
                            <w:sz w:val="24"/>
                            <w14:textFill>
                              <w14:solidFill>
                                <w14:schemeClr w14:val="tx1"/>
                              </w14:solidFill>
                            </w14:textFill>
                          </w:rPr>
                        </m:ctrlPr>
                      </m:sub>
                      <m:sup>
                        <m:r>
                          <m:rPr/>
                          <w:rPr>
                            <w:rFonts w:hint="default" w:ascii="Cambria Math" w:hAnsi="Cambria Math" w:cs="宋体"/>
                            <w:color w:val="000000" w:themeColor="text1"/>
                            <w:sz w:val="24"/>
                            <w14:textFill>
                              <w14:solidFill>
                                <w14:schemeClr w14:val="tx1"/>
                              </w14:solidFill>
                            </w14:textFill>
                          </w:rPr>
                          <m:t>N</m:t>
                        </m:r>
                        <m:ctrlPr>
                          <w:rPr>
                            <w:rFonts w:hint="default" w:ascii="Cambria Math" w:hAnsi="Cambria Math" w:cs="宋体"/>
                            <w:i/>
                            <w:color w:val="000000" w:themeColor="text1"/>
                            <w:sz w:val="24"/>
                            <w14:textFill>
                              <w14:solidFill>
                                <w14:schemeClr w14:val="tx1"/>
                              </w14:solidFill>
                            </w14:textFill>
                          </w:rPr>
                        </m:ctrlPr>
                      </m:sup>
                      <m:e>
                        <m:sSup>
                          <m:sSupPr>
                            <m:ctrlPr>
                              <w:rPr>
                                <w:rFonts w:hint="default" w:ascii="Cambria Math" w:hAnsi="Cambria Math" w:cs="宋体"/>
                                <w:i/>
                                <w:color w:val="000000" w:themeColor="text1"/>
                                <w:sz w:val="24"/>
                                <w14:textFill>
                                  <w14:solidFill>
                                    <w14:schemeClr w14:val="tx1"/>
                                  </w14:solidFill>
                                </w14:textFill>
                              </w:rPr>
                            </m:ctrlPr>
                          </m:sSupPr>
                          <m:e>
                            <m:r>
                              <m:rPr/>
                              <w:rPr>
                                <w:rFonts w:hint="default" w:ascii="Cambria Math" w:hAnsi="Cambria Math" w:cs="宋体"/>
                                <w:color w:val="000000" w:themeColor="text1"/>
                                <w:sz w:val="24"/>
                                <w14:textFill>
                                  <w14:solidFill>
                                    <w14:schemeClr w14:val="tx1"/>
                                  </w14:solidFill>
                                </w14:textFill>
                              </w:rPr>
                              <m:t>10</m:t>
                            </m:r>
                            <m:ctrlPr>
                              <w:rPr>
                                <w:rFonts w:hint="default" w:ascii="Cambria Math" w:hAnsi="Cambria Math" w:cs="宋体"/>
                                <w:i/>
                                <w:color w:val="000000" w:themeColor="text1"/>
                                <w:sz w:val="24"/>
                                <w14:textFill>
                                  <w14:solidFill>
                                    <w14:schemeClr w14:val="tx1"/>
                                  </w14:solidFill>
                                </w14:textFill>
                              </w:rPr>
                            </m:ctrlPr>
                          </m:e>
                          <m:sup>
                            <m:r>
                              <m:rPr/>
                              <w:rPr>
                                <w:rFonts w:hint="default" w:ascii="Cambria Math" w:hAnsi="Cambria Math" w:cs="宋体"/>
                                <w:color w:val="000000" w:themeColor="text1"/>
                                <w:sz w:val="24"/>
                                <w14:textFill>
                                  <w14:solidFill>
                                    <w14:schemeClr w14:val="tx1"/>
                                  </w14:solidFill>
                                </w14:textFill>
                              </w:rPr>
                              <m:t>0.1</m:t>
                            </m:r>
                            <m:sSub>
                              <m:sSubPr>
                                <m:ctrlPr>
                                  <w:rPr>
                                    <w:rFonts w:hint="default" w:ascii="Cambria Math" w:hAnsi="Cambria Math" w:cs="宋体"/>
                                    <w:i/>
                                    <w:color w:val="000000" w:themeColor="text1"/>
                                    <w:sz w:val="24"/>
                                    <w14:textFill>
                                      <w14:solidFill>
                                        <w14:schemeClr w14:val="tx1"/>
                                      </w14:solidFill>
                                    </w14:textFill>
                                  </w:rPr>
                                </m:ctrlPr>
                              </m:sSubPr>
                              <m:e>
                                <m:r>
                                  <m:rPr/>
                                  <w:rPr>
                                    <w:rFonts w:hint="default" w:ascii="Cambria Math" w:hAnsi="Cambria Math" w:cs="宋体"/>
                                    <w:color w:val="000000" w:themeColor="text1"/>
                                    <w:sz w:val="24"/>
                                    <w14:textFill>
                                      <w14:solidFill>
                                        <w14:schemeClr w14:val="tx1"/>
                                      </w14:solidFill>
                                    </w14:textFill>
                                  </w:rPr>
                                  <m:t>L</m:t>
                                </m:r>
                                <m:ctrlPr>
                                  <w:rPr>
                                    <w:rFonts w:hint="default" w:ascii="Cambria Math" w:hAnsi="Cambria Math" w:cs="宋体"/>
                                    <w:i/>
                                    <w:color w:val="000000" w:themeColor="text1"/>
                                    <w:sz w:val="24"/>
                                    <w14:textFill>
                                      <w14:solidFill>
                                        <w14:schemeClr w14:val="tx1"/>
                                      </w14:solidFill>
                                    </w14:textFill>
                                  </w:rPr>
                                </m:ctrlPr>
                              </m:e>
                              <m:sub>
                                <m:r>
                                  <m:rPr/>
                                  <w:rPr>
                                    <w:rFonts w:hint="default" w:ascii="Cambria Math" w:hAnsi="Cambria Math" w:cs="宋体"/>
                                    <w:color w:val="000000" w:themeColor="text1"/>
                                    <w:sz w:val="24"/>
                                    <w14:textFill>
                                      <w14:solidFill>
                                        <w14:schemeClr w14:val="tx1"/>
                                      </w14:solidFill>
                                    </w14:textFill>
                                  </w:rPr>
                                  <m:t>p1ij</m:t>
                                </m:r>
                                <m:ctrlPr>
                                  <w:rPr>
                                    <w:rFonts w:hint="default" w:ascii="Cambria Math" w:hAnsi="Cambria Math" w:cs="宋体"/>
                                    <w:i/>
                                    <w:color w:val="000000" w:themeColor="text1"/>
                                    <w:sz w:val="24"/>
                                    <w14:textFill>
                                      <w14:solidFill>
                                        <w14:schemeClr w14:val="tx1"/>
                                      </w14:solidFill>
                                    </w14:textFill>
                                  </w:rPr>
                                </m:ctrlPr>
                              </m:sub>
                            </m:sSub>
                            <m:ctrlPr>
                              <w:rPr>
                                <w:rFonts w:hint="default" w:ascii="Cambria Math" w:hAnsi="Cambria Math" w:cs="宋体"/>
                                <w:i/>
                                <w:color w:val="000000" w:themeColor="text1"/>
                                <w:sz w:val="24"/>
                                <w14:textFill>
                                  <w14:solidFill>
                                    <w14:schemeClr w14:val="tx1"/>
                                  </w14:solidFill>
                                </w14:textFill>
                              </w:rPr>
                            </m:ctrlPr>
                          </m:sup>
                        </m:sSup>
                        <m:ctrlPr>
                          <w:rPr>
                            <w:rFonts w:hint="default" w:ascii="Cambria Math" w:hAnsi="Cambria Math" w:cs="宋体"/>
                            <w:i/>
                            <w:color w:val="000000" w:themeColor="text1"/>
                            <w:sz w:val="24"/>
                            <w14:textFill>
                              <w14:solidFill>
                                <w14:schemeClr w14:val="tx1"/>
                              </w14:solidFill>
                            </w14:textFill>
                          </w:rPr>
                        </m:ctrlPr>
                      </m:e>
                    </m:nary>
                    <m:ctrlPr>
                      <w:rPr>
                        <w:rFonts w:hint="default" w:ascii="Cambria Math" w:hAnsi="Cambria Math" w:cs="宋体"/>
                        <w:i/>
                        <w:color w:val="000000" w:themeColor="text1"/>
                        <w:sz w:val="24"/>
                        <w14:textFill>
                          <w14:solidFill>
                            <w14:schemeClr w14:val="tx1"/>
                          </w14:solidFill>
                        </w14:textFill>
                      </w:rPr>
                    </m:ctrlPr>
                  </m:e>
                </m:d>
              </m:oMath>
            </m:oMathPara>
          </w:p>
          <w:p w14:paraId="331163E9">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式中：L</w:t>
            </w:r>
            <w:r>
              <w:rPr>
                <w:rFonts w:hint="default" w:ascii="Times New Roman" w:hAnsi="Times New Roman" w:eastAsia="宋体" w:cs="Times New Roman"/>
                <w:color w:val="000000" w:themeColor="text1"/>
                <w:sz w:val="24"/>
                <w:szCs w:val="24"/>
                <w:vertAlign w:val="subscript"/>
                <w14:textFill>
                  <w14:solidFill>
                    <w14:schemeClr w14:val="tx1"/>
                  </w14:solidFill>
                </w14:textFill>
              </w:rPr>
              <w:t>p1i</w:t>
            </w:r>
            <w:r>
              <w:rPr>
                <w:rFonts w:hint="default" w:ascii="Times New Roman" w:hAnsi="Times New Roman" w:eastAsia="宋体" w:cs="Times New Roman"/>
                <w:color w:val="000000" w:themeColor="text1"/>
                <w:sz w:val="24"/>
                <w:szCs w:val="24"/>
                <w14:textFill>
                  <w14:solidFill>
                    <w14:schemeClr w14:val="tx1"/>
                  </w14:solidFill>
                </w14:textFill>
              </w:rPr>
              <w:t>（T）—靠近围护结构处室内N个声源i倍频带的叠加声压级，dB；</w:t>
            </w:r>
          </w:p>
          <w:p w14:paraId="40708D52">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      L</w:t>
            </w:r>
            <w:r>
              <w:rPr>
                <w:rFonts w:hint="default" w:ascii="Times New Roman" w:hAnsi="Times New Roman" w:eastAsia="宋体" w:cs="Times New Roman"/>
                <w:color w:val="000000" w:themeColor="text1"/>
                <w:sz w:val="24"/>
                <w:szCs w:val="24"/>
                <w:vertAlign w:val="subscript"/>
                <w14:textFill>
                  <w14:solidFill>
                    <w14:schemeClr w14:val="tx1"/>
                  </w14:solidFill>
                </w14:textFill>
              </w:rPr>
              <w:t>p1ij</w:t>
            </w:r>
            <w:r>
              <w:rPr>
                <w:rFonts w:hint="default" w:ascii="Times New Roman" w:hAnsi="Times New Roman" w:eastAsia="宋体" w:cs="Times New Roman"/>
                <w:color w:val="000000" w:themeColor="text1"/>
                <w:sz w:val="24"/>
                <w:szCs w:val="24"/>
                <w14:textFill>
                  <w14:solidFill>
                    <w14:schemeClr w14:val="tx1"/>
                  </w14:solidFill>
                </w14:textFill>
              </w:rPr>
              <w:t>—室内j声源i倍频带的声压级，dB；</w:t>
            </w:r>
          </w:p>
          <w:p w14:paraId="7379BCAB">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      N—室内声源总数。</w:t>
            </w:r>
          </w:p>
          <w:p w14:paraId="4844C33E">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在室内近似为扩散声场时，按下式计算出靠近室外围护结构处的声压级：</w:t>
            </w:r>
          </w:p>
          <w:p w14:paraId="687BE0BA">
            <w:pPr>
              <w:spacing w:line="360" w:lineRule="auto"/>
              <w:jc w:val="center"/>
              <w:rPr>
                <w:rFonts w:hint="default" w:ascii="Times New Roman" w:hAnsi="Times New Roman" w:eastAsia="宋体" w:cs="Times New Roman"/>
                <w:color w:val="000000" w:themeColor="text1"/>
                <w:sz w:val="24"/>
                <w:szCs w:val="24"/>
                <w14:textFill>
                  <w14:solidFill>
                    <w14:schemeClr w14:val="tx1"/>
                  </w14:solidFill>
                </w14:textFill>
              </w:rPr>
            </w:pPr>
            <m:oMathPara>
              <m:oMath>
                <m:sSub>
                  <m:sSubPr>
                    <m:ctrlPr>
                      <w:rPr>
                        <w:rFonts w:hint="default" w:ascii="Cambria Math" w:hAnsi="Cambria Math" w:cs="宋体"/>
                        <w:color w:val="000000" w:themeColor="text1"/>
                        <w:sz w:val="24"/>
                        <w14:textFill>
                          <w14:solidFill>
                            <w14:schemeClr w14:val="tx1"/>
                          </w14:solidFill>
                        </w14:textFill>
                      </w:rPr>
                    </m:ctrlPr>
                  </m:sSubPr>
                  <m:e>
                    <m:r>
                      <m:rPr/>
                      <w:rPr>
                        <w:rFonts w:hint="default" w:ascii="Cambria Math" w:hAnsi="Cambria Math" w:cs="宋体"/>
                        <w:color w:val="000000" w:themeColor="text1"/>
                        <w:sz w:val="24"/>
                        <w14:textFill>
                          <w14:solidFill>
                            <w14:schemeClr w14:val="tx1"/>
                          </w14:solidFill>
                        </w14:textFill>
                      </w:rPr>
                      <m:t>L</m:t>
                    </m:r>
                    <m:ctrlPr>
                      <w:rPr>
                        <w:rFonts w:hint="default" w:ascii="Cambria Math" w:hAnsi="Cambria Math" w:cs="宋体"/>
                        <w:color w:val="000000" w:themeColor="text1"/>
                        <w:sz w:val="24"/>
                        <w14:textFill>
                          <w14:solidFill>
                            <w14:schemeClr w14:val="tx1"/>
                          </w14:solidFill>
                        </w14:textFill>
                      </w:rPr>
                    </m:ctrlPr>
                  </m:e>
                  <m:sub>
                    <m:r>
                      <m:rPr/>
                      <w:rPr>
                        <w:rFonts w:hint="default" w:ascii="Cambria Math" w:hAnsi="Cambria Math" w:cs="宋体"/>
                        <w:color w:val="000000" w:themeColor="text1"/>
                        <w:sz w:val="24"/>
                        <w14:textFill>
                          <w14:solidFill>
                            <w14:schemeClr w14:val="tx1"/>
                          </w14:solidFill>
                        </w14:textFill>
                      </w:rPr>
                      <m:t>p2i</m:t>
                    </m:r>
                    <m:ctrlPr>
                      <w:rPr>
                        <w:rFonts w:hint="default" w:ascii="Cambria Math" w:hAnsi="Cambria Math" w:cs="宋体"/>
                        <w:color w:val="000000" w:themeColor="text1"/>
                        <w:sz w:val="24"/>
                        <w14:textFill>
                          <w14:solidFill>
                            <w14:schemeClr w14:val="tx1"/>
                          </w14:solidFill>
                        </w14:textFill>
                      </w:rPr>
                    </m:ctrlPr>
                  </m:sub>
                </m:sSub>
                <m:d>
                  <m:dPr>
                    <m:ctrlPr>
                      <w:rPr>
                        <w:rFonts w:hint="default" w:ascii="Cambria Math" w:hAnsi="Cambria Math" w:cs="宋体"/>
                        <w:i/>
                        <w:color w:val="000000" w:themeColor="text1"/>
                        <w:sz w:val="24"/>
                        <w14:textFill>
                          <w14:solidFill>
                            <w14:schemeClr w14:val="tx1"/>
                          </w14:solidFill>
                        </w14:textFill>
                      </w:rPr>
                    </m:ctrlPr>
                  </m:dPr>
                  <m:e>
                    <m:r>
                      <m:rPr/>
                      <w:rPr>
                        <w:rFonts w:hint="default" w:ascii="Cambria Math" w:hAnsi="Cambria Math" w:cs="宋体"/>
                        <w:color w:val="000000" w:themeColor="text1"/>
                        <w:sz w:val="24"/>
                        <w14:textFill>
                          <w14:solidFill>
                            <w14:schemeClr w14:val="tx1"/>
                          </w14:solidFill>
                        </w14:textFill>
                      </w:rPr>
                      <m:t>T</m:t>
                    </m:r>
                    <m:ctrlPr>
                      <w:rPr>
                        <w:rFonts w:hint="default" w:ascii="Cambria Math" w:hAnsi="Cambria Math" w:cs="宋体"/>
                        <w:i/>
                        <w:color w:val="000000" w:themeColor="text1"/>
                        <w:sz w:val="24"/>
                        <w14:textFill>
                          <w14:solidFill>
                            <w14:schemeClr w14:val="tx1"/>
                          </w14:solidFill>
                        </w14:textFill>
                      </w:rPr>
                    </m:ctrlPr>
                  </m:e>
                </m:d>
                <m:r>
                  <m:rPr/>
                  <w:rPr>
                    <w:rFonts w:hint="eastAsia" w:ascii="Cambria Math" w:hAnsi="Cambria Math" w:cs="宋体"/>
                    <w:color w:val="000000" w:themeColor="text1"/>
                    <w:sz w:val="24"/>
                    <w14:textFill>
                      <w14:solidFill>
                        <w14:schemeClr w14:val="tx1"/>
                      </w14:solidFill>
                    </w14:textFill>
                  </w:rPr>
                  <m:t>=</m:t>
                </m:r>
                <m:sSub>
                  <m:sSubPr>
                    <m:ctrlPr>
                      <w:rPr>
                        <w:rFonts w:hint="default" w:ascii="Cambria Math" w:hAnsi="Cambria Math" w:cs="宋体"/>
                        <w:i/>
                        <w:color w:val="000000" w:themeColor="text1"/>
                        <w:sz w:val="24"/>
                        <w14:textFill>
                          <w14:solidFill>
                            <w14:schemeClr w14:val="tx1"/>
                          </w14:solidFill>
                        </w14:textFill>
                      </w:rPr>
                    </m:ctrlPr>
                  </m:sSubPr>
                  <m:e>
                    <m:r>
                      <m:rPr/>
                      <w:rPr>
                        <w:rFonts w:hint="default" w:ascii="Cambria Math" w:hAnsi="Cambria Math" w:cs="宋体"/>
                        <w:color w:val="000000" w:themeColor="text1"/>
                        <w:sz w:val="24"/>
                        <w14:textFill>
                          <w14:solidFill>
                            <w14:schemeClr w14:val="tx1"/>
                          </w14:solidFill>
                        </w14:textFill>
                      </w:rPr>
                      <m:t>L</m:t>
                    </m:r>
                    <m:ctrlPr>
                      <w:rPr>
                        <w:rFonts w:hint="default" w:ascii="Cambria Math" w:hAnsi="Cambria Math" w:cs="宋体"/>
                        <w:i/>
                        <w:color w:val="000000" w:themeColor="text1"/>
                        <w:sz w:val="24"/>
                        <w14:textFill>
                          <w14:solidFill>
                            <w14:schemeClr w14:val="tx1"/>
                          </w14:solidFill>
                        </w14:textFill>
                      </w:rPr>
                    </m:ctrlPr>
                  </m:e>
                  <m:sub>
                    <m:r>
                      <m:rPr/>
                      <w:rPr>
                        <w:rFonts w:hint="default" w:ascii="Cambria Math" w:hAnsi="Cambria Math" w:cs="宋体"/>
                        <w:color w:val="000000" w:themeColor="text1"/>
                        <w:sz w:val="24"/>
                        <w14:textFill>
                          <w14:solidFill>
                            <w14:schemeClr w14:val="tx1"/>
                          </w14:solidFill>
                        </w14:textFill>
                      </w:rPr>
                      <m:t>p1i</m:t>
                    </m:r>
                    <m:ctrlPr>
                      <w:rPr>
                        <w:rFonts w:hint="default" w:ascii="Cambria Math" w:hAnsi="Cambria Math" w:cs="宋体"/>
                        <w:i/>
                        <w:color w:val="000000" w:themeColor="text1"/>
                        <w:sz w:val="24"/>
                        <w14:textFill>
                          <w14:solidFill>
                            <w14:schemeClr w14:val="tx1"/>
                          </w14:solidFill>
                        </w14:textFill>
                      </w:rPr>
                    </m:ctrlPr>
                  </m:sub>
                </m:sSub>
                <m:d>
                  <m:dPr>
                    <m:ctrlPr>
                      <w:rPr>
                        <w:rFonts w:hint="default" w:ascii="Cambria Math" w:hAnsi="Cambria Math" w:cs="宋体"/>
                        <w:i/>
                        <w:color w:val="000000" w:themeColor="text1"/>
                        <w:sz w:val="24"/>
                        <w14:textFill>
                          <w14:solidFill>
                            <w14:schemeClr w14:val="tx1"/>
                          </w14:solidFill>
                        </w14:textFill>
                      </w:rPr>
                    </m:ctrlPr>
                  </m:dPr>
                  <m:e>
                    <m:r>
                      <m:rPr/>
                      <w:rPr>
                        <w:rFonts w:hint="default" w:ascii="Cambria Math" w:hAnsi="Cambria Math" w:cs="宋体"/>
                        <w:color w:val="000000" w:themeColor="text1"/>
                        <w:sz w:val="24"/>
                        <w14:textFill>
                          <w14:solidFill>
                            <w14:schemeClr w14:val="tx1"/>
                          </w14:solidFill>
                        </w14:textFill>
                      </w:rPr>
                      <m:t>T</m:t>
                    </m:r>
                    <m:ctrlPr>
                      <w:rPr>
                        <w:rFonts w:hint="default" w:ascii="Cambria Math" w:hAnsi="Cambria Math" w:cs="宋体"/>
                        <w:i/>
                        <w:color w:val="000000" w:themeColor="text1"/>
                        <w:sz w:val="24"/>
                        <w14:textFill>
                          <w14:solidFill>
                            <w14:schemeClr w14:val="tx1"/>
                          </w14:solidFill>
                        </w14:textFill>
                      </w:rPr>
                    </m:ctrlPr>
                  </m:e>
                </m:d>
                <m:r>
                  <m:rPr/>
                  <w:rPr>
                    <w:rFonts w:hint="default" w:ascii="Cambria Math" w:hAnsi="Cambria Math" w:cs="宋体"/>
                    <w:color w:val="000000" w:themeColor="text1"/>
                    <w:sz w:val="24"/>
                    <w14:textFill>
                      <w14:solidFill>
                        <w14:schemeClr w14:val="tx1"/>
                      </w14:solidFill>
                    </w14:textFill>
                  </w:rPr>
                  <m:t>−</m:t>
                </m:r>
                <m:d>
                  <m:dPr>
                    <m:ctrlPr>
                      <w:rPr>
                        <w:rFonts w:hint="default" w:ascii="Cambria Math" w:hAnsi="Cambria Math" w:cs="宋体"/>
                        <w:i/>
                        <w:color w:val="000000" w:themeColor="text1"/>
                        <w:sz w:val="24"/>
                        <w14:textFill>
                          <w14:solidFill>
                            <w14:schemeClr w14:val="tx1"/>
                          </w14:solidFill>
                        </w14:textFill>
                      </w:rPr>
                    </m:ctrlPr>
                  </m:dPr>
                  <m:e>
                    <m:r>
                      <m:rPr/>
                      <w:rPr>
                        <w:rFonts w:hint="default" w:ascii="Cambria Math" w:hAnsi="Cambria Math" w:cs="宋体"/>
                        <w:color w:val="000000" w:themeColor="text1"/>
                        <w:sz w:val="24"/>
                        <w14:textFill>
                          <w14:solidFill>
                            <w14:schemeClr w14:val="tx1"/>
                          </w14:solidFill>
                        </w14:textFill>
                      </w:rPr>
                      <m:t>T</m:t>
                    </m:r>
                    <m:sSub>
                      <m:sSubPr>
                        <m:ctrlPr>
                          <w:rPr>
                            <w:rFonts w:hint="default" w:ascii="Cambria Math" w:hAnsi="Cambria Math" w:cs="宋体"/>
                            <w:i/>
                            <w:color w:val="000000" w:themeColor="text1"/>
                            <w:sz w:val="24"/>
                            <w14:textFill>
                              <w14:solidFill>
                                <w14:schemeClr w14:val="tx1"/>
                              </w14:solidFill>
                            </w14:textFill>
                          </w:rPr>
                        </m:ctrlPr>
                      </m:sSubPr>
                      <m:e>
                        <m:r>
                          <m:rPr/>
                          <w:rPr>
                            <w:rFonts w:hint="default" w:ascii="Cambria Math" w:hAnsi="Cambria Math" w:cs="宋体"/>
                            <w:color w:val="000000" w:themeColor="text1"/>
                            <w:sz w:val="24"/>
                            <w14:textFill>
                              <w14:solidFill>
                                <w14:schemeClr w14:val="tx1"/>
                              </w14:solidFill>
                            </w14:textFill>
                          </w:rPr>
                          <m:t>L</m:t>
                        </m:r>
                        <m:ctrlPr>
                          <w:rPr>
                            <w:rFonts w:hint="default" w:ascii="Cambria Math" w:hAnsi="Cambria Math" w:cs="宋体"/>
                            <w:i/>
                            <w:color w:val="000000" w:themeColor="text1"/>
                            <w:sz w:val="24"/>
                            <w14:textFill>
                              <w14:solidFill>
                                <w14:schemeClr w14:val="tx1"/>
                              </w14:solidFill>
                            </w14:textFill>
                          </w:rPr>
                        </m:ctrlPr>
                      </m:e>
                      <m:sub>
                        <m:r>
                          <m:rPr/>
                          <w:rPr>
                            <w:rFonts w:hint="default" w:ascii="Cambria Math" w:hAnsi="Cambria Math" w:cs="宋体"/>
                            <w:color w:val="000000" w:themeColor="text1"/>
                            <w:sz w:val="24"/>
                            <w14:textFill>
                              <w14:solidFill>
                                <w14:schemeClr w14:val="tx1"/>
                              </w14:solidFill>
                            </w14:textFill>
                          </w:rPr>
                          <m:t>i</m:t>
                        </m:r>
                        <m:ctrlPr>
                          <w:rPr>
                            <w:rFonts w:hint="default" w:ascii="Cambria Math" w:hAnsi="Cambria Math" w:cs="宋体"/>
                            <w:i/>
                            <w:color w:val="000000" w:themeColor="text1"/>
                            <w:sz w:val="24"/>
                            <w14:textFill>
                              <w14:solidFill>
                                <w14:schemeClr w14:val="tx1"/>
                              </w14:solidFill>
                            </w14:textFill>
                          </w:rPr>
                        </m:ctrlPr>
                      </m:sub>
                    </m:sSub>
                    <m:r>
                      <m:rPr/>
                      <w:rPr>
                        <w:rFonts w:hint="default" w:ascii="Cambria Math" w:hAnsi="Cambria Math" w:cs="宋体"/>
                        <w:color w:val="000000" w:themeColor="text1"/>
                        <w:sz w:val="24"/>
                        <w14:textFill>
                          <w14:solidFill>
                            <w14:schemeClr w14:val="tx1"/>
                          </w14:solidFill>
                        </w14:textFill>
                      </w:rPr>
                      <m:t>+6</m:t>
                    </m:r>
                    <m:ctrlPr>
                      <w:rPr>
                        <w:rFonts w:hint="default" w:ascii="Cambria Math" w:hAnsi="Cambria Math" w:cs="宋体"/>
                        <w:i/>
                        <w:color w:val="000000" w:themeColor="text1"/>
                        <w:sz w:val="24"/>
                        <w14:textFill>
                          <w14:solidFill>
                            <w14:schemeClr w14:val="tx1"/>
                          </w14:solidFill>
                        </w14:textFill>
                      </w:rPr>
                    </m:ctrlPr>
                  </m:e>
                </m:d>
              </m:oMath>
            </m:oMathPara>
          </w:p>
          <w:p w14:paraId="69E48569">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式中：L</w:t>
            </w:r>
            <w:r>
              <w:rPr>
                <w:rFonts w:hint="default" w:ascii="Times New Roman" w:hAnsi="Times New Roman" w:eastAsia="宋体" w:cs="Times New Roman"/>
                <w:color w:val="000000" w:themeColor="text1"/>
                <w:sz w:val="24"/>
                <w:szCs w:val="24"/>
                <w:vertAlign w:val="subscript"/>
                <w14:textFill>
                  <w14:solidFill>
                    <w14:schemeClr w14:val="tx1"/>
                  </w14:solidFill>
                </w14:textFill>
              </w:rPr>
              <w:t>p2i</w:t>
            </w:r>
            <w:r>
              <w:rPr>
                <w:rFonts w:hint="default" w:ascii="Times New Roman" w:hAnsi="Times New Roman" w:eastAsia="宋体" w:cs="Times New Roman"/>
                <w:color w:val="000000" w:themeColor="text1"/>
                <w:sz w:val="24"/>
                <w:szCs w:val="24"/>
                <w14:textFill>
                  <w14:solidFill>
                    <w14:schemeClr w14:val="tx1"/>
                  </w14:solidFill>
                </w14:textFill>
              </w:rPr>
              <w:t>（T）—靠近围护结构处室外N个声源i倍频带的叠加声压级，dB；</w:t>
            </w:r>
          </w:p>
          <w:p w14:paraId="581251EC">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      L</w:t>
            </w:r>
            <w:r>
              <w:rPr>
                <w:rFonts w:hint="default" w:ascii="Times New Roman" w:hAnsi="Times New Roman" w:eastAsia="宋体" w:cs="Times New Roman"/>
                <w:color w:val="000000" w:themeColor="text1"/>
                <w:sz w:val="24"/>
                <w:szCs w:val="24"/>
                <w:vertAlign w:val="subscript"/>
                <w14:textFill>
                  <w14:solidFill>
                    <w14:schemeClr w14:val="tx1"/>
                  </w14:solidFill>
                </w14:textFill>
              </w:rPr>
              <w:t>p1i</w:t>
            </w:r>
            <w:r>
              <w:rPr>
                <w:rFonts w:hint="default" w:ascii="Times New Roman" w:hAnsi="Times New Roman" w:eastAsia="宋体" w:cs="Times New Roman"/>
                <w:color w:val="000000" w:themeColor="text1"/>
                <w:sz w:val="24"/>
                <w:szCs w:val="24"/>
                <w14:textFill>
                  <w14:solidFill>
                    <w14:schemeClr w14:val="tx1"/>
                  </w14:solidFill>
                </w14:textFill>
              </w:rPr>
              <w:t>（T）—靠近围护结构处室内N个声源i倍频带的叠加声压级，dB；</w:t>
            </w:r>
          </w:p>
          <w:p w14:paraId="58FA7265">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      TLi—围护结构i倍频带的隔声量，dB。</w:t>
            </w:r>
          </w:p>
          <w:p w14:paraId="3C648FE5">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然后再按下式将室外声源的声压级和透过面积换算成等效的室外声源，计算出中心位置位于透声面积（S）处的等效声源的倍频带声功率级。</w:t>
            </w:r>
          </w:p>
          <w:p w14:paraId="465FD0C6">
            <w:pPr>
              <w:spacing w:line="360" w:lineRule="auto"/>
              <w:jc w:val="center"/>
              <w:rPr>
                <w:rFonts w:hint="default" w:ascii="Times New Roman" w:hAnsi="Times New Roman" w:eastAsia="宋体" w:cs="Times New Roman"/>
                <w:color w:val="000000" w:themeColor="text1"/>
                <w:sz w:val="24"/>
                <w:szCs w:val="24"/>
                <w14:textFill>
                  <w14:solidFill>
                    <w14:schemeClr w14:val="tx1"/>
                  </w14:solidFill>
                </w14:textFill>
              </w:rPr>
            </w:pPr>
            <m:oMathPara>
              <m:oMath>
                <m:sSub>
                  <m:sSubPr>
                    <m:ctrlPr>
                      <w:rPr>
                        <w:rFonts w:hint="default" w:ascii="Cambria Math" w:hAnsi="Cambria Math" w:cs="宋体"/>
                        <w:color w:val="000000" w:themeColor="text1"/>
                        <w:sz w:val="24"/>
                        <w14:textFill>
                          <w14:solidFill>
                            <w14:schemeClr w14:val="tx1"/>
                          </w14:solidFill>
                        </w14:textFill>
                      </w:rPr>
                    </m:ctrlPr>
                  </m:sSubPr>
                  <m:e>
                    <m:r>
                      <m:rPr/>
                      <w:rPr>
                        <w:rFonts w:hint="default" w:ascii="Cambria Math" w:hAnsi="Cambria Math" w:cs="宋体"/>
                        <w:color w:val="000000" w:themeColor="text1"/>
                        <w:sz w:val="24"/>
                        <w14:textFill>
                          <w14:solidFill>
                            <w14:schemeClr w14:val="tx1"/>
                          </w14:solidFill>
                        </w14:textFill>
                      </w:rPr>
                      <m:t>L</m:t>
                    </m:r>
                    <m:ctrlPr>
                      <w:rPr>
                        <w:rFonts w:hint="default" w:ascii="Cambria Math" w:hAnsi="Cambria Math" w:cs="宋体"/>
                        <w:color w:val="000000" w:themeColor="text1"/>
                        <w:sz w:val="24"/>
                        <w14:textFill>
                          <w14:solidFill>
                            <w14:schemeClr w14:val="tx1"/>
                          </w14:solidFill>
                        </w14:textFill>
                      </w:rPr>
                    </m:ctrlPr>
                  </m:e>
                  <m:sub>
                    <m:r>
                      <m:rPr/>
                      <w:rPr>
                        <w:rFonts w:hint="default" w:ascii="Cambria Math" w:hAnsi="Cambria Math" w:cs="宋体"/>
                        <w:color w:val="000000" w:themeColor="text1"/>
                        <w:sz w:val="24"/>
                        <w14:textFill>
                          <w14:solidFill>
                            <w14:schemeClr w14:val="tx1"/>
                          </w14:solidFill>
                        </w14:textFill>
                      </w:rPr>
                      <m:t>w</m:t>
                    </m:r>
                    <m:ctrlPr>
                      <w:rPr>
                        <w:rFonts w:hint="default" w:ascii="Cambria Math" w:hAnsi="Cambria Math" w:cs="宋体"/>
                        <w:color w:val="000000" w:themeColor="text1"/>
                        <w:sz w:val="24"/>
                        <w14:textFill>
                          <w14:solidFill>
                            <w14:schemeClr w14:val="tx1"/>
                          </w14:solidFill>
                        </w14:textFill>
                      </w:rPr>
                    </m:ctrlPr>
                  </m:sub>
                </m:sSub>
                <m:r>
                  <m:rPr/>
                  <w:rPr>
                    <w:rFonts w:hint="eastAsia" w:ascii="Cambria Math" w:hAnsi="Cambria Math" w:cs="宋体"/>
                    <w:color w:val="000000" w:themeColor="text1"/>
                    <w:sz w:val="24"/>
                    <w14:textFill>
                      <w14:solidFill>
                        <w14:schemeClr w14:val="tx1"/>
                      </w14:solidFill>
                    </w14:textFill>
                  </w:rPr>
                  <m:t>=</m:t>
                </m:r>
                <m:sSub>
                  <m:sSubPr>
                    <m:ctrlPr>
                      <w:rPr>
                        <w:rFonts w:hint="default" w:ascii="Cambria Math" w:hAnsi="Cambria Math" w:cs="宋体"/>
                        <w:i/>
                        <w:color w:val="000000" w:themeColor="text1"/>
                        <w:sz w:val="24"/>
                        <w14:textFill>
                          <w14:solidFill>
                            <w14:schemeClr w14:val="tx1"/>
                          </w14:solidFill>
                        </w14:textFill>
                      </w:rPr>
                    </m:ctrlPr>
                  </m:sSubPr>
                  <m:e>
                    <m:r>
                      <m:rPr/>
                      <w:rPr>
                        <w:rFonts w:hint="default" w:ascii="Cambria Math" w:hAnsi="Cambria Math" w:cs="宋体"/>
                        <w:color w:val="000000" w:themeColor="text1"/>
                        <w:sz w:val="24"/>
                        <w14:textFill>
                          <w14:solidFill>
                            <w14:schemeClr w14:val="tx1"/>
                          </w14:solidFill>
                        </w14:textFill>
                      </w:rPr>
                      <m:t>L</m:t>
                    </m:r>
                    <m:ctrlPr>
                      <w:rPr>
                        <w:rFonts w:hint="default" w:ascii="Cambria Math" w:hAnsi="Cambria Math" w:cs="宋体"/>
                        <w:i/>
                        <w:color w:val="000000" w:themeColor="text1"/>
                        <w:sz w:val="24"/>
                        <w14:textFill>
                          <w14:solidFill>
                            <w14:schemeClr w14:val="tx1"/>
                          </w14:solidFill>
                        </w14:textFill>
                      </w:rPr>
                    </m:ctrlPr>
                  </m:e>
                  <m:sub>
                    <m:r>
                      <m:rPr/>
                      <w:rPr>
                        <w:rFonts w:hint="default" w:ascii="Cambria Math" w:hAnsi="Cambria Math" w:cs="宋体"/>
                        <w:color w:val="000000" w:themeColor="text1"/>
                        <w:sz w:val="24"/>
                        <w14:textFill>
                          <w14:solidFill>
                            <w14:schemeClr w14:val="tx1"/>
                          </w14:solidFill>
                        </w14:textFill>
                      </w:rPr>
                      <m:t>p2</m:t>
                    </m:r>
                    <m:ctrlPr>
                      <w:rPr>
                        <w:rFonts w:hint="default" w:ascii="Cambria Math" w:hAnsi="Cambria Math" w:cs="宋体"/>
                        <w:i/>
                        <w:color w:val="000000" w:themeColor="text1"/>
                        <w:sz w:val="24"/>
                        <w14:textFill>
                          <w14:solidFill>
                            <w14:schemeClr w14:val="tx1"/>
                          </w14:solidFill>
                        </w14:textFill>
                      </w:rPr>
                    </m:ctrlPr>
                  </m:sub>
                </m:sSub>
                <m:d>
                  <m:dPr>
                    <m:ctrlPr>
                      <w:rPr>
                        <w:rFonts w:hint="default" w:ascii="Cambria Math" w:hAnsi="Cambria Math" w:cs="宋体"/>
                        <w:i/>
                        <w:color w:val="000000" w:themeColor="text1"/>
                        <w:sz w:val="24"/>
                        <w14:textFill>
                          <w14:solidFill>
                            <w14:schemeClr w14:val="tx1"/>
                          </w14:solidFill>
                        </w14:textFill>
                      </w:rPr>
                    </m:ctrlPr>
                  </m:dPr>
                  <m:e>
                    <m:r>
                      <m:rPr/>
                      <w:rPr>
                        <w:rFonts w:hint="default" w:ascii="Cambria Math" w:hAnsi="Cambria Math" w:cs="宋体"/>
                        <w:color w:val="000000" w:themeColor="text1"/>
                        <w:sz w:val="24"/>
                        <w14:textFill>
                          <w14:solidFill>
                            <w14:schemeClr w14:val="tx1"/>
                          </w14:solidFill>
                        </w14:textFill>
                      </w:rPr>
                      <m:t>T</m:t>
                    </m:r>
                    <m:ctrlPr>
                      <w:rPr>
                        <w:rFonts w:hint="default" w:ascii="Cambria Math" w:hAnsi="Cambria Math" w:cs="宋体"/>
                        <w:i/>
                        <w:color w:val="000000" w:themeColor="text1"/>
                        <w:sz w:val="24"/>
                        <w14:textFill>
                          <w14:solidFill>
                            <w14:schemeClr w14:val="tx1"/>
                          </w14:solidFill>
                        </w14:textFill>
                      </w:rPr>
                    </m:ctrlPr>
                  </m:e>
                </m:d>
                <m:r>
                  <m:rPr/>
                  <w:rPr>
                    <w:rFonts w:hint="default" w:ascii="Cambria Math" w:hAnsi="Cambria Math" w:cs="宋体"/>
                    <w:color w:val="000000" w:themeColor="text1"/>
                    <w:sz w:val="24"/>
                    <w14:textFill>
                      <w14:solidFill>
                        <w14:schemeClr w14:val="tx1"/>
                      </w14:solidFill>
                    </w14:textFill>
                  </w:rPr>
                  <m:t>+10lgS</m:t>
                </m:r>
              </m:oMath>
            </m:oMathPara>
          </w:p>
          <w:p w14:paraId="06CE6A2B">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式中：L</w:t>
            </w:r>
            <w:r>
              <w:rPr>
                <w:rFonts w:hint="default" w:ascii="Times New Roman" w:hAnsi="Times New Roman" w:eastAsia="宋体" w:cs="Times New Roman"/>
                <w:color w:val="000000" w:themeColor="text1"/>
                <w:sz w:val="24"/>
                <w:szCs w:val="24"/>
                <w:vertAlign w:val="subscript"/>
                <w14:textFill>
                  <w14:solidFill>
                    <w14:schemeClr w14:val="tx1"/>
                  </w14:solidFill>
                </w14:textFill>
              </w:rPr>
              <w:t>w</w:t>
            </w:r>
            <w:r>
              <w:rPr>
                <w:rFonts w:hint="default" w:ascii="Times New Roman" w:hAnsi="Times New Roman" w:eastAsia="宋体" w:cs="Times New Roman"/>
                <w:color w:val="000000" w:themeColor="text1"/>
                <w:sz w:val="24"/>
                <w:szCs w:val="24"/>
                <w14:textFill>
                  <w14:solidFill>
                    <w14:schemeClr w14:val="tx1"/>
                  </w14:solidFill>
                </w14:textFill>
              </w:rPr>
              <w:t>—中心位置位于透声面积（S）处的等效声源的倍频带声功率级，dB；</w:t>
            </w:r>
          </w:p>
          <w:p w14:paraId="077A738E">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      L</w:t>
            </w:r>
            <w:r>
              <w:rPr>
                <w:rFonts w:hint="default" w:ascii="Times New Roman" w:hAnsi="Times New Roman" w:eastAsia="宋体" w:cs="Times New Roman"/>
                <w:color w:val="000000" w:themeColor="text1"/>
                <w:sz w:val="24"/>
                <w:szCs w:val="24"/>
                <w:vertAlign w:val="subscript"/>
                <w14:textFill>
                  <w14:solidFill>
                    <w14:schemeClr w14:val="tx1"/>
                  </w14:solidFill>
                </w14:textFill>
              </w:rPr>
              <w:t>p2</w:t>
            </w:r>
            <w:r>
              <w:rPr>
                <w:rFonts w:hint="default" w:ascii="Times New Roman" w:hAnsi="Times New Roman" w:eastAsia="宋体" w:cs="Times New Roman"/>
                <w:color w:val="000000" w:themeColor="text1"/>
                <w:sz w:val="24"/>
                <w:szCs w:val="24"/>
                <w14:textFill>
                  <w14:solidFill>
                    <w14:schemeClr w14:val="tx1"/>
                  </w14:solidFill>
                </w14:textFill>
              </w:rPr>
              <w:t>（T）—靠近围护结构处室外声源的声压级，dB；</w:t>
            </w:r>
          </w:p>
          <w:p w14:paraId="67A4FB22">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      S—透声面积，m</w:t>
            </w:r>
            <w:r>
              <w:rPr>
                <w:rFonts w:hint="default" w:ascii="Times New Roman" w:hAnsi="Times New Roman" w:eastAsia="宋体" w:cs="Times New Roman"/>
                <w:color w:val="000000" w:themeColor="text1"/>
                <w:sz w:val="24"/>
                <w:szCs w:val="24"/>
                <w:vertAlign w:val="superscript"/>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t>。</w:t>
            </w:r>
          </w:p>
          <w:p w14:paraId="2D28A499">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然后按室外声源预测方法计算预测点处的A声级，设第i个室外声源在预测点产生的A声级为L</w:t>
            </w:r>
            <w:r>
              <w:rPr>
                <w:rFonts w:hint="default" w:ascii="Times New Roman" w:hAnsi="Times New Roman" w:eastAsia="宋体" w:cs="Times New Roman"/>
                <w:color w:val="000000" w:themeColor="text1"/>
                <w:sz w:val="24"/>
                <w:szCs w:val="24"/>
                <w:vertAlign w:val="subscript"/>
                <w14:textFill>
                  <w14:solidFill>
                    <w14:schemeClr w14:val="tx1"/>
                  </w14:solidFill>
                </w14:textFill>
              </w:rPr>
              <w:t>Aj</w:t>
            </w:r>
            <w:r>
              <w:rPr>
                <w:rFonts w:hint="default" w:ascii="Times New Roman" w:hAnsi="Times New Roman" w:eastAsia="宋体" w:cs="Times New Roman"/>
                <w:color w:val="000000" w:themeColor="text1"/>
                <w:sz w:val="24"/>
                <w:szCs w:val="24"/>
                <w14:textFill>
                  <w14:solidFill>
                    <w14:schemeClr w14:val="tx1"/>
                  </w14:solidFill>
                </w14:textFill>
              </w:rPr>
              <w:t>，在T时间内</w:t>
            </w:r>
            <w:r>
              <w:rPr>
                <w:rFonts w:hint="eastAsia" w:ascii="Times New Roman" w:hAnsi="Times New Roman" w:eastAsia="宋体" w:cs="Times New Roman"/>
                <w:color w:val="000000" w:themeColor="text1"/>
                <w:sz w:val="24"/>
                <w:szCs w:val="24"/>
                <w:lang w:eastAsia="zh-CN"/>
                <w14:textFill>
                  <w14:solidFill>
                    <w14:schemeClr w14:val="tx1"/>
                  </w14:solidFill>
                </w14:textFill>
              </w:rPr>
              <w:t>该声源</w:t>
            </w:r>
            <w:r>
              <w:rPr>
                <w:rFonts w:hint="default" w:ascii="Times New Roman" w:hAnsi="Times New Roman" w:eastAsia="宋体" w:cs="Times New Roman"/>
                <w:color w:val="000000" w:themeColor="text1"/>
                <w:sz w:val="24"/>
                <w:szCs w:val="24"/>
                <w14:textFill>
                  <w14:solidFill>
                    <w14:schemeClr w14:val="tx1"/>
                  </w14:solidFill>
                </w14:textFill>
              </w:rPr>
              <w:t>工作时间为t</w:t>
            </w:r>
            <w:r>
              <w:rPr>
                <w:rFonts w:hint="default" w:ascii="Times New Roman" w:hAnsi="Times New Roman" w:eastAsia="宋体" w:cs="Times New Roman"/>
                <w:color w:val="000000" w:themeColor="text1"/>
                <w:sz w:val="24"/>
                <w:szCs w:val="24"/>
                <w:vertAlign w:val="subscript"/>
                <w14:textFill>
                  <w14:solidFill>
                    <w14:schemeClr w14:val="tx1"/>
                  </w14:solidFill>
                </w14:textFill>
              </w:rPr>
              <w:t>i</w:t>
            </w:r>
            <w:r>
              <w:rPr>
                <w:rFonts w:hint="default" w:ascii="Times New Roman" w:hAnsi="Times New Roman" w:eastAsia="宋体" w:cs="Times New Roman"/>
                <w:color w:val="000000" w:themeColor="text1"/>
                <w:sz w:val="24"/>
                <w:szCs w:val="24"/>
                <w14:textFill>
                  <w14:solidFill>
                    <w14:schemeClr w14:val="tx1"/>
                  </w14:solidFill>
                </w14:textFill>
              </w:rPr>
              <w:t>；第j个等效室外声源在预测点产生的A声级为L</w:t>
            </w:r>
            <w:r>
              <w:rPr>
                <w:rFonts w:hint="default" w:ascii="Times New Roman" w:hAnsi="Times New Roman" w:eastAsia="宋体" w:cs="Times New Roman"/>
                <w:color w:val="000000" w:themeColor="text1"/>
                <w:sz w:val="24"/>
                <w:szCs w:val="24"/>
                <w:vertAlign w:val="subscript"/>
                <w14:textFill>
                  <w14:solidFill>
                    <w14:schemeClr w14:val="tx1"/>
                  </w14:solidFill>
                </w14:textFill>
              </w:rPr>
              <w:t>Aj</w:t>
            </w:r>
            <w:r>
              <w:rPr>
                <w:rFonts w:hint="default" w:ascii="Times New Roman" w:hAnsi="Times New Roman" w:eastAsia="宋体" w:cs="Times New Roman"/>
                <w:color w:val="000000" w:themeColor="text1"/>
                <w:sz w:val="24"/>
                <w:szCs w:val="24"/>
                <w14:textFill>
                  <w14:solidFill>
                    <w14:schemeClr w14:val="tx1"/>
                  </w14:solidFill>
                </w14:textFill>
              </w:rPr>
              <w:t>，在T时间内该声源工作时间为t</w:t>
            </w:r>
            <w:r>
              <w:rPr>
                <w:rFonts w:hint="default" w:ascii="Times New Roman" w:hAnsi="Times New Roman" w:eastAsia="宋体" w:cs="Times New Roman"/>
                <w:color w:val="000000" w:themeColor="text1"/>
                <w:sz w:val="24"/>
                <w:szCs w:val="24"/>
                <w:vertAlign w:val="subscript"/>
                <w14:textFill>
                  <w14:solidFill>
                    <w14:schemeClr w14:val="tx1"/>
                  </w14:solidFill>
                </w14:textFill>
              </w:rPr>
              <w:t>j</w:t>
            </w:r>
            <w:r>
              <w:rPr>
                <w:rFonts w:hint="default" w:ascii="Times New Roman" w:hAnsi="Times New Roman" w:eastAsia="宋体" w:cs="Times New Roman"/>
                <w:color w:val="000000" w:themeColor="text1"/>
                <w:sz w:val="24"/>
                <w:szCs w:val="24"/>
                <w14:textFill>
                  <w14:solidFill>
                    <w14:schemeClr w14:val="tx1"/>
                  </w14:solidFill>
                </w14:textFill>
              </w:rPr>
              <w:t>，则拟建设工程声源对预测点的贡献值（L</w:t>
            </w:r>
            <w:r>
              <w:rPr>
                <w:rFonts w:hint="default" w:ascii="Times New Roman" w:hAnsi="Times New Roman" w:eastAsia="宋体" w:cs="Times New Roman"/>
                <w:color w:val="000000" w:themeColor="text1"/>
                <w:sz w:val="24"/>
                <w:szCs w:val="24"/>
                <w:vertAlign w:val="subscript"/>
                <w14:textFill>
                  <w14:solidFill>
                    <w14:schemeClr w14:val="tx1"/>
                  </w14:solidFill>
                </w14:textFill>
              </w:rPr>
              <w:t>eqg</w:t>
            </w:r>
            <w:r>
              <w:rPr>
                <w:rFonts w:hint="default" w:ascii="Times New Roman" w:hAnsi="Times New Roman" w:eastAsia="宋体" w:cs="Times New Roman"/>
                <w:color w:val="000000" w:themeColor="text1"/>
                <w:sz w:val="24"/>
                <w:szCs w:val="24"/>
                <w14:textFill>
                  <w14:solidFill>
                    <w14:schemeClr w14:val="tx1"/>
                  </w14:solidFill>
                </w14:textFill>
              </w:rPr>
              <w:t>）为：</w:t>
            </w:r>
          </w:p>
          <w:p w14:paraId="7B3565CE">
            <w:pPr>
              <w:spacing w:line="360" w:lineRule="auto"/>
              <w:jc w:val="center"/>
              <w:rPr>
                <w:rFonts w:hint="default" w:ascii="Times New Roman" w:hAnsi="Times New Roman" w:eastAsia="宋体" w:cs="Times New Roman"/>
                <w:color w:val="000000" w:themeColor="text1"/>
                <w:sz w:val="24"/>
                <w:szCs w:val="24"/>
                <w14:textFill>
                  <w14:solidFill>
                    <w14:schemeClr w14:val="tx1"/>
                  </w14:solidFill>
                </w14:textFill>
              </w:rPr>
            </w:pPr>
            <m:oMathPara>
              <m:oMath>
                <m:sSub>
                  <m:sSubPr>
                    <m:ctrlPr>
                      <w:rPr>
                        <w:rFonts w:hint="default" w:ascii="Cambria Math" w:hAnsi="Cambria Math"/>
                        <w:color w:val="000000" w:themeColor="text1"/>
                        <w:sz w:val="13"/>
                        <w14:textFill>
                          <w14:solidFill>
                            <w14:schemeClr w14:val="tx1"/>
                          </w14:solidFill>
                        </w14:textFill>
                      </w:rPr>
                    </m:ctrlPr>
                  </m:sSubPr>
                  <m:e>
                    <m:r>
                      <m:rPr/>
                      <w:rPr>
                        <w:rFonts w:hint="default" w:ascii="Cambria Math" w:hAnsi="Cambria Math"/>
                        <w:color w:val="000000" w:themeColor="text1"/>
                        <w:sz w:val="13"/>
                        <w14:textFill>
                          <w14:solidFill>
                            <w14:schemeClr w14:val="tx1"/>
                          </w14:solidFill>
                        </w14:textFill>
                      </w:rPr>
                      <m:t>L</m:t>
                    </m:r>
                    <m:ctrlPr>
                      <w:rPr>
                        <w:rFonts w:hint="default" w:ascii="Cambria Math" w:hAnsi="Cambria Math"/>
                        <w:color w:val="000000" w:themeColor="text1"/>
                        <w:sz w:val="13"/>
                        <w14:textFill>
                          <w14:solidFill>
                            <w14:schemeClr w14:val="tx1"/>
                          </w14:solidFill>
                        </w14:textFill>
                      </w:rPr>
                    </m:ctrlPr>
                  </m:e>
                  <m:sub>
                    <m:r>
                      <m:rPr/>
                      <w:rPr>
                        <w:rFonts w:hint="default" w:ascii="Cambria Math" w:hAnsi="Cambria Math"/>
                        <w:color w:val="000000" w:themeColor="text1"/>
                        <w:sz w:val="13"/>
                        <w14:textFill>
                          <w14:solidFill>
                            <w14:schemeClr w14:val="tx1"/>
                          </w14:solidFill>
                        </w14:textFill>
                      </w:rPr>
                      <m:t>eqg</m:t>
                    </m:r>
                    <m:ctrlPr>
                      <w:rPr>
                        <w:rFonts w:hint="default" w:ascii="Cambria Math" w:hAnsi="Cambria Math"/>
                        <w:color w:val="000000" w:themeColor="text1"/>
                        <w:sz w:val="13"/>
                        <w14:textFill>
                          <w14:solidFill>
                            <w14:schemeClr w14:val="tx1"/>
                          </w14:solidFill>
                        </w14:textFill>
                      </w:rPr>
                    </m:ctrlPr>
                  </m:sub>
                </m:sSub>
                <m:r>
                  <m:rPr/>
                  <w:rPr>
                    <w:rFonts w:hint="eastAsia" w:ascii="Cambria Math" w:hAnsi="Cambria Math"/>
                    <w:color w:val="000000" w:themeColor="text1"/>
                    <w:sz w:val="13"/>
                    <w14:textFill>
                      <w14:solidFill>
                        <w14:schemeClr w14:val="tx1"/>
                      </w14:solidFill>
                    </w14:textFill>
                  </w:rPr>
                  <m:t>=</m:t>
                </m:r>
                <m:r>
                  <m:rPr/>
                  <w:rPr>
                    <w:rFonts w:hint="default" w:ascii="Cambria Math" w:hAnsi="Cambria Math"/>
                    <w:color w:val="000000" w:themeColor="text1"/>
                    <w:sz w:val="13"/>
                    <w14:textFill>
                      <w14:solidFill>
                        <w14:schemeClr w14:val="tx1"/>
                      </w14:solidFill>
                    </w14:textFill>
                  </w:rPr>
                  <m:t>10lg</m:t>
                </m:r>
                <m:d>
                  <m:dPr>
                    <m:ctrlPr>
                      <w:rPr>
                        <w:rFonts w:hint="default" w:ascii="Cambria Math" w:hAnsi="Cambria Math"/>
                        <w:i/>
                        <w:color w:val="000000" w:themeColor="text1"/>
                        <w:sz w:val="13"/>
                        <w14:textFill>
                          <w14:solidFill>
                            <w14:schemeClr w14:val="tx1"/>
                          </w14:solidFill>
                        </w14:textFill>
                      </w:rPr>
                    </m:ctrlPr>
                  </m:dPr>
                  <m:e>
                    <m:f>
                      <m:fPr>
                        <m:ctrlPr>
                          <w:rPr>
                            <w:rFonts w:hint="default" w:ascii="Cambria Math" w:hAnsi="Cambria Math"/>
                            <w:i/>
                            <w:color w:val="000000" w:themeColor="text1"/>
                            <w:sz w:val="13"/>
                            <w14:textFill>
                              <w14:solidFill>
                                <w14:schemeClr w14:val="tx1"/>
                              </w14:solidFill>
                            </w14:textFill>
                          </w:rPr>
                        </m:ctrlPr>
                      </m:fPr>
                      <m:num>
                        <m:r>
                          <m:rPr/>
                          <w:rPr>
                            <w:rFonts w:hint="default" w:ascii="Cambria Math" w:hAnsi="Cambria Math"/>
                            <w:color w:val="000000" w:themeColor="text1"/>
                            <w:sz w:val="13"/>
                            <w14:textFill>
                              <w14:solidFill>
                                <w14:schemeClr w14:val="tx1"/>
                              </w14:solidFill>
                            </w14:textFill>
                          </w:rPr>
                          <m:t>1</m:t>
                        </m:r>
                        <m:ctrlPr>
                          <w:rPr>
                            <w:rFonts w:hint="default" w:ascii="Cambria Math" w:hAnsi="Cambria Math"/>
                            <w:i/>
                            <w:color w:val="000000" w:themeColor="text1"/>
                            <w:sz w:val="13"/>
                            <w14:textFill>
                              <w14:solidFill>
                                <w14:schemeClr w14:val="tx1"/>
                              </w14:solidFill>
                            </w14:textFill>
                          </w:rPr>
                        </m:ctrlPr>
                      </m:num>
                      <m:den>
                        <m:r>
                          <m:rPr/>
                          <w:rPr>
                            <w:rFonts w:hint="default" w:ascii="Cambria Math" w:hAnsi="Cambria Math"/>
                            <w:color w:val="000000" w:themeColor="text1"/>
                            <w:sz w:val="13"/>
                            <w14:textFill>
                              <w14:solidFill>
                                <w14:schemeClr w14:val="tx1"/>
                              </w14:solidFill>
                            </w14:textFill>
                          </w:rPr>
                          <m:t>T</m:t>
                        </m:r>
                        <m:ctrlPr>
                          <w:rPr>
                            <w:rFonts w:hint="default" w:ascii="Cambria Math" w:hAnsi="Cambria Math"/>
                            <w:i/>
                            <w:color w:val="000000" w:themeColor="text1"/>
                            <w:sz w:val="13"/>
                            <w14:textFill>
                              <w14:solidFill>
                                <w14:schemeClr w14:val="tx1"/>
                              </w14:solidFill>
                            </w14:textFill>
                          </w:rPr>
                        </m:ctrlPr>
                      </m:den>
                    </m:f>
                    <m:nary>
                      <m:naryPr>
                        <m:chr m:val="∑"/>
                        <m:limLoc m:val="undOvr"/>
                        <m:ctrlPr>
                          <w:rPr>
                            <w:rFonts w:hint="default" w:ascii="Cambria Math" w:hAnsi="Cambria Math"/>
                            <w:i/>
                            <w:color w:val="000000" w:themeColor="text1"/>
                            <w:sz w:val="13"/>
                            <w14:textFill>
                              <w14:solidFill>
                                <w14:schemeClr w14:val="tx1"/>
                              </w14:solidFill>
                            </w14:textFill>
                          </w:rPr>
                        </m:ctrlPr>
                      </m:naryPr>
                      <m:sub>
                        <m:r>
                          <m:rPr/>
                          <w:rPr>
                            <w:rFonts w:hint="default" w:ascii="Cambria Math" w:hAnsi="Cambria Math"/>
                            <w:color w:val="000000" w:themeColor="text1"/>
                            <w:sz w:val="13"/>
                            <w14:textFill>
                              <w14:solidFill>
                                <w14:schemeClr w14:val="tx1"/>
                              </w14:solidFill>
                            </w14:textFill>
                          </w:rPr>
                          <m:t>i</m:t>
                        </m:r>
                        <m:r>
                          <m:rPr/>
                          <w:rPr>
                            <w:rFonts w:hint="eastAsia" w:ascii="Cambria Math" w:hAnsi="Cambria Math"/>
                            <w:color w:val="000000" w:themeColor="text1"/>
                            <w:sz w:val="13"/>
                            <w14:textFill>
                              <w14:solidFill>
                                <w14:schemeClr w14:val="tx1"/>
                              </w14:solidFill>
                            </w14:textFill>
                          </w:rPr>
                          <m:t>=</m:t>
                        </m:r>
                        <m:r>
                          <m:rPr/>
                          <w:rPr>
                            <w:rFonts w:hint="default" w:ascii="Cambria Math" w:hAnsi="Cambria Math"/>
                            <w:color w:val="000000" w:themeColor="text1"/>
                            <w:sz w:val="13"/>
                            <w14:textFill>
                              <w14:solidFill>
                                <w14:schemeClr w14:val="tx1"/>
                              </w14:solidFill>
                            </w14:textFill>
                          </w:rPr>
                          <m:t>1</m:t>
                        </m:r>
                        <m:ctrlPr>
                          <w:rPr>
                            <w:rFonts w:hint="default" w:ascii="Cambria Math" w:hAnsi="Cambria Math"/>
                            <w:i/>
                            <w:color w:val="000000" w:themeColor="text1"/>
                            <w:sz w:val="13"/>
                            <w14:textFill>
                              <w14:solidFill>
                                <w14:schemeClr w14:val="tx1"/>
                              </w14:solidFill>
                            </w14:textFill>
                          </w:rPr>
                        </m:ctrlPr>
                      </m:sub>
                      <m:sup>
                        <m:r>
                          <m:rPr/>
                          <w:rPr>
                            <w:rFonts w:hint="default" w:ascii="Cambria Math" w:hAnsi="Cambria Math"/>
                            <w:color w:val="000000" w:themeColor="text1"/>
                            <w:sz w:val="13"/>
                            <w14:textFill>
                              <w14:solidFill>
                                <w14:schemeClr w14:val="tx1"/>
                              </w14:solidFill>
                            </w14:textFill>
                          </w:rPr>
                          <m:t>N</m:t>
                        </m:r>
                        <m:ctrlPr>
                          <w:rPr>
                            <w:rFonts w:hint="default" w:ascii="Cambria Math" w:hAnsi="Cambria Math"/>
                            <w:i/>
                            <w:color w:val="000000" w:themeColor="text1"/>
                            <w:sz w:val="13"/>
                            <w14:textFill>
                              <w14:solidFill>
                                <w14:schemeClr w14:val="tx1"/>
                              </w14:solidFill>
                            </w14:textFill>
                          </w:rPr>
                        </m:ctrlPr>
                      </m:sup>
                      <m:e>
                        <m:sSub>
                          <m:sSubPr>
                            <m:ctrlPr>
                              <w:rPr>
                                <w:rFonts w:hint="default" w:ascii="Cambria Math" w:hAnsi="Cambria Math"/>
                                <w:i/>
                                <w:color w:val="000000" w:themeColor="text1"/>
                                <w:sz w:val="13"/>
                                <w14:textFill>
                                  <w14:solidFill>
                                    <w14:schemeClr w14:val="tx1"/>
                                  </w14:solidFill>
                                </w14:textFill>
                              </w:rPr>
                            </m:ctrlPr>
                          </m:sSubPr>
                          <m:e>
                            <m:r>
                              <m:rPr/>
                              <w:rPr>
                                <w:rFonts w:hint="default" w:ascii="Cambria Math" w:hAnsi="Cambria Math"/>
                                <w:color w:val="000000" w:themeColor="text1"/>
                                <w:sz w:val="13"/>
                                <w14:textFill>
                                  <w14:solidFill>
                                    <w14:schemeClr w14:val="tx1"/>
                                  </w14:solidFill>
                                </w14:textFill>
                              </w:rPr>
                              <m:t>t</m:t>
                            </m:r>
                            <m:ctrlPr>
                              <w:rPr>
                                <w:rFonts w:hint="default" w:ascii="Cambria Math" w:hAnsi="Cambria Math"/>
                                <w:i/>
                                <w:color w:val="000000" w:themeColor="text1"/>
                                <w:sz w:val="13"/>
                                <w14:textFill>
                                  <w14:solidFill>
                                    <w14:schemeClr w14:val="tx1"/>
                                  </w14:solidFill>
                                </w14:textFill>
                              </w:rPr>
                            </m:ctrlPr>
                          </m:e>
                          <m:sub>
                            <m:r>
                              <m:rPr/>
                              <w:rPr>
                                <w:rFonts w:hint="default" w:ascii="Cambria Math" w:hAnsi="Cambria Math"/>
                                <w:color w:val="000000" w:themeColor="text1"/>
                                <w:sz w:val="13"/>
                                <w14:textFill>
                                  <w14:solidFill>
                                    <w14:schemeClr w14:val="tx1"/>
                                  </w14:solidFill>
                                </w14:textFill>
                              </w:rPr>
                              <m:t>i</m:t>
                            </m:r>
                            <m:ctrlPr>
                              <w:rPr>
                                <w:rFonts w:hint="default" w:ascii="Cambria Math" w:hAnsi="Cambria Math"/>
                                <w:i/>
                                <w:color w:val="000000" w:themeColor="text1"/>
                                <w:sz w:val="13"/>
                                <w14:textFill>
                                  <w14:solidFill>
                                    <w14:schemeClr w14:val="tx1"/>
                                  </w14:solidFill>
                                </w14:textFill>
                              </w:rPr>
                            </m:ctrlPr>
                          </m:sub>
                        </m:sSub>
                        <m:sSup>
                          <m:sSupPr>
                            <m:ctrlPr>
                              <w:rPr>
                                <w:rFonts w:hint="default" w:ascii="Cambria Math" w:hAnsi="Cambria Math"/>
                                <w:i/>
                                <w:color w:val="000000" w:themeColor="text1"/>
                                <w:sz w:val="13"/>
                                <w14:textFill>
                                  <w14:solidFill>
                                    <w14:schemeClr w14:val="tx1"/>
                                  </w14:solidFill>
                                </w14:textFill>
                              </w:rPr>
                            </m:ctrlPr>
                          </m:sSupPr>
                          <m:e>
                            <m:r>
                              <m:rPr/>
                              <w:rPr>
                                <w:rFonts w:hint="default" w:ascii="Cambria Math" w:hAnsi="Cambria Math"/>
                                <w:color w:val="000000" w:themeColor="text1"/>
                                <w:sz w:val="13"/>
                                <w14:textFill>
                                  <w14:solidFill>
                                    <w14:schemeClr w14:val="tx1"/>
                                  </w14:solidFill>
                                </w14:textFill>
                              </w:rPr>
                              <m:t>10</m:t>
                            </m:r>
                            <m:ctrlPr>
                              <w:rPr>
                                <w:rFonts w:hint="default" w:ascii="Cambria Math" w:hAnsi="Cambria Math"/>
                                <w:i/>
                                <w:color w:val="000000" w:themeColor="text1"/>
                                <w:sz w:val="13"/>
                                <w14:textFill>
                                  <w14:solidFill>
                                    <w14:schemeClr w14:val="tx1"/>
                                  </w14:solidFill>
                                </w14:textFill>
                              </w:rPr>
                            </m:ctrlPr>
                          </m:e>
                          <m:sup>
                            <m:r>
                              <m:rPr/>
                              <w:rPr>
                                <w:rFonts w:hint="default" w:ascii="Cambria Math" w:hAnsi="Cambria Math"/>
                                <w:color w:val="000000" w:themeColor="text1"/>
                                <w:sz w:val="13"/>
                                <w14:textFill>
                                  <w14:solidFill>
                                    <w14:schemeClr w14:val="tx1"/>
                                  </w14:solidFill>
                                </w14:textFill>
                              </w:rPr>
                              <m:t>0.1</m:t>
                            </m:r>
                            <m:sSub>
                              <m:sSubPr>
                                <m:ctrlPr>
                                  <w:rPr>
                                    <w:rFonts w:hint="default" w:ascii="Cambria Math" w:hAnsi="Cambria Math"/>
                                    <w:i/>
                                    <w:color w:val="000000" w:themeColor="text1"/>
                                    <w:sz w:val="13"/>
                                    <w14:textFill>
                                      <w14:solidFill>
                                        <w14:schemeClr w14:val="tx1"/>
                                      </w14:solidFill>
                                    </w14:textFill>
                                  </w:rPr>
                                </m:ctrlPr>
                              </m:sSubPr>
                              <m:e>
                                <m:r>
                                  <m:rPr/>
                                  <w:rPr>
                                    <w:rFonts w:hint="default" w:ascii="Cambria Math" w:hAnsi="Cambria Math"/>
                                    <w:color w:val="000000" w:themeColor="text1"/>
                                    <w:sz w:val="13"/>
                                    <w14:textFill>
                                      <w14:solidFill>
                                        <w14:schemeClr w14:val="tx1"/>
                                      </w14:solidFill>
                                    </w14:textFill>
                                  </w:rPr>
                                  <m:t>L</m:t>
                                </m:r>
                                <m:ctrlPr>
                                  <w:rPr>
                                    <w:rFonts w:hint="default" w:ascii="Cambria Math" w:hAnsi="Cambria Math"/>
                                    <w:i/>
                                    <w:color w:val="000000" w:themeColor="text1"/>
                                    <w:sz w:val="13"/>
                                    <w14:textFill>
                                      <w14:solidFill>
                                        <w14:schemeClr w14:val="tx1"/>
                                      </w14:solidFill>
                                    </w14:textFill>
                                  </w:rPr>
                                </m:ctrlPr>
                              </m:e>
                              <m:sub>
                                <m:sSub>
                                  <m:sSubPr>
                                    <m:ctrlPr>
                                      <w:rPr>
                                        <w:rFonts w:hint="default" w:ascii="Cambria Math" w:hAnsi="Cambria Math"/>
                                        <w:i/>
                                        <w:color w:val="000000" w:themeColor="text1"/>
                                        <w:sz w:val="13"/>
                                        <w14:textFill>
                                          <w14:solidFill>
                                            <w14:schemeClr w14:val="tx1"/>
                                          </w14:solidFill>
                                        </w14:textFill>
                                      </w:rPr>
                                    </m:ctrlPr>
                                  </m:sSubPr>
                                  <m:e>
                                    <m:r>
                                      <m:rPr/>
                                      <w:rPr>
                                        <w:rFonts w:hint="default" w:ascii="Cambria Math" w:hAnsi="Cambria Math"/>
                                        <w:color w:val="000000" w:themeColor="text1"/>
                                        <w:sz w:val="13"/>
                                        <w14:textFill>
                                          <w14:solidFill>
                                            <w14:schemeClr w14:val="tx1"/>
                                          </w14:solidFill>
                                        </w14:textFill>
                                      </w:rPr>
                                      <m:t>A</m:t>
                                    </m:r>
                                    <m:ctrlPr>
                                      <w:rPr>
                                        <w:rFonts w:hint="default" w:ascii="Cambria Math" w:hAnsi="Cambria Math"/>
                                        <w:i/>
                                        <w:color w:val="000000" w:themeColor="text1"/>
                                        <w:sz w:val="13"/>
                                        <w14:textFill>
                                          <w14:solidFill>
                                            <w14:schemeClr w14:val="tx1"/>
                                          </w14:solidFill>
                                        </w14:textFill>
                                      </w:rPr>
                                    </m:ctrlPr>
                                  </m:e>
                                  <m:sub>
                                    <m:r>
                                      <m:rPr/>
                                      <w:rPr>
                                        <w:rFonts w:hint="default" w:ascii="Cambria Math" w:hAnsi="Cambria Math"/>
                                        <w:color w:val="000000" w:themeColor="text1"/>
                                        <w:sz w:val="13"/>
                                        <w14:textFill>
                                          <w14:solidFill>
                                            <w14:schemeClr w14:val="tx1"/>
                                          </w14:solidFill>
                                        </w14:textFill>
                                      </w:rPr>
                                      <m:t>i</m:t>
                                    </m:r>
                                    <m:ctrlPr>
                                      <w:rPr>
                                        <w:rFonts w:hint="default" w:ascii="Cambria Math" w:hAnsi="Cambria Math"/>
                                        <w:i/>
                                        <w:color w:val="000000" w:themeColor="text1"/>
                                        <w:sz w:val="13"/>
                                        <w14:textFill>
                                          <w14:solidFill>
                                            <w14:schemeClr w14:val="tx1"/>
                                          </w14:solidFill>
                                        </w14:textFill>
                                      </w:rPr>
                                    </m:ctrlPr>
                                  </m:sub>
                                </m:sSub>
                                <m:ctrlPr>
                                  <w:rPr>
                                    <w:rFonts w:hint="default" w:ascii="Cambria Math" w:hAnsi="Cambria Math"/>
                                    <w:i/>
                                    <w:color w:val="000000" w:themeColor="text1"/>
                                    <w:sz w:val="13"/>
                                    <w14:textFill>
                                      <w14:solidFill>
                                        <w14:schemeClr w14:val="tx1"/>
                                      </w14:solidFill>
                                    </w14:textFill>
                                  </w:rPr>
                                </m:ctrlPr>
                              </m:sub>
                            </m:sSub>
                            <m:ctrlPr>
                              <w:rPr>
                                <w:rFonts w:hint="default" w:ascii="Cambria Math" w:hAnsi="Cambria Math"/>
                                <w:i/>
                                <w:color w:val="000000" w:themeColor="text1"/>
                                <w:sz w:val="13"/>
                                <w14:textFill>
                                  <w14:solidFill>
                                    <w14:schemeClr w14:val="tx1"/>
                                  </w14:solidFill>
                                </w14:textFill>
                              </w:rPr>
                            </m:ctrlPr>
                          </m:sup>
                        </m:sSup>
                        <m:ctrlPr>
                          <w:rPr>
                            <w:rFonts w:hint="default" w:ascii="Cambria Math" w:hAnsi="Cambria Math"/>
                            <w:i/>
                            <w:color w:val="000000" w:themeColor="text1"/>
                            <w:sz w:val="13"/>
                            <w14:textFill>
                              <w14:solidFill>
                                <w14:schemeClr w14:val="tx1"/>
                              </w14:solidFill>
                            </w14:textFill>
                          </w:rPr>
                        </m:ctrlPr>
                      </m:e>
                    </m:nary>
                    <m:r>
                      <m:rPr/>
                      <w:rPr>
                        <w:rFonts w:hint="default" w:ascii="Cambria Math" w:hAnsi="Cambria Math"/>
                        <w:color w:val="000000" w:themeColor="text1"/>
                        <w:sz w:val="13"/>
                        <w14:textFill>
                          <w14:solidFill>
                            <w14:schemeClr w14:val="tx1"/>
                          </w14:solidFill>
                        </w14:textFill>
                      </w:rPr>
                      <m:t>+</m:t>
                    </m:r>
                    <m:f>
                      <m:fPr>
                        <m:ctrlPr>
                          <w:rPr>
                            <w:rFonts w:hint="default" w:ascii="Cambria Math" w:hAnsi="Cambria Math"/>
                            <w:i/>
                            <w:color w:val="000000" w:themeColor="text1"/>
                            <w:sz w:val="13"/>
                            <w14:textFill>
                              <w14:solidFill>
                                <w14:schemeClr w14:val="tx1"/>
                              </w14:solidFill>
                            </w14:textFill>
                          </w:rPr>
                        </m:ctrlPr>
                      </m:fPr>
                      <m:num>
                        <m:r>
                          <m:rPr/>
                          <w:rPr>
                            <w:rFonts w:hint="default" w:ascii="Cambria Math" w:hAnsi="Cambria Math"/>
                            <w:color w:val="000000" w:themeColor="text1"/>
                            <w:sz w:val="13"/>
                            <w14:textFill>
                              <w14:solidFill>
                                <w14:schemeClr w14:val="tx1"/>
                              </w14:solidFill>
                            </w14:textFill>
                          </w:rPr>
                          <m:t>1</m:t>
                        </m:r>
                        <m:ctrlPr>
                          <w:rPr>
                            <w:rFonts w:hint="default" w:ascii="Cambria Math" w:hAnsi="Cambria Math"/>
                            <w:i/>
                            <w:color w:val="000000" w:themeColor="text1"/>
                            <w:sz w:val="13"/>
                            <w14:textFill>
                              <w14:solidFill>
                                <w14:schemeClr w14:val="tx1"/>
                              </w14:solidFill>
                            </w14:textFill>
                          </w:rPr>
                        </m:ctrlPr>
                      </m:num>
                      <m:den>
                        <m:r>
                          <m:rPr/>
                          <w:rPr>
                            <w:rFonts w:hint="default" w:ascii="Cambria Math" w:hAnsi="Cambria Math"/>
                            <w:color w:val="000000" w:themeColor="text1"/>
                            <w:sz w:val="13"/>
                            <w14:textFill>
                              <w14:solidFill>
                                <w14:schemeClr w14:val="tx1"/>
                              </w14:solidFill>
                            </w14:textFill>
                          </w:rPr>
                          <m:t>T</m:t>
                        </m:r>
                        <m:ctrlPr>
                          <w:rPr>
                            <w:rFonts w:hint="default" w:ascii="Cambria Math" w:hAnsi="Cambria Math"/>
                            <w:i/>
                            <w:color w:val="000000" w:themeColor="text1"/>
                            <w:sz w:val="13"/>
                            <w14:textFill>
                              <w14:solidFill>
                                <w14:schemeClr w14:val="tx1"/>
                              </w14:solidFill>
                            </w14:textFill>
                          </w:rPr>
                        </m:ctrlPr>
                      </m:den>
                    </m:f>
                    <m:nary>
                      <m:naryPr>
                        <m:chr m:val="∑"/>
                        <m:limLoc m:val="undOvr"/>
                        <m:ctrlPr>
                          <w:rPr>
                            <w:rFonts w:hint="default" w:ascii="Cambria Math" w:hAnsi="Cambria Math"/>
                            <w:i/>
                            <w:color w:val="000000" w:themeColor="text1"/>
                            <w:sz w:val="13"/>
                            <w14:textFill>
                              <w14:solidFill>
                                <w14:schemeClr w14:val="tx1"/>
                              </w14:solidFill>
                            </w14:textFill>
                          </w:rPr>
                        </m:ctrlPr>
                      </m:naryPr>
                      <m:sub>
                        <m:r>
                          <m:rPr/>
                          <w:rPr>
                            <w:rFonts w:hint="default" w:ascii="Cambria Math" w:hAnsi="Cambria Math"/>
                            <w:color w:val="000000" w:themeColor="text1"/>
                            <w:sz w:val="13"/>
                            <w14:textFill>
                              <w14:solidFill>
                                <w14:schemeClr w14:val="tx1"/>
                              </w14:solidFill>
                            </w14:textFill>
                          </w:rPr>
                          <m:t>j</m:t>
                        </m:r>
                        <m:r>
                          <m:rPr/>
                          <w:rPr>
                            <w:rFonts w:hint="eastAsia" w:ascii="Cambria Math" w:hAnsi="Cambria Math"/>
                            <w:color w:val="000000" w:themeColor="text1"/>
                            <w:sz w:val="13"/>
                            <w14:textFill>
                              <w14:solidFill>
                                <w14:schemeClr w14:val="tx1"/>
                              </w14:solidFill>
                            </w14:textFill>
                          </w:rPr>
                          <m:t>=</m:t>
                        </m:r>
                        <m:r>
                          <m:rPr/>
                          <w:rPr>
                            <w:rFonts w:hint="default" w:ascii="Cambria Math" w:hAnsi="Cambria Math"/>
                            <w:color w:val="000000" w:themeColor="text1"/>
                            <w:sz w:val="13"/>
                            <w14:textFill>
                              <w14:solidFill>
                                <w14:schemeClr w14:val="tx1"/>
                              </w14:solidFill>
                            </w14:textFill>
                          </w:rPr>
                          <m:t>1</m:t>
                        </m:r>
                        <m:ctrlPr>
                          <w:rPr>
                            <w:rFonts w:hint="default" w:ascii="Cambria Math" w:hAnsi="Cambria Math"/>
                            <w:i/>
                            <w:color w:val="000000" w:themeColor="text1"/>
                            <w:sz w:val="13"/>
                            <w14:textFill>
                              <w14:solidFill>
                                <w14:schemeClr w14:val="tx1"/>
                              </w14:solidFill>
                            </w14:textFill>
                          </w:rPr>
                        </m:ctrlPr>
                      </m:sub>
                      <m:sup>
                        <m:r>
                          <m:rPr/>
                          <w:rPr>
                            <w:rFonts w:hint="default" w:ascii="Cambria Math" w:hAnsi="Cambria Math"/>
                            <w:color w:val="000000" w:themeColor="text1"/>
                            <w:sz w:val="13"/>
                            <w14:textFill>
                              <w14:solidFill>
                                <w14:schemeClr w14:val="tx1"/>
                              </w14:solidFill>
                            </w14:textFill>
                          </w:rPr>
                          <m:t>M</m:t>
                        </m:r>
                        <m:ctrlPr>
                          <w:rPr>
                            <w:rFonts w:hint="default" w:ascii="Cambria Math" w:hAnsi="Cambria Math"/>
                            <w:i/>
                            <w:color w:val="000000" w:themeColor="text1"/>
                            <w:sz w:val="13"/>
                            <w14:textFill>
                              <w14:solidFill>
                                <w14:schemeClr w14:val="tx1"/>
                              </w14:solidFill>
                            </w14:textFill>
                          </w:rPr>
                        </m:ctrlPr>
                      </m:sup>
                      <m:e>
                        <m:sSub>
                          <m:sSubPr>
                            <m:ctrlPr>
                              <w:rPr>
                                <w:rFonts w:hint="default" w:ascii="Cambria Math" w:hAnsi="Cambria Math"/>
                                <w:i/>
                                <w:color w:val="000000" w:themeColor="text1"/>
                                <w:sz w:val="13"/>
                                <w14:textFill>
                                  <w14:solidFill>
                                    <w14:schemeClr w14:val="tx1"/>
                                  </w14:solidFill>
                                </w14:textFill>
                              </w:rPr>
                            </m:ctrlPr>
                          </m:sSubPr>
                          <m:e>
                            <m:r>
                              <m:rPr/>
                              <w:rPr>
                                <w:rFonts w:hint="default" w:ascii="Cambria Math" w:hAnsi="Cambria Math"/>
                                <w:color w:val="000000" w:themeColor="text1"/>
                                <w:sz w:val="13"/>
                                <w14:textFill>
                                  <w14:solidFill>
                                    <w14:schemeClr w14:val="tx1"/>
                                  </w14:solidFill>
                                </w14:textFill>
                              </w:rPr>
                              <m:t>t</m:t>
                            </m:r>
                            <m:ctrlPr>
                              <w:rPr>
                                <w:rFonts w:hint="default" w:ascii="Cambria Math" w:hAnsi="Cambria Math"/>
                                <w:i/>
                                <w:color w:val="000000" w:themeColor="text1"/>
                                <w:sz w:val="13"/>
                                <w14:textFill>
                                  <w14:solidFill>
                                    <w14:schemeClr w14:val="tx1"/>
                                  </w14:solidFill>
                                </w14:textFill>
                              </w:rPr>
                            </m:ctrlPr>
                          </m:e>
                          <m:sub>
                            <m:r>
                              <m:rPr/>
                              <w:rPr>
                                <w:rFonts w:hint="default" w:ascii="Cambria Math" w:hAnsi="Cambria Math"/>
                                <w:color w:val="000000" w:themeColor="text1"/>
                                <w:sz w:val="13"/>
                                <w14:textFill>
                                  <w14:solidFill>
                                    <w14:schemeClr w14:val="tx1"/>
                                  </w14:solidFill>
                                </w14:textFill>
                              </w:rPr>
                              <m:t>j</m:t>
                            </m:r>
                            <m:ctrlPr>
                              <w:rPr>
                                <w:rFonts w:hint="default" w:ascii="Cambria Math" w:hAnsi="Cambria Math"/>
                                <w:i/>
                                <w:color w:val="000000" w:themeColor="text1"/>
                                <w:sz w:val="13"/>
                                <w14:textFill>
                                  <w14:solidFill>
                                    <w14:schemeClr w14:val="tx1"/>
                                  </w14:solidFill>
                                </w14:textFill>
                              </w:rPr>
                            </m:ctrlPr>
                          </m:sub>
                        </m:sSub>
                        <m:sSup>
                          <m:sSupPr>
                            <m:ctrlPr>
                              <w:rPr>
                                <w:rFonts w:hint="default" w:ascii="Cambria Math" w:hAnsi="Cambria Math"/>
                                <w:i/>
                                <w:color w:val="000000" w:themeColor="text1"/>
                                <w:sz w:val="13"/>
                                <w14:textFill>
                                  <w14:solidFill>
                                    <w14:schemeClr w14:val="tx1"/>
                                  </w14:solidFill>
                                </w14:textFill>
                              </w:rPr>
                            </m:ctrlPr>
                          </m:sSupPr>
                          <m:e>
                            <m:r>
                              <m:rPr/>
                              <w:rPr>
                                <w:rFonts w:hint="default" w:ascii="Cambria Math" w:hAnsi="Cambria Math"/>
                                <w:color w:val="000000" w:themeColor="text1"/>
                                <w:sz w:val="13"/>
                                <w14:textFill>
                                  <w14:solidFill>
                                    <w14:schemeClr w14:val="tx1"/>
                                  </w14:solidFill>
                                </w14:textFill>
                              </w:rPr>
                              <m:t>10</m:t>
                            </m:r>
                            <m:ctrlPr>
                              <w:rPr>
                                <w:rFonts w:hint="default" w:ascii="Cambria Math" w:hAnsi="Cambria Math"/>
                                <w:i/>
                                <w:color w:val="000000" w:themeColor="text1"/>
                                <w:sz w:val="13"/>
                                <w14:textFill>
                                  <w14:solidFill>
                                    <w14:schemeClr w14:val="tx1"/>
                                  </w14:solidFill>
                                </w14:textFill>
                              </w:rPr>
                            </m:ctrlPr>
                          </m:e>
                          <m:sup>
                            <m:r>
                              <m:rPr/>
                              <w:rPr>
                                <w:rFonts w:hint="default" w:ascii="Cambria Math" w:hAnsi="Cambria Math"/>
                                <w:color w:val="000000" w:themeColor="text1"/>
                                <w:sz w:val="13"/>
                                <w14:textFill>
                                  <w14:solidFill>
                                    <w14:schemeClr w14:val="tx1"/>
                                  </w14:solidFill>
                                </w14:textFill>
                              </w:rPr>
                              <m:t>0.1</m:t>
                            </m:r>
                            <m:sSub>
                              <m:sSubPr>
                                <m:ctrlPr>
                                  <w:rPr>
                                    <w:rFonts w:hint="default" w:ascii="Cambria Math" w:hAnsi="Cambria Math"/>
                                    <w:i/>
                                    <w:color w:val="000000" w:themeColor="text1"/>
                                    <w:sz w:val="13"/>
                                    <w14:textFill>
                                      <w14:solidFill>
                                        <w14:schemeClr w14:val="tx1"/>
                                      </w14:solidFill>
                                    </w14:textFill>
                                  </w:rPr>
                                </m:ctrlPr>
                              </m:sSubPr>
                              <m:e>
                                <m:r>
                                  <m:rPr/>
                                  <w:rPr>
                                    <w:rFonts w:hint="default" w:ascii="Cambria Math" w:hAnsi="Cambria Math"/>
                                    <w:color w:val="000000" w:themeColor="text1"/>
                                    <w:sz w:val="13"/>
                                    <w14:textFill>
                                      <w14:solidFill>
                                        <w14:schemeClr w14:val="tx1"/>
                                      </w14:solidFill>
                                    </w14:textFill>
                                  </w:rPr>
                                  <m:t>L</m:t>
                                </m:r>
                                <m:ctrlPr>
                                  <w:rPr>
                                    <w:rFonts w:hint="default" w:ascii="Cambria Math" w:hAnsi="Cambria Math"/>
                                    <w:i/>
                                    <w:color w:val="000000" w:themeColor="text1"/>
                                    <w:sz w:val="13"/>
                                    <w14:textFill>
                                      <w14:solidFill>
                                        <w14:schemeClr w14:val="tx1"/>
                                      </w14:solidFill>
                                    </w14:textFill>
                                  </w:rPr>
                                </m:ctrlPr>
                              </m:e>
                              <m:sub>
                                <m:sSub>
                                  <m:sSubPr>
                                    <m:ctrlPr>
                                      <w:rPr>
                                        <w:rFonts w:hint="default" w:ascii="Cambria Math" w:hAnsi="Cambria Math"/>
                                        <w:i/>
                                        <w:color w:val="000000" w:themeColor="text1"/>
                                        <w:sz w:val="13"/>
                                        <w14:textFill>
                                          <w14:solidFill>
                                            <w14:schemeClr w14:val="tx1"/>
                                          </w14:solidFill>
                                        </w14:textFill>
                                      </w:rPr>
                                    </m:ctrlPr>
                                  </m:sSubPr>
                                  <m:e>
                                    <m:r>
                                      <m:rPr/>
                                      <w:rPr>
                                        <w:rFonts w:hint="default" w:ascii="Cambria Math" w:hAnsi="Cambria Math"/>
                                        <w:color w:val="000000" w:themeColor="text1"/>
                                        <w:sz w:val="13"/>
                                        <w14:textFill>
                                          <w14:solidFill>
                                            <w14:schemeClr w14:val="tx1"/>
                                          </w14:solidFill>
                                        </w14:textFill>
                                      </w:rPr>
                                      <m:t>A</m:t>
                                    </m:r>
                                    <m:ctrlPr>
                                      <w:rPr>
                                        <w:rFonts w:hint="default" w:ascii="Cambria Math" w:hAnsi="Cambria Math"/>
                                        <w:i/>
                                        <w:color w:val="000000" w:themeColor="text1"/>
                                        <w:sz w:val="13"/>
                                        <w14:textFill>
                                          <w14:solidFill>
                                            <w14:schemeClr w14:val="tx1"/>
                                          </w14:solidFill>
                                        </w14:textFill>
                                      </w:rPr>
                                    </m:ctrlPr>
                                  </m:e>
                                  <m:sub>
                                    <m:r>
                                      <m:rPr/>
                                      <w:rPr>
                                        <w:rFonts w:hint="default" w:ascii="Cambria Math" w:hAnsi="Cambria Math"/>
                                        <w:color w:val="000000" w:themeColor="text1"/>
                                        <w:sz w:val="13"/>
                                        <w14:textFill>
                                          <w14:solidFill>
                                            <w14:schemeClr w14:val="tx1"/>
                                          </w14:solidFill>
                                        </w14:textFill>
                                      </w:rPr>
                                      <m:t>j</m:t>
                                    </m:r>
                                    <m:ctrlPr>
                                      <w:rPr>
                                        <w:rFonts w:hint="default" w:ascii="Cambria Math" w:hAnsi="Cambria Math"/>
                                        <w:i/>
                                        <w:color w:val="000000" w:themeColor="text1"/>
                                        <w:sz w:val="13"/>
                                        <w14:textFill>
                                          <w14:solidFill>
                                            <w14:schemeClr w14:val="tx1"/>
                                          </w14:solidFill>
                                        </w14:textFill>
                                      </w:rPr>
                                    </m:ctrlPr>
                                  </m:sub>
                                </m:sSub>
                                <m:ctrlPr>
                                  <w:rPr>
                                    <w:rFonts w:hint="default" w:ascii="Cambria Math" w:hAnsi="Cambria Math"/>
                                    <w:i/>
                                    <w:color w:val="000000" w:themeColor="text1"/>
                                    <w:sz w:val="13"/>
                                    <w14:textFill>
                                      <w14:solidFill>
                                        <w14:schemeClr w14:val="tx1"/>
                                      </w14:solidFill>
                                    </w14:textFill>
                                  </w:rPr>
                                </m:ctrlPr>
                              </m:sub>
                            </m:sSub>
                            <m:ctrlPr>
                              <w:rPr>
                                <w:rFonts w:hint="default" w:ascii="Cambria Math" w:hAnsi="Cambria Math"/>
                                <w:i/>
                                <w:color w:val="000000" w:themeColor="text1"/>
                                <w:sz w:val="13"/>
                                <w14:textFill>
                                  <w14:solidFill>
                                    <w14:schemeClr w14:val="tx1"/>
                                  </w14:solidFill>
                                </w14:textFill>
                              </w:rPr>
                            </m:ctrlPr>
                          </m:sup>
                        </m:sSup>
                        <m:ctrlPr>
                          <w:rPr>
                            <w:rFonts w:hint="default" w:ascii="Cambria Math" w:hAnsi="Cambria Math"/>
                            <w:i/>
                            <w:color w:val="000000" w:themeColor="text1"/>
                            <w:sz w:val="13"/>
                            <w14:textFill>
                              <w14:solidFill>
                                <w14:schemeClr w14:val="tx1"/>
                              </w14:solidFill>
                            </w14:textFill>
                          </w:rPr>
                        </m:ctrlPr>
                      </m:e>
                    </m:nary>
                    <m:ctrlPr>
                      <w:rPr>
                        <w:rFonts w:hint="default" w:ascii="Cambria Math" w:hAnsi="Cambria Math"/>
                        <w:i/>
                        <w:color w:val="000000" w:themeColor="text1"/>
                        <w:sz w:val="13"/>
                        <w14:textFill>
                          <w14:solidFill>
                            <w14:schemeClr w14:val="tx1"/>
                          </w14:solidFill>
                        </w14:textFill>
                      </w:rPr>
                    </m:ctrlPr>
                  </m:e>
                </m:d>
              </m:oMath>
            </m:oMathPara>
          </w:p>
          <w:p w14:paraId="734483F5">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式中：Leqg—建设项目在预测点产生的噪声贡献值； </w:t>
            </w:r>
          </w:p>
          <w:p w14:paraId="5A388BCA">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      T—用于计算等效声级的时间，S；</w:t>
            </w:r>
          </w:p>
          <w:p w14:paraId="767826F7">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      N—室外声源个数；</w:t>
            </w:r>
          </w:p>
          <w:p w14:paraId="2269FC93">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      ti—在T时间内i声源工作时间，S；</w:t>
            </w:r>
          </w:p>
          <w:p w14:paraId="6AC62198">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      M—等效室外声源个数；</w:t>
            </w:r>
          </w:p>
          <w:p w14:paraId="5E25644E">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      tj—在T时间内j声源工作时间，S。</w:t>
            </w:r>
          </w:p>
          <w:p w14:paraId="354177AF">
            <w:pPr>
              <w:widowControl/>
              <w:spacing w:line="360" w:lineRule="auto"/>
              <w:ind w:firstLine="482" w:firstLineChars="200"/>
              <w:rPr>
                <w:rFonts w:hint="default"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3.3</w:t>
            </w:r>
            <w:r>
              <w:rPr>
                <w:rFonts w:hint="default" w:ascii="Times New Roman" w:hAnsi="Times New Roman" w:eastAsia="宋体" w:cs="Times New Roman"/>
                <w:b/>
                <w:bCs/>
                <w:color w:val="000000" w:themeColor="text1"/>
                <w:sz w:val="24"/>
                <w:szCs w:val="24"/>
                <w14:textFill>
                  <w14:solidFill>
                    <w14:schemeClr w14:val="tx1"/>
                  </w14:solidFill>
                </w14:textFill>
              </w:rPr>
              <w:t>预测结果</w:t>
            </w:r>
          </w:p>
          <w:p w14:paraId="74C3A8B3">
            <w:pPr>
              <w:pStyle w:val="9"/>
              <w:snapToGrid/>
              <w:spacing w:before="0" w:after="0" w:line="360" w:lineRule="auto"/>
              <w:ind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本次噪声预测采用环安科技有限公司根据《环境影响评价技术导则 声环境》（HJ2.1-2021）构建的在线预测软件Online V4，预测结果如下：</w:t>
            </w:r>
          </w:p>
          <w:p w14:paraId="7C4E861C">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表4-</w:t>
            </w:r>
            <w:r>
              <w:rPr>
                <w:rFonts w:hint="eastAsia" w:cs="Times New Roman"/>
                <w:b/>
                <w:bCs/>
                <w:color w:val="000000" w:themeColor="text1"/>
                <w:sz w:val="24"/>
                <w:szCs w:val="24"/>
                <w:lang w:val="en-US" w:eastAsia="zh-CN"/>
                <w14:textFill>
                  <w14:solidFill>
                    <w14:schemeClr w14:val="tx1"/>
                  </w14:solidFill>
                </w14:textFill>
              </w:rPr>
              <w:t>20</w:t>
            </w:r>
            <w:r>
              <w:rPr>
                <w:rFonts w:hint="default" w:ascii="Times New Roman" w:hAnsi="Times New Roman" w:eastAsia="宋体" w:cs="Times New Roman"/>
                <w:b/>
                <w:bCs/>
                <w:color w:val="000000" w:themeColor="text1"/>
                <w:sz w:val="24"/>
                <w:szCs w:val="24"/>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改扩建完成后项目噪声预测一览表</w:t>
            </w:r>
          </w:p>
          <w:tbl>
            <w:tblPr>
              <w:tblStyle w:val="28"/>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4"/>
              <w:gridCol w:w="1025"/>
              <w:gridCol w:w="1025"/>
              <w:gridCol w:w="1025"/>
              <w:gridCol w:w="1025"/>
              <w:gridCol w:w="1025"/>
              <w:gridCol w:w="1025"/>
            </w:tblGrid>
            <w:tr w14:paraId="69648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54" w:type="dxa"/>
                  <w:vMerge w:val="restart"/>
                  <w:tcBorders>
                    <w:tl2br w:val="nil"/>
                    <w:tr2bl w:val="nil"/>
                  </w:tcBorders>
                  <w:noWrap w:val="0"/>
                  <w:vAlign w:val="center"/>
                </w:tcPr>
                <w:p w14:paraId="28E9B2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厂界</w:t>
                  </w:r>
                </w:p>
              </w:tc>
              <w:tc>
                <w:tcPr>
                  <w:tcW w:w="3075" w:type="dxa"/>
                  <w:gridSpan w:val="3"/>
                  <w:tcBorders>
                    <w:tl2br w:val="nil"/>
                    <w:tr2bl w:val="nil"/>
                  </w:tcBorders>
                  <w:noWrap w:val="0"/>
                  <w:vAlign w:val="center"/>
                </w:tcPr>
                <w:p w14:paraId="664EDC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昼间/dB（A）</w:t>
                  </w:r>
                </w:p>
              </w:tc>
              <w:tc>
                <w:tcPr>
                  <w:tcW w:w="3075" w:type="dxa"/>
                  <w:gridSpan w:val="3"/>
                  <w:tcBorders>
                    <w:tl2br w:val="nil"/>
                    <w:tr2bl w:val="nil"/>
                  </w:tcBorders>
                  <w:noWrap w:val="0"/>
                  <w:vAlign w:val="center"/>
                </w:tcPr>
                <w:p w14:paraId="364ACD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夜间/dB（A）</w:t>
                  </w:r>
                </w:p>
              </w:tc>
            </w:tr>
            <w:tr w14:paraId="4CB4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54" w:type="dxa"/>
                  <w:vMerge w:val="continue"/>
                  <w:tcBorders>
                    <w:tl2br w:val="nil"/>
                    <w:tr2bl w:val="nil"/>
                  </w:tcBorders>
                  <w:noWrap w:val="0"/>
                  <w:vAlign w:val="center"/>
                </w:tcPr>
                <w:p w14:paraId="52518E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c>
                <w:tcPr>
                  <w:tcW w:w="1025" w:type="dxa"/>
                  <w:tcBorders>
                    <w:tl2br w:val="nil"/>
                    <w:tr2bl w:val="nil"/>
                  </w:tcBorders>
                  <w:noWrap w:val="0"/>
                  <w:vAlign w:val="center"/>
                </w:tcPr>
                <w:p w14:paraId="05EDD0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贡献值</w:t>
                  </w:r>
                </w:p>
              </w:tc>
              <w:tc>
                <w:tcPr>
                  <w:tcW w:w="1025" w:type="dxa"/>
                  <w:tcBorders>
                    <w:tl2br w:val="nil"/>
                    <w:tr2bl w:val="nil"/>
                  </w:tcBorders>
                  <w:noWrap w:val="0"/>
                  <w:vAlign w:val="center"/>
                </w:tcPr>
                <w:p w14:paraId="254218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标准值</w:t>
                  </w:r>
                </w:p>
              </w:tc>
              <w:tc>
                <w:tcPr>
                  <w:tcW w:w="1025" w:type="dxa"/>
                  <w:tcBorders>
                    <w:tl2br w:val="nil"/>
                    <w:tr2bl w:val="nil"/>
                  </w:tcBorders>
                  <w:noWrap w:val="0"/>
                  <w:vAlign w:val="center"/>
                </w:tcPr>
                <w:p w14:paraId="550361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达标情况</w:t>
                  </w:r>
                </w:p>
              </w:tc>
              <w:tc>
                <w:tcPr>
                  <w:tcW w:w="1025" w:type="dxa"/>
                  <w:tcBorders>
                    <w:tl2br w:val="nil"/>
                    <w:tr2bl w:val="nil"/>
                  </w:tcBorders>
                  <w:noWrap w:val="0"/>
                  <w:vAlign w:val="center"/>
                </w:tcPr>
                <w:p w14:paraId="010D78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贡献值</w:t>
                  </w:r>
                </w:p>
              </w:tc>
              <w:tc>
                <w:tcPr>
                  <w:tcW w:w="1025" w:type="dxa"/>
                  <w:tcBorders>
                    <w:tl2br w:val="nil"/>
                    <w:tr2bl w:val="nil"/>
                  </w:tcBorders>
                  <w:noWrap w:val="0"/>
                  <w:vAlign w:val="center"/>
                </w:tcPr>
                <w:p w14:paraId="527DDA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标准值</w:t>
                  </w:r>
                </w:p>
              </w:tc>
              <w:tc>
                <w:tcPr>
                  <w:tcW w:w="1025" w:type="dxa"/>
                  <w:tcBorders>
                    <w:tl2br w:val="nil"/>
                    <w:tr2bl w:val="nil"/>
                  </w:tcBorders>
                  <w:noWrap w:val="0"/>
                  <w:vAlign w:val="center"/>
                </w:tcPr>
                <w:p w14:paraId="6B06D1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达标情况</w:t>
                  </w:r>
                </w:p>
              </w:tc>
            </w:tr>
            <w:tr w14:paraId="6F607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54" w:type="dxa"/>
                  <w:tcBorders>
                    <w:tl2br w:val="nil"/>
                    <w:tr2bl w:val="nil"/>
                  </w:tcBorders>
                  <w:noWrap w:val="0"/>
                  <w:vAlign w:val="center"/>
                </w:tcPr>
                <w:p w14:paraId="3C8F1D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第1边的贡献最大值</w:t>
                  </w:r>
                </w:p>
              </w:tc>
              <w:tc>
                <w:tcPr>
                  <w:tcW w:w="1025" w:type="dxa"/>
                  <w:tcBorders>
                    <w:tl2br w:val="nil"/>
                    <w:tr2bl w:val="nil"/>
                  </w:tcBorders>
                  <w:noWrap w:val="0"/>
                  <w:vAlign w:val="center"/>
                </w:tcPr>
                <w:p w14:paraId="2D43AA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43.70</w:t>
                  </w:r>
                </w:p>
              </w:tc>
              <w:tc>
                <w:tcPr>
                  <w:tcW w:w="1025" w:type="dxa"/>
                  <w:tcBorders>
                    <w:tl2br w:val="nil"/>
                    <w:tr2bl w:val="nil"/>
                  </w:tcBorders>
                  <w:noWrap w:val="0"/>
                  <w:vAlign w:val="center"/>
                </w:tcPr>
                <w:p w14:paraId="06103C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25" w:type="dxa"/>
                  <w:tcBorders>
                    <w:tl2br w:val="nil"/>
                    <w:tr2bl w:val="nil"/>
                  </w:tcBorders>
                  <w:noWrap w:val="0"/>
                  <w:vAlign w:val="center"/>
                </w:tcPr>
                <w:p w14:paraId="7C4EDC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c>
                <w:tcPr>
                  <w:tcW w:w="1025" w:type="dxa"/>
                  <w:tcBorders>
                    <w:tl2br w:val="nil"/>
                    <w:tr2bl w:val="nil"/>
                  </w:tcBorders>
                  <w:noWrap w:val="0"/>
                  <w:vAlign w:val="center"/>
                </w:tcPr>
                <w:p w14:paraId="2AD0F9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44.00</w:t>
                  </w:r>
                </w:p>
              </w:tc>
              <w:tc>
                <w:tcPr>
                  <w:tcW w:w="1025" w:type="dxa"/>
                  <w:tcBorders>
                    <w:tl2br w:val="nil"/>
                    <w:tr2bl w:val="nil"/>
                  </w:tcBorders>
                  <w:noWrap w:val="0"/>
                  <w:vAlign w:val="center"/>
                </w:tcPr>
                <w:p w14:paraId="400AE6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25" w:type="dxa"/>
                  <w:tcBorders>
                    <w:tl2br w:val="nil"/>
                    <w:tr2bl w:val="nil"/>
                  </w:tcBorders>
                  <w:noWrap w:val="0"/>
                  <w:vAlign w:val="center"/>
                </w:tcPr>
                <w:p w14:paraId="2CEDE0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r>
            <w:tr w14:paraId="555E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54" w:type="dxa"/>
                  <w:tcBorders>
                    <w:tl2br w:val="nil"/>
                    <w:tr2bl w:val="nil"/>
                  </w:tcBorders>
                  <w:noWrap w:val="0"/>
                  <w:vAlign w:val="center"/>
                </w:tcPr>
                <w:p w14:paraId="53945E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第2边的贡献最大值</w:t>
                  </w:r>
                </w:p>
              </w:tc>
              <w:tc>
                <w:tcPr>
                  <w:tcW w:w="1025" w:type="dxa"/>
                  <w:tcBorders>
                    <w:tl2br w:val="nil"/>
                    <w:tr2bl w:val="nil"/>
                  </w:tcBorders>
                  <w:noWrap w:val="0"/>
                  <w:vAlign w:val="center"/>
                </w:tcPr>
                <w:p w14:paraId="253C25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41.76</w:t>
                  </w:r>
                </w:p>
              </w:tc>
              <w:tc>
                <w:tcPr>
                  <w:tcW w:w="1025" w:type="dxa"/>
                  <w:tcBorders>
                    <w:tl2br w:val="nil"/>
                    <w:tr2bl w:val="nil"/>
                  </w:tcBorders>
                  <w:noWrap w:val="0"/>
                  <w:vAlign w:val="center"/>
                </w:tcPr>
                <w:p w14:paraId="1B127F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25" w:type="dxa"/>
                  <w:tcBorders>
                    <w:tl2br w:val="nil"/>
                    <w:tr2bl w:val="nil"/>
                  </w:tcBorders>
                  <w:noWrap w:val="0"/>
                  <w:vAlign w:val="center"/>
                </w:tcPr>
                <w:p w14:paraId="76E014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c>
                <w:tcPr>
                  <w:tcW w:w="1025" w:type="dxa"/>
                  <w:tcBorders>
                    <w:tl2br w:val="nil"/>
                    <w:tr2bl w:val="nil"/>
                  </w:tcBorders>
                  <w:noWrap w:val="0"/>
                  <w:vAlign w:val="center"/>
                </w:tcPr>
                <w:p w14:paraId="5C4A1B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44.42</w:t>
                  </w:r>
                </w:p>
              </w:tc>
              <w:tc>
                <w:tcPr>
                  <w:tcW w:w="1025" w:type="dxa"/>
                  <w:tcBorders>
                    <w:tl2br w:val="nil"/>
                    <w:tr2bl w:val="nil"/>
                  </w:tcBorders>
                  <w:noWrap w:val="0"/>
                  <w:vAlign w:val="center"/>
                </w:tcPr>
                <w:p w14:paraId="712FA0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25" w:type="dxa"/>
                  <w:tcBorders>
                    <w:tl2br w:val="nil"/>
                    <w:tr2bl w:val="nil"/>
                  </w:tcBorders>
                  <w:noWrap w:val="0"/>
                  <w:vAlign w:val="center"/>
                </w:tcPr>
                <w:p w14:paraId="22AF1C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r>
            <w:tr w14:paraId="47665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54" w:type="dxa"/>
                  <w:tcBorders>
                    <w:tl2br w:val="nil"/>
                    <w:tr2bl w:val="nil"/>
                  </w:tcBorders>
                  <w:noWrap w:val="0"/>
                  <w:vAlign w:val="center"/>
                </w:tcPr>
                <w:p w14:paraId="01697B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第3边的贡献最大值</w:t>
                  </w:r>
                </w:p>
              </w:tc>
              <w:tc>
                <w:tcPr>
                  <w:tcW w:w="1025" w:type="dxa"/>
                  <w:tcBorders>
                    <w:tl2br w:val="nil"/>
                    <w:tr2bl w:val="nil"/>
                  </w:tcBorders>
                  <w:noWrap w:val="0"/>
                  <w:vAlign w:val="center"/>
                </w:tcPr>
                <w:p w14:paraId="0D7CDA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46.30</w:t>
                  </w:r>
                </w:p>
              </w:tc>
              <w:tc>
                <w:tcPr>
                  <w:tcW w:w="1025" w:type="dxa"/>
                  <w:tcBorders>
                    <w:tl2br w:val="nil"/>
                    <w:tr2bl w:val="nil"/>
                  </w:tcBorders>
                  <w:noWrap w:val="0"/>
                  <w:vAlign w:val="center"/>
                </w:tcPr>
                <w:p w14:paraId="032397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25" w:type="dxa"/>
                  <w:tcBorders>
                    <w:tl2br w:val="nil"/>
                    <w:tr2bl w:val="nil"/>
                  </w:tcBorders>
                  <w:noWrap w:val="0"/>
                  <w:vAlign w:val="center"/>
                </w:tcPr>
                <w:p w14:paraId="408699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c>
                <w:tcPr>
                  <w:tcW w:w="1025" w:type="dxa"/>
                  <w:tcBorders>
                    <w:tl2br w:val="nil"/>
                    <w:tr2bl w:val="nil"/>
                  </w:tcBorders>
                  <w:noWrap w:val="0"/>
                  <w:vAlign w:val="center"/>
                </w:tcPr>
                <w:p w14:paraId="60E84C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47.70</w:t>
                  </w:r>
                </w:p>
              </w:tc>
              <w:tc>
                <w:tcPr>
                  <w:tcW w:w="1025" w:type="dxa"/>
                  <w:tcBorders>
                    <w:tl2br w:val="nil"/>
                    <w:tr2bl w:val="nil"/>
                  </w:tcBorders>
                  <w:noWrap w:val="0"/>
                  <w:vAlign w:val="center"/>
                </w:tcPr>
                <w:p w14:paraId="15AD4A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25" w:type="dxa"/>
                  <w:tcBorders>
                    <w:tl2br w:val="nil"/>
                    <w:tr2bl w:val="nil"/>
                  </w:tcBorders>
                  <w:noWrap w:val="0"/>
                  <w:vAlign w:val="center"/>
                </w:tcPr>
                <w:p w14:paraId="3B36FD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r>
            <w:tr w14:paraId="28317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54" w:type="dxa"/>
                  <w:tcBorders>
                    <w:tl2br w:val="nil"/>
                    <w:tr2bl w:val="nil"/>
                  </w:tcBorders>
                  <w:noWrap w:val="0"/>
                  <w:vAlign w:val="center"/>
                </w:tcPr>
                <w:p w14:paraId="124592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第4边的贡献最大值</w:t>
                  </w:r>
                </w:p>
              </w:tc>
              <w:tc>
                <w:tcPr>
                  <w:tcW w:w="1025" w:type="dxa"/>
                  <w:tcBorders>
                    <w:tl2br w:val="nil"/>
                    <w:tr2bl w:val="nil"/>
                  </w:tcBorders>
                  <w:noWrap w:val="0"/>
                  <w:vAlign w:val="center"/>
                </w:tcPr>
                <w:p w14:paraId="5A57B0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47.26</w:t>
                  </w:r>
                </w:p>
              </w:tc>
              <w:tc>
                <w:tcPr>
                  <w:tcW w:w="1025" w:type="dxa"/>
                  <w:tcBorders>
                    <w:tl2br w:val="nil"/>
                    <w:tr2bl w:val="nil"/>
                  </w:tcBorders>
                  <w:noWrap w:val="0"/>
                  <w:vAlign w:val="center"/>
                </w:tcPr>
                <w:p w14:paraId="340A23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25" w:type="dxa"/>
                  <w:tcBorders>
                    <w:tl2br w:val="nil"/>
                    <w:tr2bl w:val="nil"/>
                  </w:tcBorders>
                  <w:noWrap w:val="0"/>
                  <w:vAlign w:val="center"/>
                </w:tcPr>
                <w:p w14:paraId="350EA1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c>
                <w:tcPr>
                  <w:tcW w:w="1025" w:type="dxa"/>
                  <w:tcBorders>
                    <w:tl2br w:val="nil"/>
                    <w:tr2bl w:val="nil"/>
                  </w:tcBorders>
                  <w:noWrap w:val="0"/>
                  <w:vAlign w:val="center"/>
                </w:tcPr>
                <w:p w14:paraId="498662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48.56</w:t>
                  </w:r>
                </w:p>
              </w:tc>
              <w:tc>
                <w:tcPr>
                  <w:tcW w:w="1025" w:type="dxa"/>
                  <w:tcBorders>
                    <w:tl2br w:val="nil"/>
                    <w:tr2bl w:val="nil"/>
                  </w:tcBorders>
                  <w:noWrap w:val="0"/>
                  <w:vAlign w:val="center"/>
                </w:tcPr>
                <w:p w14:paraId="5F4959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25" w:type="dxa"/>
                  <w:tcBorders>
                    <w:tl2br w:val="nil"/>
                    <w:tr2bl w:val="nil"/>
                  </w:tcBorders>
                  <w:noWrap w:val="0"/>
                  <w:vAlign w:val="center"/>
                </w:tcPr>
                <w:p w14:paraId="5C4586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r>
            <w:tr w14:paraId="241F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54" w:type="dxa"/>
                  <w:tcBorders>
                    <w:tl2br w:val="nil"/>
                    <w:tr2bl w:val="nil"/>
                  </w:tcBorders>
                  <w:noWrap w:val="0"/>
                  <w:vAlign w:val="center"/>
                </w:tcPr>
                <w:p w14:paraId="060F4B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第5边的贡献最大值</w:t>
                  </w:r>
                </w:p>
              </w:tc>
              <w:tc>
                <w:tcPr>
                  <w:tcW w:w="1025" w:type="dxa"/>
                  <w:tcBorders>
                    <w:tl2br w:val="nil"/>
                    <w:tr2bl w:val="nil"/>
                  </w:tcBorders>
                  <w:noWrap w:val="0"/>
                  <w:vAlign w:val="center"/>
                </w:tcPr>
                <w:p w14:paraId="5426CE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37.87</w:t>
                  </w:r>
                </w:p>
              </w:tc>
              <w:tc>
                <w:tcPr>
                  <w:tcW w:w="1025" w:type="dxa"/>
                  <w:tcBorders>
                    <w:tl2br w:val="nil"/>
                    <w:tr2bl w:val="nil"/>
                  </w:tcBorders>
                  <w:noWrap w:val="0"/>
                  <w:vAlign w:val="center"/>
                </w:tcPr>
                <w:p w14:paraId="5ED30E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25" w:type="dxa"/>
                  <w:tcBorders>
                    <w:tl2br w:val="nil"/>
                    <w:tr2bl w:val="nil"/>
                  </w:tcBorders>
                  <w:noWrap w:val="0"/>
                  <w:vAlign w:val="center"/>
                </w:tcPr>
                <w:p w14:paraId="6BB205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c>
                <w:tcPr>
                  <w:tcW w:w="1025" w:type="dxa"/>
                  <w:tcBorders>
                    <w:tl2br w:val="nil"/>
                    <w:tr2bl w:val="nil"/>
                  </w:tcBorders>
                  <w:noWrap w:val="0"/>
                  <w:vAlign w:val="center"/>
                </w:tcPr>
                <w:p w14:paraId="7649BB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39.53</w:t>
                  </w:r>
                </w:p>
              </w:tc>
              <w:tc>
                <w:tcPr>
                  <w:tcW w:w="1025" w:type="dxa"/>
                  <w:tcBorders>
                    <w:tl2br w:val="nil"/>
                    <w:tr2bl w:val="nil"/>
                  </w:tcBorders>
                  <w:noWrap w:val="0"/>
                  <w:vAlign w:val="center"/>
                </w:tcPr>
                <w:p w14:paraId="351584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25" w:type="dxa"/>
                  <w:tcBorders>
                    <w:tl2br w:val="nil"/>
                    <w:tr2bl w:val="nil"/>
                  </w:tcBorders>
                  <w:noWrap w:val="0"/>
                  <w:vAlign w:val="center"/>
                </w:tcPr>
                <w:p w14:paraId="17E8AE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r>
            <w:tr w14:paraId="6B0A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54" w:type="dxa"/>
                  <w:tcBorders>
                    <w:tl2br w:val="nil"/>
                    <w:tr2bl w:val="nil"/>
                  </w:tcBorders>
                  <w:noWrap w:val="0"/>
                  <w:vAlign w:val="center"/>
                </w:tcPr>
                <w:p w14:paraId="1D13E2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第6边的贡献最大值</w:t>
                  </w:r>
                </w:p>
              </w:tc>
              <w:tc>
                <w:tcPr>
                  <w:tcW w:w="1025" w:type="dxa"/>
                  <w:tcBorders>
                    <w:tl2br w:val="nil"/>
                    <w:tr2bl w:val="nil"/>
                  </w:tcBorders>
                  <w:noWrap w:val="0"/>
                  <w:vAlign w:val="center"/>
                </w:tcPr>
                <w:p w14:paraId="4CEF26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35.51</w:t>
                  </w:r>
                </w:p>
              </w:tc>
              <w:tc>
                <w:tcPr>
                  <w:tcW w:w="1025" w:type="dxa"/>
                  <w:tcBorders>
                    <w:tl2br w:val="nil"/>
                    <w:tr2bl w:val="nil"/>
                  </w:tcBorders>
                  <w:noWrap w:val="0"/>
                  <w:vAlign w:val="center"/>
                </w:tcPr>
                <w:p w14:paraId="68C765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25" w:type="dxa"/>
                  <w:tcBorders>
                    <w:tl2br w:val="nil"/>
                    <w:tr2bl w:val="nil"/>
                  </w:tcBorders>
                  <w:noWrap w:val="0"/>
                  <w:vAlign w:val="center"/>
                </w:tcPr>
                <w:p w14:paraId="5D84BB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c>
                <w:tcPr>
                  <w:tcW w:w="1025" w:type="dxa"/>
                  <w:tcBorders>
                    <w:tl2br w:val="nil"/>
                    <w:tr2bl w:val="nil"/>
                  </w:tcBorders>
                  <w:noWrap w:val="0"/>
                  <w:vAlign w:val="center"/>
                </w:tcPr>
                <w:p w14:paraId="17AABE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37.91</w:t>
                  </w:r>
                </w:p>
              </w:tc>
              <w:tc>
                <w:tcPr>
                  <w:tcW w:w="1025" w:type="dxa"/>
                  <w:tcBorders>
                    <w:tl2br w:val="nil"/>
                    <w:tr2bl w:val="nil"/>
                  </w:tcBorders>
                  <w:noWrap w:val="0"/>
                  <w:vAlign w:val="center"/>
                </w:tcPr>
                <w:p w14:paraId="5C9E74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25" w:type="dxa"/>
                  <w:tcBorders>
                    <w:tl2br w:val="nil"/>
                    <w:tr2bl w:val="nil"/>
                  </w:tcBorders>
                  <w:noWrap w:val="0"/>
                  <w:vAlign w:val="center"/>
                </w:tcPr>
                <w:p w14:paraId="287066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r>
            <w:tr w14:paraId="0B58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54" w:type="dxa"/>
                  <w:tcBorders>
                    <w:tl2br w:val="nil"/>
                    <w:tr2bl w:val="nil"/>
                  </w:tcBorders>
                  <w:noWrap w:val="0"/>
                  <w:vAlign w:val="center"/>
                </w:tcPr>
                <w:p w14:paraId="785B55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第7边的贡献最大值</w:t>
                  </w:r>
                </w:p>
              </w:tc>
              <w:tc>
                <w:tcPr>
                  <w:tcW w:w="1025" w:type="dxa"/>
                  <w:tcBorders>
                    <w:tl2br w:val="nil"/>
                    <w:tr2bl w:val="nil"/>
                  </w:tcBorders>
                  <w:noWrap w:val="0"/>
                  <w:vAlign w:val="center"/>
                </w:tcPr>
                <w:p w14:paraId="62B08E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25.71</w:t>
                  </w:r>
                </w:p>
              </w:tc>
              <w:tc>
                <w:tcPr>
                  <w:tcW w:w="1025" w:type="dxa"/>
                  <w:tcBorders>
                    <w:tl2br w:val="nil"/>
                    <w:tr2bl w:val="nil"/>
                  </w:tcBorders>
                  <w:noWrap w:val="0"/>
                  <w:vAlign w:val="center"/>
                </w:tcPr>
                <w:p w14:paraId="539F31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25" w:type="dxa"/>
                  <w:tcBorders>
                    <w:tl2br w:val="nil"/>
                    <w:tr2bl w:val="nil"/>
                  </w:tcBorders>
                  <w:noWrap w:val="0"/>
                  <w:vAlign w:val="center"/>
                </w:tcPr>
                <w:p w14:paraId="16E0B7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c>
                <w:tcPr>
                  <w:tcW w:w="1025" w:type="dxa"/>
                  <w:tcBorders>
                    <w:tl2br w:val="nil"/>
                    <w:tr2bl w:val="nil"/>
                  </w:tcBorders>
                  <w:noWrap w:val="0"/>
                  <w:vAlign w:val="center"/>
                </w:tcPr>
                <w:p w14:paraId="28E98A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27.88</w:t>
                  </w:r>
                </w:p>
              </w:tc>
              <w:tc>
                <w:tcPr>
                  <w:tcW w:w="1025" w:type="dxa"/>
                  <w:tcBorders>
                    <w:tl2br w:val="nil"/>
                    <w:tr2bl w:val="nil"/>
                  </w:tcBorders>
                  <w:noWrap w:val="0"/>
                  <w:vAlign w:val="center"/>
                </w:tcPr>
                <w:p w14:paraId="0AB31F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25" w:type="dxa"/>
                  <w:tcBorders>
                    <w:tl2br w:val="nil"/>
                    <w:tr2bl w:val="nil"/>
                  </w:tcBorders>
                  <w:noWrap w:val="0"/>
                  <w:vAlign w:val="center"/>
                </w:tcPr>
                <w:p w14:paraId="536F31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r>
            <w:tr w14:paraId="5AF1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54" w:type="dxa"/>
                  <w:tcBorders>
                    <w:tl2br w:val="nil"/>
                    <w:tr2bl w:val="nil"/>
                  </w:tcBorders>
                  <w:noWrap w:val="0"/>
                  <w:vAlign w:val="center"/>
                </w:tcPr>
                <w:p w14:paraId="323102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第8边的贡献最大值</w:t>
                  </w:r>
                </w:p>
              </w:tc>
              <w:tc>
                <w:tcPr>
                  <w:tcW w:w="1025" w:type="dxa"/>
                  <w:tcBorders>
                    <w:tl2br w:val="nil"/>
                    <w:tr2bl w:val="nil"/>
                  </w:tcBorders>
                  <w:noWrap w:val="0"/>
                  <w:vAlign w:val="center"/>
                </w:tcPr>
                <w:p w14:paraId="2B3D53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24.99</w:t>
                  </w:r>
                </w:p>
              </w:tc>
              <w:tc>
                <w:tcPr>
                  <w:tcW w:w="1025" w:type="dxa"/>
                  <w:tcBorders>
                    <w:tl2br w:val="nil"/>
                    <w:tr2bl w:val="nil"/>
                  </w:tcBorders>
                  <w:noWrap w:val="0"/>
                  <w:vAlign w:val="center"/>
                </w:tcPr>
                <w:p w14:paraId="45FDC0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25" w:type="dxa"/>
                  <w:tcBorders>
                    <w:tl2br w:val="nil"/>
                    <w:tr2bl w:val="nil"/>
                  </w:tcBorders>
                  <w:noWrap w:val="0"/>
                  <w:vAlign w:val="center"/>
                </w:tcPr>
                <w:p w14:paraId="213894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c>
                <w:tcPr>
                  <w:tcW w:w="1025" w:type="dxa"/>
                  <w:tcBorders>
                    <w:tl2br w:val="nil"/>
                    <w:tr2bl w:val="nil"/>
                  </w:tcBorders>
                  <w:noWrap w:val="0"/>
                  <w:vAlign w:val="center"/>
                </w:tcPr>
                <w:p w14:paraId="366DEF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27.28</w:t>
                  </w:r>
                </w:p>
              </w:tc>
              <w:tc>
                <w:tcPr>
                  <w:tcW w:w="1025" w:type="dxa"/>
                  <w:tcBorders>
                    <w:tl2br w:val="nil"/>
                    <w:tr2bl w:val="nil"/>
                  </w:tcBorders>
                  <w:noWrap w:val="0"/>
                  <w:vAlign w:val="center"/>
                </w:tcPr>
                <w:p w14:paraId="52B78B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25" w:type="dxa"/>
                  <w:tcBorders>
                    <w:tl2br w:val="nil"/>
                    <w:tr2bl w:val="nil"/>
                  </w:tcBorders>
                  <w:noWrap w:val="0"/>
                  <w:vAlign w:val="center"/>
                </w:tcPr>
                <w:p w14:paraId="69A7F3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r>
            <w:tr w14:paraId="176BB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54" w:type="dxa"/>
                  <w:tcBorders>
                    <w:tl2br w:val="nil"/>
                    <w:tr2bl w:val="nil"/>
                  </w:tcBorders>
                  <w:noWrap w:val="0"/>
                  <w:vAlign w:val="center"/>
                </w:tcPr>
                <w:p w14:paraId="46EA49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第9边的贡献最大值</w:t>
                  </w:r>
                </w:p>
              </w:tc>
              <w:tc>
                <w:tcPr>
                  <w:tcW w:w="1025" w:type="dxa"/>
                  <w:tcBorders>
                    <w:tl2br w:val="nil"/>
                    <w:tr2bl w:val="nil"/>
                  </w:tcBorders>
                  <w:noWrap w:val="0"/>
                  <w:vAlign w:val="center"/>
                </w:tcPr>
                <w:p w14:paraId="7A5FAD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25.01</w:t>
                  </w:r>
                </w:p>
              </w:tc>
              <w:tc>
                <w:tcPr>
                  <w:tcW w:w="1025" w:type="dxa"/>
                  <w:tcBorders>
                    <w:tl2br w:val="nil"/>
                    <w:tr2bl w:val="nil"/>
                  </w:tcBorders>
                  <w:noWrap w:val="0"/>
                  <w:vAlign w:val="center"/>
                </w:tcPr>
                <w:p w14:paraId="29B99E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25" w:type="dxa"/>
                  <w:tcBorders>
                    <w:tl2br w:val="nil"/>
                    <w:tr2bl w:val="nil"/>
                  </w:tcBorders>
                  <w:noWrap w:val="0"/>
                  <w:vAlign w:val="center"/>
                </w:tcPr>
                <w:p w14:paraId="79B396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c>
                <w:tcPr>
                  <w:tcW w:w="1025" w:type="dxa"/>
                  <w:tcBorders>
                    <w:tl2br w:val="nil"/>
                    <w:tr2bl w:val="nil"/>
                  </w:tcBorders>
                  <w:noWrap w:val="0"/>
                  <w:vAlign w:val="center"/>
                </w:tcPr>
                <w:p w14:paraId="32A6D5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27.48</w:t>
                  </w:r>
                </w:p>
              </w:tc>
              <w:tc>
                <w:tcPr>
                  <w:tcW w:w="1025" w:type="dxa"/>
                  <w:tcBorders>
                    <w:tl2br w:val="nil"/>
                    <w:tr2bl w:val="nil"/>
                  </w:tcBorders>
                  <w:noWrap w:val="0"/>
                  <w:vAlign w:val="center"/>
                </w:tcPr>
                <w:p w14:paraId="50AD78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25" w:type="dxa"/>
                  <w:tcBorders>
                    <w:tl2br w:val="nil"/>
                    <w:tr2bl w:val="nil"/>
                  </w:tcBorders>
                  <w:noWrap w:val="0"/>
                  <w:vAlign w:val="center"/>
                </w:tcPr>
                <w:p w14:paraId="74A2DB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r>
            <w:tr w14:paraId="3367D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54" w:type="dxa"/>
                  <w:tcBorders>
                    <w:tl2br w:val="nil"/>
                    <w:tr2bl w:val="nil"/>
                  </w:tcBorders>
                  <w:noWrap w:val="0"/>
                  <w:vAlign w:val="center"/>
                </w:tcPr>
                <w:p w14:paraId="37D361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第10边的贡献最大值</w:t>
                  </w:r>
                </w:p>
              </w:tc>
              <w:tc>
                <w:tcPr>
                  <w:tcW w:w="1025" w:type="dxa"/>
                  <w:tcBorders>
                    <w:tl2br w:val="nil"/>
                    <w:tr2bl w:val="nil"/>
                  </w:tcBorders>
                  <w:noWrap w:val="0"/>
                  <w:vAlign w:val="center"/>
                </w:tcPr>
                <w:p w14:paraId="040680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25.67</w:t>
                  </w:r>
                </w:p>
              </w:tc>
              <w:tc>
                <w:tcPr>
                  <w:tcW w:w="1025" w:type="dxa"/>
                  <w:tcBorders>
                    <w:tl2br w:val="nil"/>
                    <w:tr2bl w:val="nil"/>
                  </w:tcBorders>
                  <w:noWrap w:val="0"/>
                  <w:vAlign w:val="center"/>
                </w:tcPr>
                <w:p w14:paraId="4E9ACC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25" w:type="dxa"/>
                  <w:tcBorders>
                    <w:tl2br w:val="nil"/>
                    <w:tr2bl w:val="nil"/>
                  </w:tcBorders>
                  <w:noWrap w:val="0"/>
                  <w:vAlign w:val="center"/>
                </w:tcPr>
                <w:p w14:paraId="6A585B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c>
                <w:tcPr>
                  <w:tcW w:w="1025" w:type="dxa"/>
                  <w:tcBorders>
                    <w:tl2br w:val="nil"/>
                    <w:tr2bl w:val="nil"/>
                  </w:tcBorders>
                  <w:noWrap w:val="0"/>
                  <w:vAlign w:val="center"/>
                </w:tcPr>
                <w:p w14:paraId="357529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28.25</w:t>
                  </w:r>
                </w:p>
              </w:tc>
              <w:tc>
                <w:tcPr>
                  <w:tcW w:w="1025" w:type="dxa"/>
                  <w:tcBorders>
                    <w:tl2br w:val="nil"/>
                    <w:tr2bl w:val="nil"/>
                  </w:tcBorders>
                  <w:noWrap w:val="0"/>
                  <w:vAlign w:val="center"/>
                </w:tcPr>
                <w:p w14:paraId="40659B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25" w:type="dxa"/>
                  <w:tcBorders>
                    <w:tl2br w:val="nil"/>
                    <w:tr2bl w:val="nil"/>
                  </w:tcBorders>
                  <w:noWrap w:val="0"/>
                  <w:vAlign w:val="center"/>
                </w:tcPr>
                <w:p w14:paraId="138936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r>
            <w:tr w14:paraId="40AEF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54" w:type="dxa"/>
                  <w:tcBorders>
                    <w:tl2br w:val="nil"/>
                    <w:tr2bl w:val="nil"/>
                  </w:tcBorders>
                  <w:noWrap w:val="0"/>
                  <w:vAlign w:val="center"/>
                </w:tcPr>
                <w:p w14:paraId="5F89A2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第11边的贡献最大值</w:t>
                  </w:r>
                </w:p>
              </w:tc>
              <w:tc>
                <w:tcPr>
                  <w:tcW w:w="1025" w:type="dxa"/>
                  <w:tcBorders>
                    <w:tl2br w:val="nil"/>
                    <w:tr2bl w:val="nil"/>
                  </w:tcBorders>
                  <w:noWrap w:val="0"/>
                  <w:vAlign w:val="center"/>
                </w:tcPr>
                <w:p w14:paraId="3D71BF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25.62</w:t>
                  </w:r>
                </w:p>
              </w:tc>
              <w:tc>
                <w:tcPr>
                  <w:tcW w:w="1025" w:type="dxa"/>
                  <w:tcBorders>
                    <w:tl2br w:val="nil"/>
                    <w:tr2bl w:val="nil"/>
                  </w:tcBorders>
                  <w:noWrap w:val="0"/>
                  <w:vAlign w:val="center"/>
                </w:tcPr>
                <w:p w14:paraId="00D647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25" w:type="dxa"/>
                  <w:tcBorders>
                    <w:tl2br w:val="nil"/>
                    <w:tr2bl w:val="nil"/>
                  </w:tcBorders>
                  <w:noWrap w:val="0"/>
                  <w:vAlign w:val="center"/>
                </w:tcPr>
                <w:p w14:paraId="65C8BA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c>
                <w:tcPr>
                  <w:tcW w:w="1025" w:type="dxa"/>
                  <w:tcBorders>
                    <w:tl2br w:val="nil"/>
                    <w:tr2bl w:val="nil"/>
                  </w:tcBorders>
                  <w:noWrap w:val="0"/>
                  <w:vAlign w:val="center"/>
                </w:tcPr>
                <w:p w14:paraId="37D11A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28.23</w:t>
                  </w:r>
                </w:p>
              </w:tc>
              <w:tc>
                <w:tcPr>
                  <w:tcW w:w="1025" w:type="dxa"/>
                  <w:tcBorders>
                    <w:tl2br w:val="nil"/>
                    <w:tr2bl w:val="nil"/>
                  </w:tcBorders>
                  <w:noWrap w:val="0"/>
                  <w:vAlign w:val="center"/>
                </w:tcPr>
                <w:p w14:paraId="2B031C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25" w:type="dxa"/>
                  <w:tcBorders>
                    <w:tl2br w:val="nil"/>
                    <w:tr2bl w:val="nil"/>
                  </w:tcBorders>
                  <w:noWrap w:val="0"/>
                  <w:vAlign w:val="center"/>
                </w:tcPr>
                <w:p w14:paraId="5C98B9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r>
            <w:tr w14:paraId="09C60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54" w:type="dxa"/>
                  <w:tcBorders>
                    <w:tl2br w:val="nil"/>
                    <w:tr2bl w:val="nil"/>
                  </w:tcBorders>
                  <w:noWrap w:val="0"/>
                  <w:vAlign w:val="center"/>
                </w:tcPr>
                <w:p w14:paraId="1D13EB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第12边的贡献最大值</w:t>
                  </w:r>
                </w:p>
              </w:tc>
              <w:tc>
                <w:tcPr>
                  <w:tcW w:w="1025" w:type="dxa"/>
                  <w:tcBorders>
                    <w:tl2br w:val="nil"/>
                    <w:tr2bl w:val="nil"/>
                  </w:tcBorders>
                  <w:noWrap w:val="0"/>
                  <w:vAlign w:val="center"/>
                </w:tcPr>
                <w:p w14:paraId="611020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24.60</w:t>
                  </w:r>
                </w:p>
              </w:tc>
              <w:tc>
                <w:tcPr>
                  <w:tcW w:w="1025" w:type="dxa"/>
                  <w:tcBorders>
                    <w:tl2br w:val="nil"/>
                    <w:tr2bl w:val="nil"/>
                  </w:tcBorders>
                  <w:noWrap w:val="0"/>
                  <w:vAlign w:val="center"/>
                </w:tcPr>
                <w:p w14:paraId="2D1B2F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25" w:type="dxa"/>
                  <w:tcBorders>
                    <w:tl2br w:val="nil"/>
                    <w:tr2bl w:val="nil"/>
                  </w:tcBorders>
                  <w:noWrap w:val="0"/>
                  <w:vAlign w:val="center"/>
                </w:tcPr>
                <w:p w14:paraId="3F9923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c>
                <w:tcPr>
                  <w:tcW w:w="1025" w:type="dxa"/>
                  <w:tcBorders>
                    <w:tl2br w:val="nil"/>
                    <w:tr2bl w:val="nil"/>
                  </w:tcBorders>
                  <w:noWrap w:val="0"/>
                  <w:vAlign w:val="center"/>
                </w:tcPr>
                <w:p w14:paraId="374ED8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27.19</w:t>
                  </w:r>
                </w:p>
              </w:tc>
              <w:tc>
                <w:tcPr>
                  <w:tcW w:w="1025" w:type="dxa"/>
                  <w:tcBorders>
                    <w:tl2br w:val="nil"/>
                    <w:tr2bl w:val="nil"/>
                  </w:tcBorders>
                  <w:noWrap w:val="0"/>
                  <w:vAlign w:val="center"/>
                </w:tcPr>
                <w:p w14:paraId="04E711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25" w:type="dxa"/>
                  <w:tcBorders>
                    <w:tl2br w:val="nil"/>
                    <w:tr2bl w:val="nil"/>
                  </w:tcBorders>
                  <w:noWrap w:val="0"/>
                  <w:vAlign w:val="center"/>
                </w:tcPr>
                <w:p w14:paraId="6094CF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r>
            <w:tr w14:paraId="7570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54" w:type="dxa"/>
                  <w:tcBorders>
                    <w:tl2br w:val="nil"/>
                    <w:tr2bl w:val="nil"/>
                  </w:tcBorders>
                  <w:noWrap w:val="0"/>
                  <w:vAlign w:val="center"/>
                </w:tcPr>
                <w:p w14:paraId="6EFAF6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第13边的贡献最大值</w:t>
                  </w:r>
                </w:p>
              </w:tc>
              <w:tc>
                <w:tcPr>
                  <w:tcW w:w="1025" w:type="dxa"/>
                  <w:tcBorders>
                    <w:tl2br w:val="nil"/>
                    <w:tr2bl w:val="nil"/>
                  </w:tcBorders>
                  <w:noWrap w:val="0"/>
                  <w:vAlign w:val="center"/>
                </w:tcPr>
                <w:p w14:paraId="6027E5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21.04</w:t>
                  </w:r>
                </w:p>
              </w:tc>
              <w:tc>
                <w:tcPr>
                  <w:tcW w:w="1025" w:type="dxa"/>
                  <w:tcBorders>
                    <w:tl2br w:val="nil"/>
                    <w:tr2bl w:val="nil"/>
                  </w:tcBorders>
                  <w:noWrap w:val="0"/>
                  <w:vAlign w:val="center"/>
                </w:tcPr>
                <w:p w14:paraId="4B90AF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25" w:type="dxa"/>
                  <w:tcBorders>
                    <w:tl2br w:val="nil"/>
                    <w:tr2bl w:val="nil"/>
                  </w:tcBorders>
                  <w:noWrap w:val="0"/>
                  <w:vAlign w:val="center"/>
                </w:tcPr>
                <w:p w14:paraId="46385D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c>
                <w:tcPr>
                  <w:tcW w:w="1025" w:type="dxa"/>
                  <w:tcBorders>
                    <w:tl2br w:val="nil"/>
                    <w:tr2bl w:val="nil"/>
                  </w:tcBorders>
                  <w:noWrap w:val="0"/>
                  <w:vAlign w:val="center"/>
                </w:tcPr>
                <w:p w14:paraId="3B8E35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23.40</w:t>
                  </w:r>
                </w:p>
              </w:tc>
              <w:tc>
                <w:tcPr>
                  <w:tcW w:w="1025" w:type="dxa"/>
                  <w:tcBorders>
                    <w:tl2br w:val="nil"/>
                    <w:tr2bl w:val="nil"/>
                  </w:tcBorders>
                  <w:noWrap w:val="0"/>
                  <w:vAlign w:val="center"/>
                </w:tcPr>
                <w:p w14:paraId="2F1C3D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25" w:type="dxa"/>
                  <w:tcBorders>
                    <w:tl2br w:val="nil"/>
                    <w:tr2bl w:val="nil"/>
                  </w:tcBorders>
                  <w:noWrap w:val="0"/>
                  <w:vAlign w:val="center"/>
                </w:tcPr>
                <w:p w14:paraId="116DA0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r>
            <w:tr w14:paraId="3BBE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54" w:type="dxa"/>
                  <w:tcBorders>
                    <w:tl2br w:val="nil"/>
                    <w:tr2bl w:val="nil"/>
                  </w:tcBorders>
                  <w:noWrap w:val="0"/>
                  <w:vAlign w:val="center"/>
                </w:tcPr>
                <w:p w14:paraId="6F22E4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第14边的贡献最大值</w:t>
                  </w:r>
                </w:p>
              </w:tc>
              <w:tc>
                <w:tcPr>
                  <w:tcW w:w="1025" w:type="dxa"/>
                  <w:tcBorders>
                    <w:tl2br w:val="nil"/>
                    <w:tr2bl w:val="nil"/>
                  </w:tcBorders>
                  <w:noWrap w:val="0"/>
                  <w:vAlign w:val="center"/>
                </w:tcPr>
                <w:p w14:paraId="6AAB10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22.63</w:t>
                  </w:r>
                </w:p>
              </w:tc>
              <w:tc>
                <w:tcPr>
                  <w:tcW w:w="1025" w:type="dxa"/>
                  <w:tcBorders>
                    <w:tl2br w:val="nil"/>
                    <w:tr2bl w:val="nil"/>
                  </w:tcBorders>
                  <w:noWrap w:val="0"/>
                  <w:vAlign w:val="center"/>
                </w:tcPr>
                <w:p w14:paraId="2BA77C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25" w:type="dxa"/>
                  <w:tcBorders>
                    <w:tl2br w:val="nil"/>
                    <w:tr2bl w:val="nil"/>
                  </w:tcBorders>
                  <w:noWrap w:val="0"/>
                  <w:vAlign w:val="center"/>
                </w:tcPr>
                <w:p w14:paraId="6203C5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c>
                <w:tcPr>
                  <w:tcW w:w="1025" w:type="dxa"/>
                  <w:tcBorders>
                    <w:tl2br w:val="nil"/>
                    <w:tr2bl w:val="nil"/>
                  </w:tcBorders>
                  <w:noWrap w:val="0"/>
                  <w:vAlign w:val="center"/>
                </w:tcPr>
                <w:p w14:paraId="22AB2C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24.72</w:t>
                  </w:r>
                </w:p>
              </w:tc>
              <w:tc>
                <w:tcPr>
                  <w:tcW w:w="1025" w:type="dxa"/>
                  <w:tcBorders>
                    <w:tl2br w:val="nil"/>
                    <w:tr2bl w:val="nil"/>
                  </w:tcBorders>
                  <w:noWrap w:val="0"/>
                  <w:vAlign w:val="center"/>
                </w:tcPr>
                <w:p w14:paraId="32AF99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25" w:type="dxa"/>
                  <w:tcBorders>
                    <w:tl2br w:val="nil"/>
                    <w:tr2bl w:val="nil"/>
                  </w:tcBorders>
                  <w:noWrap w:val="0"/>
                  <w:vAlign w:val="center"/>
                </w:tcPr>
                <w:p w14:paraId="47FAE2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r>
            <w:tr w14:paraId="2B17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54" w:type="dxa"/>
                  <w:tcBorders>
                    <w:tl2br w:val="nil"/>
                    <w:tr2bl w:val="nil"/>
                  </w:tcBorders>
                  <w:noWrap w:val="0"/>
                  <w:vAlign w:val="center"/>
                </w:tcPr>
                <w:p w14:paraId="322471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第15边的贡献最大值</w:t>
                  </w:r>
                </w:p>
              </w:tc>
              <w:tc>
                <w:tcPr>
                  <w:tcW w:w="1025" w:type="dxa"/>
                  <w:tcBorders>
                    <w:tl2br w:val="nil"/>
                    <w:tr2bl w:val="nil"/>
                  </w:tcBorders>
                  <w:noWrap w:val="0"/>
                  <w:vAlign w:val="center"/>
                </w:tcPr>
                <w:p w14:paraId="6BC650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28.55</w:t>
                  </w:r>
                </w:p>
              </w:tc>
              <w:tc>
                <w:tcPr>
                  <w:tcW w:w="1025" w:type="dxa"/>
                  <w:tcBorders>
                    <w:tl2br w:val="nil"/>
                    <w:tr2bl w:val="nil"/>
                  </w:tcBorders>
                  <w:noWrap w:val="0"/>
                  <w:vAlign w:val="center"/>
                </w:tcPr>
                <w:p w14:paraId="3D3A44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25" w:type="dxa"/>
                  <w:tcBorders>
                    <w:tl2br w:val="nil"/>
                    <w:tr2bl w:val="nil"/>
                  </w:tcBorders>
                  <w:noWrap w:val="0"/>
                  <w:vAlign w:val="center"/>
                </w:tcPr>
                <w:p w14:paraId="083257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c>
                <w:tcPr>
                  <w:tcW w:w="1025" w:type="dxa"/>
                  <w:tcBorders>
                    <w:tl2br w:val="nil"/>
                    <w:tr2bl w:val="nil"/>
                  </w:tcBorders>
                  <w:noWrap w:val="0"/>
                  <w:vAlign w:val="center"/>
                </w:tcPr>
                <w:p w14:paraId="23D201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31.24</w:t>
                  </w:r>
                </w:p>
              </w:tc>
              <w:tc>
                <w:tcPr>
                  <w:tcW w:w="1025" w:type="dxa"/>
                  <w:tcBorders>
                    <w:tl2br w:val="nil"/>
                    <w:tr2bl w:val="nil"/>
                  </w:tcBorders>
                  <w:noWrap w:val="0"/>
                  <w:vAlign w:val="center"/>
                </w:tcPr>
                <w:p w14:paraId="7BF7A5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25" w:type="dxa"/>
                  <w:tcBorders>
                    <w:tl2br w:val="nil"/>
                    <w:tr2bl w:val="nil"/>
                  </w:tcBorders>
                  <w:noWrap w:val="0"/>
                  <w:vAlign w:val="center"/>
                </w:tcPr>
                <w:p w14:paraId="1C33D7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r>
            <w:tr w14:paraId="1F860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54" w:type="dxa"/>
                  <w:tcBorders>
                    <w:tl2br w:val="nil"/>
                    <w:tr2bl w:val="nil"/>
                  </w:tcBorders>
                  <w:noWrap w:val="0"/>
                  <w:vAlign w:val="center"/>
                </w:tcPr>
                <w:p w14:paraId="47B08B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第16边的贡献最大值</w:t>
                  </w:r>
                </w:p>
              </w:tc>
              <w:tc>
                <w:tcPr>
                  <w:tcW w:w="1025" w:type="dxa"/>
                  <w:tcBorders>
                    <w:tl2br w:val="nil"/>
                    <w:tr2bl w:val="nil"/>
                  </w:tcBorders>
                  <w:noWrap w:val="0"/>
                  <w:vAlign w:val="center"/>
                </w:tcPr>
                <w:p w14:paraId="7BEADF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28.82</w:t>
                  </w:r>
                </w:p>
              </w:tc>
              <w:tc>
                <w:tcPr>
                  <w:tcW w:w="1025" w:type="dxa"/>
                  <w:tcBorders>
                    <w:tl2br w:val="nil"/>
                    <w:tr2bl w:val="nil"/>
                  </w:tcBorders>
                  <w:noWrap w:val="0"/>
                  <w:vAlign w:val="center"/>
                </w:tcPr>
                <w:p w14:paraId="4475B3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25" w:type="dxa"/>
                  <w:tcBorders>
                    <w:tl2br w:val="nil"/>
                    <w:tr2bl w:val="nil"/>
                  </w:tcBorders>
                  <w:noWrap w:val="0"/>
                  <w:vAlign w:val="center"/>
                </w:tcPr>
                <w:p w14:paraId="685CD6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c>
                <w:tcPr>
                  <w:tcW w:w="1025" w:type="dxa"/>
                  <w:tcBorders>
                    <w:tl2br w:val="nil"/>
                    <w:tr2bl w:val="nil"/>
                  </w:tcBorders>
                  <w:noWrap w:val="0"/>
                  <w:vAlign w:val="center"/>
                </w:tcPr>
                <w:p w14:paraId="1FB457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31.24</w:t>
                  </w:r>
                </w:p>
              </w:tc>
              <w:tc>
                <w:tcPr>
                  <w:tcW w:w="1025" w:type="dxa"/>
                  <w:tcBorders>
                    <w:tl2br w:val="nil"/>
                    <w:tr2bl w:val="nil"/>
                  </w:tcBorders>
                  <w:noWrap w:val="0"/>
                  <w:vAlign w:val="center"/>
                </w:tcPr>
                <w:p w14:paraId="0E70D3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25" w:type="dxa"/>
                  <w:tcBorders>
                    <w:tl2br w:val="nil"/>
                    <w:tr2bl w:val="nil"/>
                  </w:tcBorders>
                  <w:noWrap w:val="0"/>
                  <w:vAlign w:val="center"/>
                </w:tcPr>
                <w:p w14:paraId="34B4C1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r>
            <w:tr w14:paraId="38101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54" w:type="dxa"/>
                  <w:tcBorders>
                    <w:tl2br w:val="nil"/>
                    <w:tr2bl w:val="nil"/>
                  </w:tcBorders>
                  <w:noWrap w:val="0"/>
                  <w:vAlign w:val="center"/>
                </w:tcPr>
                <w:p w14:paraId="132810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第17边的贡献最大值</w:t>
                  </w:r>
                </w:p>
              </w:tc>
              <w:tc>
                <w:tcPr>
                  <w:tcW w:w="1025" w:type="dxa"/>
                  <w:tcBorders>
                    <w:tl2br w:val="nil"/>
                    <w:tr2bl w:val="nil"/>
                  </w:tcBorders>
                  <w:noWrap w:val="0"/>
                  <w:vAlign w:val="center"/>
                </w:tcPr>
                <w:p w14:paraId="69577F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31.38</w:t>
                  </w:r>
                </w:p>
              </w:tc>
              <w:tc>
                <w:tcPr>
                  <w:tcW w:w="1025" w:type="dxa"/>
                  <w:tcBorders>
                    <w:tl2br w:val="nil"/>
                    <w:tr2bl w:val="nil"/>
                  </w:tcBorders>
                  <w:noWrap w:val="0"/>
                  <w:vAlign w:val="center"/>
                </w:tcPr>
                <w:p w14:paraId="533444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25" w:type="dxa"/>
                  <w:tcBorders>
                    <w:tl2br w:val="nil"/>
                    <w:tr2bl w:val="nil"/>
                  </w:tcBorders>
                  <w:noWrap w:val="0"/>
                  <w:vAlign w:val="center"/>
                </w:tcPr>
                <w:p w14:paraId="126F50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c>
                <w:tcPr>
                  <w:tcW w:w="1025" w:type="dxa"/>
                  <w:tcBorders>
                    <w:tl2br w:val="nil"/>
                    <w:tr2bl w:val="nil"/>
                  </w:tcBorders>
                  <w:noWrap w:val="0"/>
                  <w:vAlign w:val="center"/>
                </w:tcPr>
                <w:p w14:paraId="0FCC83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33.91</w:t>
                  </w:r>
                </w:p>
              </w:tc>
              <w:tc>
                <w:tcPr>
                  <w:tcW w:w="1025" w:type="dxa"/>
                  <w:tcBorders>
                    <w:tl2br w:val="nil"/>
                    <w:tr2bl w:val="nil"/>
                  </w:tcBorders>
                  <w:noWrap w:val="0"/>
                  <w:vAlign w:val="center"/>
                </w:tcPr>
                <w:p w14:paraId="24F736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25" w:type="dxa"/>
                  <w:tcBorders>
                    <w:tl2br w:val="nil"/>
                    <w:tr2bl w:val="nil"/>
                  </w:tcBorders>
                  <w:noWrap w:val="0"/>
                  <w:vAlign w:val="center"/>
                </w:tcPr>
                <w:p w14:paraId="6FBEEF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r>
            <w:tr w14:paraId="2116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54" w:type="dxa"/>
                  <w:tcBorders>
                    <w:tl2br w:val="nil"/>
                    <w:tr2bl w:val="nil"/>
                  </w:tcBorders>
                  <w:noWrap w:val="0"/>
                  <w:vAlign w:val="center"/>
                </w:tcPr>
                <w:p w14:paraId="7A65F7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第18边的贡献最大值</w:t>
                  </w:r>
                </w:p>
              </w:tc>
              <w:tc>
                <w:tcPr>
                  <w:tcW w:w="1025" w:type="dxa"/>
                  <w:tcBorders>
                    <w:tl2br w:val="nil"/>
                    <w:tr2bl w:val="nil"/>
                  </w:tcBorders>
                  <w:noWrap w:val="0"/>
                  <w:vAlign w:val="center"/>
                </w:tcPr>
                <w:p w14:paraId="5612C0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31.38</w:t>
                  </w:r>
                </w:p>
              </w:tc>
              <w:tc>
                <w:tcPr>
                  <w:tcW w:w="1025" w:type="dxa"/>
                  <w:tcBorders>
                    <w:tl2br w:val="nil"/>
                    <w:tr2bl w:val="nil"/>
                  </w:tcBorders>
                  <w:noWrap w:val="0"/>
                  <w:vAlign w:val="center"/>
                </w:tcPr>
                <w:p w14:paraId="7C3FBC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25" w:type="dxa"/>
                  <w:tcBorders>
                    <w:tl2br w:val="nil"/>
                    <w:tr2bl w:val="nil"/>
                  </w:tcBorders>
                  <w:noWrap w:val="0"/>
                  <w:vAlign w:val="center"/>
                </w:tcPr>
                <w:p w14:paraId="179892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c>
                <w:tcPr>
                  <w:tcW w:w="1025" w:type="dxa"/>
                  <w:tcBorders>
                    <w:tl2br w:val="nil"/>
                    <w:tr2bl w:val="nil"/>
                  </w:tcBorders>
                  <w:noWrap w:val="0"/>
                  <w:vAlign w:val="center"/>
                </w:tcPr>
                <w:p w14:paraId="0B3F0F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33.91</w:t>
                  </w:r>
                </w:p>
              </w:tc>
              <w:tc>
                <w:tcPr>
                  <w:tcW w:w="1025" w:type="dxa"/>
                  <w:tcBorders>
                    <w:tl2br w:val="nil"/>
                    <w:tr2bl w:val="nil"/>
                  </w:tcBorders>
                  <w:noWrap w:val="0"/>
                  <w:vAlign w:val="center"/>
                </w:tcPr>
                <w:p w14:paraId="7876F3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25" w:type="dxa"/>
                  <w:tcBorders>
                    <w:tl2br w:val="nil"/>
                    <w:tr2bl w:val="nil"/>
                  </w:tcBorders>
                  <w:noWrap w:val="0"/>
                  <w:vAlign w:val="center"/>
                </w:tcPr>
                <w:p w14:paraId="25735E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r>
            <w:tr w14:paraId="0039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354" w:type="dxa"/>
                  <w:tcBorders>
                    <w:tl2br w:val="nil"/>
                    <w:tr2bl w:val="nil"/>
                  </w:tcBorders>
                  <w:noWrap w:val="0"/>
                  <w:vAlign w:val="center"/>
                </w:tcPr>
                <w:p w14:paraId="2CFEE2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贡献最大值</w:t>
                  </w:r>
                </w:p>
              </w:tc>
              <w:tc>
                <w:tcPr>
                  <w:tcW w:w="1025" w:type="dxa"/>
                  <w:tcBorders>
                    <w:tl2br w:val="nil"/>
                    <w:tr2bl w:val="nil"/>
                  </w:tcBorders>
                  <w:noWrap w:val="0"/>
                  <w:vAlign w:val="center"/>
                </w:tcPr>
                <w:p w14:paraId="049253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47.26</w:t>
                  </w:r>
                </w:p>
              </w:tc>
              <w:tc>
                <w:tcPr>
                  <w:tcW w:w="1025" w:type="dxa"/>
                  <w:tcBorders>
                    <w:tl2br w:val="nil"/>
                    <w:tr2bl w:val="nil"/>
                  </w:tcBorders>
                  <w:noWrap w:val="0"/>
                  <w:vAlign w:val="center"/>
                </w:tcPr>
                <w:p w14:paraId="6476A7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w:t>
                  </w:r>
                </w:p>
              </w:tc>
              <w:tc>
                <w:tcPr>
                  <w:tcW w:w="1025" w:type="dxa"/>
                  <w:tcBorders>
                    <w:tl2br w:val="nil"/>
                    <w:tr2bl w:val="nil"/>
                  </w:tcBorders>
                  <w:noWrap w:val="0"/>
                  <w:vAlign w:val="center"/>
                </w:tcPr>
                <w:p w14:paraId="701378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c>
                <w:tcPr>
                  <w:tcW w:w="1025" w:type="dxa"/>
                  <w:tcBorders>
                    <w:tl2br w:val="nil"/>
                    <w:tr2bl w:val="nil"/>
                  </w:tcBorders>
                  <w:noWrap w:val="0"/>
                  <w:vAlign w:val="center"/>
                </w:tcPr>
                <w:p w14:paraId="6F744C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48.56</w:t>
                  </w:r>
                </w:p>
              </w:tc>
              <w:tc>
                <w:tcPr>
                  <w:tcW w:w="1025" w:type="dxa"/>
                  <w:tcBorders>
                    <w:tl2br w:val="nil"/>
                    <w:tr2bl w:val="nil"/>
                  </w:tcBorders>
                  <w:noWrap w:val="0"/>
                  <w:vAlign w:val="center"/>
                </w:tcPr>
                <w:p w14:paraId="5943F6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1025" w:type="dxa"/>
                  <w:tcBorders>
                    <w:tl2br w:val="nil"/>
                    <w:tr2bl w:val="nil"/>
                  </w:tcBorders>
                  <w:noWrap w:val="0"/>
                  <w:vAlign w:val="center"/>
                </w:tcPr>
                <w:p w14:paraId="2C37CD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达标</w:t>
                  </w:r>
                </w:p>
              </w:tc>
            </w:tr>
          </w:tbl>
          <w:p w14:paraId="7AF8BB31">
            <w:pPr>
              <w:pStyle w:val="9"/>
              <w:snapToGrid/>
              <w:spacing w:before="0" w:after="0" w:line="360" w:lineRule="auto"/>
              <w:ind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由上表可知，本项目营运期生产设备正常运转状态下，各噪声源经减振、建筑物隔声和距离衰减后，厂界噪声满足《工业企业厂界环境噪声排放标准》（GB12348-2008）中</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t>类标准</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即昼间≤60</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dB（A）</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，夜间≤50</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dB（A）</w:t>
            </w:r>
            <w:r>
              <w:rPr>
                <w:rFonts w:hint="default" w:ascii="Times New Roman" w:hAnsi="Times New Roman" w:eastAsia="宋体" w:cs="Times New Roman"/>
                <w:color w:val="000000" w:themeColor="text1"/>
                <w:sz w:val="24"/>
                <w:szCs w:val="24"/>
                <w14:textFill>
                  <w14:solidFill>
                    <w14:schemeClr w14:val="tx1"/>
                  </w14:solidFill>
                </w14:textFill>
              </w:rPr>
              <w:t>。</w:t>
            </w:r>
          </w:p>
          <w:p w14:paraId="3483AF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项目噪声昼间、夜间厂界贡献值等声级线图如下所示：</w:t>
            </w:r>
          </w:p>
          <w:p w14:paraId="5597AF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000000" w:themeColor="text1"/>
                <w:sz w:val="24"/>
                <w:szCs w:val="24"/>
                <w:lang w:val="en-US" w:eastAsia="zh-CN"/>
                <w14:textFill>
                  <w14:solidFill>
                    <w14:schemeClr w14:val="tx1"/>
                  </w14:solidFill>
                </w14:textFill>
              </w:rPr>
            </w:pPr>
          </w:p>
          <w:p w14:paraId="3411DED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000000" w:themeColor="text1"/>
                <w:sz w:val="24"/>
                <w:szCs w:val="24"/>
                <w:lang w:val="en-US" w:eastAsia="zh-CN"/>
                <w14:textFill>
                  <w14:solidFill>
                    <w14:schemeClr w14:val="tx1"/>
                  </w14:solidFill>
                </w14:textFill>
              </w:rPr>
            </w:pPr>
          </w:p>
          <w:p w14:paraId="58704F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000000" w:themeColor="text1"/>
                <w:sz w:val="24"/>
                <w:szCs w:val="24"/>
                <w:lang w:val="en-US" w:eastAsia="zh-CN"/>
                <w14:textFill>
                  <w14:solidFill>
                    <w14:schemeClr w14:val="tx1"/>
                  </w14:solidFill>
                </w14:textFill>
              </w:rPr>
            </w:pPr>
          </w:p>
          <w:p w14:paraId="3EEEE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000000" w:themeColor="text1"/>
                <w:sz w:val="24"/>
                <w:szCs w:val="24"/>
                <w:lang w:val="en-US" w:eastAsia="zh-CN"/>
                <w14:textFill>
                  <w14:solidFill>
                    <w14:schemeClr w14:val="tx1"/>
                  </w14:solidFill>
                </w14:textFill>
              </w:rPr>
            </w:pPr>
          </w:p>
          <w:p w14:paraId="4E50A41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000000" w:themeColor="text1"/>
                <w:sz w:val="24"/>
                <w:szCs w:val="24"/>
                <w:lang w:val="en-US" w:eastAsia="zh-CN"/>
                <w14:textFill>
                  <w14:solidFill>
                    <w14:schemeClr w14:val="tx1"/>
                  </w14:solidFill>
                </w14:textFill>
              </w:rPr>
            </w:pPr>
          </w:p>
          <w:p w14:paraId="6014BFA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color w:val="000000" w:themeColor="text1"/>
                <w:sz w:val="24"/>
                <w:szCs w:val="24"/>
                <w:lang w:val="en-US" w:eastAsia="zh-CN"/>
                <w14:textFill>
                  <w14:solidFill>
                    <w14:schemeClr w14:val="tx1"/>
                  </w14:solidFill>
                </w14:textFill>
              </w:rPr>
            </w:pPr>
          </w:p>
          <w:p w14:paraId="7F32CCF4">
            <w:pPr>
              <w:pStyle w:val="9"/>
              <w:keepNext w:val="0"/>
              <w:keepLines w:val="0"/>
              <w:pageBreakBefore w:val="0"/>
              <w:widowControl/>
              <w:kinsoku/>
              <w:wordWrap/>
              <w:overflowPunct/>
              <w:topLinePunct w:val="0"/>
              <w:autoSpaceDE/>
              <w:autoSpaceDN/>
              <w:bidi w:val="0"/>
              <w:adjustRightInd/>
              <w:snapToGrid/>
              <w:spacing w:before="0" w:after="0" w:line="240" w:lineRule="auto"/>
              <w:ind w:right="0" w:firstLine="0" w:firstLineChars="0"/>
              <w:jc w:val="center"/>
              <w:textAlignment w:val="auto"/>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drawing>
                <wp:inline distT="0" distB="0" distL="114300" distR="114300">
                  <wp:extent cx="4001135" cy="3405505"/>
                  <wp:effectExtent l="9525" t="9525" r="12700" b="13970"/>
                  <wp:docPr id="26" name="图片 26" descr="da3acd199ad29ed034575be806eb3d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da3acd199ad29ed034575be806eb3db2"/>
                          <pic:cNvPicPr>
                            <a:picLocks noChangeAspect="1"/>
                          </pic:cNvPicPr>
                        </pic:nvPicPr>
                        <pic:blipFill>
                          <a:blip r:embed="rId29"/>
                          <a:stretch>
                            <a:fillRect/>
                          </a:stretch>
                        </pic:blipFill>
                        <pic:spPr>
                          <a:xfrm>
                            <a:off x="0" y="0"/>
                            <a:ext cx="4001135" cy="3405505"/>
                          </a:xfrm>
                          <a:prstGeom prst="rect">
                            <a:avLst/>
                          </a:prstGeom>
                          <a:ln>
                            <a:solidFill>
                              <a:schemeClr val="tx1"/>
                            </a:solidFill>
                          </a:ln>
                        </pic:spPr>
                      </pic:pic>
                    </a:graphicData>
                  </a:graphic>
                </wp:inline>
              </w:drawing>
            </w:r>
          </w:p>
          <w:p w14:paraId="534507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图4-2  项目昼间厂界噪声贡献值等声级线图</w:t>
            </w:r>
          </w:p>
          <w:p w14:paraId="2BDE6E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drawing>
                <wp:inline distT="0" distB="0" distL="114300" distR="114300">
                  <wp:extent cx="3336290" cy="4294505"/>
                  <wp:effectExtent l="9525" t="9525" r="22225" b="24130"/>
                  <wp:docPr id="27" name="图片 27" descr="62a2b58b85239698fe1a64f0eb50b7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62a2b58b85239698fe1a64f0eb50b7f1"/>
                          <pic:cNvPicPr>
                            <a:picLocks noChangeAspect="1"/>
                          </pic:cNvPicPr>
                        </pic:nvPicPr>
                        <pic:blipFill>
                          <a:blip r:embed="rId30"/>
                          <a:stretch>
                            <a:fillRect/>
                          </a:stretch>
                        </pic:blipFill>
                        <pic:spPr>
                          <a:xfrm>
                            <a:off x="0" y="0"/>
                            <a:ext cx="3336290" cy="4294505"/>
                          </a:xfrm>
                          <a:prstGeom prst="rect">
                            <a:avLst/>
                          </a:prstGeom>
                          <a:ln>
                            <a:solidFill>
                              <a:schemeClr val="tx1"/>
                            </a:solidFill>
                          </a:ln>
                        </pic:spPr>
                      </pic:pic>
                    </a:graphicData>
                  </a:graphic>
                </wp:inline>
              </w:drawing>
            </w:r>
          </w:p>
          <w:p w14:paraId="27EE80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图4-3  项目夜间厂界噪声贡献值等声级线图</w:t>
            </w:r>
          </w:p>
          <w:p w14:paraId="79A837DC">
            <w:pPr>
              <w:spacing w:line="360" w:lineRule="auto"/>
              <w:ind w:firstLine="482"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3.4</w:t>
            </w:r>
            <w:r>
              <w:rPr>
                <w:rFonts w:hint="default" w:ascii="Times New Roman" w:hAnsi="Times New Roman" w:eastAsia="宋体" w:cs="Times New Roman"/>
                <w:b/>
                <w:bCs/>
                <w:color w:val="000000" w:themeColor="text1"/>
                <w:sz w:val="24"/>
                <w:szCs w:val="24"/>
                <w14:textFill>
                  <w14:solidFill>
                    <w14:schemeClr w14:val="tx1"/>
                  </w14:solidFill>
                </w14:textFill>
              </w:rPr>
              <w:t>噪声治理措施</w:t>
            </w:r>
          </w:p>
          <w:p w14:paraId="419279FD">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为了进一步减少噪声影响，本次评价提出以下防治措施：</w:t>
            </w:r>
          </w:p>
          <w:p w14:paraId="15028A92">
            <w:pPr>
              <w:autoSpaceDE w:val="0"/>
              <w:autoSpaceDN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①在满足工艺设计要求的条件下，优先选用噪声低、振动小的设备，从声源上降低噪声对环境的影响。</w:t>
            </w:r>
          </w:p>
          <w:p w14:paraId="1E9CCB1C">
            <w:pPr>
              <w:autoSpaceDE w:val="0"/>
              <w:autoSpaceDN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②定期检查设备，加强设备维护，使设备处于良好运行状态，避免和减轻非正常运行产生的噪声污染。</w:t>
            </w:r>
          </w:p>
          <w:p w14:paraId="34591BC7">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③项目所有加工设备均设置在厂房内，基础</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减振，脱硫塔引风机设置在建筑物内</w:t>
            </w:r>
            <w:r>
              <w:rPr>
                <w:rFonts w:hint="default" w:ascii="Times New Roman" w:hAnsi="Times New Roman" w:eastAsia="宋体" w:cs="Times New Roman"/>
                <w:color w:val="000000" w:themeColor="text1"/>
                <w:sz w:val="24"/>
                <w:szCs w:val="24"/>
                <w14:textFill>
                  <w14:solidFill>
                    <w14:schemeClr w14:val="tx1"/>
                  </w14:solidFill>
                </w14:textFill>
              </w:rPr>
              <w:t>。</w:t>
            </w:r>
          </w:p>
          <w:p w14:paraId="480E11D5">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④进出项目区车辆应安排在白天，并在项目出入口设置减速带及禁鸣标识牌。</w:t>
            </w:r>
          </w:p>
          <w:p w14:paraId="48B06B4A">
            <w:pPr>
              <w:pStyle w:val="9"/>
              <w:snapToGrid/>
              <w:spacing w:before="0" w:after="0" w:line="360" w:lineRule="auto"/>
              <w:ind w:right="0" w:firstLine="480" w:firstLineChars="200"/>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综上所述，项目运营期噪声厂界能够达标排放，且项目厂界外</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50</w:t>
            </w:r>
            <w:r>
              <w:rPr>
                <w:rFonts w:hint="default" w:ascii="Times New Roman" w:hAnsi="Times New Roman" w:eastAsia="宋体" w:cs="Times New Roman"/>
                <w:color w:val="000000" w:themeColor="text1"/>
                <w:sz w:val="24"/>
                <w:szCs w:val="24"/>
                <w14:textFill>
                  <w14:solidFill>
                    <w14:schemeClr w14:val="tx1"/>
                  </w14:solidFill>
                </w14:textFill>
              </w:rPr>
              <w:t>m范围内无声环境保护目标，通过采取本次环评提出的措施后，项目运营期产生的噪声影响对周围环境的影响较小。</w:t>
            </w:r>
          </w:p>
          <w:p w14:paraId="1DAD897F">
            <w:pPr>
              <w:pStyle w:val="9"/>
              <w:snapToGrid/>
              <w:spacing w:before="0" w:after="0" w:line="360" w:lineRule="auto"/>
              <w:ind w:right="0" w:firstLine="482" w:firstLineChars="200"/>
              <w:rPr>
                <w:rFonts w:hint="default" w:eastAsia="宋体"/>
                <w:b/>
                <w:bCs/>
                <w:color w:val="000000" w:themeColor="text1"/>
                <w:sz w:val="24"/>
                <w:lang w:val="en-US" w:eastAsia="zh-CN"/>
                <w14:textFill>
                  <w14:solidFill>
                    <w14:schemeClr w14:val="tx1"/>
                  </w14:solidFill>
                </w14:textFill>
              </w:rPr>
            </w:pPr>
            <w:r>
              <w:rPr>
                <w:rFonts w:hint="eastAsia"/>
                <w:b/>
                <w:bCs/>
                <w:color w:val="000000" w:themeColor="text1"/>
                <w:sz w:val="24"/>
                <w:lang w:val="en-US" w:eastAsia="zh-CN"/>
                <w14:textFill>
                  <w14:solidFill>
                    <w14:schemeClr w14:val="tx1"/>
                  </w14:solidFill>
                </w14:textFill>
              </w:rPr>
              <w:t>3.5交通运输噪声影响分析</w:t>
            </w:r>
          </w:p>
          <w:p w14:paraId="7651D7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eastAsiaTheme="minorEastAsia"/>
                <w:color w:val="000000" w:themeColor="text1"/>
                <w:sz w:val="24"/>
                <w:szCs w:val="24"/>
                <w:lang w:eastAsia="zh-CN"/>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根据建设单位与师宗县鸿运新型墙体材料有限公司签订的《粘土、页岩土购销协议》，项目所使用的原料均由供货方运输至项目区，双方在供货合同中明确运输环节环保责任、污染防控及环境风险责任由供货方承担</w:t>
            </w: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t>。</w:t>
            </w:r>
          </w:p>
          <w:p w14:paraId="295D63C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为了减少本项目交通运输噪声对周围敏感目标的影响，提出如下措施：</w:t>
            </w:r>
          </w:p>
          <w:p w14:paraId="17DE8AF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①运输车辆限速行驶（厂区≤</w:t>
            </w:r>
            <w:r>
              <w:rPr>
                <w:rFonts w:hint="eastAsia" w:cs="Times New Roman" w:eastAsiaTheme="minorEastAsia"/>
                <w:color w:val="000000" w:themeColor="text1"/>
                <w:sz w:val="24"/>
                <w:szCs w:val="24"/>
                <w:lang w:val="en-US" w:eastAsia="zh-CN"/>
                <w14:textFill>
                  <w14:solidFill>
                    <w14:schemeClr w14:val="tx1"/>
                  </w14:solidFill>
                </w14:textFill>
              </w:rPr>
              <w:t>20</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km/h，周边道路按规定），禁止鸣笛。</w:t>
            </w:r>
          </w:p>
          <w:p w14:paraId="62AC76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②合理安排运输时间，避开夜间（22:00–次日6:00）及午休时段，减少对敏感点影响。</w:t>
            </w:r>
          </w:p>
          <w:p w14:paraId="079194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③优先选择远离居民区、学校、医院的运输路线，避让环境敏感区，选定路线后按照规定路线行驶。</w:t>
            </w:r>
          </w:p>
          <w:p w14:paraId="0BF881BF">
            <w:pPr>
              <w:pStyle w:val="9"/>
              <w:snapToGrid/>
              <w:spacing w:before="0" w:after="0" w:line="360" w:lineRule="auto"/>
              <w:ind w:right="0" w:firstLine="482" w:firstLineChars="200"/>
              <w:rPr>
                <w:rFonts w:hint="default" w:eastAsia="宋体"/>
                <w:b/>
                <w:bCs/>
                <w:color w:val="000000" w:themeColor="text1"/>
                <w:sz w:val="24"/>
                <w:lang w:val="en-US" w:eastAsia="zh-CN"/>
                <w14:textFill>
                  <w14:solidFill>
                    <w14:schemeClr w14:val="tx1"/>
                  </w14:solidFill>
                </w14:textFill>
              </w:rPr>
            </w:pPr>
            <w:r>
              <w:rPr>
                <w:b/>
                <w:bCs/>
                <w:color w:val="000000" w:themeColor="text1"/>
                <w:sz w:val="24"/>
                <w14:textFill>
                  <w14:solidFill>
                    <w14:schemeClr w14:val="tx1"/>
                  </w14:solidFill>
                </w14:textFill>
              </w:rPr>
              <w:t>3.</w:t>
            </w:r>
            <w:r>
              <w:rPr>
                <w:rFonts w:hint="eastAsia"/>
                <w:b/>
                <w:bCs/>
                <w:color w:val="000000" w:themeColor="text1"/>
                <w:sz w:val="24"/>
                <w:lang w:val="en-US" w:eastAsia="zh-CN"/>
                <w14:textFill>
                  <w14:solidFill>
                    <w14:schemeClr w14:val="tx1"/>
                  </w14:solidFill>
                </w14:textFill>
              </w:rPr>
              <w:t>6</w:t>
            </w:r>
            <w:r>
              <w:rPr>
                <w:b/>
                <w:bCs/>
                <w:color w:val="000000" w:themeColor="text1"/>
                <w:sz w:val="24"/>
                <w14:textFill>
                  <w14:solidFill>
                    <w14:schemeClr w14:val="tx1"/>
                  </w14:solidFill>
                </w14:textFill>
              </w:rPr>
              <w:t>噪声</w:t>
            </w:r>
            <w:r>
              <w:rPr>
                <w:rFonts w:hint="eastAsia"/>
                <w:b/>
                <w:bCs/>
                <w:color w:val="000000" w:themeColor="text1"/>
                <w:sz w:val="24"/>
                <w:lang w:val="en-US" w:eastAsia="zh-CN"/>
                <w14:textFill>
                  <w14:solidFill>
                    <w14:schemeClr w14:val="tx1"/>
                  </w14:solidFill>
                </w14:textFill>
              </w:rPr>
              <w:t>自行监测要求</w:t>
            </w:r>
          </w:p>
          <w:p w14:paraId="5C49E91C">
            <w:pPr>
              <w:spacing w:line="360" w:lineRule="auto"/>
              <w:ind w:firstLine="526"/>
              <w:rPr>
                <w:color w:val="000000" w:themeColor="text1"/>
                <w:spacing w:val="-3"/>
                <w:kern w:val="0"/>
                <w:sz w:val="24"/>
                <w14:textFill>
                  <w14:solidFill>
                    <w14:schemeClr w14:val="tx1"/>
                  </w14:solidFill>
                </w14:textFill>
              </w:rPr>
            </w:pPr>
            <w:r>
              <w:rPr>
                <w:color w:val="000000" w:themeColor="text1"/>
                <w:sz w:val="24"/>
                <w14:textFill>
                  <w14:solidFill>
                    <w14:schemeClr w14:val="tx1"/>
                  </w14:solidFill>
                </w14:textFill>
              </w:rPr>
              <w:t>根据</w:t>
            </w:r>
            <w:r>
              <w:rPr>
                <w:rFonts w:hint="eastAsia"/>
                <w:color w:val="000000" w:themeColor="text1"/>
                <w:sz w:val="24"/>
                <w:lang w:eastAsia="zh-CN"/>
                <w14:textFill>
                  <w14:solidFill>
                    <w14:schemeClr w14:val="tx1"/>
                  </w14:solidFill>
                </w14:textFill>
              </w:rPr>
              <w:t>《</w:t>
            </w:r>
            <w:r>
              <w:rPr>
                <w:rFonts w:hint="eastAsia"/>
                <w:bCs/>
                <w:color w:val="000000" w:themeColor="text1"/>
                <w:sz w:val="24"/>
                <w:lang w:val="en-US" w:eastAsia="zh-CN"/>
                <w14:textFill>
                  <w14:solidFill>
                    <w14:schemeClr w14:val="tx1"/>
                  </w14:solidFill>
                </w14:textFill>
              </w:rPr>
              <w:t>排污单位自行监测技术指南  砖瓦工业</w:t>
            </w:r>
            <w:r>
              <w:rPr>
                <w:rFonts w:hint="eastAsia"/>
                <w:bCs/>
                <w:color w:val="000000" w:themeColor="text1"/>
                <w:sz w:val="24"/>
                <w14:textFill>
                  <w14:solidFill>
                    <w14:schemeClr w14:val="tx1"/>
                  </w14:solidFill>
                </w14:textFill>
              </w:rPr>
              <w:t>》（HJ</w:t>
            </w:r>
            <w:r>
              <w:rPr>
                <w:rFonts w:hint="eastAsia"/>
                <w:bCs/>
                <w:color w:val="000000" w:themeColor="text1"/>
                <w:sz w:val="24"/>
                <w:lang w:val="en-US" w:eastAsia="zh-CN"/>
                <w14:textFill>
                  <w14:solidFill>
                    <w14:schemeClr w14:val="tx1"/>
                  </w14:solidFill>
                </w14:textFill>
              </w:rPr>
              <w:t>1254-</w:t>
            </w:r>
            <w:r>
              <w:rPr>
                <w:rFonts w:hint="eastAsia"/>
                <w:bCs/>
                <w:color w:val="000000" w:themeColor="text1"/>
                <w:sz w:val="24"/>
                <w14:textFill>
                  <w14:solidFill>
                    <w14:schemeClr w14:val="tx1"/>
                  </w14:solidFill>
                </w14:textFill>
              </w:rPr>
              <w:t>2</w:t>
            </w:r>
            <w:r>
              <w:rPr>
                <w:rFonts w:hint="eastAsia"/>
                <w:bCs/>
                <w:color w:val="000000" w:themeColor="text1"/>
                <w:sz w:val="24"/>
                <w:lang w:val="en-US" w:eastAsia="zh-CN"/>
                <w14:textFill>
                  <w14:solidFill>
                    <w14:schemeClr w14:val="tx1"/>
                  </w14:solidFill>
                </w14:textFill>
              </w:rPr>
              <w:t>022</w:t>
            </w:r>
            <w:r>
              <w:rPr>
                <w:rFonts w:hint="eastAsia"/>
                <w:bCs/>
                <w:color w:val="000000" w:themeColor="text1"/>
                <w:sz w:val="24"/>
                <w14:textFill>
                  <w14:solidFill>
                    <w14:schemeClr w14:val="tx1"/>
                  </w14:solidFill>
                </w14:textFill>
              </w:rPr>
              <w:t>）</w:t>
            </w:r>
            <w:r>
              <w:rPr>
                <w:color w:val="000000" w:themeColor="text1"/>
                <w:sz w:val="24"/>
                <w14:textFill>
                  <w14:solidFill>
                    <w14:schemeClr w14:val="tx1"/>
                  </w14:solidFill>
                </w14:textFill>
              </w:rPr>
              <w:t>中相关自行监测要求</w:t>
            </w:r>
            <w:r>
              <w:rPr>
                <w:color w:val="000000" w:themeColor="text1"/>
                <w:spacing w:val="-3"/>
                <w:kern w:val="0"/>
                <w:sz w:val="24"/>
                <w14:textFill>
                  <w14:solidFill>
                    <w14:schemeClr w14:val="tx1"/>
                  </w14:solidFill>
                </w14:textFill>
              </w:rPr>
              <w:t>，项目噪声监测计划见</w:t>
            </w:r>
            <w:r>
              <w:rPr>
                <w:rFonts w:hint="eastAsia"/>
                <w:color w:val="000000" w:themeColor="text1"/>
                <w:spacing w:val="-3"/>
                <w:kern w:val="0"/>
                <w:sz w:val="24"/>
                <w:lang w:val="en-US" w:eastAsia="zh-CN"/>
                <w14:textFill>
                  <w14:solidFill>
                    <w14:schemeClr w14:val="tx1"/>
                  </w14:solidFill>
                </w14:textFill>
              </w:rPr>
              <w:t>下表</w:t>
            </w:r>
            <w:r>
              <w:rPr>
                <w:color w:val="000000" w:themeColor="text1"/>
                <w:spacing w:val="-3"/>
                <w:kern w:val="0"/>
                <w:sz w:val="24"/>
                <w14:textFill>
                  <w14:solidFill>
                    <w14:schemeClr w14:val="tx1"/>
                  </w14:solidFill>
                </w14:textFill>
              </w:rPr>
              <w:t>。</w:t>
            </w:r>
          </w:p>
          <w:p w14:paraId="070D2A49">
            <w:pPr>
              <w:pStyle w:val="9"/>
              <w:adjustRightInd w:val="0"/>
              <w:spacing w:before="0" w:after="0" w:line="276" w:lineRule="auto"/>
              <w:ind w:right="0"/>
              <w:jc w:val="center"/>
              <w:rPr>
                <w:b/>
                <w:color w:val="000000" w:themeColor="text1"/>
                <w:kern w:val="2"/>
                <w:sz w:val="24"/>
                <w:szCs w:val="24"/>
                <w14:textFill>
                  <w14:solidFill>
                    <w14:schemeClr w14:val="tx1"/>
                  </w14:solidFill>
                </w14:textFill>
              </w:rPr>
            </w:pPr>
            <w:r>
              <w:rPr>
                <w:b/>
                <w:color w:val="000000" w:themeColor="text1"/>
                <w:kern w:val="2"/>
                <w:sz w:val="24"/>
                <w:szCs w:val="24"/>
                <w14:textFill>
                  <w14:solidFill>
                    <w14:schemeClr w14:val="tx1"/>
                  </w14:solidFill>
                </w14:textFill>
              </w:rPr>
              <w:t>表4-</w:t>
            </w:r>
            <w:r>
              <w:rPr>
                <w:rFonts w:hint="eastAsia"/>
                <w:b/>
                <w:color w:val="000000" w:themeColor="text1"/>
                <w:kern w:val="2"/>
                <w:sz w:val="24"/>
                <w:szCs w:val="24"/>
                <w:lang w:val="en-US" w:eastAsia="zh-CN"/>
                <w14:textFill>
                  <w14:solidFill>
                    <w14:schemeClr w14:val="tx1"/>
                  </w14:solidFill>
                </w14:textFill>
              </w:rPr>
              <w:t>21</w:t>
            </w:r>
            <w:r>
              <w:rPr>
                <w:b/>
                <w:color w:val="000000" w:themeColor="text1"/>
                <w:kern w:val="2"/>
                <w:sz w:val="24"/>
                <w:szCs w:val="24"/>
                <w14:textFill>
                  <w14:solidFill>
                    <w14:schemeClr w14:val="tx1"/>
                  </w14:solidFill>
                </w14:textFill>
              </w:rPr>
              <w:t xml:space="preserve">   噪声监测计划一览表</w:t>
            </w:r>
          </w:p>
          <w:p w14:paraId="2BCDAB93">
            <w:pPr>
              <w:spacing w:line="32" w:lineRule="exact"/>
              <w:rPr>
                <w:color w:val="000000" w:themeColor="text1"/>
                <w14:textFill>
                  <w14:solidFill>
                    <w14:schemeClr w14:val="tx1"/>
                  </w14:solidFill>
                </w14:textFill>
              </w:rPr>
            </w:pPr>
          </w:p>
          <w:tbl>
            <w:tblPr>
              <w:tblStyle w:val="28"/>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57"/>
              <w:gridCol w:w="1493"/>
              <w:gridCol w:w="1432"/>
              <w:gridCol w:w="3074"/>
              <w:gridCol w:w="1232"/>
            </w:tblGrid>
            <w:tr w14:paraId="22E069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jc w:val="center"/>
              </w:trPr>
              <w:tc>
                <w:tcPr>
                  <w:tcW w:w="740" w:type="pct"/>
                  <w:noWrap w:val="0"/>
                  <w:vAlign w:val="center"/>
                </w:tcPr>
                <w:p w14:paraId="48A8DC65">
                  <w:pPr>
                    <w:widowControl/>
                    <w:adjustRightInd w:val="0"/>
                    <w:snapToGrid w:val="0"/>
                    <w:jc w:val="center"/>
                    <w:textAlignment w:val="baseline"/>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污染源名称</w:t>
                  </w:r>
                </w:p>
              </w:tc>
              <w:tc>
                <w:tcPr>
                  <w:tcW w:w="879" w:type="pct"/>
                  <w:noWrap w:val="0"/>
                  <w:vAlign w:val="center"/>
                </w:tcPr>
                <w:p w14:paraId="299CE06C">
                  <w:pPr>
                    <w:widowControl/>
                    <w:adjustRightInd w:val="0"/>
                    <w:snapToGrid w:val="0"/>
                    <w:jc w:val="center"/>
                    <w:textAlignment w:val="baseline"/>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监测点位</w:t>
                  </w:r>
                </w:p>
              </w:tc>
              <w:tc>
                <w:tcPr>
                  <w:tcW w:w="843" w:type="pct"/>
                  <w:noWrap w:val="0"/>
                  <w:vAlign w:val="center"/>
                </w:tcPr>
                <w:p w14:paraId="5E58C068">
                  <w:pPr>
                    <w:widowControl/>
                    <w:adjustRightInd w:val="0"/>
                    <w:snapToGrid w:val="0"/>
                    <w:jc w:val="center"/>
                    <w:textAlignment w:val="baseline"/>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监测项目</w:t>
                  </w:r>
                </w:p>
              </w:tc>
              <w:tc>
                <w:tcPr>
                  <w:tcW w:w="1810" w:type="pct"/>
                  <w:noWrap w:val="0"/>
                  <w:vAlign w:val="center"/>
                </w:tcPr>
                <w:p w14:paraId="31CA5D50">
                  <w:pPr>
                    <w:widowControl/>
                    <w:adjustRightInd w:val="0"/>
                    <w:snapToGrid w:val="0"/>
                    <w:jc w:val="center"/>
                    <w:textAlignment w:val="baseline"/>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执行标准</w:t>
                  </w:r>
                </w:p>
              </w:tc>
              <w:tc>
                <w:tcPr>
                  <w:tcW w:w="725" w:type="pct"/>
                  <w:noWrap w:val="0"/>
                  <w:vAlign w:val="center"/>
                </w:tcPr>
                <w:p w14:paraId="52F699C6">
                  <w:pPr>
                    <w:widowControl/>
                    <w:adjustRightInd w:val="0"/>
                    <w:snapToGrid w:val="0"/>
                    <w:jc w:val="center"/>
                    <w:textAlignment w:val="baseline"/>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监测频次</w:t>
                  </w:r>
                </w:p>
              </w:tc>
            </w:tr>
            <w:tr w14:paraId="2FCD6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jc w:val="center"/>
              </w:trPr>
              <w:tc>
                <w:tcPr>
                  <w:tcW w:w="740" w:type="pct"/>
                  <w:noWrap w:val="0"/>
                  <w:vAlign w:val="center"/>
                </w:tcPr>
                <w:p w14:paraId="5D77FEE9">
                  <w:pPr>
                    <w:widowControl/>
                    <w:adjustRightInd w:val="0"/>
                    <w:snapToGrid w:val="0"/>
                    <w:jc w:val="center"/>
                    <w:textAlignment w:val="baseline"/>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噪声</w:t>
                  </w:r>
                </w:p>
              </w:tc>
              <w:tc>
                <w:tcPr>
                  <w:tcW w:w="879" w:type="pct"/>
                  <w:noWrap w:val="0"/>
                  <w:vAlign w:val="center"/>
                </w:tcPr>
                <w:p w14:paraId="0ECB87AE">
                  <w:pPr>
                    <w:widowControl/>
                    <w:adjustRightInd w:val="0"/>
                    <w:snapToGrid w:val="0"/>
                    <w:jc w:val="center"/>
                    <w:textAlignment w:val="baseline"/>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厂界东、南、西、北4个点位</w:t>
                  </w:r>
                </w:p>
              </w:tc>
              <w:tc>
                <w:tcPr>
                  <w:tcW w:w="843" w:type="pct"/>
                  <w:noWrap w:val="0"/>
                  <w:vAlign w:val="center"/>
                </w:tcPr>
                <w:p w14:paraId="641D7B25">
                  <w:pPr>
                    <w:widowControl/>
                    <w:adjustRightInd w:val="0"/>
                    <w:snapToGrid w:val="0"/>
                    <w:jc w:val="center"/>
                    <w:textAlignment w:val="baseline"/>
                    <w:rPr>
                      <w:rFonts w:hint="default"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昼间、夜间等效连续A声级；夜间频发偶发最大A声级</w:t>
                  </w:r>
                </w:p>
              </w:tc>
              <w:tc>
                <w:tcPr>
                  <w:tcW w:w="1810" w:type="pct"/>
                  <w:noWrap w:val="0"/>
                  <w:vAlign w:val="center"/>
                </w:tcPr>
                <w:p w14:paraId="77B3BFDC">
                  <w:pPr>
                    <w:widowControl/>
                    <w:adjustRightInd w:val="0"/>
                    <w:snapToGrid w:val="0"/>
                    <w:jc w:val="center"/>
                    <w:textAlignment w:val="baseline"/>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《工业企业厂界环境噪声排放标准》（GB12348-2008）2类标准</w:t>
                  </w:r>
                </w:p>
              </w:tc>
              <w:tc>
                <w:tcPr>
                  <w:tcW w:w="725" w:type="pct"/>
                  <w:noWrap w:val="0"/>
                  <w:vAlign w:val="center"/>
                </w:tcPr>
                <w:p w14:paraId="457095AF">
                  <w:pPr>
                    <w:widowControl/>
                    <w:adjustRightInd w:val="0"/>
                    <w:snapToGrid w:val="0"/>
                    <w:jc w:val="center"/>
                    <w:textAlignment w:val="baseline"/>
                    <w:rPr>
                      <w:rFonts w:hint="eastAsia" w:eastAsia="宋体"/>
                      <w:bCs/>
                      <w:color w:val="000000" w:themeColor="text1"/>
                      <w:szCs w:val="21"/>
                      <w:lang w:eastAsia="zh-CN"/>
                      <w14:textFill>
                        <w14:solidFill>
                          <w14:schemeClr w14:val="tx1"/>
                        </w14:solidFill>
                      </w14:textFill>
                    </w:rPr>
                  </w:pPr>
                  <w:r>
                    <w:rPr>
                      <w:bCs/>
                      <w:color w:val="000000" w:themeColor="text1"/>
                      <w:szCs w:val="21"/>
                      <w14:textFill>
                        <w14:solidFill>
                          <w14:schemeClr w14:val="tx1"/>
                        </w14:solidFill>
                      </w14:textFill>
                    </w:rPr>
                    <w:t>1次/</w:t>
                  </w:r>
                  <w:r>
                    <w:rPr>
                      <w:rFonts w:hint="eastAsia"/>
                      <w:bCs/>
                      <w:color w:val="000000" w:themeColor="text1"/>
                      <w:szCs w:val="21"/>
                      <w:lang w:val="en-US" w:eastAsia="zh-CN"/>
                      <w14:textFill>
                        <w14:solidFill>
                          <w14:schemeClr w14:val="tx1"/>
                        </w14:solidFill>
                      </w14:textFill>
                    </w:rPr>
                    <w:t>半年</w:t>
                  </w:r>
                </w:p>
              </w:tc>
            </w:tr>
          </w:tbl>
          <w:p w14:paraId="185BBE93">
            <w:pPr>
              <w:pStyle w:val="9"/>
              <w:snapToGrid/>
              <w:spacing w:before="0" w:after="0" w:line="360" w:lineRule="auto"/>
              <w:ind w:right="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4、固体废弃物</w:t>
            </w:r>
          </w:p>
          <w:p w14:paraId="0E53FB56">
            <w:pPr>
              <w:keepNext w:val="0"/>
              <w:keepLines w:val="0"/>
              <w:pageBreakBefore w:val="0"/>
              <w:widowControl w:val="0"/>
              <w:kinsoku/>
              <w:wordWrap/>
              <w:overflowPunct/>
              <w:autoSpaceDN/>
              <w:bidi w:val="0"/>
              <w:spacing w:line="360" w:lineRule="auto"/>
              <w:ind w:left="0" w:right="0" w:firstLine="480" w:firstLineChars="20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本项目运营期产生的固废主要包括边角料及不合格品、炉渣及</w:t>
            </w:r>
            <w:r>
              <w:rPr>
                <w:rFonts w:hint="eastAsia" w:eastAsia="宋体"/>
                <w:color w:val="000000" w:themeColor="text1"/>
                <w:sz w:val="24"/>
                <w:szCs w:val="24"/>
                <w:lang w:val="en-US" w:eastAsia="zh-CN"/>
                <w14:textFill>
                  <w14:solidFill>
                    <w14:schemeClr w14:val="tx1"/>
                  </w14:solidFill>
                </w14:textFill>
              </w:rPr>
              <w:t>脱硫副产石膏</w:t>
            </w:r>
            <w:r>
              <w:rPr>
                <w:rFonts w:eastAsia="宋体"/>
                <w:color w:val="000000" w:themeColor="text1"/>
                <w:sz w:val="24"/>
                <w:szCs w:val="24"/>
                <w14:textFill>
                  <w14:solidFill>
                    <w14:schemeClr w14:val="tx1"/>
                  </w14:solidFill>
                </w14:textFill>
              </w:rPr>
              <w:t>等。</w:t>
            </w:r>
          </w:p>
          <w:p w14:paraId="4D88FA17">
            <w:pPr>
              <w:pStyle w:val="81"/>
              <w:keepNext w:val="0"/>
              <w:keepLines w:val="0"/>
              <w:pageBreakBefore w:val="0"/>
              <w:widowControl w:val="0"/>
              <w:kinsoku/>
              <w:wordWrap/>
              <w:overflowPunct/>
              <w:autoSpaceDN/>
              <w:bidi w:val="0"/>
              <w:snapToGrid/>
              <w:spacing w:line="360" w:lineRule="auto"/>
              <w:ind w:left="0" w:right="0" w:firstLine="482" w:firstLineChars="200"/>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边角料及不合格品</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S1、S</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14:paraId="4DD47C56">
            <w:pPr>
              <w:keepNext w:val="0"/>
              <w:keepLines w:val="0"/>
              <w:pageBreakBefore w:val="0"/>
              <w:widowControl w:val="0"/>
              <w:kinsoku/>
              <w:wordWrap/>
              <w:overflowPunct/>
              <w:autoSpaceDN/>
              <w:bidi w:val="0"/>
              <w:snapToGrid/>
              <w:spacing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项目改扩建完成后</w:t>
            </w:r>
            <w:r>
              <w:rPr>
                <w:rFonts w:hint="default" w:ascii="Times New Roman" w:hAnsi="Times New Roman" w:eastAsia="宋体" w:cs="Times New Roman"/>
                <w:color w:val="000000" w:themeColor="text1"/>
                <w:sz w:val="24"/>
                <w:szCs w:val="24"/>
                <w14:textFill>
                  <w14:solidFill>
                    <w14:schemeClr w14:val="tx1"/>
                  </w14:solidFill>
                </w14:textFill>
              </w:rPr>
              <w:t>产品产生量为</w:t>
            </w:r>
            <w:r>
              <w:rPr>
                <w:rFonts w:hint="eastAsia" w:cs="Times New Roman"/>
                <w:color w:val="000000" w:themeColor="text1"/>
                <w:sz w:val="24"/>
                <w:szCs w:val="24"/>
                <w:lang w:val="en-US" w:eastAsia="zh-CN"/>
                <w14:textFill>
                  <w14:solidFill>
                    <w14:schemeClr w14:val="tx1"/>
                  </w14:solidFill>
                </w14:textFill>
              </w:rPr>
              <w:t>114000</w:t>
            </w:r>
            <w:r>
              <w:rPr>
                <w:rFonts w:hint="default" w:ascii="Times New Roman" w:hAnsi="Times New Roman" w:eastAsia="宋体" w:cs="Times New Roman"/>
                <w:color w:val="000000" w:themeColor="text1"/>
                <w:sz w:val="24"/>
                <w:szCs w:val="24"/>
                <w14:textFill>
                  <w14:solidFill>
                    <w14:schemeClr w14:val="tx1"/>
                  </w14:solidFill>
                </w14:textFill>
              </w:rPr>
              <w:t>t/a，次品率约为0.02%，边角料及不合格品产生量为</w:t>
            </w:r>
            <w:r>
              <w:rPr>
                <w:rFonts w:hint="eastAsia" w:cs="Times New Roman"/>
                <w:color w:val="000000" w:themeColor="text1"/>
                <w:sz w:val="24"/>
                <w:szCs w:val="24"/>
                <w:lang w:val="en-US" w:eastAsia="zh-CN"/>
                <w14:textFill>
                  <w14:solidFill>
                    <w14:schemeClr w14:val="tx1"/>
                  </w14:solidFill>
                </w14:textFill>
              </w:rPr>
              <w:t>22.8</w:t>
            </w:r>
            <w:r>
              <w:rPr>
                <w:rFonts w:hint="default" w:ascii="Times New Roman" w:hAnsi="Times New Roman" w:eastAsia="宋体" w:cs="Times New Roman"/>
                <w:color w:val="000000" w:themeColor="text1"/>
                <w:sz w:val="24"/>
                <w:szCs w:val="24"/>
                <w14:textFill>
                  <w14:solidFill>
                    <w14:schemeClr w14:val="tx1"/>
                  </w14:solidFill>
                </w14:textFill>
              </w:rPr>
              <w:t>t/a</w:t>
            </w:r>
            <w:r>
              <w:rPr>
                <w:rFonts w:hint="eastAsia"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改扩建部分产生量为20.1t/a，返回破碎工段作为原料使用</w:t>
            </w:r>
            <w:r>
              <w:rPr>
                <w:rFonts w:hint="default" w:ascii="Times New Roman" w:hAnsi="Times New Roman" w:eastAsia="宋体" w:cs="Times New Roman"/>
                <w:color w:val="000000" w:themeColor="text1"/>
                <w:sz w:val="24"/>
                <w:szCs w:val="24"/>
                <w14:textFill>
                  <w14:solidFill>
                    <w14:schemeClr w14:val="tx1"/>
                  </w14:solidFill>
                </w14:textFill>
              </w:rPr>
              <w:t>。</w:t>
            </w:r>
          </w:p>
          <w:p w14:paraId="2E9FAFD5">
            <w:pPr>
              <w:keepNext w:val="0"/>
              <w:keepLines w:val="0"/>
              <w:pageBreakBefore w:val="0"/>
              <w:widowControl w:val="0"/>
              <w:kinsoku/>
              <w:wordWrap/>
              <w:overflowPunct/>
              <w:autoSpaceDN/>
              <w:bidi w:val="0"/>
              <w:snapToGrid/>
              <w:spacing w:line="360" w:lineRule="auto"/>
              <w:ind w:left="0" w:right="0" w:firstLine="478" w:firstLineChars="200"/>
              <w:rPr>
                <w:rFonts w:hint="default" w:ascii="Times New Roman" w:hAnsi="Times New Roman" w:eastAsia="宋体" w:cs="Times New Roman"/>
                <w:b/>
                <w:bCs/>
                <w:color w:val="000000" w:themeColor="text1"/>
                <w:spacing w:val="-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pacing w:val="-1"/>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spacing w:val="-1"/>
                <w:sz w:val="24"/>
                <w:szCs w:val="24"/>
                <w:lang w:val="en-US" w:eastAsia="zh-CN"/>
                <w14:textFill>
                  <w14:solidFill>
                    <w14:schemeClr w14:val="tx1"/>
                  </w14:solidFill>
                </w14:textFill>
              </w:rPr>
              <w:t>2</w:t>
            </w:r>
            <w:r>
              <w:rPr>
                <w:rFonts w:hint="default" w:ascii="Times New Roman" w:hAnsi="Times New Roman" w:eastAsia="宋体" w:cs="Times New Roman"/>
                <w:b/>
                <w:bCs/>
                <w:color w:val="000000" w:themeColor="text1"/>
                <w:spacing w:val="-1"/>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spacing w:val="-1"/>
                <w:sz w:val="24"/>
                <w:szCs w:val="24"/>
                <w:lang w:val="en-US" w:eastAsia="zh-CN"/>
                <w14:textFill>
                  <w14:solidFill>
                    <w14:schemeClr w14:val="tx1"/>
                  </w14:solidFill>
                </w14:textFill>
              </w:rPr>
              <w:t>炉渣（S2）</w:t>
            </w:r>
          </w:p>
          <w:p w14:paraId="1F12EB8A">
            <w:pPr>
              <w:keepNext w:val="0"/>
              <w:keepLines w:val="0"/>
              <w:pageBreakBefore w:val="0"/>
              <w:widowControl w:val="0"/>
              <w:kinsoku/>
              <w:wordWrap/>
              <w:overflowPunct/>
              <w:autoSpaceDN/>
              <w:bidi w:val="0"/>
              <w:snapToGrid/>
              <w:spacing w:line="360" w:lineRule="auto"/>
              <w:ind w:left="0" w:right="0" w:firstLine="476"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pacing w:val="-1"/>
                <w:sz w:val="24"/>
                <w:szCs w:val="24"/>
                <w14:textFill>
                  <w14:solidFill>
                    <w14:schemeClr w14:val="tx1"/>
                  </w14:solidFill>
                </w14:textFill>
              </w:rPr>
              <w:t>本项目使用的</w:t>
            </w:r>
            <w:r>
              <w:rPr>
                <w:rFonts w:hint="eastAsia" w:ascii="Times New Roman" w:hAnsi="Times New Roman" w:eastAsia="宋体" w:cs="Times New Roman"/>
                <w:color w:val="000000" w:themeColor="text1"/>
                <w:spacing w:val="-1"/>
                <w:sz w:val="24"/>
                <w:szCs w:val="24"/>
                <w:lang w:val="en-US" w:eastAsia="zh-CN"/>
                <w14:textFill>
                  <w14:solidFill>
                    <w14:schemeClr w14:val="tx1"/>
                  </w14:solidFill>
                </w14:textFill>
              </w:rPr>
              <w:t>生物质</w:t>
            </w:r>
            <w:r>
              <w:rPr>
                <w:rFonts w:hint="default" w:ascii="Times New Roman" w:hAnsi="Times New Roman" w:eastAsia="宋体" w:cs="Times New Roman"/>
                <w:color w:val="000000" w:themeColor="text1"/>
                <w:spacing w:val="-1"/>
                <w:sz w:val="24"/>
                <w:szCs w:val="24"/>
                <w14:textFill>
                  <w14:solidFill>
                    <w14:schemeClr w14:val="tx1"/>
                  </w14:solidFill>
                </w14:textFill>
              </w:rPr>
              <w:t>燃烧结束后会产生少量</w:t>
            </w:r>
            <w:r>
              <w:rPr>
                <w:rFonts w:hint="eastAsia" w:ascii="Times New Roman" w:hAnsi="Times New Roman" w:eastAsia="宋体" w:cs="Times New Roman"/>
                <w:color w:val="000000" w:themeColor="text1"/>
                <w:spacing w:val="-1"/>
                <w:sz w:val="24"/>
                <w:szCs w:val="24"/>
                <w:lang w:val="en-US" w:eastAsia="zh-CN"/>
                <w14:textFill>
                  <w14:solidFill>
                    <w14:schemeClr w14:val="tx1"/>
                  </w14:solidFill>
                </w14:textFill>
              </w:rPr>
              <w:t>炉渣</w:t>
            </w:r>
            <w:r>
              <w:rPr>
                <w:rFonts w:hint="default" w:ascii="Times New Roman" w:hAnsi="Times New Roman" w:eastAsia="宋体" w:cs="Times New Roman"/>
                <w:color w:val="000000" w:themeColor="text1"/>
                <w:spacing w:val="-1"/>
                <w:sz w:val="24"/>
                <w:szCs w:val="24"/>
                <w14:textFill>
                  <w14:solidFill>
                    <w14:schemeClr w14:val="tx1"/>
                  </w14:solidFill>
                </w14:textFill>
              </w:rPr>
              <w:t>，</w:t>
            </w:r>
            <w:r>
              <w:rPr>
                <w:rFonts w:hint="default" w:ascii="Times New Roman" w:hAnsi="Times New Roman" w:cs="Times New Roman"/>
                <w:color w:val="000000" w:themeColor="text1"/>
                <w:spacing w:val="-1"/>
                <w:sz w:val="24"/>
                <w:szCs w:val="24"/>
                <w:lang w:val="en-US" w:eastAsia="zh-CN"/>
                <w14:textFill>
                  <w14:solidFill>
                    <w14:schemeClr w14:val="tx1"/>
                  </w14:solidFill>
                </w14:textFill>
              </w:rPr>
              <w:t>根据</w:t>
            </w:r>
            <w:r>
              <w:rPr>
                <w:rFonts w:hint="eastAsia" w:ascii="Times New Roman" w:hAnsi="Times New Roman" w:cs="Times New Roman"/>
                <w:color w:val="000000" w:themeColor="text1"/>
                <w:spacing w:val="-1"/>
                <w:sz w:val="24"/>
                <w:szCs w:val="24"/>
                <w:lang w:val="en-US" w:eastAsia="zh-CN"/>
                <w14:textFill>
                  <w14:solidFill>
                    <w14:schemeClr w14:val="tx1"/>
                  </w14:solidFill>
                </w14:textFill>
              </w:rPr>
              <w:t>建设单位提供的生物质检测报告</w:t>
            </w:r>
            <w:r>
              <w:rPr>
                <w:rFonts w:hint="default" w:ascii="Times New Roman" w:hAnsi="Times New Roman" w:cs="Times New Roman"/>
                <w:color w:val="000000" w:themeColor="text1"/>
                <w:spacing w:val="-1"/>
                <w:sz w:val="24"/>
                <w:szCs w:val="24"/>
                <w:lang w:val="en-US" w:eastAsia="zh-CN"/>
                <w14:textFill>
                  <w14:solidFill>
                    <w14:schemeClr w14:val="tx1"/>
                  </w14:solidFill>
                </w14:textFill>
              </w:rPr>
              <w:t>，</w:t>
            </w:r>
            <w:r>
              <w:rPr>
                <w:rFonts w:hint="eastAsia" w:ascii="Times New Roman" w:hAnsi="Times New Roman" w:cs="Times New Roman"/>
                <w:color w:val="000000" w:themeColor="text1"/>
                <w:spacing w:val="-1"/>
                <w:sz w:val="24"/>
                <w:szCs w:val="24"/>
                <w:lang w:val="en-US" w:eastAsia="zh-CN"/>
                <w14:textFill>
                  <w14:solidFill>
                    <w14:schemeClr w14:val="tx1"/>
                  </w14:solidFill>
                </w14:textFill>
              </w:rPr>
              <w:t>项目所使用的生物质</w:t>
            </w:r>
            <w:r>
              <w:rPr>
                <w:rFonts w:hint="default" w:ascii="Times New Roman" w:hAnsi="Times New Roman" w:eastAsia="宋体" w:cs="Times New Roman"/>
                <w:color w:val="000000" w:themeColor="text1"/>
                <w:spacing w:val="-1"/>
                <w:sz w:val="24"/>
                <w:szCs w:val="24"/>
                <w14:textFill>
                  <w14:solidFill>
                    <w14:schemeClr w14:val="tx1"/>
                  </w14:solidFill>
                </w14:textFill>
              </w:rPr>
              <w:t>灰分</w:t>
            </w:r>
            <w:r>
              <w:rPr>
                <w:rFonts w:hint="eastAsia" w:ascii="Times New Roman" w:hAnsi="Times New Roman" w:eastAsia="宋体" w:cs="Times New Roman"/>
                <w:color w:val="000000" w:themeColor="text1"/>
                <w:spacing w:val="-1"/>
                <w:sz w:val="24"/>
                <w:szCs w:val="24"/>
                <w:lang w:val="en-US" w:eastAsia="zh-CN"/>
                <w14:textFill>
                  <w14:solidFill>
                    <w14:schemeClr w14:val="tx1"/>
                  </w14:solidFill>
                </w14:textFill>
              </w:rPr>
              <w:t>为5.46</w:t>
            </w:r>
            <w:r>
              <w:rPr>
                <w:rFonts w:hint="default" w:ascii="Times New Roman" w:hAnsi="Times New Roman" w:eastAsia="宋体" w:cs="Times New Roman"/>
                <w:color w:val="000000" w:themeColor="text1"/>
                <w:spacing w:val="-1"/>
                <w:sz w:val="24"/>
                <w:szCs w:val="24"/>
                <w14:textFill>
                  <w14:solidFill>
                    <w14:schemeClr w14:val="tx1"/>
                  </w14:solidFill>
                </w14:textFill>
              </w:rPr>
              <w:t>%</w:t>
            </w:r>
            <w:r>
              <w:rPr>
                <w:rFonts w:hint="default" w:ascii="Times New Roman" w:hAnsi="Times New Roman" w:cs="Times New Roman"/>
                <w:color w:val="000000" w:themeColor="text1"/>
                <w:spacing w:val="-1"/>
                <w:sz w:val="24"/>
                <w:szCs w:val="24"/>
                <w:lang w:eastAsia="zh-CN"/>
                <w14:textFill>
                  <w14:solidFill>
                    <w14:schemeClr w14:val="tx1"/>
                  </w14:solidFill>
                </w14:textFill>
              </w:rPr>
              <w:t>，</w:t>
            </w:r>
            <w:r>
              <w:rPr>
                <w:rFonts w:hint="eastAsia" w:ascii="Times New Roman" w:hAnsi="Times New Roman" w:cs="Times New Roman"/>
                <w:color w:val="000000" w:themeColor="text1"/>
                <w:spacing w:val="-1"/>
                <w:sz w:val="24"/>
                <w:szCs w:val="24"/>
                <w:lang w:val="en-US" w:eastAsia="zh-CN"/>
                <w14:textFill>
                  <w14:solidFill>
                    <w14:schemeClr w14:val="tx1"/>
                  </w14:solidFill>
                </w14:textFill>
              </w:rPr>
              <w:t>项目生物质用量为5500t/a，</w:t>
            </w:r>
            <w:r>
              <w:rPr>
                <w:rFonts w:hint="default" w:ascii="Times New Roman" w:hAnsi="Times New Roman" w:cs="Times New Roman"/>
                <w:color w:val="000000" w:themeColor="text1"/>
                <w:spacing w:val="-1"/>
                <w:sz w:val="24"/>
                <w:szCs w:val="24"/>
                <w:lang w:val="en-US" w:eastAsia="zh-CN"/>
                <w14:textFill>
                  <w14:solidFill>
                    <w14:schemeClr w14:val="tx1"/>
                  </w14:solidFill>
                </w14:textFill>
              </w:rPr>
              <w:t>则</w:t>
            </w:r>
            <w:r>
              <w:rPr>
                <w:rFonts w:hint="eastAsia" w:ascii="Times New Roman" w:hAnsi="Times New Roman" w:eastAsia="宋体" w:cs="Times New Roman"/>
                <w:color w:val="000000" w:themeColor="text1"/>
                <w:spacing w:val="-2"/>
                <w:sz w:val="24"/>
                <w:szCs w:val="24"/>
                <w:lang w:val="en-US" w:eastAsia="zh-CN"/>
                <w14:textFill>
                  <w14:solidFill>
                    <w14:schemeClr w14:val="tx1"/>
                  </w14:solidFill>
                </w14:textFill>
              </w:rPr>
              <w:t>炉渣</w:t>
            </w:r>
            <w:r>
              <w:rPr>
                <w:rFonts w:hint="default" w:ascii="Times New Roman" w:hAnsi="Times New Roman" w:eastAsia="宋体" w:cs="Times New Roman"/>
                <w:color w:val="000000" w:themeColor="text1"/>
                <w:spacing w:val="-2"/>
                <w:sz w:val="24"/>
                <w:szCs w:val="24"/>
                <w14:textFill>
                  <w14:solidFill>
                    <w14:schemeClr w14:val="tx1"/>
                  </w14:solidFill>
                </w14:textFill>
              </w:rPr>
              <w:t>产生量为</w:t>
            </w:r>
            <w:r>
              <w:rPr>
                <w:rFonts w:hint="eastAsia" w:ascii="Times New Roman" w:hAnsi="Times New Roman" w:eastAsia="宋体" w:cs="Times New Roman"/>
                <w:color w:val="000000" w:themeColor="text1"/>
                <w:spacing w:val="-1"/>
                <w:sz w:val="24"/>
                <w:szCs w:val="24"/>
                <w:lang w:val="en-US" w:eastAsia="zh-CN"/>
                <w14:textFill>
                  <w14:solidFill>
                    <w14:schemeClr w14:val="tx1"/>
                  </w14:solidFill>
                </w14:textFill>
              </w:rPr>
              <w:t>300</w:t>
            </w:r>
            <w:r>
              <w:rPr>
                <w:rFonts w:hint="default" w:ascii="Times New Roman" w:hAnsi="Times New Roman" w:eastAsia="Times New Roman" w:cs="Times New Roman"/>
                <w:color w:val="000000" w:themeColor="text1"/>
                <w:spacing w:val="-2"/>
                <w:sz w:val="24"/>
                <w:szCs w:val="24"/>
                <w14:textFill>
                  <w14:solidFill>
                    <w14:schemeClr w14:val="tx1"/>
                  </w14:solidFill>
                </w14:textFill>
              </w:rPr>
              <w:t>t/a</w:t>
            </w:r>
            <w:r>
              <w:rPr>
                <w:rFonts w:hint="eastAsia" w:ascii="Times New Roman" w:hAnsi="Times New Roman" w:eastAsia="宋体" w:cs="Times New Roman"/>
                <w:color w:val="000000" w:themeColor="text1"/>
                <w:sz w:val="24"/>
                <w:szCs w:val="24"/>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改扩建部分产生量为170t/a，返回原料制备工段作为原料使用</w:t>
            </w:r>
            <w:r>
              <w:rPr>
                <w:rFonts w:hint="default" w:ascii="Times New Roman" w:hAnsi="Times New Roman" w:eastAsia="宋体" w:cs="Times New Roman"/>
                <w:color w:val="000000" w:themeColor="text1"/>
                <w:spacing w:val="-2"/>
                <w:sz w:val="24"/>
                <w:szCs w:val="24"/>
                <w14:textFill>
                  <w14:solidFill>
                    <w14:schemeClr w14:val="tx1"/>
                  </w14:solidFill>
                </w14:textFill>
              </w:rPr>
              <w:t>。</w:t>
            </w:r>
          </w:p>
          <w:p w14:paraId="1D32927C">
            <w:pPr>
              <w:pStyle w:val="81"/>
              <w:keepNext w:val="0"/>
              <w:keepLines w:val="0"/>
              <w:pageBreakBefore w:val="0"/>
              <w:widowControl w:val="0"/>
              <w:kinsoku/>
              <w:wordWrap/>
              <w:overflowPunct/>
              <w:autoSpaceDN/>
              <w:bidi w:val="0"/>
              <w:snapToGrid/>
              <w:spacing w:line="360" w:lineRule="auto"/>
              <w:ind w:left="0" w:right="0" w:firstLine="482"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收尘灰</w:t>
            </w:r>
            <w:r>
              <w:rPr>
                <w:rFonts w:hint="eastAsia" w:cs="Times New Roman"/>
                <w:color w:val="000000" w:themeColor="text1"/>
                <w:sz w:val="24"/>
                <w:szCs w:val="24"/>
                <w:lang w:val="en-US" w:eastAsia="zh-CN"/>
                <w14:textFill>
                  <w14:solidFill>
                    <w14:schemeClr w14:val="tx1"/>
                  </w14:solidFill>
                </w14:textFill>
              </w:rPr>
              <w:t>及废布袋</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（S4）</w:t>
            </w:r>
          </w:p>
          <w:p w14:paraId="125B10E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根据前文分析，项目袋式收尘器收尘量为26.624t/a，加入搅拌机作原料使用。</w:t>
            </w:r>
          </w:p>
          <w:p w14:paraId="71B3CB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项目脉冲</w:t>
            </w:r>
            <w:r>
              <w:rPr>
                <w:rFonts w:hint="eastAsia" w:cs="Times New Roman" w:eastAsiaTheme="minorEastAsia"/>
                <w:color w:val="000000" w:themeColor="text1"/>
                <w:sz w:val="24"/>
                <w:szCs w:val="24"/>
                <w:lang w:val="en-US" w:eastAsia="zh-CN"/>
                <w14:textFill>
                  <w14:solidFill>
                    <w14:schemeClr w14:val="tx1"/>
                  </w14:solidFill>
                </w14:textFill>
              </w:rPr>
              <w:t>袋式</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除尘器布袋由厂家统一更换，更换产生的废布袋由厂家直接带走处理，不在项目区贮存。</w:t>
            </w:r>
          </w:p>
          <w:p w14:paraId="5D54C47D">
            <w:pPr>
              <w:keepNext w:val="0"/>
              <w:keepLines w:val="0"/>
              <w:pageBreakBefore w:val="0"/>
              <w:widowControl w:val="0"/>
              <w:kinsoku/>
              <w:wordWrap/>
              <w:overflowPunct/>
              <w:autoSpaceDN/>
              <w:bidi w:val="0"/>
              <w:snapToGrid/>
              <w:spacing w:line="360" w:lineRule="auto"/>
              <w:ind w:left="0" w:right="0" w:firstLine="474" w:firstLineChars="200"/>
              <w:rPr>
                <w:rFonts w:hint="default" w:ascii="Times New Roman" w:hAnsi="Times New Roman" w:eastAsia="宋体" w:cs="Times New Roman"/>
                <w:color w:val="000000" w:themeColor="text1"/>
                <w:spacing w:val="-2"/>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pacing w:val="-2"/>
                <w:sz w:val="24"/>
                <w:szCs w:val="24"/>
                <w:lang w:eastAsia="zh-CN"/>
                <w14:textFill>
                  <w14:solidFill>
                    <w14:schemeClr w14:val="tx1"/>
                  </w14:solidFill>
                </w14:textFill>
              </w:rPr>
              <w:t>（</w:t>
            </w:r>
            <w:r>
              <w:rPr>
                <w:rFonts w:hint="eastAsia" w:ascii="Times New Roman" w:hAnsi="Times New Roman" w:eastAsia="宋体" w:cs="Times New Roman"/>
                <w:b/>
                <w:bCs/>
                <w:color w:val="000000" w:themeColor="text1"/>
                <w:spacing w:val="-2"/>
                <w:sz w:val="24"/>
                <w:szCs w:val="24"/>
                <w:lang w:val="en-US" w:eastAsia="zh-CN"/>
                <w14:textFill>
                  <w14:solidFill>
                    <w14:schemeClr w14:val="tx1"/>
                  </w14:solidFill>
                </w14:textFill>
              </w:rPr>
              <w:t>4</w:t>
            </w:r>
            <w:r>
              <w:rPr>
                <w:rFonts w:hint="eastAsia" w:ascii="Times New Roman" w:hAnsi="Times New Roman" w:eastAsia="宋体" w:cs="Times New Roman"/>
                <w:b/>
                <w:bCs/>
                <w:color w:val="000000" w:themeColor="text1"/>
                <w:spacing w:val="-2"/>
                <w:sz w:val="24"/>
                <w:szCs w:val="24"/>
                <w:lang w:eastAsia="zh-CN"/>
                <w14:textFill>
                  <w14:solidFill>
                    <w14:schemeClr w14:val="tx1"/>
                  </w14:solidFill>
                </w14:textFill>
              </w:rPr>
              <w:t>）</w:t>
            </w:r>
            <w:r>
              <w:rPr>
                <w:rFonts w:hint="eastAsia" w:cs="Times New Roman"/>
                <w:b/>
                <w:bCs/>
                <w:color w:val="000000" w:themeColor="text1"/>
                <w:spacing w:val="-2"/>
                <w:sz w:val="24"/>
                <w:szCs w:val="24"/>
                <w:lang w:val="en-US" w:eastAsia="zh-CN"/>
                <w14:textFill>
                  <w14:solidFill>
                    <w14:schemeClr w14:val="tx1"/>
                  </w14:solidFill>
                </w14:textFill>
              </w:rPr>
              <w:t>脱硫石膏</w:t>
            </w:r>
            <w:r>
              <w:rPr>
                <w:rFonts w:hint="eastAsia" w:ascii="Times New Roman" w:hAnsi="Times New Roman" w:eastAsia="宋体" w:cs="Times New Roman"/>
                <w:b/>
                <w:bCs/>
                <w:color w:val="000000" w:themeColor="text1"/>
                <w:spacing w:val="-2"/>
                <w:sz w:val="24"/>
                <w:szCs w:val="24"/>
                <w:lang w:val="en-US" w:eastAsia="zh-CN"/>
                <w14:textFill>
                  <w14:solidFill>
                    <w14:schemeClr w14:val="tx1"/>
                  </w14:solidFill>
                </w14:textFill>
              </w:rPr>
              <w:t>（S5）</w:t>
            </w:r>
          </w:p>
          <w:p w14:paraId="2A5B3930">
            <w:pPr>
              <w:keepNext w:val="0"/>
              <w:keepLines w:val="0"/>
              <w:pageBreakBefore w:val="0"/>
              <w:widowControl w:val="0"/>
              <w:kinsoku/>
              <w:wordWrap/>
              <w:overflowPunct/>
              <w:autoSpaceDN/>
              <w:bidi w:val="0"/>
              <w:spacing w:line="360" w:lineRule="auto"/>
              <w:ind w:left="0" w:right="0"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烟气处理产生的废渣主要为硫酸钙和粉尘，</w:t>
            </w:r>
            <w:r>
              <w:rPr>
                <w:rFonts w:hint="eastAsia" w:cs="Times New Roman"/>
                <w:color w:val="000000" w:themeColor="text1"/>
                <w:sz w:val="24"/>
                <w:szCs w:val="24"/>
                <w:lang w:val="en-US" w:eastAsia="zh-CN"/>
                <w14:textFill>
                  <w14:solidFill>
                    <w14:schemeClr w14:val="tx1"/>
                  </w14:solidFill>
                </w14:textFill>
              </w:rPr>
              <w:t>二氧化硫去除量为58.32t/a</w:t>
            </w:r>
            <w:r>
              <w:rPr>
                <w:rFonts w:hint="eastAsia" w:ascii="Times New Roman" w:hAnsi="Times New Roman" w:eastAsia="宋体" w:cs="Times New Roman"/>
                <w:color w:val="000000" w:themeColor="text1"/>
                <w:sz w:val="24"/>
                <w:szCs w:val="24"/>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计算可得脱硫石膏产生量为156.74t/a，返回原料制备工段作为原料使用</w:t>
            </w:r>
            <w:r>
              <w:rPr>
                <w:rFonts w:hint="eastAsia" w:ascii="Times New Roman" w:hAnsi="Times New Roman" w:eastAsia="宋体" w:cs="Times New Roman"/>
                <w:color w:val="000000" w:themeColor="text1"/>
                <w:sz w:val="24"/>
                <w:szCs w:val="24"/>
                <w14:textFill>
                  <w14:solidFill>
                    <w14:schemeClr w14:val="tx1"/>
                  </w14:solidFill>
                </w14:textFill>
              </w:rPr>
              <w:t>。</w:t>
            </w:r>
          </w:p>
          <w:p w14:paraId="603718BA">
            <w:pPr>
              <w:pStyle w:val="81"/>
              <w:keepNext w:val="0"/>
              <w:keepLines w:val="0"/>
              <w:pageBreakBefore w:val="0"/>
              <w:widowControl w:val="0"/>
              <w:kinsoku/>
              <w:wordWrap/>
              <w:overflowPunct/>
              <w:autoSpaceDN/>
              <w:bidi w:val="0"/>
              <w:spacing w:line="360" w:lineRule="auto"/>
              <w:ind w:left="0" w:right="0" w:firstLine="482" w:firstLineChars="200"/>
              <w:rPr>
                <w:rFonts w:eastAsia="宋体"/>
                <w:color w:val="000000" w:themeColor="text1"/>
                <w:sz w:val="24"/>
                <w:szCs w:val="24"/>
                <w14:textFill>
                  <w14:solidFill>
                    <w14:schemeClr w14:val="tx1"/>
                  </w14:solidFill>
                </w14:textFill>
              </w:rPr>
            </w:pPr>
            <w:r>
              <w:rPr>
                <w:rFonts w:hint="eastAsia" w:eastAsia="宋体"/>
                <w:color w:val="000000" w:themeColor="text1"/>
                <w:sz w:val="24"/>
                <w:szCs w:val="24"/>
                <w:lang w:eastAsia="zh-CN"/>
                <w14:textFill>
                  <w14:solidFill>
                    <w14:schemeClr w14:val="tx1"/>
                  </w14:solidFill>
                </w14:textFill>
              </w:rPr>
              <w:t>（</w:t>
            </w:r>
            <w:r>
              <w:rPr>
                <w:rFonts w:hint="eastAsia" w:eastAsia="宋体"/>
                <w:color w:val="000000" w:themeColor="text1"/>
                <w:sz w:val="24"/>
                <w:szCs w:val="24"/>
                <w:lang w:val="en-US" w:eastAsia="zh-CN"/>
                <w14:textFill>
                  <w14:solidFill>
                    <w14:schemeClr w14:val="tx1"/>
                  </w14:solidFill>
                </w14:textFill>
              </w:rPr>
              <w:t>5</w:t>
            </w:r>
            <w:r>
              <w:rPr>
                <w:rFonts w:hint="eastAsia" w:eastAsia="宋体"/>
                <w:color w:val="000000" w:themeColor="text1"/>
                <w:sz w:val="24"/>
                <w:szCs w:val="24"/>
                <w:lang w:eastAsia="zh-CN"/>
                <w14:textFill>
                  <w14:solidFill>
                    <w14:schemeClr w14:val="tx1"/>
                  </w14:solidFill>
                </w14:textFill>
              </w:rPr>
              <w:t>）</w:t>
            </w:r>
            <w:r>
              <w:rPr>
                <w:rFonts w:eastAsia="宋体"/>
                <w:color w:val="000000" w:themeColor="text1"/>
                <w:sz w:val="24"/>
                <w:szCs w:val="24"/>
                <w14:textFill>
                  <w14:solidFill>
                    <w14:schemeClr w14:val="tx1"/>
                  </w14:solidFill>
                </w14:textFill>
              </w:rPr>
              <w:t>生活垃圾</w:t>
            </w:r>
          </w:p>
          <w:p w14:paraId="6A973E19">
            <w:pPr>
              <w:keepNext w:val="0"/>
              <w:keepLines w:val="0"/>
              <w:pageBreakBefore w:val="0"/>
              <w:widowControl w:val="0"/>
              <w:kinsoku/>
              <w:wordWrap/>
              <w:overflowPunct/>
              <w:autoSpaceDN/>
              <w:bidi w:val="0"/>
              <w:spacing w:line="360" w:lineRule="auto"/>
              <w:ind w:left="0" w:right="0" w:firstLine="480" w:firstLineChars="200"/>
              <w:rPr>
                <w:rFonts w:hint="eastAsia"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改扩建完成后，</w:t>
            </w:r>
            <w:r>
              <w:rPr>
                <w:rFonts w:hint="default" w:ascii="Times New Roman" w:hAnsi="Times New Roman" w:eastAsia="宋体" w:cs="Times New Roman"/>
                <w:color w:val="000000" w:themeColor="text1"/>
                <w:sz w:val="24"/>
                <w:szCs w:val="24"/>
                <w14:textFill>
                  <w14:solidFill>
                    <w14:schemeClr w14:val="tx1"/>
                  </w14:solidFill>
                </w14:textFill>
              </w:rPr>
              <w:t>生活垃圾产生量为</w:t>
            </w:r>
            <w:r>
              <w:rPr>
                <w:rFonts w:hint="eastAsia" w:cs="Times New Roman"/>
                <w:color w:val="000000" w:themeColor="text1"/>
                <w:sz w:val="24"/>
                <w:szCs w:val="24"/>
                <w:lang w:val="en-US" w:eastAsia="zh-CN"/>
                <w14:textFill>
                  <w14:solidFill>
                    <w14:schemeClr w14:val="tx1"/>
                  </w14:solidFill>
                </w14:textFill>
              </w:rPr>
              <w:t>11</w:t>
            </w:r>
            <w:r>
              <w:rPr>
                <w:rFonts w:hint="default" w:ascii="Times New Roman" w:hAnsi="Times New Roman" w:eastAsia="宋体" w:cs="Times New Roman"/>
                <w:color w:val="000000" w:themeColor="text1"/>
                <w:sz w:val="24"/>
                <w:szCs w:val="24"/>
                <w14:textFill>
                  <w14:solidFill>
                    <w14:schemeClr w14:val="tx1"/>
                  </w14:solidFill>
                </w14:textFill>
              </w:rPr>
              <w:t>kg/d，</w:t>
            </w:r>
            <w:r>
              <w:rPr>
                <w:rFonts w:hint="eastAsia" w:cs="Times New Roman"/>
                <w:color w:val="000000" w:themeColor="text1"/>
                <w:sz w:val="24"/>
                <w:szCs w:val="24"/>
                <w:lang w:val="en-US" w:eastAsia="zh-CN"/>
                <w14:textFill>
                  <w14:solidFill>
                    <w14:schemeClr w14:val="tx1"/>
                  </w14:solidFill>
                </w14:textFill>
              </w:rPr>
              <w:t>3.3</w:t>
            </w:r>
            <w:r>
              <w:rPr>
                <w:rFonts w:hint="default" w:ascii="Times New Roman" w:hAnsi="Times New Roman" w:eastAsia="宋体" w:cs="Times New Roman"/>
                <w:color w:val="000000" w:themeColor="text1"/>
                <w:sz w:val="24"/>
                <w:szCs w:val="24"/>
                <w14:textFill>
                  <w14:solidFill>
                    <w14:schemeClr w14:val="tx1"/>
                  </w14:solidFill>
                </w14:textFill>
              </w:rPr>
              <w:t>t/a，设置有1个生活垃圾箱收集</w:t>
            </w:r>
            <w:r>
              <w:rPr>
                <w:rFonts w:hint="eastAsia" w:cs="Times New Roman"/>
                <w:color w:val="000000" w:themeColor="text1"/>
                <w:sz w:val="24"/>
                <w:szCs w:val="24"/>
                <w:lang w:val="en-US" w:eastAsia="zh-CN"/>
                <w14:textFill>
                  <w14:solidFill>
                    <w14:schemeClr w14:val="tx1"/>
                  </w14:solidFill>
                </w14:textFill>
              </w:rPr>
              <w:t>箱</w:t>
            </w:r>
            <w:r>
              <w:rPr>
                <w:rFonts w:hint="default" w:ascii="Times New Roman" w:hAnsi="Times New Roman" w:eastAsia="宋体" w:cs="Times New Roman"/>
                <w:color w:val="000000" w:themeColor="text1"/>
                <w:sz w:val="24"/>
                <w:szCs w:val="24"/>
                <w14:textFill>
                  <w14:solidFill>
                    <w14:schemeClr w14:val="tx1"/>
                  </w14:solidFill>
                </w14:textFill>
              </w:rPr>
              <w:t>，委托环卫部门定期清运。</w:t>
            </w:r>
          </w:p>
          <w:p w14:paraId="09E37CA6">
            <w:pPr>
              <w:pStyle w:val="81"/>
              <w:keepNext w:val="0"/>
              <w:keepLines w:val="0"/>
              <w:pageBreakBefore w:val="0"/>
              <w:widowControl w:val="0"/>
              <w:kinsoku/>
              <w:wordWrap/>
              <w:overflowPunct/>
              <w:autoSpaceDN/>
              <w:bidi w:val="0"/>
              <w:spacing w:line="360" w:lineRule="auto"/>
              <w:ind w:left="0" w:right="0" w:firstLine="482" w:firstLineChars="200"/>
              <w:rPr>
                <w:rFonts w:hint="eastAsia" w:eastAsia="宋体"/>
                <w:color w:val="000000" w:themeColor="text1"/>
                <w:sz w:val="24"/>
                <w:szCs w:val="24"/>
                <w:lang w:eastAsia="zh-CN"/>
                <w14:textFill>
                  <w14:solidFill>
                    <w14:schemeClr w14:val="tx1"/>
                  </w14:solidFill>
                </w14:textFill>
              </w:rPr>
            </w:pPr>
            <w:r>
              <w:rPr>
                <w:rFonts w:hint="eastAsia" w:eastAsia="宋体"/>
                <w:color w:val="000000" w:themeColor="text1"/>
                <w:sz w:val="24"/>
                <w:szCs w:val="24"/>
                <w:lang w:eastAsia="zh-CN"/>
                <w14:textFill>
                  <w14:solidFill>
                    <w14:schemeClr w14:val="tx1"/>
                  </w14:solidFill>
                </w14:textFill>
              </w:rPr>
              <w:t>（</w:t>
            </w:r>
            <w:r>
              <w:rPr>
                <w:rFonts w:hint="eastAsia" w:eastAsia="宋体"/>
                <w:color w:val="000000" w:themeColor="text1"/>
                <w:sz w:val="24"/>
                <w:szCs w:val="24"/>
                <w:lang w:val="en-US" w:eastAsia="zh-CN"/>
                <w14:textFill>
                  <w14:solidFill>
                    <w14:schemeClr w14:val="tx1"/>
                  </w14:solidFill>
                </w14:textFill>
              </w:rPr>
              <w:t>6</w:t>
            </w:r>
            <w:r>
              <w:rPr>
                <w:rFonts w:hint="eastAsia" w:eastAsia="宋体"/>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废机油、</w:t>
            </w:r>
            <w:r>
              <w:rPr>
                <w:rFonts w:hint="eastAsia" w:eastAsia="宋体"/>
                <w:color w:val="000000" w:themeColor="text1"/>
                <w:sz w:val="24"/>
                <w:szCs w:val="24"/>
                <w:lang w:val="en-US" w:eastAsia="zh-CN"/>
                <w14:textFill>
                  <w14:solidFill>
                    <w14:schemeClr w14:val="tx1"/>
                  </w14:solidFill>
                </w14:textFill>
              </w:rPr>
              <w:t>废润滑油</w:t>
            </w:r>
          </w:p>
          <w:p w14:paraId="7DB0D134">
            <w:pPr>
              <w:keepNext w:val="0"/>
              <w:keepLines w:val="0"/>
              <w:pageBreakBefore w:val="0"/>
              <w:widowControl w:val="0"/>
              <w:kinsoku/>
              <w:wordWrap/>
              <w:overflowPunct/>
              <w:autoSpaceDN/>
              <w:bidi w:val="0"/>
              <w:adjustRightInd w:val="0"/>
              <w:snapToGrid w:val="0"/>
              <w:spacing w:line="360" w:lineRule="auto"/>
              <w:ind w:left="0" w:right="0" w:firstLine="480" w:firstLineChars="200"/>
              <w:rPr>
                <w:rFonts w:hint="default"/>
                <w:color w:val="000000" w:themeColor="text1"/>
                <w:sz w:val="24"/>
                <w:szCs w:val="24"/>
                <w:lang w:val="en-US"/>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现有项目生产设备每半年检修1次，</w:t>
            </w:r>
            <w:r>
              <w:rPr>
                <w:rFonts w:hint="default" w:ascii="Times New Roman" w:hAnsi="Times New Roman" w:eastAsia="宋体" w:cs="Times New Roman"/>
                <w:color w:val="000000" w:themeColor="text1"/>
                <w:sz w:val="24"/>
                <w:szCs w:val="24"/>
                <w14:textFill>
                  <w14:solidFill>
                    <w14:schemeClr w14:val="tx1"/>
                  </w14:solidFill>
                </w14:textFill>
              </w:rPr>
              <w:t>更换量约为50kg/次，则</w:t>
            </w:r>
            <w:r>
              <w:rPr>
                <w:rFonts w:hint="eastAsia" w:cs="Times New Roman"/>
                <w:color w:val="000000" w:themeColor="text1"/>
                <w:sz w:val="24"/>
                <w:szCs w:val="24"/>
                <w:lang w:val="en-US" w:eastAsia="zh-CN"/>
                <w14:textFill>
                  <w14:solidFill>
                    <w14:schemeClr w14:val="tx1"/>
                  </w14:solidFill>
                </w14:textFill>
              </w:rPr>
              <w:t>废机油、</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废润滑油</w:t>
            </w:r>
            <w:r>
              <w:rPr>
                <w:rFonts w:hint="default" w:ascii="Times New Roman" w:hAnsi="Times New Roman" w:eastAsia="宋体" w:cs="Times New Roman"/>
                <w:color w:val="000000" w:themeColor="text1"/>
                <w:sz w:val="24"/>
                <w:szCs w:val="24"/>
                <w14:textFill>
                  <w14:solidFill>
                    <w14:schemeClr w14:val="tx1"/>
                  </w14:solidFill>
                </w14:textFill>
              </w:rPr>
              <w:t>产生量为0.1t/a。</w:t>
            </w:r>
            <w:r>
              <w:rPr>
                <w:rFonts w:hint="eastAsia"/>
                <w:color w:val="000000" w:themeColor="text1"/>
                <w:sz w:val="24"/>
                <w:szCs w:val="24"/>
                <w:lang w:val="en-US" w:eastAsia="zh-CN"/>
                <w14:textFill>
                  <w14:solidFill>
                    <w14:schemeClr w14:val="tx1"/>
                  </w14:solidFill>
                </w14:textFill>
              </w:rPr>
              <w:t>本次改扩建仅新增1台破碎机，设备检修产生的</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废润滑油</w:t>
            </w:r>
            <w:r>
              <w:rPr>
                <w:rFonts w:hint="eastAsia"/>
                <w:color w:val="000000" w:themeColor="text1"/>
                <w:sz w:val="24"/>
                <w:szCs w:val="24"/>
                <w:lang w:val="en-US" w:eastAsia="zh-CN"/>
                <w14:textFill>
                  <w14:solidFill>
                    <w14:schemeClr w14:val="tx1"/>
                  </w14:solidFill>
                </w14:textFill>
              </w:rPr>
              <w:t>量很小，废机油、</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废润滑油</w:t>
            </w:r>
            <w:r>
              <w:rPr>
                <w:rFonts w:hint="eastAsia"/>
                <w:color w:val="000000" w:themeColor="text1"/>
                <w:sz w:val="24"/>
                <w:szCs w:val="24"/>
                <w:lang w:val="en-US" w:eastAsia="zh-CN"/>
                <w14:textFill>
                  <w14:solidFill>
                    <w14:schemeClr w14:val="tx1"/>
                  </w14:solidFill>
                </w14:textFill>
              </w:rPr>
              <w:t>产生量按0.1t/a计。根据《国家危险废物名录》（2025年版），废润滑油属于HW08车辆、机械维修和拆解过程中产生的废机油，废润滑油，废物代码为900-214-08，本次环评提出新增1间危险废物暂存间，产生的废机油集中收集后暂存于危险废物暂存间委托有资质的单位清运处置。危险废物暂存间应按《危险废物贮存污染控制标准》（GB18597-2023）进行建设，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 m厚黏土层（渗透系数不大于10</w:t>
            </w:r>
            <w:r>
              <w:rPr>
                <w:rFonts w:hint="eastAsia"/>
                <w:color w:val="000000" w:themeColor="text1"/>
                <w:sz w:val="24"/>
                <w:szCs w:val="24"/>
                <w:vertAlign w:val="superscript"/>
                <w:lang w:val="en-US" w:eastAsia="zh-CN"/>
                <w14:textFill>
                  <w14:solidFill>
                    <w14:schemeClr w14:val="tx1"/>
                  </w14:solidFill>
                </w14:textFill>
              </w:rPr>
              <w:t>-7</w:t>
            </w:r>
            <w:r>
              <w:rPr>
                <w:rFonts w:hint="eastAsia"/>
                <w:color w:val="000000" w:themeColor="text1"/>
                <w:sz w:val="24"/>
                <w:szCs w:val="24"/>
                <w:lang w:val="en-US" w:eastAsia="zh-CN"/>
                <w14:textFill>
                  <w14:solidFill>
                    <w14:schemeClr w14:val="tx1"/>
                  </w14:solidFill>
                </w14:textFill>
              </w:rPr>
              <w:t>cm/s），或至少2mm厚高密度聚乙烯膜等人工防渗材料（渗透系数不大于10</w:t>
            </w:r>
            <w:r>
              <w:rPr>
                <w:rFonts w:hint="eastAsia"/>
                <w:color w:val="000000" w:themeColor="text1"/>
                <w:sz w:val="24"/>
                <w:szCs w:val="24"/>
                <w:vertAlign w:val="superscript"/>
                <w:lang w:val="en-US" w:eastAsia="zh-CN"/>
                <w14:textFill>
                  <w14:solidFill>
                    <w14:schemeClr w14:val="tx1"/>
                  </w14:solidFill>
                </w14:textFill>
              </w:rPr>
              <w:t>-10</w:t>
            </w:r>
            <w:r>
              <w:rPr>
                <w:rFonts w:hint="eastAsia"/>
                <w:color w:val="000000" w:themeColor="text1"/>
                <w:sz w:val="24"/>
                <w:szCs w:val="24"/>
                <w:lang w:val="en-US" w:eastAsia="zh-CN"/>
                <w14:textFill>
                  <w14:solidFill>
                    <w14:schemeClr w14:val="tx1"/>
                  </w14:solidFill>
                </w14:textFill>
              </w:rPr>
              <w:t>cm/s），或其他防渗性能等效的材料。</w:t>
            </w:r>
          </w:p>
          <w:p w14:paraId="3D74185C">
            <w:pPr>
              <w:spacing w:line="360" w:lineRule="auto"/>
              <w:ind w:firstLine="480" w:firstLineChars="200"/>
              <w:rPr>
                <w:rFonts w:hint="eastAsia" w:eastAsia="宋体"/>
                <w:bCs/>
                <w:color w:val="000000" w:themeColor="text1"/>
                <w:sz w:val="24"/>
                <w:lang w:eastAsia="zh-CN"/>
                <w14:textFill>
                  <w14:solidFill>
                    <w14:schemeClr w14:val="tx1"/>
                  </w14:solidFill>
                </w14:textFill>
              </w:rPr>
            </w:pPr>
            <w:r>
              <w:rPr>
                <w:bCs/>
                <w:color w:val="000000" w:themeColor="text1"/>
                <w:sz w:val="24"/>
                <w14:textFill>
                  <w14:solidFill>
                    <w14:schemeClr w14:val="tx1"/>
                  </w14:solidFill>
                </w14:textFill>
              </w:rPr>
              <w:t>项目</w:t>
            </w:r>
            <w:r>
              <w:rPr>
                <w:rFonts w:hint="eastAsia"/>
                <w:bCs/>
                <w:color w:val="000000" w:themeColor="text1"/>
                <w:sz w:val="24"/>
                <w:lang w:val="en-US" w:eastAsia="zh-CN"/>
                <w14:textFill>
                  <w14:solidFill>
                    <w14:schemeClr w14:val="tx1"/>
                  </w14:solidFill>
                </w14:textFill>
              </w:rPr>
              <w:t>改扩建完成后</w:t>
            </w:r>
            <w:r>
              <w:rPr>
                <w:rFonts w:hint="eastAsia"/>
                <w:bCs/>
                <w:color w:val="000000" w:themeColor="text1"/>
                <w:sz w:val="24"/>
                <w14:textFill>
                  <w14:solidFill>
                    <w14:schemeClr w14:val="tx1"/>
                  </w14:solidFill>
                </w14:textFill>
              </w:rPr>
              <w:t>固体废物基础信息</w:t>
            </w:r>
            <w:r>
              <w:rPr>
                <w:rFonts w:hint="eastAsia"/>
                <w:bCs/>
                <w:color w:val="000000" w:themeColor="text1"/>
                <w:sz w:val="24"/>
                <w:lang w:val="en-US" w:eastAsia="zh-CN"/>
                <w14:textFill>
                  <w14:solidFill>
                    <w14:schemeClr w14:val="tx1"/>
                  </w14:solidFill>
                </w14:textFill>
              </w:rPr>
              <w:t>如下表所示</w:t>
            </w:r>
            <w:r>
              <w:rPr>
                <w:rFonts w:hint="eastAsia"/>
                <w:bCs/>
                <w:color w:val="000000" w:themeColor="text1"/>
                <w:sz w:val="24"/>
                <w:lang w:eastAsia="zh-CN"/>
                <w14:textFill>
                  <w14:solidFill>
                    <w14:schemeClr w14:val="tx1"/>
                  </w14:solidFill>
                </w14:textFill>
              </w:rPr>
              <w:t>：</w:t>
            </w:r>
          </w:p>
          <w:p w14:paraId="4FC60E4B">
            <w:pPr>
              <w:spacing w:line="276" w:lineRule="auto"/>
              <w:jc w:val="center"/>
              <w:rPr>
                <w:rFonts w:hint="eastAsia"/>
                <w:b/>
                <w:bCs/>
                <w:color w:val="000000" w:themeColor="text1"/>
                <w:sz w:val="24"/>
                <w:lang w:val="en-US" w:eastAsia="zh-CN"/>
                <w14:textFill>
                  <w14:solidFill>
                    <w14:schemeClr w14:val="tx1"/>
                  </w14:solidFill>
                </w14:textFill>
              </w:rPr>
            </w:pPr>
            <w:r>
              <w:rPr>
                <w:b/>
                <w:color w:val="000000" w:themeColor="text1"/>
                <w:sz w:val="24"/>
                <w14:textFill>
                  <w14:solidFill>
                    <w14:schemeClr w14:val="tx1"/>
                  </w14:solidFill>
                </w14:textFill>
              </w:rPr>
              <w:t>表4-</w:t>
            </w:r>
            <w:r>
              <w:rPr>
                <w:rFonts w:hint="eastAsia"/>
                <w:b/>
                <w:color w:val="000000" w:themeColor="text1"/>
                <w:sz w:val="24"/>
                <w:lang w:val="en-US" w:eastAsia="zh-CN"/>
                <w14:textFill>
                  <w14:solidFill>
                    <w14:schemeClr w14:val="tx1"/>
                  </w14:solidFill>
                </w14:textFill>
              </w:rPr>
              <w:t>22</w:t>
            </w:r>
            <w:r>
              <w:rPr>
                <w:b/>
                <w:color w:val="000000" w:themeColor="text1"/>
                <w:sz w:val="24"/>
                <w14:textFill>
                  <w14:solidFill>
                    <w14:schemeClr w14:val="tx1"/>
                  </w14:solidFill>
                </w14:textFill>
              </w:rPr>
              <w:t xml:space="preserve">   </w:t>
            </w:r>
            <w:r>
              <w:rPr>
                <w:rFonts w:hint="eastAsia"/>
                <w:b/>
                <w:color w:val="000000" w:themeColor="text1"/>
                <w:sz w:val="24"/>
                <w:lang w:val="en-US" w:eastAsia="zh-CN"/>
                <w14:textFill>
                  <w14:solidFill>
                    <w14:schemeClr w14:val="tx1"/>
                  </w14:solidFill>
                </w14:textFill>
              </w:rPr>
              <w:t>改扩建完成后</w:t>
            </w:r>
            <w:r>
              <w:rPr>
                <w:b/>
                <w:bCs/>
                <w:color w:val="000000" w:themeColor="text1"/>
                <w:sz w:val="24"/>
                <w14:textFill>
                  <w14:solidFill>
                    <w14:schemeClr w14:val="tx1"/>
                  </w14:solidFill>
                </w14:textFill>
              </w:rPr>
              <w:t>固体废物</w:t>
            </w:r>
            <w:r>
              <w:rPr>
                <w:rFonts w:hint="eastAsia"/>
                <w:b/>
                <w:bCs/>
                <w:color w:val="000000" w:themeColor="text1"/>
                <w:sz w:val="24"/>
                <w:lang w:val="en-US" w:eastAsia="zh-CN"/>
                <w14:textFill>
                  <w14:solidFill>
                    <w14:schemeClr w14:val="tx1"/>
                  </w14:solidFill>
                </w14:textFill>
              </w:rPr>
              <w:t>基础信息表</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
              <w:gridCol w:w="963"/>
              <w:gridCol w:w="964"/>
              <w:gridCol w:w="964"/>
              <w:gridCol w:w="964"/>
              <w:gridCol w:w="964"/>
              <w:gridCol w:w="964"/>
              <w:gridCol w:w="964"/>
              <w:gridCol w:w="964"/>
            </w:tblGrid>
            <w:tr w14:paraId="25DA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 w:type="dxa"/>
                  <w:vAlign w:val="center"/>
                </w:tcPr>
                <w:p w14:paraId="467E109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固体废物类别</w:t>
                  </w:r>
                </w:p>
              </w:tc>
              <w:tc>
                <w:tcPr>
                  <w:tcW w:w="963" w:type="dxa"/>
                  <w:vAlign w:val="center"/>
                </w:tcPr>
                <w:p w14:paraId="29E96AE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固体废物名称</w:t>
                  </w:r>
                </w:p>
              </w:tc>
              <w:tc>
                <w:tcPr>
                  <w:tcW w:w="964" w:type="dxa"/>
                  <w:vAlign w:val="center"/>
                </w:tcPr>
                <w:p w14:paraId="3AB3CD3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代码</w:t>
                  </w:r>
                </w:p>
              </w:tc>
              <w:tc>
                <w:tcPr>
                  <w:tcW w:w="964" w:type="dxa"/>
                  <w:vAlign w:val="center"/>
                </w:tcPr>
                <w:p w14:paraId="71FC096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危险特性</w:t>
                  </w:r>
                </w:p>
              </w:tc>
              <w:tc>
                <w:tcPr>
                  <w:tcW w:w="964" w:type="dxa"/>
                  <w:vAlign w:val="center"/>
                </w:tcPr>
                <w:p w14:paraId="42B746E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类别</w:t>
                  </w:r>
                </w:p>
              </w:tc>
              <w:tc>
                <w:tcPr>
                  <w:tcW w:w="964" w:type="dxa"/>
                  <w:vAlign w:val="center"/>
                </w:tcPr>
                <w:p w14:paraId="139FB0A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物理性状</w:t>
                  </w:r>
                </w:p>
              </w:tc>
              <w:tc>
                <w:tcPr>
                  <w:tcW w:w="964" w:type="dxa"/>
                  <w:vAlign w:val="center"/>
                </w:tcPr>
                <w:p w14:paraId="4D171E1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产生环节</w:t>
                  </w:r>
                </w:p>
              </w:tc>
              <w:tc>
                <w:tcPr>
                  <w:tcW w:w="964" w:type="dxa"/>
                  <w:vAlign w:val="center"/>
                </w:tcPr>
                <w:p w14:paraId="741BE60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去向</w:t>
                  </w:r>
                </w:p>
              </w:tc>
              <w:tc>
                <w:tcPr>
                  <w:tcW w:w="964" w:type="dxa"/>
                  <w:vAlign w:val="center"/>
                </w:tcPr>
                <w:p w14:paraId="4D5F20E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备注</w:t>
                  </w:r>
                </w:p>
              </w:tc>
            </w:tr>
            <w:tr w14:paraId="7832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 w:type="dxa"/>
                  <w:vAlign w:val="center"/>
                </w:tcPr>
                <w:p w14:paraId="5E4373B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一般工业固体废物</w:t>
                  </w:r>
                </w:p>
              </w:tc>
              <w:tc>
                <w:tcPr>
                  <w:tcW w:w="963" w:type="dxa"/>
                  <w:vAlign w:val="center"/>
                </w:tcPr>
                <w:p w14:paraId="44C46D0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边角料及不合格产品</w:t>
                  </w:r>
                </w:p>
              </w:tc>
              <w:tc>
                <w:tcPr>
                  <w:tcW w:w="964" w:type="dxa"/>
                  <w:vAlign w:val="center"/>
                </w:tcPr>
                <w:p w14:paraId="3DC027C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SW59</w:t>
                  </w:r>
                </w:p>
                <w:p w14:paraId="4635736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900-099-S59</w:t>
                  </w:r>
                </w:p>
              </w:tc>
              <w:tc>
                <w:tcPr>
                  <w:tcW w:w="964" w:type="dxa"/>
                  <w:vAlign w:val="center"/>
                </w:tcPr>
                <w:p w14:paraId="2646BF6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964" w:type="dxa"/>
                  <w:vAlign w:val="center"/>
                </w:tcPr>
                <w:p w14:paraId="62F9B14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第Ⅰ类工业固体废物</w:t>
                  </w:r>
                </w:p>
              </w:tc>
              <w:tc>
                <w:tcPr>
                  <w:tcW w:w="964" w:type="dxa"/>
                  <w:vAlign w:val="center"/>
                </w:tcPr>
                <w:p w14:paraId="6799A7C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固态</w:t>
                  </w:r>
                </w:p>
              </w:tc>
              <w:tc>
                <w:tcPr>
                  <w:tcW w:w="964" w:type="dxa"/>
                  <w:vAlign w:val="center"/>
                </w:tcPr>
                <w:p w14:paraId="31CFC36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原辅料制备、窑烧成</w:t>
                  </w:r>
                </w:p>
              </w:tc>
              <w:tc>
                <w:tcPr>
                  <w:tcW w:w="964" w:type="dxa"/>
                  <w:vAlign w:val="center"/>
                </w:tcPr>
                <w:p w14:paraId="5AF7280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作为原料使用</w:t>
                  </w:r>
                </w:p>
              </w:tc>
              <w:tc>
                <w:tcPr>
                  <w:tcW w:w="964" w:type="dxa"/>
                  <w:vAlign w:val="center"/>
                </w:tcPr>
                <w:p w14:paraId="06684D7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自行贮存、自行利用</w:t>
                  </w:r>
                </w:p>
              </w:tc>
            </w:tr>
            <w:tr w14:paraId="3109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 w:type="dxa"/>
                  <w:vAlign w:val="center"/>
                </w:tcPr>
                <w:p w14:paraId="07766E5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一般工业固体废物</w:t>
                  </w:r>
                </w:p>
              </w:tc>
              <w:tc>
                <w:tcPr>
                  <w:tcW w:w="963" w:type="dxa"/>
                  <w:vAlign w:val="center"/>
                </w:tcPr>
                <w:p w14:paraId="2D44C41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炉渣</w:t>
                  </w:r>
                </w:p>
              </w:tc>
              <w:tc>
                <w:tcPr>
                  <w:tcW w:w="964" w:type="dxa"/>
                  <w:vAlign w:val="center"/>
                </w:tcPr>
                <w:p w14:paraId="5980A10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SW03</w:t>
                  </w:r>
                </w:p>
                <w:p w14:paraId="06465AA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900-099-S03</w:t>
                  </w:r>
                </w:p>
              </w:tc>
              <w:tc>
                <w:tcPr>
                  <w:tcW w:w="964" w:type="dxa"/>
                  <w:vAlign w:val="center"/>
                </w:tcPr>
                <w:p w14:paraId="42CA2D8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964" w:type="dxa"/>
                  <w:vAlign w:val="center"/>
                </w:tcPr>
                <w:p w14:paraId="10723D6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第Ⅰ类工业固体废物</w:t>
                  </w:r>
                </w:p>
              </w:tc>
              <w:tc>
                <w:tcPr>
                  <w:tcW w:w="964" w:type="dxa"/>
                  <w:vAlign w:val="center"/>
                </w:tcPr>
                <w:p w14:paraId="50ADCD1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固态</w:t>
                  </w:r>
                </w:p>
              </w:tc>
              <w:tc>
                <w:tcPr>
                  <w:tcW w:w="964" w:type="dxa"/>
                  <w:vAlign w:val="center"/>
                </w:tcPr>
                <w:p w14:paraId="484E23B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窑烧成</w:t>
                  </w:r>
                </w:p>
              </w:tc>
              <w:tc>
                <w:tcPr>
                  <w:tcW w:w="964" w:type="dxa"/>
                  <w:vAlign w:val="center"/>
                </w:tcPr>
                <w:p w14:paraId="1A1CFC7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作为原料使用</w:t>
                  </w:r>
                </w:p>
              </w:tc>
              <w:tc>
                <w:tcPr>
                  <w:tcW w:w="964" w:type="dxa"/>
                  <w:vAlign w:val="center"/>
                </w:tcPr>
                <w:p w14:paraId="423D134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自行贮存、自行利用</w:t>
                  </w:r>
                </w:p>
              </w:tc>
            </w:tr>
            <w:tr w14:paraId="1929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 w:type="dxa"/>
                  <w:vMerge w:val="restart"/>
                  <w:vAlign w:val="center"/>
                </w:tcPr>
                <w:p w14:paraId="4B8D849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一般工业固体废物</w:t>
                  </w:r>
                </w:p>
              </w:tc>
              <w:tc>
                <w:tcPr>
                  <w:tcW w:w="963" w:type="dxa"/>
                  <w:vAlign w:val="center"/>
                </w:tcPr>
                <w:p w14:paraId="11197E6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袋式收尘器</w:t>
                  </w:r>
                </w:p>
              </w:tc>
              <w:tc>
                <w:tcPr>
                  <w:tcW w:w="964" w:type="dxa"/>
                  <w:vMerge w:val="restart"/>
                  <w:vAlign w:val="center"/>
                </w:tcPr>
                <w:p w14:paraId="1B4111A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SW59</w:t>
                  </w:r>
                </w:p>
                <w:p w14:paraId="59BA271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900-099-S59</w:t>
                  </w:r>
                </w:p>
              </w:tc>
              <w:tc>
                <w:tcPr>
                  <w:tcW w:w="964" w:type="dxa"/>
                  <w:vAlign w:val="center"/>
                </w:tcPr>
                <w:p w14:paraId="1B2F131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964" w:type="dxa"/>
                  <w:vMerge w:val="restart"/>
                  <w:vAlign w:val="center"/>
                </w:tcPr>
                <w:p w14:paraId="0134775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第Ⅰ类工业固体废物</w:t>
                  </w:r>
                </w:p>
              </w:tc>
              <w:tc>
                <w:tcPr>
                  <w:tcW w:w="964" w:type="dxa"/>
                  <w:vMerge w:val="restart"/>
                  <w:vAlign w:val="center"/>
                </w:tcPr>
                <w:p w14:paraId="791B641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固态</w:t>
                  </w:r>
                </w:p>
              </w:tc>
              <w:tc>
                <w:tcPr>
                  <w:tcW w:w="964" w:type="dxa"/>
                  <w:vMerge w:val="restart"/>
                  <w:vAlign w:val="center"/>
                </w:tcPr>
                <w:p w14:paraId="60CD7C0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废气治理</w:t>
                  </w:r>
                </w:p>
              </w:tc>
              <w:tc>
                <w:tcPr>
                  <w:tcW w:w="964" w:type="dxa"/>
                  <w:vAlign w:val="center"/>
                </w:tcPr>
                <w:p w14:paraId="17B6D54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作为原料使用</w:t>
                  </w:r>
                </w:p>
              </w:tc>
              <w:tc>
                <w:tcPr>
                  <w:tcW w:w="964" w:type="dxa"/>
                  <w:vAlign w:val="center"/>
                </w:tcPr>
                <w:p w14:paraId="182B379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自行贮存、自行利用</w:t>
                  </w:r>
                </w:p>
              </w:tc>
            </w:tr>
            <w:tr w14:paraId="7A65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 w:type="dxa"/>
                  <w:vMerge w:val="continue"/>
                  <w:vAlign w:val="center"/>
                </w:tcPr>
                <w:p w14:paraId="1F75870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000000" w:themeColor="text1"/>
                      <w:lang w:val="en-US" w:eastAsia="zh-CN"/>
                      <w14:textFill>
                        <w14:solidFill>
                          <w14:schemeClr w14:val="tx1"/>
                        </w14:solidFill>
                      </w14:textFill>
                    </w:rPr>
                  </w:pPr>
                </w:p>
              </w:tc>
              <w:tc>
                <w:tcPr>
                  <w:tcW w:w="963" w:type="dxa"/>
                  <w:vAlign w:val="center"/>
                </w:tcPr>
                <w:p w14:paraId="453DA82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废布袋</w:t>
                  </w:r>
                </w:p>
              </w:tc>
              <w:tc>
                <w:tcPr>
                  <w:tcW w:w="964" w:type="dxa"/>
                  <w:vMerge w:val="continue"/>
                  <w:vAlign w:val="center"/>
                </w:tcPr>
                <w:p w14:paraId="684370B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p>
              </w:tc>
              <w:tc>
                <w:tcPr>
                  <w:tcW w:w="964" w:type="dxa"/>
                  <w:vAlign w:val="center"/>
                </w:tcPr>
                <w:p w14:paraId="6237C0D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964" w:type="dxa"/>
                  <w:vMerge w:val="continue"/>
                  <w:vAlign w:val="center"/>
                </w:tcPr>
                <w:p w14:paraId="580C746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p>
              </w:tc>
              <w:tc>
                <w:tcPr>
                  <w:tcW w:w="964" w:type="dxa"/>
                  <w:vMerge w:val="continue"/>
                  <w:vAlign w:val="center"/>
                </w:tcPr>
                <w:p w14:paraId="55FDE3F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p>
              </w:tc>
              <w:tc>
                <w:tcPr>
                  <w:tcW w:w="964" w:type="dxa"/>
                  <w:vMerge w:val="continue"/>
                  <w:vAlign w:val="center"/>
                </w:tcPr>
                <w:p w14:paraId="3A612E3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p>
              </w:tc>
              <w:tc>
                <w:tcPr>
                  <w:tcW w:w="964" w:type="dxa"/>
                  <w:vAlign w:val="center"/>
                </w:tcPr>
                <w:p w14:paraId="214F96F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由设备厂家更换直接带走处置</w:t>
                  </w:r>
                </w:p>
              </w:tc>
              <w:tc>
                <w:tcPr>
                  <w:tcW w:w="964" w:type="dxa"/>
                  <w:vAlign w:val="center"/>
                </w:tcPr>
                <w:p w14:paraId="37EAF6B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委托贮存、委托处置</w:t>
                  </w:r>
                </w:p>
              </w:tc>
            </w:tr>
            <w:tr w14:paraId="655C5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 w:type="dxa"/>
                  <w:vAlign w:val="center"/>
                </w:tcPr>
                <w:p w14:paraId="26A11AC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一般工业固体废物</w:t>
                  </w:r>
                </w:p>
              </w:tc>
              <w:tc>
                <w:tcPr>
                  <w:tcW w:w="963" w:type="dxa"/>
                  <w:vAlign w:val="center"/>
                </w:tcPr>
                <w:p w14:paraId="188D834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脱硫石膏</w:t>
                  </w:r>
                </w:p>
              </w:tc>
              <w:tc>
                <w:tcPr>
                  <w:tcW w:w="964" w:type="dxa"/>
                  <w:vAlign w:val="center"/>
                </w:tcPr>
                <w:p w14:paraId="3BCFCFE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SW06</w:t>
                  </w:r>
                </w:p>
                <w:p w14:paraId="0EFC3F0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900-099-S06</w:t>
                  </w:r>
                </w:p>
              </w:tc>
              <w:tc>
                <w:tcPr>
                  <w:tcW w:w="964" w:type="dxa"/>
                  <w:vAlign w:val="center"/>
                </w:tcPr>
                <w:p w14:paraId="38FC596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964" w:type="dxa"/>
                  <w:vAlign w:val="center"/>
                </w:tcPr>
                <w:p w14:paraId="71B1A74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第Ⅰ类工业固体废物</w:t>
                  </w:r>
                </w:p>
              </w:tc>
              <w:tc>
                <w:tcPr>
                  <w:tcW w:w="964" w:type="dxa"/>
                  <w:vAlign w:val="center"/>
                </w:tcPr>
                <w:p w14:paraId="46D1C34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半固态</w:t>
                  </w:r>
                </w:p>
              </w:tc>
              <w:tc>
                <w:tcPr>
                  <w:tcW w:w="964" w:type="dxa"/>
                  <w:vAlign w:val="center"/>
                </w:tcPr>
                <w:p w14:paraId="6DB9A46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废气治理</w:t>
                  </w:r>
                </w:p>
              </w:tc>
              <w:tc>
                <w:tcPr>
                  <w:tcW w:w="964" w:type="dxa"/>
                  <w:vAlign w:val="center"/>
                </w:tcPr>
                <w:p w14:paraId="403716F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作为原料使用</w:t>
                  </w:r>
                </w:p>
              </w:tc>
              <w:tc>
                <w:tcPr>
                  <w:tcW w:w="964" w:type="dxa"/>
                  <w:vAlign w:val="center"/>
                </w:tcPr>
                <w:p w14:paraId="30BEEB7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自行贮存、自行利用</w:t>
                  </w:r>
                </w:p>
              </w:tc>
            </w:tr>
            <w:tr w14:paraId="7548D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 w:type="dxa"/>
                  <w:vAlign w:val="center"/>
                </w:tcPr>
                <w:p w14:paraId="131F175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危险废物</w:t>
                  </w:r>
                </w:p>
              </w:tc>
              <w:tc>
                <w:tcPr>
                  <w:tcW w:w="963" w:type="dxa"/>
                  <w:vAlign w:val="center"/>
                </w:tcPr>
                <w:p w14:paraId="53B958E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废机油、废润滑油</w:t>
                  </w:r>
                </w:p>
              </w:tc>
              <w:tc>
                <w:tcPr>
                  <w:tcW w:w="964" w:type="dxa"/>
                  <w:vAlign w:val="center"/>
                </w:tcPr>
                <w:p w14:paraId="4D03630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HW08</w:t>
                  </w:r>
                </w:p>
                <w:p w14:paraId="5B98D3D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900-214-08</w:t>
                  </w:r>
                </w:p>
              </w:tc>
              <w:tc>
                <w:tcPr>
                  <w:tcW w:w="964" w:type="dxa"/>
                  <w:vAlign w:val="center"/>
                </w:tcPr>
                <w:p w14:paraId="492BFF8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T</w:t>
                  </w:r>
                  <w:r>
                    <w:rPr>
                      <w:rFonts w:hint="eastAsia"/>
                      <w:color w:val="000000" w:themeColor="text1"/>
                      <w:lang w:val="en-US" w:eastAsia="zh-CN"/>
                      <w14:textFill>
                        <w14:solidFill>
                          <w14:schemeClr w14:val="tx1"/>
                        </w14:solidFill>
                      </w14:textFill>
                    </w:rPr>
                    <w:t>，</w:t>
                  </w:r>
                  <w:r>
                    <w:rPr>
                      <w:rFonts w:hint="default"/>
                      <w:color w:val="000000" w:themeColor="text1"/>
                      <w:lang w:val="en-US"/>
                      <w14:textFill>
                        <w14:solidFill>
                          <w14:schemeClr w14:val="tx1"/>
                        </w14:solidFill>
                      </w14:textFill>
                    </w:rPr>
                    <w:t>I</w:t>
                  </w:r>
                </w:p>
              </w:tc>
              <w:tc>
                <w:tcPr>
                  <w:tcW w:w="964" w:type="dxa"/>
                  <w:vAlign w:val="center"/>
                </w:tcPr>
                <w:p w14:paraId="6CA5FB7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危险废物</w:t>
                  </w:r>
                </w:p>
              </w:tc>
              <w:tc>
                <w:tcPr>
                  <w:tcW w:w="964" w:type="dxa"/>
                  <w:vAlign w:val="center"/>
                </w:tcPr>
                <w:p w14:paraId="6012767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液态</w:t>
                  </w:r>
                </w:p>
              </w:tc>
              <w:tc>
                <w:tcPr>
                  <w:tcW w:w="964" w:type="dxa"/>
                  <w:vAlign w:val="center"/>
                </w:tcPr>
                <w:p w14:paraId="665CD7D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原辅料制备</w:t>
                  </w:r>
                </w:p>
              </w:tc>
              <w:tc>
                <w:tcPr>
                  <w:tcW w:w="964" w:type="dxa"/>
                  <w:vAlign w:val="center"/>
                </w:tcPr>
                <w:p w14:paraId="4D7A003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委托有资质的单位清运处置</w:t>
                  </w:r>
                </w:p>
              </w:tc>
              <w:tc>
                <w:tcPr>
                  <w:tcW w:w="964" w:type="dxa"/>
                  <w:vAlign w:val="center"/>
                </w:tcPr>
                <w:p w14:paraId="579C03A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000000" w:themeColor="text1"/>
                      <w:lang w:val="en-US"/>
                      <w14:textFill>
                        <w14:solidFill>
                          <w14:schemeClr w14:val="tx1"/>
                        </w14:solidFill>
                      </w14:textFill>
                    </w:rPr>
                  </w:pPr>
                  <w:r>
                    <w:rPr>
                      <w:rFonts w:hint="eastAsia"/>
                      <w:color w:val="000000" w:themeColor="text1"/>
                      <w:lang w:val="en-US" w:eastAsia="zh-CN"/>
                      <w14:textFill>
                        <w14:solidFill>
                          <w14:schemeClr w14:val="tx1"/>
                        </w14:solidFill>
                      </w14:textFill>
                    </w:rPr>
                    <w:t>自行贮存、委托处置</w:t>
                  </w:r>
                </w:p>
              </w:tc>
            </w:tr>
          </w:tbl>
          <w:p w14:paraId="70C78D1B">
            <w:pPr>
              <w:spacing w:line="276" w:lineRule="auto"/>
              <w:jc w:val="center"/>
              <w:rPr>
                <w:rFonts w:hint="default"/>
                <w:b/>
                <w:color w:val="000000" w:themeColor="text1"/>
                <w:sz w:val="24"/>
                <w:lang w:val="en-US" w:eastAsia="zh-CN"/>
                <w14:textFill>
                  <w14:solidFill>
                    <w14:schemeClr w14:val="tx1"/>
                  </w14:solidFill>
                </w14:textFill>
              </w:rPr>
            </w:pPr>
            <w:r>
              <w:rPr>
                <w:rFonts w:hint="eastAsia"/>
                <w:b/>
                <w:color w:val="000000" w:themeColor="text1"/>
                <w:sz w:val="24"/>
                <w:lang w:val="en-US" w:eastAsia="zh-CN"/>
                <w14:textFill>
                  <w14:solidFill>
                    <w14:schemeClr w14:val="tx1"/>
                  </w14:solidFill>
                </w14:textFill>
              </w:rPr>
              <w:t>表4-23  项目自行贮存和自行利用/处置设施信息表</w:t>
            </w:r>
          </w:p>
          <w:tbl>
            <w:tblPr>
              <w:tblStyle w:val="29"/>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008"/>
              <w:gridCol w:w="823"/>
              <w:gridCol w:w="1140"/>
              <w:gridCol w:w="1188"/>
              <w:gridCol w:w="960"/>
              <w:gridCol w:w="2451"/>
            </w:tblGrid>
            <w:tr w14:paraId="72E3C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restart"/>
                  <w:vAlign w:val="center"/>
                </w:tcPr>
                <w:p w14:paraId="188B52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固体废物类别</w:t>
                  </w:r>
                </w:p>
              </w:tc>
              <w:tc>
                <w:tcPr>
                  <w:tcW w:w="1008" w:type="dxa"/>
                  <w:vMerge w:val="restart"/>
                  <w:vAlign w:val="center"/>
                </w:tcPr>
                <w:p w14:paraId="516579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设施名称</w:t>
                  </w:r>
                </w:p>
              </w:tc>
              <w:tc>
                <w:tcPr>
                  <w:tcW w:w="823" w:type="dxa"/>
                  <w:vMerge w:val="restart"/>
                  <w:vAlign w:val="center"/>
                </w:tcPr>
                <w:p w14:paraId="6678F4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设施编号</w:t>
                  </w:r>
                </w:p>
              </w:tc>
              <w:tc>
                <w:tcPr>
                  <w:tcW w:w="1140" w:type="dxa"/>
                  <w:vMerge w:val="restart"/>
                  <w:vAlign w:val="center"/>
                </w:tcPr>
                <w:p w14:paraId="78E74E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设施类型</w:t>
                  </w:r>
                </w:p>
              </w:tc>
              <w:tc>
                <w:tcPr>
                  <w:tcW w:w="2148" w:type="dxa"/>
                  <w:gridSpan w:val="2"/>
                  <w:vAlign w:val="center"/>
                </w:tcPr>
                <w:p w14:paraId="0F1B3B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位置</w:t>
                  </w:r>
                </w:p>
              </w:tc>
              <w:tc>
                <w:tcPr>
                  <w:tcW w:w="2451" w:type="dxa"/>
                  <w:vMerge w:val="restart"/>
                  <w:vAlign w:val="center"/>
                </w:tcPr>
                <w:p w14:paraId="457C42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污染防控技术要求</w:t>
                  </w:r>
                </w:p>
              </w:tc>
            </w:tr>
            <w:tr w14:paraId="72E7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vAlign w:val="center"/>
                </w:tcPr>
                <w:p w14:paraId="580161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000000" w:themeColor="text1"/>
                      <w:sz w:val="21"/>
                      <w:szCs w:val="21"/>
                      <w:vertAlign w:val="baseline"/>
                      <w14:textFill>
                        <w14:solidFill>
                          <w14:schemeClr w14:val="tx1"/>
                        </w14:solidFill>
                      </w14:textFill>
                    </w:rPr>
                  </w:pPr>
                </w:p>
              </w:tc>
              <w:tc>
                <w:tcPr>
                  <w:tcW w:w="1008" w:type="dxa"/>
                  <w:vMerge w:val="continue"/>
                  <w:vAlign w:val="center"/>
                </w:tcPr>
                <w:p w14:paraId="18FC64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000000" w:themeColor="text1"/>
                      <w:sz w:val="21"/>
                      <w:szCs w:val="21"/>
                      <w:vertAlign w:val="baseline"/>
                      <w14:textFill>
                        <w14:solidFill>
                          <w14:schemeClr w14:val="tx1"/>
                        </w14:solidFill>
                      </w14:textFill>
                    </w:rPr>
                  </w:pPr>
                </w:p>
              </w:tc>
              <w:tc>
                <w:tcPr>
                  <w:tcW w:w="823" w:type="dxa"/>
                  <w:vMerge w:val="continue"/>
                  <w:vAlign w:val="center"/>
                </w:tcPr>
                <w:p w14:paraId="312347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000000" w:themeColor="text1"/>
                      <w:sz w:val="21"/>
                      <w:szCs w:val="21"/>
                      <w:vertAlign w:val="baseline"/>
                      <w14:textFill>
                        <w14:solidFill>
                          <w14:schemeClr w14:val="tx1"/>
                        </w14:solidFill>
                      </w14:textFill>
                    </w:rPr>
                  </w:pPr>
                </w:p>
              </w:tc>
              <w:tc>
                <w:tcPr>
                  <w:tcW w:w="1140" w:type="dxa"/>
                  <w:vMerge w:val="continue"/>
                  <w:vAlign w:val="center"/>
                </w:tcPr>
                <w:p w14:paraId="255289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000000" w:themeColor="text1"/>
                      <w:sz w:val="21"/>
                      <w:szCs w:val="21"/>
                      <w:vertAlign w:val="baseline"/>
                      <w14:textFill>
                        <w14:solidFill>
                          <w14:schemeClr w14:val="tx1"/>
                        </w14:solidFill>
                      </w14:textFill>
                    </w:rPr>
                  </w:pPr>
                </w:p>
              </w:tc>
              <w:tc>
                <w:tcPr>
                  <w:tcW w:w="1188" w:type="dxa"/>
                  <w:vAlign w:val="center"/>
                </w:tcPr>
                <w:p w14:paraId="0FE2AB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经度</w:t>
                  </w:r>
                </w:p>
              </w:tc>
              <w:tc>
                <w:tcPr>
                  <w:tcW w:w="960" w:type="dxa"/>
                  <w:vAlign w:val="center"/>
                </w:tcPr>
                <w:p w14:paraId="1958B3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纬度</w:t>
                  </w:r>
                </w:p>
              </w:tc>
              <w:tc>
                <w:tcPr>
                  <w:tcW w:w="2451" w:type="dxa"/>
                  <w:vMerge w:val="continue"/>
                  <w:vAlign w:val="center"/>
                </w:tcPr>
                <w:p w14:paraId="3BED7C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000000" w:themeColor="text1"/>
                      <w:sz w:val="21"/>
                      <w:szCs w:val="21"/>
                      <w:vertAlign w:val="baseline"/>
                      <w14:textFill>
                        <w14:solidFill>
                          <w14:schemeClr w14:val="tx1"/>
                        </w14:solidFill>
                      </w14:textFill>
                    </w:rPr>
                  </w:pPr>
                </w:p>
              </w:tc>
            </w:tr>
            <w:tr w14:paraId="55B20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Align w:val="center"/>
                </w:tcPr>
                <w:p w14:paraId="4ED009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一般工业固体废物</w:t>
                  </w:r>
                </w:p>
              </w:tc>
              <w:tc>
                <w:tcPr>
                  <w:tcW w:w="1008" w:type="dxa"/>
                  <w:vAlign w:val="center"/>
                </w:tcPr>
                <w:p w14:paraId="40496F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一般固废暂存间</w:t>
                  </w:r>
                </w:p>
              </w:tc>
              <w:tc>
                <w:tcPr>
                  <w:tcW w:w="823" w:type="dxa"/>
                  <w:vAlign w:val="center"/>
                </w:tcPr>
                <w:p w14:paraId="3AB9BE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TS001</w:t>
                  </w:r>
                </w:p>
              </w:tc>
              <w:tc>
                <w:tcPr>
                  <w:tcW w:w="1140" w:type="dxa"/>
                  <w:vAlign w:val="center"/>
                </w:tcPr>
                <w:p w14:paraId="4A4384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自行贮存、自行利用</w:t>
                  </w:r>
                </w:p>
              </w:tc>
              <w:tc>
                <w:tcPr>
                  <w:tcW w:w="1188" w:type="dxa"/>
                  <w:vAlign w:val="center"/>
                </w:tcPr>
                <w:p w14:paraId="64B9E2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104.0814</w:t>
                  </w:r>
                </w:p>
              </w:tc>
              <w:tc>
                <w:tcPr>
                  <w:tcW w:w="960" w:type="dxa"/>
                  <w:vAlign w:val="center"/>
                </w:tcPr>
                <w:p w14:paraId="46BC2E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25.1543</w:t>
                  </w:r>
                </w:p>
              </w:tc>
              <w:tc>
                <w:tcPr>
                  <w:tcW w:w="2451" w:type="dxa"/>
                  <w:vAlign w:val="center"/>
                </w:tcPr>
                <w:p w14:paraId="5DB843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000000" w:themeColor="text1"/>
                      <w:sz w:val="21"/>
                      <w:szCs w:val="21"/>
                      <w:vertAlign w:val="baseline"/>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14:textFill>
                        <w14:solidFill>
                          <w14:schemeClr w14:val="tx1"/>
                        </w14:solidFill>
                      </w14:textFill>
                    </w:rPr>
                    <w:t>采用库房、包装工具（罐、桶、包装袋等）贮存一般工业固体废物的，贮存过程应满足相应防渗漏、防雨淋、防扬尘等环境保护要求；危险废物和生活垃圾不得进入一般工业固体废物贮存场</w:t>
                  </w:r>
                  <w:r>
                    <w:rPr>
                      <w:rFonts w:hint="eastAsia" w:ascii="Times New Roman" w:hAnsi="Times New Roman" w:cs="Times New Roman"/>
                      <w:b w:val="0"/>
                      <w:bCs w:val="0"/>
                      <w:color w:val="000000" w:themeColor="text1"/>
                      <w:sz w:val="21"/>
                      <w:szCs w:val="21"/>
                      <w:vertAlign w:val="baseline"/>
                      <w:lang w:eastAsia="zh-CN"/>
                      <w14:textFill>
                        <w14:solidFill>
                          <w14:schemeClr w14:val="tx1"/>
                        </w14:solidFill>
                      </w14:textFill>
                    </w:rPr>
                    <w:t>；</w:t>
                  </w:r>
                  <w:r>
                    <w:rPr>
                      <w:rFonts w:hint="default" w:ascii="Times New Roman" w:hAnsi="Times New Roman" w:cs="Times New Roman"/>
                      <w:b w:val="0"/>
                      <w:bCs w:val="0"/>
                      <w:color w:val="000000" w:themeColor="text1"/>
                      <w:sz w:val="21"/>
                      <w:szCs w:val="21"/>
                      <w:vertAlign w:val="baseline"/>
                      <w14:textFill>
                        <w14:solidFill>
                          <w14:schemeClr w14:val="tx1"/>
                        </w14:solidFill>
                      </w14:textFill>
                    </w:rPr>
                    <w:t>不相容的一般工业固体废物应设置不同的分区进行贮存；贮存场应设置清晰、完整的一般工业固体废物标志牌等。排污单位生产运营期间一般工业固体废物自行贮存/利用/处置设施的环境管理和相关设施运行维护要求还应符合GB15562.2、GB18599、GB30485和HJ2035等相关标准规范要求。</w:t>
                  </w:r>
                </w:p>
              </w:tc>
            </w:tr>
            <w:tr w14:paraId="577B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Align w:val="center"/>
                </w:tcPr>
                <w:p w14:paraId="17C320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危险废物</w:t>
                  </w:r>
                </w:p>
              </w:tc>
              <w:tc>
                <w:tcPr>
                  <w:tcW w:w="1008" w:type="dxa"/>
                  <w:vAlign w:val="center"/>
                </w:tcPr>
                <w:p w14:paraId="63B5C1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危险废物暂存间</w:t>
                  </w:r>
                </w:p>
              </w:tc>
              <w:tc>
                <w:tcPr>
                  <w:tcW w:w="823" w:type="dxa"/>
                  <w:vAlign w:val="center"/>
                </w:tcPr>
                <w:p w14:paraId="6BBA2C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TS002</w:t>
                  </w:r>
                </w:p>
              </w:tc>
              <w:tc>
                <w:tcPr>
                  <w:tcW w:w="1140" w:type="dxa"/>
                  <w:vAlign w:val="center"/>
                </w:tcPr>
                <w:p w14:paraId="79A533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自行贮存</w:t>
                  </w:r>
                  <w:r>
                    <w:rPr>
                      <w:rFonts w:hint="eastAsia" w:cs="Times New Roman"/>
                      <w:b w:val="0"/>
                      <w:bCs w:val="0"/>
                      <w:color w:val="000000" w:themeColor="text1"/>
                      <w:sz w:val="21"/>
                      <w:szCs w:val="21"/>
                      <w:vertAlign w:val="baseline"/>
                      <w:lang w:val="en-US" w:eastAsia="zh-CN"/>
                      <w14:textFill>
                        <w14:solidFill>
                          <w14:schemeClr w14:val="tx1"/>
                        </w14:solidFill>
                      </w14:textFill>
                    </w:rPr>
                    <w:t>、委托处置</w:t>
                  </w:r>
                </w:p>
              </w:tc>
              <w:tc>
                <w:tcPr>
                  <w:tcW w:w="1188" w:type="dxa"/>
                  <w:vAlign w:val="center"/>
                </w:tcPr>
                <w:p w14:paraId="4B8B7E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104.0814</w:t>
                  </w:r>
                </w:p>
              </w:tc>
              <w:tc>
                <w:tcPr>
                  <w:tcW w:w="960" w:type="dxa"/>
                  <w:vAlign w:val="center"/>
                </w:tcPr>
                <w:p w14:paraId="782C60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25.1544</w:t>
                  </w:r>
                </w:p>
              </w:tc>
              <w:tc>
                <w:tcPr>
                  <w:tcW w:w="2451" w:type="dxa"/>
                  <w:vAlign w:val="center"/>
                </w:tcPr>
                <w:p w14:paraId="3EBFEA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000000" w:themeColor="text1"/>
                      <w:sz w:val="21"/>
                      <w:szCs w:val="21"/>
                      <w:vertAlign w:val="baseline"/>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14:textFill>
                        <w14:solidFill>
                          <w14:schemeClr w14:val="tx1"/>
                        </w14:solidFill>
                      </w14:textFill>
                    </w:rPr>
                    <w:t>包装容器应达到相应的强度要求并完好无损，禁止混合贮存性质不相容而未经安全性处置的危险废物；危险废物容器和包装物以及危险废物贮存设施、场所应按规定设置危险废物识别标志；仓库式贮存设施应分开存放不相容危险废物，按危险废物的种类和特性进行分区贮存，采用防腐、防渗地面和裙脚，设置防止</w:t>
                  </w:r>
                  <w:r>
                    <w:rPr>
                      <w:rFonts w:hint="eastAsia" w:cs="Times New Roman"/>
                      <w:b w:val="0"/>
                      <w:bCs w:val="0"/>
                      <w:color w:val="000000" w:themeColor="text1"/>
                      <w:sz w:val="21"/>
                      <w:szCs w:val="21"/>
                      <w:vertAlign w:val="baseline"/>
                      <w:lang w:eastAsia="zh-CN"/>
                      <w14:textFill>
                        <w14:solidFill>
                          <w14:schemeClr w14:val="tx1"/>
                        </w14:solidFill>
                      </w14:textFill>
                    </w:rPr>
                    <w:t>泄漏</w:t>
                  </w:r>
                  <w:r>
                    <w:rPr>
                      <w:rFonts w:hint="default" w:ascii="Times New Roman" w:hAnsi="Times New Roman" w:cs="Times New Roman"/>
                      <w:b w:val="0"/>
                      <w:bCs w:val="0"/>
                      <w:color w:val="000000" w:themeColor="text1"/>
                      <w:sz w:val="21"/>
                      <w:szCs w:val="21"/>
                      <w:vertAlign w:val="baseline"/>
                      <w14:textFill>
                        <w14:solidFill>
                          <w14:schemeClr w14:val="tx1"/>
                        </w14:solidFill>
                      </w14:textFill>
                    </w:rPr>
                    <w:t>物质扩散至外环境的拦截、导流、收集设施；贮存堆场要防风、防雨、防晒；从事收集、贮存、利用、处置危险废物经营活动的单位，贮存危险废物不得超过一年（报经颁发危险废物经营许可证的生态环境主管部门批准或法律法规另有规定的除外）等。排污单位生产运营期间危险废物自行贮存设施的环境管理和相关设施运行维护还应符合GB15562.2、GB 18484、GB18597、GB 30485、HJ 2025和HJ 2042等相关标准规范要求。</w:t>
                  </w:r>
                </w:p>
              </w:tc>
            </w:tr>
          </w:tbl>
          <w:p w14:paraId="76C7A62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b w:val="0"/>
                <w:bCs w:val="0"/>
                <w:color w:val="000000" w:themeColor="text1"/>
                <w:sz w:val="24"/>
                <w14:textFill>
                  <w14:solidFill>
                    <w14:schemeClr w14:val="tx1"/>
                  </w14:solidFill>
                </w14:textFill>
              </w:rPr>
            </w:pPr>
            <w:r>
              <w:rPr>
                <w:rFonts w:hint="eastAsia"/>
                <w:b w:val="0"/>
                <w:bCs w:val="0"/>
                <w:color w:val="000000" w:themeColor="text1"/>
                <w:sz w:val="24"/>
                <w14:textFill>
                  <w14:solidFill>
                    <w14:schemeClr w14:val="tx1"/>
                  </w14:solidFill>
                </w14:textFill>
              </w:rPr>
              <w:t>在严格采取以上措施的情况下，本项目运营期产生的各类固体废物均可得到妥善处理和处置，不会对周围环境产生二次污染，对环境影响较小。</w:t>
            </w:r>
          </w:p>
          <w:p w14:paraId="018462F0">
            <w:pPr>
              <w:adjustRightInd w:val="0"/>
              <w:snapToGrid w:val="0"/>
              <w:spacing w:line="360" w:lineRule="auto"/>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5</w:t>
            </w:r>
            <w:r>
              <w:rPr>
                <w:b/>
                <w:bCs/>
                <w:color w:val="000000" w:themeColor="text1"/>
                <w:sz w:val="24"/>
                <w14:textFill>
                  <w14:solidFill>
                    <w14:schemeClr w14:val="tx1"/>
                  </w14:solidFill>
                </w14:textFill>
              </w:rPr>
              <w:t>、地下水、土壤</w:t>
            </w:r>
          </w:p>
          <w:p w14:paraId="6851FA32">
            <w:pPr>
              <w:adjustRightInd w:val="0"/>
              <w:snapToGrid w:val="0"/>
              <w:spacing w:line="360" w:lineRule="auto"/>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5.1地下水、土壤影响分析</w:t>
            </w:r>
          </w:p>
          <w:p w14:paraId="188DB177">
            <w:pPr>
              <w:adjustRightInd w:val="0"/>
              <w:snapToGrid w:val="0"/>
              <w:spacing w:line="360" w:lineRule="auto"/>
              <w:ind w:firstLine="480" w:firstLineChars="200"/>
              <w:rPr>
                <w:rFonts w:hint="eastAsia" w:eastAsia="宋体"/>
                <w:color w:val="000000" w:themeColor="text1"/>
                <w:sz w:val="24"/>
                <w:lang w:eastAsia="zh-CN"/>
                <w14:textFill>
                  <w14:solidFill>
                    <w14:schemeClr w14:val="tx1"/>
                  </w14:solidFill>
                </w14:textFill>
              </w:rPr>
            </w:pPr>
            <w:r>
              <w:rPr>
                <w:color w:val="000000" w:themeColor="text1"/>
                <w:sz w:val="24"/>
                <w14:textFill>
                  <w14:solidFill>
                    <w14:schemeClr w14:val="tx1"/>
                  </w14:solidFill>
                </w14:textFill>
              </w:rPr>
              <w:t>根据项目原辅材料</w:t>
            </w:r>
            <w:r>
              <w:rPr>
                <w:rFonts w:hint="eastAsia"/>
                <w:color w:val="000000" w:themeColor="text1"/>
                <w:sz w:val="24"/>
                <w14:textFill>
                  <w14:solidFill>
                    <w14:schemeClr w14:val="tx1"/>
                  </w14:solidFill>
                </w14:textFill>
              </w:rPr>
              <w:t>和</w:t>
            </w:r>
            <w:r>
              <w:rPr>
                <w:color w:val="000000" w:themeColor="text1"/>
                <w:sz w:val="24"/>
                <w14:textFill>
                  <w14:solidFill>
                    <w14:schemeClr w14:val="tx1"/>
                  </w14:solidFill>
                </w14:textFill>
              </w:rPr>
              <w:t>工艺，</w:t>
            </w:r>
            <w:r>
              <w:rPr>
                <w:rFonts w:hint="eastAsia"/>
                <w:color w:val="000000" w:themeColor="text1"/>
                <w:sz w:val="24"/>
                <w14:textFill>
                  <w14:solidFill>
                    <w14:schemeClr w14:val="tx1"/>
                  </w14:solidFill>
                </w14:textFill>
              </w:rPr>
              <w:t>项目不涉及重金属和持久性有机污染物，</w:t>
            </w:r>
            <w:r>
              <w:rPr>
                <w:rFonts w:hint="eastAsia"/>
                <w:color w:val="000000" w:themeColor="text1"/>
                <w:sz w:val="24"/>
                <w:lang w:val="en-US" w:eastAsia="zh-CN"/>
                <w14:textFill>
                  <w14:solidFill>
                    <w14:schemeClr w14:val="tx1"/>
                  </w14:solidFill>
                </w14:textFill>
              </w:rPr>
              <w:t>项目使用的生物质大豆油主要用</w:t>
            </w:r>
            <w:r>
              <w:rPr>
                <w:rFonts w:hint="eastAsia"/>
                <w:color w:val="000000" w:themeColor="text1"/>
                <w:sz w:val="24"/>
                <w:szCs w:val="24"/>
                <w:lang w:val="en-US" w:eastAsia="zh-CN"/>
                <w14:textFill>
                  <w14:solidFill>
                    <w14:schemeClr w14:val="tx1"/>
                  </w14:solidFill>
                </w14:textFill>
              </w:rPr>
              <w:t>于</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真空瓦机润滑使用，采用桶装存贮在项目区制瓦车间，使用过程中在设备下方设置有收集桶，跑冒滴漏的收集后回用，不存在地下水污染。</w:t>
            </w:r>
            <w:r>
              <w:rPr>
                <w:color w:val="000000" w:themeColor="text1"/>
                <w:sz w:val="24"/>
                <w14:textFill>
                  <w14:solidFill>
                    <w14:schemeClr w14:val="tx1"/>
                  </w14:solidFill>
                </w14:textFill>
              </w:rPr>
              <w:t>本项目</w:t>
            </w:r>
            <w:r>
              <w:rPr>
                <w:rFonts w:hint="eastAsia"/>
                <w:color w:val="000000" w:themeColor="text1"/>
                <w:sz w:val="24"/>
                <w14:textFill>
                  <w14:solidFill>
                    <w14:schemeClr w14:val="tx1"/>
                  </w14:solidFill>
                </w14:textFill>
              </w:rPr>
              <w:t>运营期</w:t>
            </w:r>
            <w:r>
              <w:rPr>
                <w:color w:val="000000" w:themeColor="text1"/>
                <w:sz w:val="24"/>
                <w14:textFill>
                  <w14:solidFill>
                    <w14:schemeClr w14:val="tx1"/>
                  </w14:solidFill>
                </w14:textFill>
              </w:rPr>
              <w:t>地下水</w:t>
            </w:r>
            <w:r>
              <w:rPr>
                <w:rFonts w:hint="eastAsia"/>
                <w:color w:val="000000" w:themeColor="text1"/>
                <w:sz w:val="24"/>
                <w14:textFill>
                  <w14:solidFill>
                    <w14:schemeClr w14:val="tx1"/>
                  </w14:solidFill>
                </w14:textFill>
              </w:rPr>
              <w:t>污染源主要为</w:t>
            </w:r>
            <w:r>
              <w:rPr>
                <w:rFonts w:hint="eastAsia"/>
                <w:color w:val="000000" w:themeColor="text1"/>
                <w:sz w:val="24"/>
                <w:lang w:val="en-US" w:eastAsia="zh-CN"/>
                <w14:textFill>
                  <w14:solidFill>
                    <w14:schemeClr w14:val="tx1"/>
                  </w14:solidFill>
                </w14:textFill>
              </w:rPr>
              <w:t>事故状态下</w:t>
            </w:r>
            <w:r>
              <w:rPr>
                <w:rFonts w:hint="eastAsia" w:ascii="宋体" w:hAnsi="宋体" w:eastAsia="宋体" w:cs="宋体"/>
                <w:color w:val="000000" w:themeColor="text1"/>
                <w:sz w:val="24"/>
                <w:szCs w:val="24"/>
                <w:highlight w:val="none"/>
                <w:lang w:val="en-US" w:eastAsia="zh-CN"/>
                <w14:textFill>
                  <w14:solidFill>
                    <w14:schemeClr w14:val="tx1"/>
                  </w14:solidFill>
                </w14:textFill>
              </w:rPr>
              <w:t>脱</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硫塔</w:t>
            </w:r>
            <w:r>
              <w:rPr>
                <w:rFonts w:hint="eastAsia" w:cs="Times New Roman"/>
                <w:color w:val="000000" w:themeColor="text1"/>
                <w:sz w:val="24"/>
                <w:szCs w:val="24"/>
                <w:highlight w:val="none"/>
                <w:lang w:val="en-US" w:eastAsia="zh-CN"/>
                <w14:textFill>
                  <w14:solidFill>
                    <w14:schemeClr w14:val="tx1"/>
                  </w14:solidFill>
                </w14:textFill>
              </w:rPr>
              <w:t>循环沉淀池</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水池</w:t>
            </w:r>
            <w:r>
              <w:rPr>
                <w:rFonts w:hint="default" w:ascii="Times New Roman" w:hAnsi="Times New Roman" w:cs="Times New Roman"/>
                <w:color w:val="000000" w:themeColor="text1"/>
                <w:kern w:val="0"/>
                <w:sz w:val="24"/>
                <w:szCs w:val="24"/>
                <w:highlight w:val="none"/>
                <w14:textFill>
                  <w14:solidFill>
                    <w14:schemeClr w14:val="tx1"/>
                  </w14:solidFill>
                </w14:textFill>
              </w:rPr>
              <w:t>发生泄漏下渗</w:t>
            </w:r>
            <w:r>
              <w:rPr>
                <w:rFonts w:hint="eastAsia" w:ascii="Times New Roman" w:hAnsi="Times New Roman" w:cs="Times New Roman"/>
                <w:color w:val="000000" w:themeColor="text1"/>
                <w:kern w:val="0"/>
                <w:sz w:val="24"/>
                <w:szCs w:val="24"/>
                <w:highlight w:val="none"/>
                <w:lang w:eastAsia="zh-CN"/>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14:textFill>
                  <w14:solidFill>
                    <w14:schemeClr w14:val="tx1"/>
                  </w14:solidFill>
                </w14:textFill>
              </w:rPr>
              <w:t>主要污染因子为pH、钙、镁、硫酸根、SS等，在</w:t>
            </w:r>
            <w:r>
              <w:rPr>
                <w:rFonts w:hint="default" w:ascii="Times New Roman" w:hAnsi="Times New Roman" w:cs="Times New Roman"/>
                <w:color w:val="000000" w:themeColor="text1"/>
                <w:kern w:val="0"/>
                <w:sz w:val="24"/>
                <w:szCs w:val="24"/>
                <w:highlight w:val="none"/>
                <w14:textFill>
                  <w14:solidFill>
                    <w14:schemeClr w14:val="tx1"/>
                  </w14:solidFill>
                </w14:textFill>
              </w:rPr>
              <w:t>建设期做好厂区的污染防渗措施，</w:t>
            </w:r>
            <w:r>
              <w:rPr>
                <w:rFonts w:hint="default" w:ascii="Times New Roman" w:hAnsi="Times New Roman" w:cs="Times New Roman"/>
                <w:color w:val="000000" w:themeColor="text1"/>
                <w:kern w:val="0"/>
                <w:sz w:val="24"/>
                <w:szCs w:val="24"/>
                <w14:textFill>
                  <w14:solidFill>
                    <w14:schemeClr w14:val="tx1"/>
                  </w14:solidFill>
                </w14:textFill>
              </w:rPr>
              <w:t>可阻断地下水环境污染途径，</w:t>
            </w:r>
            <w:r>
              <w:rPr>
                <w:rFonts w:hint="eastAsia" w:ascii="Times New Roman" w:hAnsi="Times New Roman" w:cs="Times New Roman"/>
                <w:color w:val="000000" w:themeColor="text1"/>
                <w:kern w:val="0"/>
                <w:sz w:val="24"/>
                <w:szCs w:val="24"/>
                <w:lang w:val="en-US" w:eastAsia="zh-CN"/>
                <w14:textFill>
                  <w14:solidFill>
                    <w14:schemeClr w14:val="tx1"/>
                  </w14:solidFill>
                </w14:textFill>
              </w:rPr>
              <w:t>其次</w:t>
            </w:r>
            <w:r>
              <w:rPr>
                <w:rFonts w:hint="default" w:ascii="Times New Roman" w:hAnsi="Times New Roman" w:cs="Times New Roman"/>
                <w:color w:val="000000" w:themeColor="text1"/>
                <w:kern w:val="0"/>
                <w:sz w:val="24"/>
                <w:szCs w:val="24"/>
                <w:highlight w:val="none"/>
                <w14:textFill>
                  <w14:solidFill>
                    <w14:schemeClr w14:val="tx1"/>
                  </w14:solidFill>
                </w14:textFill>
              </w:rPr>
              <w:t>在运行期加强维护和管理情况下，项目对地下水环境的影响是可控的</w:t>
            </w:r>
            <w:r>
              <w:rPr>
                <w:rFonts w:hint="eastAsia" w:ascii="Times New Roman" w:hAnsi="Times New Roman" w:cs="Times New Roman"/>
                <w:color w:val="000000" w:themeColor="text1"/>
                <w:kern w:val="0"/>
                <w:sz w:val="24"/>
                <w:szCs w:val="24"/>
                <w:highlight w:val="none"/>
                <w:lang w:eastAsia="zh-CN"/>
                <w14:textFill>
                  <w14:solidFill>
                    <w14:schemeClr w14:val="tx1"/>
                  </w14:solidFill>
                </w14:textFill>
              </w:rPr>
              <w:t>。</w:t>
            </w:r>
          </w:p>
          <w:p w14:paraId="057D143B">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土壤环境污染途径主要为大气沉降，项目排放的颗粒物、二氧化硫、氮氧化物、氟化物通过大气沉降对土壤造成污染，项目运营生产过程中产生的废气经处理系统处理后达标排放，对周边土壤环境的影响较小。</w:t>
            </w:r>
          </w:p>
          <w:p w14:paraId="1907D997">
            <w:pPr>
              <w:adjustRightInd w:val="0"/>
              <w:snapToGrid w:val="0"/>
              <w:spacing w:line="360" w:lineRule="auto"/>
              <w:ind w:firstLine="480" w:firstLineChars="200"/>
              <w:rPr>
                <w:rFonts w:hint="default" w:eastAsia="宋体"/>
                <w:b w:val="0"/>
                <w:bCs w:val="0"/>
                <w:color w:val="000000" w:themeColor="text1"/>
                <w:sz w:val="24"/>
                <w:lang w:val="en-US" w:eastAsia="zh-CN"/>
                <w14:textFill>
                  <w14:solidFill>
                    <w14:schemeClr w14:val="tx1"/>
                  </w14:solidFill>
                </w14:textFill>
              </w:rPr>
            </w:pPr>
            <w:r>
              <w:rPr>
                <w:rFonts w:hint="eastAsia"/>
                <w:b w:val="0"/>
                <w:bCs w:val="0"/>
                <w:color w:val="000000" w:themeColor="text1"/>
                <w:sz w:val="24"/>
                <w:lang w:val="en-US" w:eastAsia="zh-CN"/>
                <w14:textFill>
                  <w14:solidFill>
                    <w14:schemeClr w14:val="tx1"/>
                  </w14:solidFill>
                </w14:textFill>
              </w:rPr>
              <w:t>综上，项目正常生产工况下，对地下水环境和土壤环境影响较小，</w:t>
            </w:r>
            <w:r>
              <w:rPr>
                <w:rFonts w:ascii="宋体" w:hAnsi="宋体" w:eastAsia="宋体" w:cs="宋体"/>
                <w:color w:val="000000" w:themeColor="text1"/>
                <w:spacing w:val="-2"/>
                <w:sz w:val="24"/>
                <w:szCs w:val="24"/>
                <w14:textFill>
                  <w14:solidFill>
                    <w14:schemeClr w14:val="tx1"/>
                  </w14:solidFill>
                </w14:textFill>
              </w:rPr>
              <w:t>本着生态环境保护的原则，提出如下</w:t>
            </w:r>
            <w:r>
              <w:rPr>
                <w:rFonts w:hint="eastAsia" w:ascii="宋体" w:hAnsi="宋体" w:eastAsia="宋体" w:cs="宋体"/>
                <w:color w:val="000000" w:themeColor="text1"/>
                <w:spacing w:val="-2"/>
                <w:sz w:val="24"/>
                <w:szCs w:val="24"/>
                <w:lang w:val="en-US" w:eastAsia="zh-CN"/>
                <w14:textFill>
                  <w14:solidFill>
                    <w14:schemeClr w14:val="tx1"/>
                  </w14:solidFill>
                </w14:textFill>
              </w:rPr>
              <w:t>防控</w:t>
            </w:r>
            <w:r>
              <w:rPr>
                <w:rFonts w:ascii="宋体" w:hAnsi="宋体" w:eastAsia="宋体" w:cs="宋体"/>
                <w:color w:val="000000" w:themeColor="text1"/>
                <w:spacing w:val="-2"/>
                <w:sz w:val="24"/>
                <w:szCs w:val="24"/>
                <w14:textFill>
                  <w14:solidFill>
                    <w14:schemeClr w14:val="tx1"/>
                  </w14:solidFill>
                </w14:textFill>
              </w:rPr>
              <w:t>措施要求：</w:t>
            </w:r>
          </w:p>
          <w:p w14:paraId="58486A7C">
            <w:pPr>
              <w:adjustRightInd w:val="0"/>
              <w:snapToGrid w:val="0"/>
              <w:spacing w:line="360" w:lineRule="auto"/>
              <w:ind w:firstLine="482" w:firstLineChars="200"/>
              <w:rPr>
                <w:rFonts w:hint="eastAsia" w:eastAsia="宋体"/>
                <w:b/>
                <w:bCs/>
                <w:color w:val="000000" w:themeColor="text1"/>
                <w:sz w:val="24"/>
                <w:lang w:eastAsia="zh-CN"/>
                <w14:textFill>
                  <w14:solidFill>
                    <w14:schemeClr w14:val="tx1"/>
                  </w14:solidFill>
                </w14:textFill>
              </w:rPr>
            </w:pPr>
            <w:r>
              <w:rPr>
                <w:b/>
                <w:bCs/>
                <w:color w:val="000000" w:themeColor="text1"/>
                <w:sz w:val="24"/>
                <w14:textFill>
                  <w14:solidFill>
                    <w14:schemeClr w14:val="tx1"/>
                  </w14:solidFill>
                </w14:textFill>
              </w:rPr>
              <w:t>5.2</w:t>
            </w:r>
            <w:r>
              <w:rPr>
                <w:rFonts w:hint="eastAsia"/>
                <w:b/>
                <w:bCs/>
                <w:color w:val="000000" w:themeColor="text1"/>
                <w:sz w:val="24"/>
                <w:lang w:val="en-US" w:eastAsia="zh-CN"/>
                <w14:textFill>
                  <w14:solidFill>
                    <w14:schemeClr w14:val="tx1"/>
                  </w14:solidFill>
                </w14:textFill>
              </w:rPr>
              <w:t>防控措施</w:t>
            </w:r>
          </w:p>
          <w:p w14:paraId="6E73D1FA">
            <w:pPr>
              <w:numPr>
                <w:ilvl w:val="0"/>
                <w:numId w:val="3"/>
              </w:numPr>
              <w:adjustRightInd w:val="0"/>
              <w:snapToGrid w:val="0"/>
              <w:spacing w:line="360" w:lineRule="auto"/>
              <w:ind w:firstLine="480" w:firstLineChars="200"/>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源头控制措施</w:t>
            </w:r>
          </w:p>
          <w:p w14:paraId="4E0B9DA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color w:val="000000" w:themeColor="text1"/>
                <w:sz w:val="24"/>
                <w:lang w:val="en-US" w:eastAsia="zh-CN"/>
                <w14:textFill>
                  <w14:solidFill>
                    <w14:schemeClr w14:val="tx1"/>
                  </w14:solidFill>
                </w14:textFill>
              </w:rPr>
            </w:pPr>
            <w:r>
              <w:rPr>
                <w:rFonts w:hint="default"/>
                <w:color w:val="000000" w:themeColor="text1"/>
                <w:sz w:val="24"/>
                <w:lang w:val="en-US" w:eastAsia="zh-CN"/>
                <w14:textFill>
                  <w14:solidFill>
                    <w14:schemeClr w14:val="tx1"/>
                  </w14:solidFill>
                </w14:textFill>
              </w:rPr>
              <w:t>项目生产车间场地均进行了地面硬化处理；</w:t>
            </w:r>
            <w:r>
              <w:rPr>
                <w:rFonts w:hint="eastAsia"/>
                <w:color w:val="000000" w:themeColor="text1"/>
                <w:sz w:val="24"/>
                <w:lang w:val="en-US" w:eastAsia="zh-CN"/>
                <w14:textFill>
                  <w14:solidFill>
                    <w14:schemeClr w14:val="tx1"/>
                  </w14:solidFill>
                </w14:textFill>
              </w:rPr>
              <w:t>项目设置的无组织废气收集治理设施，</w:t>
            </w:r>
            <w:r>
              <w:rPr>
                <w:rFonts w:hint="default"/>
                <w:color w:val="000000" w:themeColor="text1"/>
                <w:sz w:val="24"/>
                <w:lang w:val="en-US" w:eastAsia="zh-CN"/>
                <w14:textFill>
                  <w14:solidFill>
                    <w14:schemeClr w14:val="tx1"/>
                  </w14:solidFill>
                </w14:textFill>
              </w:rPr>
              <w:t>减少无组织废气的排放，同时设置了相应的</w:t>
            </w:r>
            <w:r>
              <w:rPr>
                <w:rFonts w:hint="eastAsia"/>
                <w:color w:val="000000" w:themeColor="text1"/>
                <w:sz w:val="24"/>
                <w:lang w:val="en-US" w:eastAsia="zh-CN"/>
                <w14:textFill>
                  <w14:solidFill>
                    <w14:schemeClr w14:val="tx1"/>
                  </w14:solidFill>
                </w14:textFill>
              </w:rPr>
              <w:t>炉窑烟气治理</w:t>
            </w:r>
            <w:r>
              <w:rPr>
                <w:rFonts w:hint="default"/>
                <w:color w:val="000000" w:themeColor="text1"/>
                <w:sz w:val="24"/>
                <w:lang w:val="en-US" w:eastAsia="zh-CN"/>
                <w14:textFill>
                  <w14:solidFill>
                    <w14:schemeClr w14:val="tx1"/>
                  </w14:solidFill>
                </w14:textFill>
              </w:rPr>
              <w:t>设备对有组织排放废气进行处理，经处理后的废气能够</w:t>
            </w:r>
            <w:r>
              <w:rPr>
                <w:rFonts w:hint="eastAsia"/>
                <w:color w:val="000000" w:themeColor="text1"/>
                <w:sz w:val="24"/>
                <w:lang w:val="en-US" w:eastAsia="zh-CN"/>
                <w14:textFill>
                  <w14:solidFill>
                    <w14:schemeClr w14:val="tx1"/>
                  </w14:solidFill>
                </w14:textFill>
              </w:rPr>
              <w:t>实现</w:t>
            </w:r>
            <w:r>
              <w:rPr>
                <w:rFonts w:hint="default"/>
                <w:color w:val="000000" w:themeColor="text1"/>
                <w:sz w:val="24"/>
                <w:lang w:val="en-US" w:eastAsia="zh-CN"/>
                <w14:textFill>
                  <w14:solidFill>
                    <w14:schemeClr w14:val="tx1"/>
                  </w14:solidFill>
                </w14:textFill>
              </w:rPr>
              <w:t>达标排放。</w:t>
            </w:r>
            <w:r>
              <w:rPr>
                <w:rFonts w:hint="eastAsia"/>
                <w:color w:val="000000" w:themeColor="text1"/>
                <w:sz w:val="24"/>
                <w:lang w:val="en-US" w:eastAsia="zh-CN"/>
                <w14:textFill>
                  <w14:solidFill>
                    <w14:schemeClr w14:val="tx1"/>
                  </w14:solidFill>
                </w14:textFill>
              </w:rPr>
              <w:t>在设备下方设置收集桶避免润滑油使用过程跑冒滴漏。</w:t>
            </w:r>
          </w:p>
          <w:p w14:paraId="7842075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（2）分区防渗</w:t>
            </w:r>
          </w:p>
          <w:p w14:paraId="1F74C9E2">
            <w:pPr>
              <w:adjustRightInd w:val="0"/>
              <w:snapToGrid w:val="0"/>
              <w:spacing w:line="360" w:lineRule="auto"/>
              <w:ind w:firstLine="480" w:firstLineChars="200"/>
              <w:rPr>
                <w:b/>
                <w:bCs/>
                <w:color w:val="000000" w:themeColor="text1"/>
                <w:sz w:val="24"/>
                <w14:textFill>
                  <w14:solidFill>
                    <w14:schemeClr w14:val="tx1"/>
                  </w14:solidFill>
                </w14:textFill>
              </w:rPr>
            </w:pPr>
            <w:r>
              <w:rPr>
                <w:color w:val="000000" w:themeColor="text1"/>
                <w:sz w:val="24"/>
                <w14:textFill>
                  <w14:solidFill>
                    <w14:schemeClr w14:val="tx1"/>
                  </w14:solidFill>
                </w14:textFill>
              </w:rPr>
              <w:t>地下水分区防渗参照表见下表：</w:t>
            </w:r>
          </w:p>
          <w:p w14:paraId="693762BC">
            <w:pPr>
              <w:spacing w:line="276" w:lineRule="auto"/>
              <w:jc w:val="center"/>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表4-</w:t>
            </w:r>
            <w:r>
              <w:rPr>
                <w:rFonts w:hint="eastAsia"/>
                <w:b/>
                <w:bCs/>
                <w:color w:val="000000" w:themeColor="text1"/>
                <w:sz w:val="24"/>
                <w:lang w:val="en-US" w:eastAsia="zh-CN"/>
                <w14:textFill>
                  <w14:solidFill>
                    <w14:schemeClr w14:val="tx1"/>
                  </w14:solidFill>
                </w14:textFill>
              </w:rPr>
              <w:t>24</w:t>
            </w:r>
            <w:r>
              <w:rPr>
                <w:b/>
                <w:bCs/>
                <w:color w:val="000000" w:themeColor="text1"/>
                <w:sz w:val="24"/>
                <w14:textFill>
                  <w14:solidFill>
                    <w14:schemeClr w14:val="tx1"/>
                  </w14:solidFill>
                </w14:textFill>
              </w:rPr>
              <w:t xml:space="preserve">  地下水污染防渗分区参照表</w:t>
            </w:r>
          </w:p>
          <w:tbl>
            <w:tblPr>
              <w:tblStyle w:val="29"/>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65"/>
              <w:gridCol w:w="1530"/>
              <w:gridCol w:w="1559"/>
              <w:gridCol w:w="2290"/>
            </w:tblGrid>
            <w:tr w14:paraId="67B9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noWrap w:val="0"/>
                  <w:vAlign w:val="center"/>
                </w:tcPr>
                <w:p w14:paraId="1769D08D">
                  <w:pPr>
                    <w:jc w:val="center"/>
                    <w:rPr>
                      <w:color w:val="000000" w:themeColor="text1"/>
                      <w14:textFill>
                        <w14:solidFill>
                          <w14:schemeClr w14:val="tx1"/>
                        </w14:solidFill>
                      </w14:textFill>
                    </w:rPr>
                  </w:pPr>
                  <w:r>
                    <w:rPr>
                      <w:color w:val="000000" w:themeColor="text1"/>
                      <w14:textFill>
                        <w14:solidFill>
                          <w14:schemeClr w14:val="tx1"/>
                        </w14:solidFill>
                      </w14:textFill>
                    </w:rPr>
                    <w:t>防渗分区</w:t>
                  </w:r>
                </w:p>
              </w:tc>
              <w:tc>
                <w:tcPr>
                  <w:tcW w:w="1800" w:type="dxa"/>
                  <w:noWrap w:val="0"/>
                  <w:vAlign w:val="center"/>
                </w:tcPr>
                <w:p w14:paraId="3948A7DB">
                  <w:pPr>
                    <w:jc w:val="center"/>
                    <w:rPr>
                      <w:color w:val="000000" w:themeColor="text1"/>
                      <w14:textFill>
                        <w14:solidFill>
                          <w14:schemeClr w14:val="tx1"/>
                        </w14:solidFill>
                      </w14:textFill>
                    </w:rPr>
                  </w:pPr>
                  <w:r>
                    <w:rPr>
                      <w:color w:val="000000" w:themeColor="text1"/>
                      <w14:textFill>
                        <w14:solidFill>
                          <w14:schemeClr w14:val="tx1"/>
                        </w14:solidFill>
                      </w14:textFill>
                    </w:rPr>
                    <w:t>天然包气带防污性能</w:t>
                  </w:r>
                </w:p>
              </w:tc>
              <w:tc>
                <w:tcPr>
                  <w:tcW w:w="1560" w:type="dxa"/>
                  <w:noWrap w:val="0"/>
                  <w:vAlign w:val="center"/>
                </w:tcPr>
                <w:p w14:paraId="50A02BBD">
                  <w:pPr>
                    <w:jc w:val="center"/>
                    <w:rPr>
                      <w:color w:val="000000" w:themeColor="text1"/>
                      <w14:textFill>
                        <w14:solidFill>
                          <w14:schemeClr w14:val="tx1"/>
                        </w14:solidFill>
                      </w14:textFill>
                    </w:rPr>
                  </w:pPr>
                  <w:r>
                    <w:rPr>
                      <w:color w:val="000000" w:themeColor="text1"/>
                      <w14:textFill>
                        <w14:solidFill>
                          <w14:schemeClr w14:val="tx1"/>
                        </w14:solidFill>
                      </w14:textFill>
                    </w:rPr>
                    <w:t>污染控制难易程度</w:t>
                  </w:r>
                </w:p>
              </w:tc>
              <w:tc>
                <w:tcPr>
                  <w:tcW w:w="1590" w:type="dxa"/>
                  <w:noWrap w:val="0"/>
                  <w:vAlign w:val="center"/>
                </w:tcPr>
                <w:p w14:paraId="4E3B6295">
                  <w:pPr>
                    <w:jc w:val="center"/>
                    <w:rPr>
                      <w:color w:val="000000" w:themeColor="text1"/>
                      <w14:textFill>
                        <w14:solidFill>
                          <w14:schemeClr w14:val="tx1"/>
                        </w14:solidFill>
                      </w14:textFill>
                    </w:rPr>
                  </w:pPr>
                  <w:r>
                    <w:rPr>
                      <w:color w:val="000000" w:themeColor="text1"/>
                      <w14:textFill>
                        <w14:solidFill>
                          <w14:schemeClr w14:val="tx1"/>
                        </w14:solidFill>
                      </w14:textFill>
                    </w:rPr>
                    <w:t>污染物类型</w:t>
                  </w:r>
                </w:p>
              </w:tc>
              <w:tc>
                <w:tcPr>
                  <w:tcW w:w="2338" w:type="dxa"/>
                  <w:noWrap w:val="0"/>
                  <w:vAlign w:val="center"/>
                </w:tcPr>
                <w:p w14:paraId="4976EC45">
                  <w:pPr>
                    <w:jc w:val="center"/>
                    <w:rPr>
                      <w:color w:val="000000" w:themeColor="text1"/>
                      <w14:textFill>
                        <w14:solidFill>
                          <w14:schemeClr w14:val="tx1"/>
                        </w14:solidFill>
                      </w14:textFill>
                    </w:rPr>
                  </w:pPr>
                  <w:r>
                    <w:rPr>
                      <w:color w:val="000000" w:themeColor="text1"/>
                      <w14:textFill>
                        <w14:solidFill>
                          <w14:schemeClr w14:val="tx1"/>
                        </w14:solidFill>
                      </w14:textFill>
                    </w:rPr>
                    <w:t>防渗技术要求</w:t>
                  </w:r>
                </w:p>
              </w:tc>
            </w:tr>
            <w:tr w14:paraId="7BAE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restart"/>
                  <w:noWrap w:val="0"/>
                  <w:vAlign w:val="center"/>
                </w:tcPr>
                <w:p w14:paraId="60BE97DE">
                  <w:pPr>
                    <w:jc w:val="center"/>
                    <w:rPr>
                      <w:color w:val="000000" w:themeColor="text1"/>
                      <w14:textFill>
                        <w14:solidFill>
                          <w14:schemeClr w14:val="tx1"/>
                        </w14:solidFill>
                      </w14:textFill>
                    </w:rPr>
                  </w:pPr>
                  <w:r>
                    <w:rPr>
                      <w:color w:val="000000" w:themeColor="text1"/>
                      <w14:textFill>
                        <w14:solidFill>
                          <w14:schemeClr w14:val="tx1"/>
                        </w14:solidFill>
                      </w14:textFill>
                    </w:rPr>
                    <w:t>重点防渗区</w:t>
                  </w:r>
                </w:p>
              </w:tc>
              <w:tc>
                <w:tcPr>
                  <w:tcW w:w="1800" w:type="dxa"/>
                  <w:noWrap w:val="0"/>
                  <w:vAlign w:val="center"/>
                </w:tcPr>
                <w:p w14:paraId="566E2E75">
                  <w:pPr>
                    <w:jc w:val="center"/>
                    <w:rPr>
                      <w:color w:val="000000" w:themeColor="text1"/>
                      <w14:textFill>
                        <w14:solidFill>
                          <w14:schemeClr w14:val="tx1"/>
                        </w14:solidFill>
                      </w14:textFill>
                    </w:rPr>
                  </w:pPr>
                  <w:r>
                    <w:rPr>
                      <w:color w:val="000000" w:themeColor="text1"/>
                      <w14:textFill>
                        <w14:solidFill>
                          <w14:schemeClr w14:val="tx1"/>
                        </w14:solidFill>
                      </w14:textFill>
                    </w:rPr>
                    <w:t>弱</w:t>
                  </w:r>
                </w:p>
              </w:tc>
              <w:tc>
                <w:tcPr>
                  <w:tcW w:w="1560" w:type="dxa"/>
                  <w:noWrap w:val="0"/>
                  <w:vAlign w:val="center"/>
                </w:tcPr>
                <w:p w14:paraId="43FC560B">
                  <w:pPr>
                    <w:jc w:val="center"/>
                    <w:rPr>
                      <w:color w:val="000000" w:themeColor="text1"/>
                      <w14:textFill>
                        <w14:solidFill>
                          <w14:schemeClr w14:val="tx1"/>
                        </w14:solidFill>
                      </w14:textFill>
                    </w:rPr>
                  </w:pPr>
                  <w:r>
                    <w:rPr>
                      <w:color w:val="000000" w:themeColor="text1"/>
                      <w14:textFill>
                        <w14:solidFill>
                          <w14:schemeClr w14:val="tx1"/>
                        </w14:solidFill>
                      </w14:textFill>
                    </w:rPr>
                    <w:t>难</w:t>
                  </w:r>
                </w:p>
              </w:tc>
              <w:tc>
                <w:tcPr>
                  <w:tcW w:w="1590" w:type="dxa"/>
                  <w:vMerge w:val="restart"/>
                  <w:noWrap w:val="0"/>
                  <w:vAlign w:val="center"/>
                </w:tcPr>
                <w:p w14:paraId="2E2C9A9E">
                  <w:pPr>
                    <w:jc w:val="center"/>
                    <w:rPr>
                      <w:color w:val="000000" w:themeColor="text1"/>
                      <w14:textFill>
                        <w14:solidFill>
                          <w14:schemeClr w14:val="tx1"/>
                        </w14:solidFill>
                      </w14:textFill>
                    </w:rPr>
                  </w:pPr>
                  <w:r>
                    <w:rPr>
                      <w:color w:val="000000" w:themeColor="text1"/>
                      <w14:textFill>
                        <w14:solidFill>
                          <w14:schemeClr w14:val="tx1"/>
                        </w14:solidFill>
                      </w14:textFill>
                    </w:rPr>
                    <w:t>重金属、持久性有机物污染</w:t>
                  </w:r>
                </w:p>
              </w:tc>
              <w:tc>
                <w:tcPr>
                  <w:tcW w:w="2338" w:type="dxa"/>
                  <w:vMerge w:val="restart"/>
                  <w:noWrap w:val="0"/>
                  <w:vAlign w:val="center"/>
                </w:tcPr>
                <w:p w14:paraId="13CE70ED">
                  <w:pPr>
                    <w:jc w:val="center"/>
                    <w:rPr>
                      <w:color w:val="000000" w:themeColor="text1"/>
                      <w14:textFill>
                        <w14:solidFill>
                          <w14:schemeClr w14:val="tx1"/>
                        </w14:solidFill>
                      </w14:textFill>
                    </w:rPr>
                  </w:pPr>
                  <w:r>
                    <w:rPr>
                      <w:color w:val="000000" w:themeColor="text1"/>
                      <w14:textFill>
                        <w14:solidFill>
                          <w14:schemeClr w14:val="tx1"/>
                        </w14:solidFill>
                      </w14:textFill>
                    </w:rPr>
                    <w:t>等效黏土防渗层Mb≥6m，K≤1×10</w:t>
                  </w:r>
                  <w:r>
                    <w:rPr>
                      <w:color w:val="000000" w:themeColor="text1"/>
                      <w:vertAlign w:val="superscript"/>
                      <w14:textFill>
                        <w14:solidFill>
                          <w14:schemeClr w14:val="tx1"/>
                        </w14:solidFill>
                      </w14:textFill>
                    </w:rPr>
                    <w:t>-7</w:t>
                  </w:r>
                  <w:r>
                    <w:rPr>
                      <w:color w:val="000000" w:themeColor="text1"/>
                      <w14:textFill>
                        <w14:solidFill>
                          <w14:schemeClr w14:val="tx1"/>
                        </w14:solidFill>
                      </w14:textFill>
                    </w:rPr>
                    <w:t>cm/s；或参照GB18598执行</w:t>
                  </w:r>
                </w:p>
              </w:tc>
            </w:tr>
            <w:tr w14:paraId="2EC8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noWrap w:val="0"/>
                  <w:vAlign w:val="center"/>
                </w:tcPr>
                <w:p w14:paraId="27283976">
                  <w:pPr>
                    <w:jc w:val="center"/>
                    <w:rPr>
                      <w:color w:val="000000" w:themeColor="text1"/>
                      <w14:textFill>
                        <w14:solidFill>
                          <w14:schemeClr w14:val="tx1"/>
                        </w14:solidFill>
                      </w14:textFill>
                    </w:rPr>
                  </w:pPr>
                </w:p>
              </w:tc>
              <w:tc>
                <w:tcPr>
                  <w:tcW w:w="1800" w:type="dxa"/>
                  <w:noWrap w:val="0"/>
                  <w:vAlign w:val="center"/>
                </w:tcPr>
                <w:p w14:paraId="12FD696D">
                  <w:pPr>
                    <w:jc w:val="center"/>
                    <w:rPr>
                      <w:color w:val="000000" w:themeColor="text1"/>
                      <w14:textFill>
                        <w14:solidFill>
                          <w14:schemeClr w14:val="tx1"/>
                        </w14:solidFill>
                      </w14:textFill>
                    </w:rPr>
                  </w:pPr>
                  <w:r>
                    <w:rPr>
                      <w:color w:val="000000" w:themeColor="text1"/>
                      <w14:textFill>
                        <w14:solidFill>
                          <w14:schemeClr w14:val="tx1"/>
                        </w14:solidFill>
                      </w14:textFill>
                    </w:rPr>
                    <w:t>中-强</w:t>
                  </w:r>
                </w:p>
              </w:tc>
              <w:tc>
                <w:tcPr>
                  <w:tcW w:w="1560" w:type="dxa"/>
                  <w:noWrap w:val="0"/>
                  <w:vAlign w:val="center"/>
                </w:tcPr>
                <w:p w14:paraId="22AE8048">
                  <w:pPr>
                    <w:jc w:val="center"/>
                    <w:rPr>
                      <w:color w:val="000000" w:themeColor="text1"/>
                      <w14:textFill>
                        <w14:solidFill>
                          <w14:schemeClr w14:val="tx1"/>
                        </w14:solidFill>
                      </w14:textFill>
                    </w:rPr>
                  </w:pPr>
                  <w:r>
                    <w:rPr>
                      <w:color w:val="000000" w:themeColor="text1"/>
                      <w14:textFill>
                        <w14:solidFill>
                          <w14:schemeClr w14:val="tx1"/>
                        </w14:solidFill>
                      </w14:textFill>
                    </w:rPr>
                    <w:t>难</w:t>
                  </w:r>
                </w:p>
              </w:tc>
              <w:tc>
                <w:tcPr>
                  <w:tcW w:w="1590" w:type="dxa"/>
                  <w:vMerge w:val="continue"/>
                  <w:noWrap w:val="0"/>
                  <w:vAlign w:val="center"/>
                </w:tcPr>
                <w:p w14:paraId="4ED639E3">
                  <w:pPr>
                    <w:jc w:val="center"/>
                    <w:rPr>
                      <w:color w:val="000000" w:themeColor="text1"/>
                      <w14:textFill>
                        <w14:solidFill>
                          <w14:schemeClr w14:val="tx1"/>
                        </w14:solidFill>
                      </w14:textFill>
                    </w:rPr>
                  </w:pPr>
                </w:p>
              </w:tc>
              <w:tc>
                <w:tcPr>
                  <w:tcW w:w="2338" w:type="dxa"/>
                  <w:vMerge w:val="continue"/>
                  <w:noWrap w:val="0"/>
                  <w:vAlign w:val="center"/>
                </w:tcPr>
                <w:p w14:paraId="20157AE1">
                  <w:pPr>
                    <w:jc w:val="center"/>
                    <w:rPr>
                      <w:color w:val="000000" w:themeColor="text1"/>
                      <w14:textFill>
                        <w14:solidFill>
                          <w14:schemeClr w14:val="tx1"/>
                        </w14:solidFill>
                      </w14:textFill>
                    </w:rPr>
                  </w:pPr>
                </w:p>
              </w:tc>
            </w:tr>
            <w:tr w14:paraId="0DFC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noWrap w:val="0"/>
                  <w:vAlign w:val="center"/>
                </w:tcPr>
                <w:p w14:paraId="528E3168">
                  <w:pPr>
                    <w:jc w:val="center"/>
                    <w:rPr>
                      <w:color w:val="000000" w:themeColor="text1"/>
                      <w14:textFill>
                        <w14:solidFill>
                          <w14:schemeClr w14:val="tx1"/>
                        </w14:solidFill>
                      </w14:textFill>
                    </w:rPr>
                  </w:pPr>
                </w:p>
              </w:tc>
              <w:tc>
                <w:tcPr>
                  <w:tcW w:w="1800" w:type="dxa"/>
                  <w:noWrap w:val="0"/>
                  <w:vAlign w:val="center"/>
                </w:tcPr>
                <w:p w14:paraId="07436678">
                  <w:pPr>
                    <w:jc w:val="center"/>
                    <w:rPr>
                      <w:color w:val="000000" w:themeColor="text1"/>
                      <w14:textFill>
                        <w14:solidFill>
                          <w14:schemeClr w14:val="tx1"/>
                        </w14:solidFill>
                      </w14:textFill>
                    </w:rPr>
                  </w:pPr>
                  <w:r>
                    <w:rPr>
                      <w:color w:val="000000" w:themeColor="text1"/>
                      <w14:textFill>
                        <w14:solidFill>
                          <w14:schemeClr w14:val="tx1"/>
                        </w14:solidFill>
                      </w14:textFill>
                    </w:rPr>
                    <w:t>弱</w:t>
                  </w:r>
                </w:p>
              </w:tc>
              <w:tc>
                <w:tcPr>
                  <w:tcW w:w="1560" w:type="dxa"/>
                  <w:noWrap w:val="0"/>
                  <w:vAlign w:val="center"/>
                </w:tcPr>
                <w:p w14:paraId="08ECA671">
                  <w:pPr>
                    <w:jc w:val="center"/>
                    <w:rPr>
                      <w:color w:val="000000" w:themeColor="text1"/>
                      <w14:textFill>
                        <w14:solidFill>
                          <w14:schemeClr w14:val="tx1"/>
                        </w14:solidFill>
                      </w14:textFill>
                    </w:rPr>
                  </w:pPr>
                  <w:r>
                    <w:rPr>
                      <w:color w:val="000000" w:themeColor="text1"/>
                      <w14:textFill>
                        <w14:solidFill>
                          <w14:schemeClr w14:val="tx1"/>
                        </w14:solidFill>
                      </w14:textFill>
                    </w:rPr>
                    <w:t>易</w:t>
                  </w:r>
                </w:p>
              </w:tc>
              <w:tc>
                <w:tcPr>
                  <w:tcW w:w="1590" w:type="dxa"/>
                  <w:vMerge w:val="continue"/>
                  <w:noWrap w:val="0"/>
                  <w:vAlign w:val="center"/>
                </w:tcPr>
                <w:p w14:paraId="7C3E1CA1">
                  <w:pPr>
                    <w:jc w:val="center"/>
                    <w:rPr>
                      <w:color w:val="000000" w:themeColor="text1"/>
                      <w14:textFill>
                        <w14:solidFill>
                          <w14:schemeClr w14:val="tx1"/>
                        </w14:solidFill>
                      </w14:textFill>
                    </w:rPr>
                  </w:pPr>
                </w:p>
              </w:tc>
              <w:tc>
                <w:tcPr>
                  <w:tcW w:w="2338" w:type="dxa"/>
                  <w:vMerge w:val="continue"/>
                  <w:noWrap w:val="0"/>
                  <w:vAlign w:val="center"/>
                </w:tcPr>
                <w:p w14:paraId="59B95267">
                  <w:pPr>
                    <w:jc w:val="center"/>
                    <w:rPr>
                      <w:color w:val="000000" w:themeColor="text1"/>
                      <w14:textFill>
                        <w14:solidFill>
                          <w14:schemeClr w14:val="tx1"/>
                        </w14:solidFill>
                      </w14:textFill>
                    </w:rPr>
                  </w:pPr>
                </w:p>
              </w:tc>
            </w:tr>
            <w:tr w14:paraId="5E26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1386" w:type="dxa"/>
                  <w:vMerge w:val="restart"/>
                  <w:noWrap w:val="0"/>
                  <w:vAlign w:val="center"/>
                </w:tcPr>
                <w:p w14:paraId="045B35A4">
                  <w:pPr>
                    <w:jc w:val="center"/>
                    <w:rPr>
                      <w:color w:val="000000" w:themeColor="text1"/>
                      <w14:textFill>
                        <w14:solidFill>
                          <w14:schemeClr w14:val="tx1"/>
                        </w14:solidFill>
                      </w14:textFill>
                    </w:rPr>
                  </w:pPr>
                  <w:r>
                    <w:rPr>
                      <w:color w:val="000000" w:themeColor="text1"/>
                      <w14:textFill>
                        <w14:solidFill>
                          <w14:schemeClr w14:val="tx1"/>
                        </w14:solidFill>
                      </w14:textFill>
                    </w:rPr>
                    <w:t>一般防渗区</w:t>
                  </w:r>
                </w:p>
              </w:tc>
              <w:tc>
                <w:tcPr>
                  <w:tcW w:w="1800" w:type="dxa"/>
                  <w:noWrap w:val="0"/>
                  <w:vAlign w:val="center"/>
                </w:tcPr>
                <w:p w14:paraId="1A4DA66F">
                  <w:pPr>
                    <w:jc w:val="center"/>
                    <w:rPr>
                      <w:color w:val="000000" w:themeColor="text1"/>
                      <w14:textFill>
                        <w14:solidFill>
                          <w14:schemeClr w14:val="tx1"/>
                        </w14:solidFill>
                      </w14:textFill>
                    </w:rPr>
                  </w:pPr>
                  <w:r>
                    <w:rPr>
                      <w:color w:val="000000" w:themeColor="text1"/>
                      <w14:textFill>
                        <w14:solidFill>
                          <w14:schemeClr w14:val="tx1"/>
                        </w14:solidFill>
                      </w14:textFill>
                    </w:rPr>
                    <w:t>弱</w:t>
                  </w:r>
                </w:p>
              </w:tc>
              <w:tc>
                <w:tcPr>
                  <w:tcW w:w="1560" w:type="dxa"/>
                  <w:noWrap w:val="0"/>
                  <w:vAlign w:val="center"/>
                </w:tcPr>
                <w:p w14:paraId="5B7FF9E2">
                  <w:pPr>
                    <w:jc w:val="center"/>
                    <w:rPr>
                      <w:color w:val="000000" w:themeColor="text1"/>
                      <w14:textFill>
                        <w14:solidFill>
                          <w14:schemeClr w14:val="tx1"/>
                        </w14:solidFill>
                      </w14:textFill>
                    </w:rPr>
                  </w:pPr>
                  <w:r>
                    <w:rPr>
                      <w:color w:val="000000" w:themeColor="text1"/>
                      <w14:textFill>
                        <w14:solidFill>
                          <w14:schemeClr w14:val="tx1"/>
                        </w14:solidFill>
                      </w14:textFill>
                    </w:rPr>
                    <w:t>易-难</w:t>
                  </w:r>
                </w:p>
              </w:tc>
              <w:tc>
                <w:tcPr>
                  <w:tcW w:w="1590" w:type="dxa"/>
                  <w:vMerge w:val="restart"/>
                  <w:noWrap w:val="0"/>
                  <w:vAlign w:val="center"/>
                </w:tcPr>
                <w:p w14:paraId="6E316FF4">
                  <w:pPr>
                    <w:jc w:val="center"/>
                    <w:rPr>
                      <w:color w:val="000000" w:themeColor="text1"/>
                      <w14:textFill>
                        <w14:solidFill>
                          <w14:schemeClr w14:val="tx1"/>
                        </w14:solidFill>
                      </w14:textFill>
                    </w:rPr>
                  </w:pPr>
                  <w:r>
                    <w:rPr>
                      <w:color w:val="000000" w:themeColor="text1"/>
                      <w14:textFill>
                        <w14:solidFill>
                          <w14:schemeClr w14:val="tx1"/>
                        </w14:solidFill>
                      </w14:textFill>
                    </w:rPr>
                    <w:t>其他类型</w:t>
                  </w:r>
                </w:p>
              </w:tc>
              <w:tc>
                <w:tcPr>
                  <w:tcW w:w="2338" w:type="dxa"/>
                  <w:vMerge w:val="restart"/>
                  <w:noWrap w:val="0"/>
                  <w:vAlign w:val="center"/>
                </w:tcPr>
                <w:p w14:paraId="400A83AE">
                  <w:pPr>
                    <w:jc w:val="center"/>
                    <w:rPr>
                      <w:color w:val="000000" w:themeColor="text1"/>
                      <w14:textFill>
                        <w14:solidFill>
                          <w14:schemeClr w14:val="tx1"/>
                        </w14:solidFill>
                      </w14:textFill>
                    </w:rPr>
                  </w:pPr>
                  <w:r>
                    <w:rPr>
                      <w:color w:val="000000" w:themeColor="text1"/>
                      <w14:textFill>
                        <w14:solidFill>
                          <w14:schemeClr w14:val="tx1"/>
                        </w14:solidFill>
                      </w14:textFill>
                    </w:rPr>
                    <w:t>等效黏土防渗层Mb≥1.5m，K≤1×10</w:t>
                  </w:r>
                  <w:r>
                    <w:rPr>
                      <w:color w:val="000000" w:themeColor="text1"/>
                      <w:vertAlign w:val="superscript"/>
                      <w14:textFill>
                        <w14:solidFill>
                          <w14:schemeClr w14:val="tx1"/>
                        </w14:solidFill>
                      </w14:textFill>
                    </w:rPr>
                    <w:t>-7</w:t>
                  </w:r>
                  <w:r>
                    <w:rPr>
                      <w:color w:val="000000" w:themeColor="text1"/>
                      <w14:textFill>
                        <w14:solidFill>
                          <w14:schemeClr w14:val="tx1"/>
                        </w14:solidFill>
                      </w14:textFill>
                    </w:rPr>
                    <w:t>cm/s；或参照GB16889执行</w:t>
                  </w:r>
                </w:p>
              </w:tc>
            </w:tr>
            <w:tr w14:paraId="24CD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noWrap w:val="0"/>
                  <w:vAlign w:val="center"/>
                </w:tcPr>
                <w:p w14:paraId="0C000C6F">
                  <w:pPr>
                    <w:jc w:val="center"/>
                    <w:rPr>
                      <w:color w:val="000000" w:themeColor="text1"/>
                      <w14:textFill>
                        <w14:solidFill>
                          <w14:schemeClr w14:val="tx1"/>
                        </w14:solidFill>
                      </w14:textFill>
                    </w:rPr>
                  </w:pPr>
                </w:p>
              </w:tc>
              <w:tc>
                <w:tcPr>
                  <w:tcW w:w="1800" w:type="dxa"/>
                  <w:noWrap w:val="0"/>
                  <w:vAlign w:val="center"/>
                </w:tcPr>
                <w:p w14:paraId="5D85E163">
                  <w:pPr>
                    <w:jc w:val="center"/>
                    <w:rPr>
                      <w:color w:val="000000" w:themeColor="text1"/>
                      <w14:textFill>
                        <w14:solidFill>
                          <w14:schemeClr w14:val="tx1"/>
                        </w14:solidFill>
                      </w14:textFill>
                    </w:rPr>
                  </w:pPr>
                  <w:r>
                    <w:rPr>
                      <w:color w:val="000000" w:themeColor="text1"/>
                      <w14:textFill>
                        <w14:solidFill>
                          <w14:schemeClr w14:val="tx1"/>
                        </w14:solidFill>
                      </w14:textFill>
                    </w:rPr>
                    <w:t>中-强</w:t>
                  </w:r>
                </w:p>
              </w:tc>
              <w:tc>
                <w:tcPr>
                  <w:tcW w:w="1560" w:type="dxa"/>
                  <w:noWrap w:val="0"/>
                  <w:vAlign w:val="center"/>
                </w:tcPr>
                <w:p w14:paraId="11E5A430">
                  <w:pPr>
                    <w:jc w:val="center"/>
                    <w:rPr>
                      <w:color w:val="000000" w:themeColor="text1"/>
                      <w14:textFill>
                        <w14:solidFill>
                          <w14:schemeClr w14:val="tx1"/>
                        </w14:solidFill>
                      </w14:textFill>
                    </w:rPr>
                  </w:pPr>
                  <w:r>
                    <w:rPr>
                      <w:color w:val="000000" w:themeColor="text1"/>
                      <w14:textFill>
                        <w14:solidFill>
                          <w14:schemeClr w14:val="tx1"/>
                        </w14:solidFill>
                      </w14:textFill>
                    </w:rPr>
                    <w:t>难</w:t>
                  </w:r>
                </w:p>
              </w:tc>
              <w:tc>
                <w:tcPr>
                  <w:tcW w:w="1590" w:type="dxa"/>
                  <w:vMerge w:val="continue"/>
                  <w:noWrap w:val="0"/>
                  <w:vAlign w:val="center"/>
                </w:tcPr>
                <w:p w14:paraId="4E20881D">
                  <w:pPr>
                    <w:jc w:val="center"/>
                    <w:rPr>
                      <w:color w:val="000000" w:themeColor="text1"/>
                      <w14:textFill>
                        <w14:solidFill>
                          <w14:schemeClr w14:val="tx1"/>
                        </w14:solidFill>
                      </w14:textFill>
                    </w:rPr>
                  </w:pPr>
                </w:p>
              </w:tc>
              <w:tc>
                <w:tcPr>
                  <w:tcW w:w="2338" w:type="dxa"/>
                  <w:vMerge w:val="continue"/>
                  <w:noWrap w:val="0"/>
                  <w:vAlign w:val="center"/>
                </w:tcPr>
                <w:p w14:paraId="680DD604">
                  <w:pPr>
                    <w:jc w:val="center"/>
                    <w:rPr>
                      <w:color w:val="000000" w:themeColor="text1"/>
                      <w14:textFill>
                        <w14:solidFill>
                          <w14:schemeClr w14:val="tx1"/>
                        </w14:solidFill>
                      </w14:textFill>
                    </w:rPr>
                  </w:pPr>
                </w:p>
              </w:tc>
            </w:tr>
            <w:tr w14:paraId="7F7D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noWrap w:val="0"/>
                  <w:vAlign w:val="center"/>
                </w:tcPr>
                <w:p w14:paraId="3FF6883E">
                  <w:pPr>
                    <w:jc w:val="center"/>
                    <w:rPr>
                      <w:color w:val="000000" w:themeColor="text1"/>
                      <w14:textFill>
                        <w14:solidFill>
                          <w14:schemeClr w14:val="tx1"/>
                        </w14:solidFill>
                      </w14:textFill>
                    </w:rPr>
                  </w:pPr>
                </w:p>
              </w:tc>
              <w:tc>
                <w:tcPr>
                  <w:tcW w:w="1800" w:type="dxa"/>
                  <w:noWrap w:val="0"/>
                  <w:vAlign w:val="center"/>
                </w:tcPr>
                <w:p w14:paraId="01AFEA48">
                  <w:pPr>
                    <w:jc w:val="center"/>
                    <w:rPr>
                      <w:color w:val="000000" w:themeColor="text1"/>
                      <w14:textFill>
                        <w14:solidFill>
                          <w14:schemeClr w14:val="tx1"/>
                        </w14:solidFill>
                      </w14:textFill>
                    </w:rPr>
                  </w:pPr>
                  <w:r>
                    <w:rPr>
                      <w:color w:val="000000" w:themeColor="text1"/>
                      <w14:textFill>
                        <w14:solidFill>
                          <w14:schemeClr w14:val="tx1"/>
                        </w14:solidFill>
                      </w14:textFill>
                    </w:rPr>
                    <w:t>中</w:t>
                  </w:r>
                </w:p>
              </w:tc>
              <w:tc>
                <w:tcPr>
                  <w:tcW w:w="1560" w:type="dxa"/>
                  <w:noWrap w:val="0"/>
                  <w:vAlign w:val="center"/>
                </w:tcPr>
                <w:p w14:paraId="54F73DE5">
                  <w:pPr>
                    <w:jc w:val="center"/>
                    <w:rPr>
                      <w:color w:val="000000" w:themeColor="text1"/>
                      <w14:textFill>
                        <w14:solidFill>
                          <w14:schemeClr w14:val="tx1"/>
                        </w14:solidFill>
                      </w14:textFill>
                    </w:rPr>
                  </w:pPr>
                  <w:r>
                    <w:rPr>
                      <w:color w:val="000000" w:themeColor="text1"/>
                      <w14:textFill>
                        <w14:solidFill>
                          <w14:schemeClr w14:val="tx1"/>
                        </w14:solidFill>
                      </w14:textFill>
                    </w:rPr>
                    <w:t>易</w:t>
                  </w:r>
                </w:p>
              </w:tc>
              <w:tc>
                <w:tcPr>
                  <w:tcW w:w="1590" w:type="dxa"/>
                  <w:vMerge w:val="restart"/>
                  <w:noWrap w:val="0"/>
                  <w:vAlign w:val="center"/>
                </w:tcPr>
                <w:p w14:paraId="1AE869AB">
                  <w:pPr>
                    <w:jc w:val="center"/>
                    <w:rPr>
                      <w:color w:val="000000" w:themeColor="text1"/>
                      <w14:textFill>
                        <w14:solidFill>
                          <w14:schemeClr w14:val="tx1"/>
                        </w14:solidFill>
                      </w14:textFill>
                    </w:rPr>
                  </w:pPr>
                  <w:r>
                    <w:rPr>
                      <w:color w:val="000000" w:themeColor="text1"/>
                      <w14:textFill>
                        <w14:solidFill>
                          <w14:schemeClr w14:val="tx1"/>
                        </w14:solidFill>
                      </w14:textFill>
                    </w:rPr>
                    <w:t>重金属、持久性有机物污染</w:t>
                  </w:r>
                </w:p>
              </w:tc>
              <w:tc>
                <w:tcPr>
                  <w:tcW w:w="2338" w:type="dxa"/>
                  <w:vMerge w:val="continue"/>
                  <w:noWrap w:val="0"/>
                  <w:vAlign w:val="center"/>
                </w:tcPr>
                <w:p w14:paraId="60487CD8">
                  <w:pPr>
                    <w:jc w:val="center"/>
                    <w:rPr>
                      <w:color w:val="000000" w:themeColor="text1"/>
                      <w14:textFill>
                        <w14:solidFill>
                          <w14:schemeClr w14:val="tx1"/>
                        </w14:solidFill>
                      </w14:textFill>
                    </w:rPr>
                  </w:pPr>
                </w:p>
              </w:tc>
            </w:tr>
            <w:tr w14:paraId="039A0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noWrap w:val="0"/>
                  <w:vAlign w:val="center"/>
                </w:tcPr>
                <w:p w14:paraId="4A518E6E">
                  <w:pPr>
                    <w:jc w:val="center"/>
                    <w:rPr>
                      <w:color w:val="000000" w:themeColor="text1"/>
                      <w14:textFill>
                        <w14:solidFill>
                          <w14:schemeClr w14:val="tx1"/>
                        </w14:solidFill>
                      </w14:textFill>
                    </w:rPr>
                  </w:pPr>
                </w:p>
              </w:tc>
              <w:tc>
                <w:tcPr>
                  <w:tcW w:w="1800" w:type="dxa"/>
                  <w:noWrap w:val="0"/>
                  <w:vAlign w:val="center"/>
                </w:tcPr>
                <w:p w14:paraId="77FE7A8D">
                  <w:pPr>
                    <w:jc w:val="center"/>
                    <w:rPr>
                      <w:color w:val="000000" w:themeColor="text1"/>
                      <w14:textFill>
                        <w14:solidFill>
                          <w14:schemeClr w14:val="tx1"/>
                        </w14:solidFill>
                      </w14:textFill>
                    </w:rPr>
                  </w:pPr>
                  <w:r>
                    <w:rPr>
                      <w:color w:val="000000" w:themeColor="text1"/>
                      <w14:textFill>
                        <w14:solidFill>
                          <w14:schemeClr w14:val="tx1"/>
                        </w14:solidFill>
                      </w14:textFill>
                    </w:rPr>
                    <w:t>强</w:t>
                  </w:r>
                </w:p>
              </w:tc>
              <w:tc>
                <w:tcPr>
                  <w:tcW w:w="1560" w:type="dxa"/>
                  <w:noWrap w:val="0"/>
                  <w:vAlign w:val="center"/>
                </w:tcPr>
                <w:p w14:paraId="0B472193">
                  <w:pPr>
                    <w:jc w:val="center"/>
                    <w:rPr>
                      <w:color w:val="000000" w:themeColor="text1"/>
                      <w14:textFill>
                        <w14:solidFill>
                          <w14:schemeClr w14:val="tx1"/>
                        </w14:solidFill>
                      </w14:textFill>
                    </w:rPr>
                  </w:pPr>
                  <w:r>
                    <w:rPr>
                      <w:color w:val="000000" w:themeColor="text1"/>
                      <w14:textFill>
                        <w14:solidFill>
                          <w14:schemeClr w14:val="tx1"/>
                        </w14:solidFill>
                      </w14:textFill>
                    </w:rPr>
                    <w:t>易</w:t>
                  </w:r>
                </w:p>
              </w:tc>
              <w:tc>
                <w:tcPr>
                  <w:tcW w:w="1590" w:type="dxa"/>
                  <w:vMerge w:val="continue"/>
                  <w:noWrap w:val="0"/>
                  <w:vAlign w:val="center"/>
                </w:tcPr>
                <w:p w14:paraId="2CAA51BA">
                  <w:pPr>
                    <w:jc w:val="center"/>
                    <w:rPr>
                      <w:color w:val="000000" w:themeColor="text1"/>
                      <w14:textFill>
                        <w14:solidFill>
                          <w14:schemeClr w14:val="tx1"/>
                        </w14:solidFill>
                      </w14:textFill>
                    </w:rPr>
                  </w:pPr>
                </w:p>
              </w:tc>
              <w:tc>
                <w:tcPr>
                  <w:tcW w:w="2338" w:type="dxa"/>
                  <w:vMerge w:val="continue"/>
                  <w:noWrap w:val="0"/>
                  <w:vAlign w:val="center"/>
                </w:tcPr>
                <w:p w14:paraId="30210A38">
                  <w:pPr>
                    <w:jc w:val="center"/>
                    <w:rPr>
                      <w:color w:val="000000" w:themeColor="text1"/>
                      <w14:textFill>
                        <w14:solidFill>
                          <w14:schemeClr w14:val="tx1"/>
                        </w14:solidFill>
                      </w14:textFill>
                    </w:rPr>
                  </w:pPr>
                </w:p>
              </w:tc>
            </w:tr>
            <w:tr w14:paraId="07091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noWrap w:val="0"/>
                  <w:vAlign w:val="center"/>
                </w:tcPr>
                <w:p w14:paraId="45FCFF9E">
                  <w:pPr>
                    <w:jc w:val="center"/>
                    <w:rPr>
                      <w:color w:val="000000" w:themeColor="text1"/>
                      <w14:textFill>
                        <w14:solidFill>
                          <w14:schemeClr w14:val="tx1"/>
                        </w14:solidFill>
                      </w14:textFill>
                    </w:rPr>
                  </w:pPr>
                  <w:r>
                    <w:rPr>
                      <w:color w:val="000000" w:themeColor="text1"/>
                      <w14:textFill>
                        <w14:solidFill>
                          <w14:schemeClr w14:val="tx1"/>
                        </w14:solidFill>
                      </w14:textFill>
                    </w:rPr>
                    <w:t>简单防渗区</w:t>
                  </w:r>
                </w:p>
              </w:tc>
              <w:tc>
                <w:tcPr>
                  <w:tcW w:w="1800" w:type="dxa"/>
                  <w:noWrap w:val="0"/>
                  <w:vAlign w:val="center"/>
                </w:tcPr>
                <w:p w14:paraId="2BFA1AC4">
                  <w:pPr>
                    <w:jc w:val="center"/>
                    <w:rPr>
                      <w:color w:val="000000" w:themeColor="text1"/>
                      <w14:textFill>
                        <w14:solidFill>
                          <w14:schemeClr w14:val="tx1"/>
                        </w14:solidFill>
                      </w14:textFill>
                    </w:rPr>
                  </w:pPr>
                  <w:r>
                    <w:rPr>
                      <w:color w:val="000000" w:themeColor="text1"/>
                      <w14:textFill>
                        <w14:solidFill>
                          <w14:schemeClr w14:val="tx1"/>
                        </w14:solidFill>
                      </w14:textFill>
                    </w:rPr>
                    <w:t>中-强</w:t>
                  </w:r>
                </w:p>
              </w:tc>
              <w:tc>
                <w:tcPr>
                  <w:tcW w:w="1560" w:type="dxa"/>
                  <w:noWrap w:val="0"/>
                  <w:vAlign w:val="center"/>
                </w:tcPr>
                <w:p w14:paraId="5C1DEFB9">
                  <w:pPr>
                    <w:jc w:val="center"/>
                    <w:rPr>
                      <w:color w:val="000000" w:themeColor="text1"/>
                      <w14:textFill>
                        <w14:solidFill>
                          <w14:schemeClr w14:val="tx1"/>
                        </w14:solidFill>
                      </w14:textFill>
                    </w:rPr>
                  </w:pPr>
                  <w:r>
                    <w:rPr>
                      <w:color w:val="000000" w:themeColor="text1"/>
                      <w14:textFill>
                        <w14:solidFill>
                          <w14:schemeClr w14:val="tx1"/>
                        </w14:solidFill>
                      </w14:textFill>
                    </w:rPr>
                    <w:t>易</w:t>
                  </w:r>
                </w:p>
              </w:tc>
              <w:tc>
                <w:tcPr>
                  <w:tcW w:w="1590" w:type="dxa"/>
                  <w:noWrap w:val="0"/>
                  <w:vAlign w:val="center"/>
                </w:tcPr>
                <w:p w14:paraId="6E5CE939">
                  <w:pPr>
                    <w:jc w:val="center"/>
                    <w:rPr>
                      <w:color w:val="000000" w:themeColor="text1"/>
                      <w14:textFill>
                        <w14:solidFill>
                          <w14:schemeClr w14:val="tx1"/>
                        </w14:solidFill>
                      </w14:textFill>
                    </w:rPr>
                  </w:pPr>
                  <w:r>
                    <w:rPr>
                      <w:color w:val="000000" w:themeColor="text1"/>
                      <w14:textFill>
                        <w14:solidFill>
                          <w14:schemeClr w14:val="tx1"/>
                        </w14:solidFill>
                      </w14:textFill>
                    </w:rPr>
                    <w:t>其他类型</w:t>
                  </w:r>
                </w:p>
              </w:tc>
              <w:tc>
                <w:tcPr>
                  <w:tcW w:w="2338" w:type="dxa"/>
                  <w:noWrap w:val="0"/>
                  <w:vAlign w:val="center"/>
                </w:tcPr>
                <w:p w14:paraId="6447B759">
                  <w:pPr>
                    <w:jc w:val="center"/>
                    <w:rPr>
                      <w:color w:val="000000" w:themeColor="text1"/>
                      <w14:textFill>
                        <w14:solidFill>
                          <w14:schemeClr w14:val="tx1"/>
                        </w14:solidFill>
                      </w14:textFill>
                    </w:rPr>
                  </w:pPr>
                  <w:r>
                    <w:rPr>
                      <w:color w:val="000000" w:themeColor="text1"/>
                      <w14:textFill>
                        <w14:solidFill>
                          <w14:schemeClr w14:val="tx1"/>
                        </w14:solidFill>
                      </w14:textFill>
                    </w:rPr>
                    <w:t>一般地面硬化</w:t>
                  </w:r>
                </w:p>
              </w:tc>
            </w:tr>
          </w:tbl>
          <w:p w14:paraId="73A9B622">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依据</w:t>
            </w:r>
            <w:r>
              <w:rPr>
                <w:rFonts w:hint="eastAsia"/>
                <w:color w:val="000000" w:themeColor="text1"/>
                <w:sz w:val="24"/>
                <w:lang w:val="en-US" w:eastAsia="zh-CN"/>
                <w14:textFill>
                  <w14:solidFill>
                    <w14:schemeClr w14:val="tx1"/>
                  </w14:solidFill>
                </w14:textFill>
              </w:rPr>
              <w:t>上表</w:t>
            </w:r>
            <w:r>
              <w:rPr>
                <w:color w:val="000000" w:themeColor="text1"/>
                <w:sz w:val="24"/>
                <w14:textFill>
                  <w14:solidFill>
                    <w14:schemeClr w14:val="tx1"/>
                  </w14:solidFill>
                </w14:textFill>
              </w:rPr>
              <w:t>划分要求及本项目污染物产生、处理的过程环节，结合</w:t>
            </w:r>
            <w:r>
              <w:rPr>
                <w:rFonts w:hint="eastAsia"/>
                <w:color w:val="000000" w:themeColor="text1"/>
                <w:sz w:val="24"/>
                <w14:textFill>
                  <w14:solidFill>
                    <w14:schemeClr w14:val="tx1"/>
                  </w14:solidFill>
                </w14:textFill>
              </w:rPr>
              <w:t>厂区</w:t>
            </w:r>
            <w:r>
              <w:rPr>
                <w:color w:val="000000" w:themeColor="text1"/>
                <w:sz w:val="24"/>
                <w14:textFill>
                  <w14:solidFill>
                    <w14:schemeClr w14:val="tx1"/>
                  </w14:solidFill>
                </w14:textFill>
              </w:rPr>
              <w:t>的总平面布置情况，将厂区分为</w:t>
            </w:r>
            <w:r>
              <w:rPr>
                <w:rFonts w:hint="eastAsia"/>
                <w:color w:val="000000" w:themeColor="text1"/>
                <w:sz w:val="24"/>
                <w:lang w:val="en-US" w:eastAsia="zh-CN"/>
                <w14:textFill>
                  <w14:solidFill>
                    <w14:schemeClr w14:val="tx1"/>
                  </w14:solidFill>
                </w14:textFill>
              </w:rPr>
              <w:t>重点防渗区、</w:t>
            </w:r>
            <w:r>
              <w:rPr>
                <w:color w:val="000000" w:themeColor="text1"/>
                <w:sz w:val="24"/>
                <w14:textFill>
                  <w14:solidFill>
                    <w14:schemeClr w14:val="tx1"/>
                  </w14:solidFill>
                </w14:textFill>
              </w:rPr>
              <w:t>一般防渗区</w:t>
            </w:r>
            <w:r>
              <w:rPr>
                <w:rFonts w:hint="eastAsia"/>
                <w:color w:val="000000" w:themeColor="text1"/>
                <w:sz w:val="24"/>
                <w14:textFill>
                  <w14:solidFill>
                    <w14:schemeClr w14:val="tx1"/>
                  </w14:solidFill>
                </w14:textFill>
              </w:rPr>
              <w:t>和</w:t>
            </w:r>
            <w:r>
              <w:rPr>
                <w:color w:val="000000" w:themeColor="text1"/>
                <w:sz w:val="24"/>
                <w14:textFill>
                  <w14:solidFill>
                    <w14:schemeClr w14:val="tx1"/>
                  </w14:solidFill>
                </w14:textFill>
              </w:rPr>
              <w:t>简单防渗区，本项目防渗要求见</w:t>
            </w:r>
            <w:r>
              <w:rPr>
                <w:rFonts w:hint="eastAsia"/>
                <w:color w:val="000000" w:themeColor="text1"/>
                <w:sz w:val="24"/>
                <w:lang w:val="en-US" w:eastAsia="zh-CN"/>
                <w14:textFill>
                  <w14:solidFill>
                    <w14:schemeClr w14:val="tx1"/>
                  </w14:solidFill>
                </w14:textFill>
              </w:rPr>
              <w:t>下表</w:t>
            </w:r>
            <w:r>
              <w:rPr>
                <w:color w:val="000000" w:themeColor="text1"/>
                <w:sz w:val="24"/>
                <w14:textFill>
                  <w14:solidFill>
                    <w14:schemeClr w14:val="tx1"/>
                  </w14:solidFill>
                </w14:textFill>
              </w:rPr>
              <w:t>。</w:t>
            </w:r>
          </w:p>
          <w:p w14:paraId="27768FC1">
            <w:pPr>
              <w:spacing w:line="276" w:lineRule="auto"/>
              <w:jc w:val="center"/>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表4-</w:t>
            </w:r>
            <w:r>
              <w:rPr>
                <w:rFonts w:hint="eastAsia"/>
                <w:b/>
                <w:bCs/>
                <w:color w:val="000000" w:themeColor="text1"/>
                <w:sz w:val="24"/>
                <w:lang w:val="en-US" w:eastAsia="zh-CN"/>
                <w14:textFill>
                  <w14:solidFill>
                    <w14:schemeClr w14:val="tx1"/>
                  </w14:solidFill>
                </w14:textFill>
              </w:rPr>
              <w:t>25</w:t>
            </w:r>
            <w:r>
              <w:rPr>
                <w:b/>
                <w:bCs/>
                <w:color w:val="000000" w:themeColor="text1"/>
                <w:sz w:val="24"/>
                <w14:textFill>
                  <w14:solidFill>
                    <w14:schemeClr w14:val="tx1"/>
                  </w14:solidFill>
                </w14:textFill>
              </w:rPr>
              <w:t xml:space="preserve">  项目防渗措施汇总表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3"/>
              <w:gridCol w:w="2889"/>
              <w:gridCol w:w="4084"/>
            </w:tblGrid>
            <w:tr w14:paraId="68F36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tblHeader/>
              </w:trPr>
              <w:tc>
                <w:tcPr>
                  <w:tcW w:w="891" w:type="pct"/>
                  <w:noWrap w:val="0"/>
                  <w:vAlign w:val="center"/>
                </w:tcPr>
                <w:p w14:paraId="6D51C183">
                  <w:pPr>
                    <w:adjustRightInd w:val="0"/>
                    <w:snapToGrid w:val="0"/>
                    <w:jc w:val="center"/>
                    <w:rPr>
                      <w:color w:val="000000" w:themeColor="text1"/>
                      <w:spacing w:val="10"/>
                      <w:szCs w:val="21"/>
                      <w14:textFill>
                        <w14:solidFill>
                          <w14:schemeClr w14:val="tx1"/>
                        </w14:solidFill>
                      </w14:textFill>
                    </w:rPr>
                  </w:pPr>
                  <w:r>
                    <w:rPr>
                      <w:color w:val="000000" w:themeColor="text1"/>
                      <w:spacing w:val="10"/>
                      <w:szCs w:val="21"/>
                      <w14:textFill>
                        <w14:solidFill>
                          <w14:schemeClr w14:val="tx1"/>
                        </w14:solidFill>
                      </w14:textFill>
                    </w:rPr>
                    <w:t>污染防渗区类别</w:t>
                  </w:r>
                </w:p>
              </w:tc>
              <w:tc>
                <w:tcPr>
                  <w:tcW w:w="1702" w:type="pct"/>
                  <w:noWrap w:val="0"/>
                  <w:vAlign w:val="center"/>
                </w:tcPr>
                <w:p w14:paraId="3B33AF2A">
                  <w:pPr>
                    <w:adjustRightInd w:val="0"/>
                    <w:snapToGrid w:val="0"/>
                    <w:jc w:val="center"/>
                    <w:rPr>
                      <w:color w:val="000000" w:themeColor="text1"/>
                      <w:spacing w:val="10"/>
                      <w:szCs w:val="21"/>
                      <w14:textFill>
                        <w14:solidFill>
                          <w14:schemeClr w14:val="tx1"/>
                        </w14:solidFill>
                      </w14:textFill>
                    </w:rPr>
                  </w:pPr>
                  <w:r>
                    <w:rPr>
                      <w:color w:val="000000" w:themeColor="text1"/>
                      <w:spacing w:val="10"/>
                      <w:szCs w:val="21"/>
                      <w14:textFill>
                        <w14:solidFill>
                          <w14:schemeClr w14:val="tx1"/>
                        </w14:solidFill>
                      </w14:textFill>
                    </w:rPr>
                    <w:t>防渗区名称</w:t>
                  </w:r>
                </w:p>
              </w:tc>
              <w:tc>
                <w:tcPr>
                  <w:tcW w:w="2405" w:type="pct"/>
                  <w:noWrap w:val="0"/>
                  <w:vAlign w:val="center"/>
                </w:tcPr>
                <w:p w14:paraId="5E917AA3">
                  <w:pPr>
                    <w:adjustRightInd w:val="0"/>
                    <w:snapToGrid w:val="0"/>
                    <w:jc w:val="center"/>
                    <w:rPr>
                      <w:color w:val="000000" w:themeColor="text1"/>
                      <w:spacing w:val="10"/>
                      <w:szCs w:val="21"/>
                      <w14:textFill>
                        <w14:solidFill>
                          <w14:schemeClr w14:val="tx1"/>
                        </w14:solidFill>
                      </w14:textFill>
                    </w:rPr>
                  </w:pPr>
                  <w:r>
                    <w:rPr>
                      <w:color w:val="000000" w:themeColor="text1"/>
                      <w:spacing w:val="10"/>
                      <w:szCs w:val="21"/>
                      <w14:textFill>
                        <w14:solidFill>
                          <w14:schemeClr w14:val="tx1"/>
                        </w14:solidFill>
                      </w14:textFill>
                    </w:rPr>
                    <w:t>防渗标准及要求</w:t>
                  </w:r>
                </w:p>
              </w:tc>
            </w:tr>
            <w:tr w14:paraId="0347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 w:hRule="atLeast"/>
                <w:tblHeader/>
              </w:trPr>
              <w:tc>
                <w:tcPr>
                  <w:tcW w:w="891" w:type="pct"/>
                  <w:noWrap w:val="0"/>
                  <w:vAlign w:val="center"/>
                </w:tcPr>
                <w:p w14:paraId="2B09947A">
                  <w:pPr>
                    <w:adjustRightInd w:val="0"/>
                    <w:snapToGrid w:val="0"/>
                    <w:jc w:val="center"/>
                    <w:rPr>
                      <w:rFonts w:hint="default" w:eastAsia="宋体"/>
                      <w:color w:val="000000" w:themeColor="text1"/>
                      <w:spacing w:val="10"/>
                      <w:szCs w:val="21"/>
                      <w:lang w:val="en-US" w:eastAsia="zh-CN"/>
                      <w14:textFill>
                        <w14:solidFill>
                          <w14:schemeClr w14:val="tx1"/>
                        </w14:solidFill>
                      </w14:textFill>
                    </w:rPr>
                  </w:pPr>
                  <w:r>
                    <w:rPr>
                      <w:rFonts w:hint="eastAsia"/>
                      <w:color w:val="000000" w:themeColor="text1"/>
                      <w:spacing w:val="10"/>
                      <w:szCs w:val="21"/>
                      <w:lang w:val="en-US" w:eastAsia="zh-CN"/>
                      <w14:textFill>
                        <w14:solidFill>
                          <w14:schemeClr w14:val="tx1"/>
                        </w14:solidFill>
                      </w14:textFill>
                    </w:rPr>
                    <w:t>重点防渗区</w:t>
                  </w:r>
                </w:p>
              </w:tc>
              <w:tc>
                <w:tcPr>
                  <w:tcW w:w="1702" w:type="pct"/>
                  <w:noWrap w:val="0"/>
                  <w:vAlign w:val="center"/>
                </w:tcPr>
                <w:p w14:paraId="5B4763C5">
                  <w:pPr>
                    <w:adjustRightInd w:val="0"/>
                    <w:snapToGrid w:val="0"/>
                    <w:jc w:val="center"/>
                    <w:rPr>
                      <w:rFonts w:hint="default"/>
                      <w:color w:val="000000" w:themeColor="text1"/>
                      <w:spacing w:val="10"/>
                      <w:szCs w:val="21"/>
                      <w:lang w:val="en-US" w:eastAsia="zh-CN"/>
                      <w14:textFill>
                        <w14:solidFill>
                          <w14:schemeClr w14:val="tx1"/>
                        </w14:solidFill>
                      </w14:textFill>
                    </w:rPr>
                  </w:pPr>
                  <w:r>
                    <w:rPr>
                      <w:rFonts w:hint="eastAsia"/>
                      <w:color w:val="000000" w:themeColor="text1"/>
                      <w:spacing w:val="10"/>
                      <w:szCs w:val="21"/>
                      <w:lang w:val="en-US" w:eastAsia="zh-CN"/>
                      <w14:textFill>
                        <w14:solidFill>
                          <w14:schemeClr w14:val="tx1"/>
                        </w14:solidFill>
                      </w14:textFill>
                    </w:rPr>
                    <w:t>危险废物暂存间</w:t>
                  </w:r>
                </w:p>
              </w:tc>
              <w:tc>
                <w:tcPr>
                  <w:tcW w:w="2405" w:type="pct"/>
                  <w:noWrap w:val="0"/>
                  <w:vAlign w:val="center"/>
                </w:tcPr>
                <w:p w14:paraId="15477F9B">
                  <w:pPr>
                    <w:adjustRightInd w:val="0"/>
                    <w:snapToGrid w:val="0"/>
                    <w:jc w:val="center"/>
                    <w:rPr>
                      <w:color w:val="000000" w:themeColor="text1"/>
                      <w:szCs w:val="21"/>
                      <w14:textFill>
                        <w14:solidFill>
                          <w14:schemeClr w14:val="tx1"/>
                        </w14:solidFill>
                      </w14:textFill>
                    </w:rPr>
                  </w:pPr>
                  <w:r>
                    <w:rPr>
                      <w:color w:val="000000" w:themeColor="text1"/>
                      <w14:textFill>
                        <w14:solidFill>
                          <w14:schemeClr w14:val="tx1"/>
                        </w14:solidFill>
                      </w14:textFill>
                    </w:rPr>
                    <w:t>等效黏土防渗层Mb≥6m，K≤1×10</w:t>
                  </w:r>
                  <w:r>
                    <w:rPr>
                      <w:color w:val="000000" w:themeColor="text1"/>
                      <w:vertAlign w:val="superscript"/>
                      <w14:textFill>
                        <w14:solidFill>
                          <w14:schemeClr w14:val="tx1"/>
                        </w14:solidFill>
                      </w14:textFill>
                    </w:rPr>
                    <w:t>-7</w:t>
                  </w:r>
                  <w:r>
                    <w:rPr>
                      <w:color w:val="000000" w:themeColor="text1"/>
                      <w14:textFill>
                        <w14:solidFill>
                          <w14:schemeClr w14:val="tx1"/>
                        </w14:solidFill>
                      </w14:textFill>
                    </w:rPr>
                    <w:t>cm/s；或参照GB18598执行</w:t>
                  </w:r>
                </w:p>
              </w:tc>
            </w:tr>
            <w:tr w14:paraId="6B5AB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 w:hRule="atLeast"/>
                <w:tblHeader/>
              </w:trPr>
              <w:tc>
                <w:tcPr>
                  <w:tcW w:w="891" w:type="pct"/>
                  <w:noWrap w:val="0"/>
                  <w:vAlign w:val="center"/>
                </w:tcPr>
                <w:p w14:paraId="7F162423">
                  <w:pPr>
                    <w:adjustRightInd w:val="0"/>
                    <w:snapToGrid w:val="0"/>
                    <w:jc w:val="center"/>
                    <w:rPr>
                      <w:color w:val="000000" w:themeColor="text1"/>
                      <w:spacing w:val="10"/>
                      <w:szCs w:val="21"/>
                      <w14:textFill>
                        <w14:solidFill>
                          <w14:schemeClr w14:val="tx1"/>
                        </w14:solidFill>
                      </w14:textFill>
                    </w:rPr>
                  </w:pPr>
                  <w:r>
                    <w:rPr>
                      <w:color w:val="000000" w:themeColor="text1"/>
                      <w:spacing w:val="10"/>
                      <w:szCs w:val="21"/>
                      <w14:textFill>
                        <w14:solidFill>
                          <w14:schemeClr w14:val="tx1"/>
                        </w14:solidFill>
                      </w14:textFill>
                    </w:rPr>
                    <w:t>一般防渗区</w:t>
                  </w:r>
                </w:p>
              </w:tc>
              <w:tc>
                <w:tcPr>
                  <w:tcW w:w="1702" w:type="pct"/>
                  <w:noWrap w:val="0"/>
                  <w:vAlign w:val="center"/>
                </w:tcPr>
                <w:p w14:paraId="1D91211C">
                  <w:pPr>
                    <w:adjustRightInd w:val="0"/>
                    <w:snapToGrid w:val="0"/>
                    <w:jc w:val="center"/>
                    <w:rPr>
                      <w:rFonts w:hint="default" w:eastAsia="宋体"/>
                      <w:color w:val="000000" w:themeColor="text1"/>
                      <w:spacing w:val="10"/>
                      <w:szCs w:val="21"/>
                      <w:lang w:val="en-US" w:eastAsia="zh-CN"/>
                      <w14:textFill>
                        <w14:solidFill>
                          <w14:schemeClr w14:val="tx1"/>
                        </w14:solidFill>
                      </w14:textFill>
                    </w:rPr>
                  </w:pPr>
                  <w:r>
                    <w:rPr>
                      <w:rFonts w:hint="eastAsia"/>
                      <w:color w:val="000000" w:themeColor="text1"/>
                      <w:spacing w:val="10"/>
                      <w:szCs w:val="21"/>
                      <w:lang w:val="en-US" w:eastAsia="zh-CN"/>
                      <w14:textFill>
                        <w14:solidFill>
                          <w14:schemeClr w14:val="tx1"/>
                        </w14:solidFill>
                      </w14:textFill>
                    </w:rPr>
                    <w:t>一般固体废物暂存间</w:t>
                  </w:r>
                </w:p>
              </w:tc>
              <w:tc>
                <w:tcPr>
                  <w:tcW w:w="2405" w:type="pct"/>
                  <w:noWrap w:val="0"/>
                  <w:vAlign w:val="center"/>
                </w:tcPr>
                <w:p w14:paraId="5C5DE054">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等效黏土防渗层厚度Mb</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1.5m，渗透系数K</w:t>
                  </w:r>
                  <w:r>
                    <w:rPr>
                      <w:rFonts w:hint="eastAsia"/>
                      <w:color w:val="000000" w:themeColor="text1"/>
                      <w:szCs w:val="21"/>
                      <w14:textFill>
                        <w14:solidFill>
                          <w14:schemeClr w14:val="tx1"/>
                        </w14:solidFill>
                      </w14:textFill>
                    </w:rPr>
                    <w:t>≤等于</w:t>
                  </w:r>
                  <w:r>
                    <w:rPr>
                      <w:color w:val="000000" w:themeColor="text1"/>
                      <w:szCs w:val="21"/>
                      <w14:textFill>
                        <w14:solidFill>
                          <w14:schemeClr w14:val="tx1"/>
                        </w14:solidFill>
                      </w14:textFill>
                    </w:rPr>
                    <w:t>1.0×10</w:t>
                  </w:r>
                  <w:r>
                    <w:rPr>
                      <w:color w:val="000000" w:themeColor="text1"/>
                      <w:szCs w:val="21"/>
                      <w:vertAlign w:val="superscript"/>
                      <w14:textFill>
                        <w14:solidFill>
                          <w14:schemeClr w14:val="tx1"/>
                        </w14:solidFill>
                      </w14:textFill>
                    </w:rPr>
                    <w:t>-7</w:t>
                  </w:r>
                  <w:r>
                    <w:rPr>
                      <w:color w:val="000000" w:themeColor="text1"/>
                      <w:szCs w:val="21"/>
                      <w14:textFill>
                        <w14:solidFill>
                          <w14:schemeClr w14:val="tx1"/>
                        </w14:solidFill>
                      </w14:textFill>
                    </w:rPr>
                    <w:t>cm/s</w:t>
                  </w:r>
                </w:p>
              </w:tc>
            </w:tr>
            <w:tr w14:paraId="1F6E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 w:hRule="atLeast"/>
                <w:tblHeader/>
              </w:trPr>
              <w:tc>
                <w:tcPr>
                  <w:tcW w:w="891" w:type="pct"/>
                  <w:noWrap w:val="0"/>
                  <w:vAlign w:val="center"/>
                </w:tcPr>
                <w:p w14:paraId="5F8EE1AF">
                  <w:pPr>
                    <w:adjustRightInd w:val="0"/>
                    <w:snapToGrid w:val="0"/>
                    <w:jc w:val="center"/>
                    <w:rPr>
                      <w:color w:val="000000" w:themeColor="text1"/>
                      <w:spacing w:val="10"/>
                      <w:szCs w:val="21"/>
                      <w14:textFill>
                        <w14:solidFill>
                          <w14:schemeClr w14:val="tx1"/>
                        </w14:solidFill>
                      </w14:textFill>
                    </w:rPr>
                  </w:pPr>
                  <w:r>
                    <w:rPr>
                      <w:color w:val="000000" w:themeColor="text1"/>
                      <w:spacing w:val="10"/>
                      <w:szCs w:val="21"/>
                      <w14:textFill>
                        <w14:solidFill>
                          <w14:schemeClr w14:val="tx1"/>
                        </w14:solidFill>
                      </w14:textFill>
                    </w:rPr>
                    <w:t>简单防渗区</w:t>
                  </w:r>
                </w:p>
              </w:tc>
              <w:tc>
                <w:tcPr>
                  <w:tcW w:w="1702" w:type="pct"/>
                  <w:noWrap w:val="0"/>
                  <w:vAlign w:val="center"/>
                </w:tcPr>
                <w:p w14:paraId="0E33451D">
                  <w:pPr>
                    <w:adjustRightInd w:val="0"/>
                    <w:snapToGrid w:val="0"/>
                    <w:jc w:val="center"/>
                    <w:rPr>
                      <w:color w:val="000000" w:themeColor="text1"/>
                      <w:spacing w:val="10"/>
                      <w:szCs w:val="21"/>
                      <w14:textFill>
                        <w14:solidFill>
                          <w14:schemeClr w14:val="tx1"/>
                        </w14:solidFill>
                      </w14:textFill>
                    </w:rPr>
                  </w:pPr>
                  <w:r>
                    <w:rPr>
                      <w:rFonts w:hint="eastAsia"/>
                      <w:color w:val="000000" w:themeColor="text1"/>
                      <w14:textFill>
                        <w14:solidFill>
                          <w14:schemeClr w14:val="tx1"/>
                        </w14:solidFill>
                      </w14:textFill>
                    </w:rPr>
                    <w:t>其他</w:t>
                  </w:r>
                </w:p>
              </w:tc>
              <w:tc>
                <w:tcPr>
                  <w:tcW w:w="2405" w:type="pct"/>
                  <w:noWrap w:val="0"/>
                  <w:vAlign w:val="center"/>
                </w:tcPr>
                <w:p w14:paraId="76403A47">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地面采用混凝土硬化</w:t>
                  </w:r>
                </w:p>
              </w:tc>
            </w:tr>
            <w:tr w14:paraId="7627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 w:hRule="atLeast"/>
                <w:tblHeader/>
              </w:trPr>
              <w:tc>
                <w:tcPr>
                  <w:tcW w:w="891" w:type="pct"/>
                  <w:noWrap w:val="0"/>
                  <w:vAlign w:val="center"/>
                </w:tcPr>
                <w:p w14:paraId="2FBFF55B">
                  <w:pPr>
                    <w:adjustRightInd w:val="0"/>
                    <w:snapToGrid w:val="0"/>
                    <w:jc w:val="center"/>
                    <w:rPr>
                      <w:color w:val="000000" w:themeColor="text1"/>
                      <w:spacing w:val="10"/>
                      <w:szCs w:val="21"/>
                      <w14:textFill>
                        <w14:solidFill>
                          <w14:schemeClr w14:val="tx1"/>
                        </w14:solidFill>
                      </w14:textFill>
                    </w:rPr>
                  </w:pPr>
                  <w:r>
                    <w:rPr>
                      <w:color w:val="000000" w:themeColor="text1"/>
                      <w:spacing w:val="10"/>
                      <w:szCs w:val="21"/>
                      <w14:textFill>
                        <w14:solidFill>
                          <w14:schemeClr w14:val="tx1"/>
                        </w14:solidFill>
                      </w14:textFill>
                    </w:rPr>
                    <w:t>备注</w:t>
                  </w:r>
                </w:p>
              </w:tc>
              <w:tc>
                <w:tcPr>
                  <w:tcW w:w="4108" w:type="pct"/>
                  <w:gridSpan w:val="2"/>
                  <w:noWrap w:val="0"/>
                  <w:vAlign w:val="center"/>
                </w:tcPr>
                <w:p w14:paraId="547B3496">
                  <w:pPr>
                    <w:adjustRightInd w:val="0"/>
                    <w:snapToGrid w:val="0"/>
                    <w:jc w:val="left"/>
                    <w:rPr>
                      <w:color w:val="000000" w:themeColor="text1"/>
                      <w:spacing w:val="10"/>
                      <w:szCs w:val="21"/>
                      <w14:textFill>
                        <w14:solidFill>
                          <w14:schemeClr w14:val="tx1"/>
                        </w14:solidFill>
                      </w14:textFill>
                    </w:rPr>
                  </w:pPr>
                  <w:r>
                    <w:rPr>
                      <w:color w:val="000000" w:themeColor="text1"/>
                      <w:spacing w:val="10"/>
                      <w:szCs w:val="21"/>
                      <w14:textFill>
                        <w14:solidFill>
                          <w14:schemeClr w14:val="tx1"/>
                        </w14:solidFill>
                      </w14:textFill>
                    </w:rPr>
                    <w:t>厂区具体防渗措施可根据防渗材料、厚度等进行防渗设计和施工，但须达到环评提出的防渗标准及要求。</w:t>
                  </w:r>
                </w:p>
              </w:tc>
            </w:tr>
          </w:tbl>
          <w:p w14:paraId="7707E02A">
            <w:pPr>
              <w:widowControl/>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本项目在落实土壤、地下水保护措施</w:t>
            </w:r>
            <w:r>
              <w:rPr>
                <w:rFonts w:hint="eastAsia"/>
                <w:color w:val="000000" w:themeColor="text1"/>
                <w:sz w:val="24"/>
                <w:lang w:eastAsia="zh-CN"/>
                <w14:textFill>
                  <w14:solidFill>
                    <w14:schemeClr w14:val="tx1"/>
                  </w14:solidFill>
                </w14:textFill>
              </w:rPr>
              <w:t>，在</w:t>
            </w:r>
            <w:r>
              <w:rPr>
                <w:rFonts w:hint="eastAsia"/>
                <w:color w:val="000000" w:themeColor="text1"/>
                <w:sz w:val="24"/>
                <w:lang w:val="en-US" w:eastAsia="zh-CN"/>
                <w14:textFill>
                  <w14:solidFill>
                    <w14:schemeClr w14:val="tx1"/>
                  </w14:solidFill>
                </w14:textFill>
              </w:rPr>
              <w:t>运营期</w:t>
            </w:r>
            <w:r>
              <w:rPr>
                <w:color w:val="000000" w:themeColor="text1"/>
                <w:sz w:val="24"/>
                <w14:textFill>
                  <w14:solidFill>
                    <w14:schemeClr w14:val="tx1"/>
                  </w14:solidFill>
                </w14:textFill>
              </w:rPr>
              <w:t>加强监督和管理</w:t>
            </w:r>
            <w:r>
              <w:rPr>
                <w:rFonts w:hint="eastAsia"/>
                <w:color w:val="000000" w:themeColor="text1"/>
                <w:sz w:val="24"/>
                <w14:textFill>
                  <w14:solidFill>
                    <w14:schemeClr w14:val="tx1"/>
                  </w14:solidFill>
                </w14:textFill>
              </w:rPr>
              <w:t>的前提下</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项目运营对厂区及周围土壤、地下水环境的影响可接受。</w:t>
            </w:r>
          </w:p>
          <w:p w14:paraId="0AC9D16E">
            <w:pPr>
              <w:adjustRightInd w:val="0"/>
              <w:snapToGrid w:val="0"/>
              <w:spacing w:line="360" w:lineRule="auto"/>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6、环境风险</w:t>
            </w:r>
          </w:p>
          <w:p w14:paraId="1BB0502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环境风险是指突发性灾难事故造成重大环境污染的</w:t>
            </w:r>
            <w:r>
              <w:rPr>
                <w:rFonts w:hint="eastAsia"/>
                <w:bCs/>
                <w:color w:val="000000" w:themeColor="text1"/>
                <w:sz w:val="24"/>
                <w14:textFill>
                  <w14:solidFill>
                    <w14:schemeClr w14:val="tx1"/>
                  </w14:solidFill>
                </w14:textFill>
              </w:rPr>
              <w:t>事件</w:t>
            </w:r>
            <w:r>
              <w:rPr>
                <w:bCs/>
                <w:color w:val="000000" w:themeColor="text1"/>
                <w:sz w:val="24"/>
                <w14:textFill>
                  <w14:solidFill>
                    <w14:schemeClr w14:val="tx1"/>
                  </w14:solidFill>
                </w14:textFill>
              </w:rPr>
              <w:t>，它具有危害性大、影响范围广等特点，同时风险发生的概率又有很大的不确定性，倘若一旦发生，其破坏性极强，污染损失惨重，不仅会打乱该区域内人群正</w:t>
            </w:r>
            <w:r>
              <w:rPr>
                <w:rFonts w:hint="eastAsia"/>
                <w:bCs/>
                <w:color w:val="000000" w:themeColor="text1"/>
                <w:sz w:val="24"/>
                <w14:textFill>
                  <w14:solidFill>
                    <w14:schemeClr w14:val="tx1"/>
                  </w14:solidFill>
                </w14:textFill>
              </w:rPr>
              <w:t>常的生活、生产秩序，还会造成人员伤亡，国家财产和巨大损失以及生态环境的严重破坏</w:t>
            </w:r>
            <w:r>
              <w:rPr>
                <w:bCs/>
                <w:color w:val="000000" w:themeColor="text1"/>
                <w:sz w:val="24"/>
                <w14:textFill>
                  <w14:solidFill>
                    <w14:schemeClr w14:val="tx1"/>
                  </w14:solidFill>
                </w14:textFill>
              </w:rPr>
              <w:t>。</w:t>
            </w:r>
          </w:p>
          <w:p w14:paraId="4A72F115">
            <w:pPr>
              <w:spacing w:line="360" w:lineRule="auto"/>
              <w:ind w:firstLine="482" w:firstLineChars="200"/>
              <w:rPr>
                <w:bCs/>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6.1</w:t>
            </w:r>
            <w:r>
              <w:rPr>
                <w:b/>
                <w:color w:val="000000" w:themeColor="text1"/>
                <w:sz w:val="24"/>
                <w14:textFill>
                  <w14:solidFill>
                    <w14:schemeClr w14:val="tx1"/>
                  </w14:solidFill>
                </w14:textFill>
              </w:rPr>
              <w:t>环境风险识别</w:t>
            </w:r>
          </w:p>
          <w:p w14:paraId="09BF0474">
            <w:pPr>
              <w:adjustRightInd w:val="0"/>
              <w:snapToGrid w:val="0"/>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根据本项目工程内容、原辅材料</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生产过程</w:t>
            </w:r>
            <w:r>
              <w:rPr>
                <w:rFonts w:hint="eastAsia"/>
                <w:bCs/>
                <w:color w:val="000000" w:themeColor="text1"/>
                <w:sz w:val="24"/>
                <w14:textFill>
                  <w14:solidFill>
                    <w14:schemeClr w14:val="tx1"/>
                  </w14:solidFill>
                </w14:textFill>
              </w:rPr>
              <w:t>和污染物</w:t>
            </w:r>
            <w:r>
              <w:rPr>
                <w:bCs/>
                <w:color w:val="000000" w:themeColor="text1"/>
                <w:sz w:val="24"/>
                <w14:textFill>
                  <w14:solidFill>
                    <w14:schemeClr w14:val="tx1"/>
                  </w14:solidFill>
                </w14:textFill>
              </w:rPr>
              <w:t>产生情况，并对照相关项目风险资料，根据《建设项目环境风险评价技术导则》（HJ169-2018）附录B，本项目涉及的环境风险物质</w:t>
            </w:r>
            <w:r>
              <w:rPr>
                <w:rFonts w:hint="eastAsia"/>
                <w:bCs/>
                <w:color w:val="000000" w:themeColor="text1"/>
                <w:sz w:val="24"/>
                <w:lang w:val="en-US" w:eastAsia="zh-CN"/>
                <w14:textFill>
                  <w14:solidFill>
                    <w14:schemeClr w14:val="tx1"/>
                  </w14:solidFill>
                </w14:textFill>
              </w:rPr>
              <w:t>为生物质大豆油、废机油、废润滑油</w:t>
            </w:r>
            <w:r>
              <w:rPr>
                <w:bCs/>
                <w:color w:val="000000" w:themeColor="text1"/>
                <w:sz w:val="24"/>
                <w14:textFill>
                  <w14:solidFill>
                    <w14:schemeClr w14:val="tx1"/>
                  </w14:solidFill>
                </w14:textFill>
              </w:rPr>
              <w:t>。</w:t>
            </w:r>
          </w:p>
          <w:p w14:paraId="435238AF">
            <w:pPr>
              <w:adjustRightInd w:val="0"/>
              <w:snapToGrid w:val="0"/>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根据《建设项目环境风险评价技术导则》（HJ/T169-2018），本项目需按下式计算物质总量与其临界量比值Q，在不同厂区的同一种物质，按其在厂界内的最大存在量计算</w:t>
            </w:r>
            <w:r>
              <w:rPr>
                <w:rFonts w:hint="eastAsia"/>
                <w:bCs/>
                <w:color w:val="000000" w:themeColor="text1"/>
                <w:sz w:val="24"/>
                <w14:textFill>
                  <w14:solidFill>
                    <w14:schemeClr w14:val="tx1"/>
                  </w14:solidFill>
                </w14:textFill>
              </w:rPr>
              <w:t>，</w:t>
            </w:r>
            <w:r>
              <w:rPr>
                <w:color w:val="000000" w:themeColor="text1"/>
                <w:sz w:val="24"/>
                <w14:textFill>
                  <w14:solidFill>
                    <w14:schemeClr w14:val="tx1"/>
                  </w14:solidFill>
                </w14:textFill>
              </w:rPr>
              <w:t>计算公式如下</w:t>
            </w:r>
            <w:r>
              <w:rPr>
                <w:rFonts w:hint="eastAsia"/>
                <w:color w:val="000000" w:themeColor="text1"/>
                <w:sz w:val="24"/>
                <w14:textFill>
                  <w14:solidFill>
                    <w14:schemeClr w14:val="tx1"/>
                  </w14:solidFill>
                </w14:textFill>
              </w:rPr>
              <w:t>：</w:t>
            </w:r>
          </w:p>
          <w:p w14:paraId="37CACC1C">
            <w:pPr>
              <w:pStyle w:val="6"/>
              <w:adjustRightInd w:val="0"/>
              <w:snapToGrid w:val="0"/>
              <w:spacing w:line="360" w:lineRule="auto"/>
              <w:jc w:val="center"/>
              <w:rPr>
                <w:bCs/>
                <w:color w:val="000000" w:themeColor="text1"/>
                <w14:textFill>
                  <w14:solidFill>
                    <w14:schemeClr w14:val="tx1"/>
                  </w14:solidFill>
                </w14:textFill>
              </w:rPr>
            </w:pPr>
            <w:r>
              <w:rPr>
                <w:bCs/>
                <w:color w:val="000000" w:themeColor="text1"/>
                <w:position w:val="-38"/>
                <w14:textFill>
                  <w14:solidFill>
                    <w14:schemeClr w14:val="tx1"/>
                  </w14:solidFill>
                </w14:textFill>
              </w:rPr>
              <w:object>
                <v:shape id="_x0000_i1035" o:spt="75" type="#_x0000_t75" style="height:44pt;width:130pt;" o:ole="t" filled="f" o:preferrelative="t" stroked="f" coordsize="21600,21600">
                  <v:path/>
                  <v:fill on="f" focussize="0,0"/>
                  <v:stroke on="f"/>
                  <v:imagedata r:id="rId32" o:title=""/>
                  <o:lock v:ext="edit" aspectratio="t"/>
                  <w10:wrap type="none"/>
                  <w10:anchorlock/>
                </v:shape>
                <o:OLEObject Type="Embed" ProgID="Equation.KSEE3" ShapeID="_x0000_i1035" DrawAspect="Content" ObjectID="_1468075735" r:id="rId31">
                  <o:LockedField>false</o:LockedField>
                </o:OLEObject>
              </w:object>
            </w:r>
          </w:p>
          <w:p w14:paraId="796BE20E">
            <w:pPr>
              <w:pStyle w:val="6"/>
              <w:adjustRightInd w:val="0"/>
              <w:snapToGrid w:val="0"/>
              <w:spacing w:line="360" w:lineRule="auto"/>
              <w:ind w:firstLine="560" w:firstLineChars="200"/>
              <w:rPr>
                <w:bCs/>
                <w:color w:val="000000" w:themeColor="text1"/>
                <w14:textFill>
                  <w14:solidFill>
                    <w14:schemeClr w14:val="tx1"/>
                  </w14:solidFill>
                </w14:textFill>
              </w:rPr>
            </w:pPr>
            <w:r>
              <w:rPr>
                <w:bCs/>
                <w:color w:val="000000" w:themeColor="text1"/>
                <w14:textFill>
                  <w14:solidFill>
                    <w14:schemeClr w14:val="tx1"/>
                  </w14:solidFill>
                </w14:textFill>
              </w:rPr>
              <w:t>式中：q</w:t>
            </w:r>
            <w:r>
              <w:rPr>
                <w:bCs/>
                <w:color w:val="000000" w:themeColor="text1"/>
                <w:vertAlign w:val="subscript"/>
                <w14:textFill>
                  <w14:solidFill>
                    <w14:schemeClr w14:val="tx1"/>
                  </w14:solidFill>
                </w14:textFill>
              </w:rPr>
              <w:t>1</w:t>
            </w:r>
            <w:r>
              <w:rPr>
                <w:bCs/>
                <w:color w:val="000000" w:themeColor="text1"/>
                <w14:textFill>
                  <w14:solidFill>
                    <w14:schemeClr w14:val="tx1"/>
                  </w14:solidFill>
                </w14:textFill>
              </w:rPr>
              <w:t>，q</w:t>
            </w:r>
            <w:r>
              <w:rPr>
                <w:bCs/>
                <w:color w:val="000000" w:themeColor="text1"/>
                <w:vertAlign w:val="subscript"/>
                <w14:textFill>
                  <w14:solidFill>
                    <w14:schemeClr w14:val="tx1"/>
                  </w14:solidFill>
                </w14:textFill>
              </w:rPr>
              <w:t>2</w:t>
            </w:r>
            <w:r>
              <w:rPr>
                <w:bCs/>
                <w:color w:val="000000" w:themeColor="text1"/>
                <w14:textFill>
                  <w14:solidFill>
                    <w14:schemeClr w14:val="tx1"/>
                  </w14:solidFill>
                </w14:textFill>
              </w:rPr>
              <w:t>，…，q</w:t>
            </w:r>
            <w:r>
              <w:rPr>
                <w:bCs/>
                <w:color w:val="000000" w:themeColor="text1"/>
                <w:vertAlign w:val="subscript"/>
                <w14:textFill>
                  <w14:solidFill>
                    <w14:schemeClr w14:val="tx1"/>
                  </w14:solidFill>
                </w14:textFill>
              </w:rPr>
              <w:t>n</w:t>
            </w:r>
            <w:r>
              <w:rPr>
                <w:bCs/>
                <w:color w:val="000000" w:themeColor="text1"/>
                <w14:textFill>
                  <w14:solidFill>
                    <w14:schemeClr w14:val="tx1"/>
                  </w14:solidFill>
                </w14:textFill>
              </w:rPr>
              <w:t>——每种危险物质的最大存在总量，t；</w:t>
            </w:r>
          </w:p>
          <w:p w14:paraId="1E567566">
            <w:pPr>
              <w:adjustRightInd w:val="0"/>
              <w:snapToGrid w:val="0"/>
              <w:spacing w:line="360" w:lineRule="auto"/>
              <w:ind w:firstLine="1200" w:firstLineChars="5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Q</w:t>
            </w:r>
            <w:r>
              <w:rPr>
                <w:bCs/>
                <w:color w:val="000000" w:themeColor="text1"/>
                <w:sz w:val="24"/>
                <w:vertAlign w:val="subscript"/>
                <w14:textFill>
                  <w14:solidFill>
                    <w14:schemeClr w14:val="tx1"/>
                  </w14:solidFill>
                </w14:textFill>
              </w:rPr>
              <w:t>1</w:t>
            </w:r>
            <w:r>
              <w:rPr>
                <w:bCs/>
                <w:color w:val="000000" w:themeColor="text1"/>
                <w:sz w:val="24"/>
                <w14:textFill>
                  <w14:solidFill>
                    <w14:schemeClr w14:val="tx1"/>
                  </w14:solidFill>
                </w14:textFill>
              </w:rPr>
              <w:t>，Q</w:t>
            </w:r>
            <w:r>
              <w:rPr>
                <w:bCs/>
                <w:color w:val="000000" w:themeColor="text1"/>
                <w:sz w:val="24"/>
                <w:vertAlign w:val="subscript"/>
                <w14:textFill>
                  <w14:solidFill>
                    <w14:schemeClr w14:val="tx1"/>
                  </w14:solidFill>
                </w14:textFill>
              </w:rPr>
              <w:t>2</w:t>
            </w:r>
            <w:r>
              <w:rPr>
                <w:bCs/>
                <w:color w:val="000000" w:themeColor="text1"/>
                <w:sz w:val="24"/>
                <w14:textFill>
                  <w14:solidFill>
                    <w14:schemeClr w14:val="tx1"/>
                  </w14:solidFill>
                </w14:textFill>
              </w:rPr>
              <w:t>，…，Q</w:t>
            </w:r>
            <w:r>
              <w:rPr>
                <w:bCs/>
                <w:color w:val="000000" w:themeColor="text1"/>
                <w:sz w:val="24"/>
                <w:vertAlign w:val="subscript"/>
                <w14:textFill>
                  <w14:solidFill>
                    <w14:schemeClr w14:val="tx1"/>
                  </w14:solidFill>
                </w14:textFill>
              </w:rPr>
              <w:t>n</w:t>
            </w:r>
            <w:r>
              <w:rPr>
                <w:bCs/>
                <w:color w:val="000000" w:themeColor="text1"/>
                <w:sz w:val="24"/>
                <w14:textFill>
                  <w14:solidFill>
                    <w14:schemeClr w14:val="tx1"/>
                  </w14:solidFill>
                </w14:textFill>
              </w:rPr>
              <w:t>——每种危险物质的</w:t>
            </w:r>
            <w:r>
              <w:rPr>
                <w:rFonts w:hint="eastAsia"/>
                <w:bCs/>
                <w:color w:val="000000" w:themeColor="text1"/>
                <w:sz w:val="24"/>
                <w14:textFill>
                  <w14:solidFill>
                    <w14:schemeClr w14:val="tx1"/>
                  </w14:solidFill>
                </w14:textFill>
              </w:rPr>
              <w:t>临界量</w:t>
            </w:r>
            <w:r>
              <w:rPr>
                <w:bCs/>
                <w:color w:val="000000" w:themeColor="text1"/>
                <w:sz w:val="24"/>
                <w14:textFill>
                  <w14:solidFill>
                    <w14:schemeClr w14:val="tx1"/>
                  </w14:solidFill>
                </w14:textFill>
              </w:rPr>
              <w:t>，t。</w:t>
            </w:r>
          </w:p>
          <w:p w14:paraId="28DD3305">
            <w:pPr>
              <w:adjustRightInd w:val="0"/>
              <w:spacing w:line="360" w:lineRule="auto"/>
              <w:ind w:firstLine="480" w:firstLineChars="200"/>
              <w:rPr>
                <w:rFonts w:hint="eastAsia"/>
                <w:bCs/>
                <w:color w:val="000000" w:themeColor="text1"/>
                <w14:textFill>
                  <w14:solidFill>
                    <w14:schemeClr w14:val="tx1"/>
                  </w14:solidFill>
                </w14:textFill>
              </w:rPr>
            </w:pPr>
            <w:r>
              <w:rPr>
                <w:color w:val="000000" w:themeColor="text1"/>
                <w:sz w:val="24"/>
                <w14:textFill>
                  <w14:solidFill>
                    <w14:schemeClr w14:val="tx1"/>
                  </w14:solidFill>
                </w14:textFill>
              </w:rPr>
              <w:t>本项目涉及具有代表性的危险物料为</w:t>
            </w:r>
            <w:r>
              <w:rPr>
                <w:rFonts w:hint="eastAsia"/>
                <w:color w:val="000000" w:themeColor="text1"/>
                <w:sz w:val="24"/>
                <w:lang w:val="en-US" w:eastAsia="zh-CN"/>
                <w14:textFill>
                  <w14:solidFill>
                    <w14:schemeClr w14:val="tx1"/>
                  </w14:solidFill>
                </w14:textFill>
              </w:rPr>
              <w:t>生物质大豆油、废机油废润滑油</w:t>
            </w:r>
            <w:r>
              <w:rPr>
                <w:color w:val="000000" w:themeColor="text1"/>
                <w:sz w:val="24"/>
                <w14:textFill>
                  <w14:solidFill>
                    <w14:schemeClr w14:val="tx1"/>
                  </w14:solidFill>
                </w14:textFill>
              </w:rPr>
              <w:t>，查阅《建设项目环境风险评价技术导则》（HJ 169-2018）附录B中以上各种物质的临界量，计算结果见下表：</w:t>
            </w:r>
          </w:p>
          <w:p w14:paraId="66B411E0">
            <w:pPr>
              <w:adjustRightInd w:val="0"/>
              <w:spacing w:line="276" w:lineRule="auto"/>
              <w:jc w:val="center"/>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表4-</w:t>
            </w:r>
            <w:r>
              <w:rPr>
                <w:rFonts w:hint="eastAsia"/>
                <w:b/>
                <w:bCs/>
                <w:color w:val="000000" w:themeColor="text1"/>
                <w:sz w:val="24"/>
                <w:lang w:val="en-US" w:eastAsia="zh-CN"/>
                <w14:textFill>
                  <w14:solidFill>
                    <w14:schemeClr w14:val="tx1"/>
                  </w14:solidFill>
                </w14:textFill>
              </w:rPr>
              <w:t>26</w:t>
            </w:r>
            <w:r>
              <w:rPr>
                <w:b/>
                <w:bCs/>
                <w:color w:val="000000" w:themeColor="text1"/>
                <w:sz w:val="24"/>
                <w14:textFill>
                  <w14:solidFill>
                    <w14:schemeClr w14:val="tx1"/>
                  </w14:solidFill>
                </w14:textFill>
              </w:rPr>
              <w:t xml:space="preserve">  风险物质储存量、临界量一览表</w:t>
            </w:r>
          </w:p>
          <w:tbl>
            <w:tblPr>
              <w:tblStyle w:val="28"/>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236"/>
              <w:gridCol w:w="1567"/>
              <w:gridCol w:w="1677"/>
              <w:gridCol w:w="1619"/>
              <w:gridCol w:w="1619"/>
            </w:tblGrid>
            <w:tr w14:paraId="46CC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noWrap w:val="0"/>
                  <w:vAlign w:val="center"/>
                </w:tcPr>
                <w:p w14:paraId="40226417">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序号</w:t>
                  </w:r>
                </w:p>
              </w:tc>
              <w:tc>
                <w:tcPr>
                  <w:tcW w:w="1236" w:type="dxa"/>
                  <w:noWrap w:val="0"/>
                  <w:vAlign w:val="center"/>
                </w:tcPr>
                <w:p w14:paraId="19C75CDA">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风险物质</w:t>
                  </w:r>
                </w:p>
              </w:tc>
              <w:tc>
                <w:tcPr>
                  <w:tcW w:w="1567" w:type="dxa"/>
                  <w:noWrap w:val="0"/>
                  <w:vAlign w:val="center"/>
                </w:tcPr>
                <w:p w14:paraId="29FA391C">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储存位置</w:t>
                  </w:r>
                </w:p>
              </w:tc>
              <w:tc>
                <w:tcPr>
                  <w:tcW w:w="1677" w:type="dxa"/>
                  <w:noWrap w:val="0"/>
                  <w:vAlign w:val="center"/>
                </w:tcPr>
                <w:p w14:paraId="38F5BB15">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最大储存量（t）</w:t>
                  </w:r>
                </w:p>
              </w:tc>
              <w:tc>
                <w:tcPr>
                  <w:tcW w:w="1619" w:type="dxa"/>
                  <w:noWrap w:val="0"/>
                  <w:vAlign w:val="center"/>
                </w:tcPr>
                <w:p w14:paraId="09D661B1">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临界量（t）</w:t>
                  </w:r>
                </w:p>
              </w:tc>
              <w:tc>
                <w:tcPr>
                  <w:tcW w:w="1619" w:type="dxa"/>
                  <w:noWrap w:val="0"/>
                  <w:vAlign w:val="center"/>
                </w:tcPr>
                <w:p w14:paraId="69EA8246">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Q值</w:t>
                  </w:r>
                </w:p>
              </w:tc>
            </w:tr>
            <w:tr w14:paraId="2EFB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noWrap w:val="0"/>
                  <w:vAlign w:val="center"/>
                </w:tcPr>
                <w:p w14:paraId="1F732688">
                  <w:pPr>
                    <w:adjustRightInd w:val="0"/>
                    <w:snapToGrid w:val="0"/>
                    <w:jc w:val="center"/>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1236" w:type="dxa"/>
                  <w:noWrap w:val="0"/>
                  <w:vAlign w:val="center"/>
                </w:tcPr>
                <w:p w14:paraId="527A0526">
                  <w:pPr>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生物质大豆油</w:t>
                  </w:r>
                </w:p>
              </w:tc>
              <w:tc>
                <w:tcPr>
                  <w:tcW w:w="1567" w:type="dxa"/>
                  <w:noWrap w:val="0"/>
                  <w:vAlign w:val="center"/>
                </w:tcPr>
                <w:p w14:paraId="10C6E518">
                  <w:pPr>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管理用房</w:t>
                  </w:r>
                </w:p>
              </w:tc>
              <w:tc>
                <w:tcPr>
                  <w:tcW w:w="1677" w:type="dxa"/>
                  <w:noWrap w:val="0"/>
                  <w:vAlign w:val="center"/>
                </w:tcPr>
                <w:p w14:paraId="580AF6A3">
                  <w:pPr>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0.2</w:t>
                  </w:r>
                </w:p>
              </w:tc>
              <w:tc>
                <w:tcPr>
                  <w:tcW w:w="1619" w:type="dxa"/>
                  <w:noWrap w:val="0"/>
                  <w:vAlign w:val="center"/>
                </w:tcPr>
                <w:p w14:paraId="720D48CD">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2500</w:t>
                  </w:r>
                </w:p>
              </w:tc>
              <w:tc>
                <w:tcPr>
                  <w:tcW w:w="1619" w:type="dxa"/>
                  <w:noWrap w:val="0"/>
                  <w:vAlign w:val="center"/>
                </w:tcPr>
                <w:p w14:paraId="2D39B68F">
                  <w:pPr>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0.00008</w:t>
                  </w:r>
                </w:p>
              </w:tc>
            </w:tr>
            <w:tr w14:paraId="28CD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noWrap w:val="0"/>
                  <w:vAlign w:val="center"/>
                </w:tcPr>
                <w:p w14:paraId="361A400A">
                  <w:pPr>
                    <w:adjustRightInd w:val="0"/>
                    <w:snapToGrid w:val="0"/>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w:t>
                  </w:r>
                </w:p>
              </w:tc>
              <w:tc>
                <w:tcPr>
                  <w:tcW w:w="1236" w:type="dxa"/>
                  <w:noWrap w:val="0"/>
                  <w:vAlign w:val="center"/>
                </w:tcPr>
                <w:p w14:paraId="0E387BC4">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废机油、废润滑油</w:t>
                  </w:r>
                </w:p>
              </w:tc>
              <w:tc>
                <w:tcPr>
                  <w:tcW w:w="1567" w:type="dxa"/>
                  <w:noWrap w:val="0"/>
                  <w:vAlign w:val="center"/>
                </w:tcPr>
                <w:p w14:paraId="1DEB581B">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危险废物暂存间</w:t>
                  </w:r>
                </w:p>
              </w:tc>
              <w:tc>
                <w:tcPr>
                  <w:tcW w:w="1677" w:type="dxa"/>
                  <w:noWrap w:val="0"/>
                  <w:vAlign w:val="center"/>
                </w:tcPr>
                <w:p w14:paraId="7D163FCB">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0.1</w:t>
                  </w:r>
                </w:p>
              </w:tc>
              <w:tc>
                <w:tcPr>
                  <w:tcW w:w="1619" w:type="dxa"/>
                  <w:noWrap w:val="0"/>
                  <w:vAlign w:val="center"/>
                </w:tcPr>
                <w:p w14:paraId="0E050151">
                  <w:pPr>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2500</w:t>
                  </w:r>
                </w:p>
              </w:tc>
              <w:tc>
                <w:tcPr>
                  <w:tcW w:w="1619" w:type="dxa"/>
                  <w:noWrap w:val="0"/>
                  <w:vAlign w:val="center"/>
                </w:tcPr>
                <w:p w14:paraId="767C44E6">
                  <w:pPr>
                    <w:adjustRightInd w:val="0"/>
                    <w:snapToGrid w:val="0"/>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0.00004</w:t>
                  </w:r>
                </w:p>
              </w:tc>
            </w:tr>
            <w:tr w14:paraId="16D2D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5" w:type="dxa"/>
                  <w:gridSpan w:val="5"/>
                  <w:noWrap w:val="0"/>
                  <w:vAlign w:val="center"/>
                </w:tcPr>
                <w:p w14:paraId="64227968">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合计</w:t>
                  </w:r>
                </w:p>
              </w:tc>
              <w:tc>
                <w:tcPr>
                  <w:tcW w:w="1619" w:type="dxa"/>
                  <w:noWrap w:val="0"/>
                  <w:vAlign w:val="center"/>
                </w:tcPr>
                <w:p w14:paraId="5F131787">
                  <w:pPr>
                    <w:adjustRightInd w:val="0"/>
                    <w:snapToGri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0.00012</w:t>
                  </w:r>
                </w:p>
              </w:tc>
            </w:tr>
          </w:tbl>
          <w:p w14:paraId="34684027">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根据上表中Q计算结果，并结合《建设项目环境风险评价技术导则》（HJ169-2018）附录C确定，当Q＜1时，可直接判定本项目环境风险潜势为I。因此，本项目环境风险评价仅进行简单分析。</w:t>
            </w:r>
          </w:p>
          <w:p w14:paraId="7F601944">
            <w:pPr>
              <w:adjustRightInd w:val="0"/>
              <w:snapToGrid w:val="0"/>
              <w:spacing w:line="360" w:lineRule="auto"/>
              <w:ind w:firstLine="482" w:firstLineChars="200"/>
              <w:rPr>
                <w:b/>
                <w:color w:val="000000" w:themeColor="text1"/>
                <w:sz w:val="24"/>
                <w14:textFill>
                  <w14:solidFill>
                    <w14:schemeClr w14:val="tx1"/>
                  </w14:solidFill>
                </w14:textFill>
              </w:rPr>
            </w:pPr>
            <w:r>
              <w:rPr>
                <w:b/>
                <w:color w:val="000000" w:themeColor="text1"/>
                <w:sz w:val="24"/>
                <w14:textFill>
                  <w14:solidFill>
                    <w14:schemeClr w14:val="tx1"/>
                  </w14:solidFill>
                </w14:textFill>
              </w:rPr>
              <w:t>（2）生产设施风险识别</w:t>
            </w:r>
          </w:p>
          <w:p w14:paraId="5AA3B0F5">
            <w:pPr>
              <w:widowControl/>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项目运营期生产过程中使用的设备、装置危害因素识别见</w:t>
            </w:r>
            <w:r>
              <w:rPr>
                <w:rFonts w:hint="eastAsia"/>
                <w:color w:val="000000" w:themeColor="text1"/>
                <w:sz w:val="24"/>
                <w:lang w:val="en-US" w:eastAsia="zh-CN"/>
                <w14:textFill>
                  <w14:solidFill>
                    <w14:schemeClr w14:val="tx1"/>
                  </w14:solidFill>
                </w14:textFill>
              </w:rPr>
              <w:t>下表</w:t>
            </w:r>
            <w:r>
              <w:rPr>
                <w:color w:val="000000" w:themeColor="text1"/>
                <w:sz w:val="24"/>
                <w14:textFill>
                  <w14:solidFill>
                    <w14:schemeClr w14:val="tx1"/>
                  </w14:solidFill>
                </w14:textFill>
              </w:rPr>
              <w:t>。</w:t>
            </w:r>
          </w:p>
          <w:p w14:paraId="1DCA86AB">
            <w:pPr>
              <w:widowControl/>
              <w:adjustRightInd w:val="0"/>
              <w:snapToGrid w:val="0"/>
              <w:spacing w:line="276" w:lineRule="auto"/>
              <w:jc w:val="center"/>
              <w:rPr>
                <w:rFonts w:hint="eastAsia"/>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表</w:t>
            </w:r>
            <w:r>
              <w:rPr>
                <w:rFonts w:hint="eastAsia"/>
                <w:b/>
                <w:bCs/>
                <w:color w:val="000000" w:themeColor="text1"/>
                <w:sz w:val="24"/>
                <w14:textFill>
                  <w14:solidFill>
                    <w14:schemeClr w14:val="tx1"/>
                  </w14:solidFill>
                </w14:textFill>
              </w:rPr>
              <w:t>4-</w:t>
            </w:r>
            <w:r>
              <w:rPr>
                <w:rFonts w:hint="eastAsia"/>
                <w:b/>
                <w:bCs/>
                <w:color w:val="000000" w:themeColor="text1"/>
                <w:sz w:val="24"/>
                <w:lang w:val="en-US" w:eastAsia="zh-CN"/>
                <w14:textFill>
                  <w14:solidFill>
                    <w14:schemeClr w14:val="tx1"/>
                  </w14:solidFill>
                </w14:textFill>
              </w:rPr>
              <w:t>27</w:t>
            </w:r>
            <w:r>
              <w:rPr>
                <w:b/>
                <w:bCs/>
                <w:color w:val="000000" w:themeColor="text1"/>
                <w:sz w:val="24"/>
                <w14:textFill>
                  <w14:solidFill>
                    <w14:schemeClr w14:val="tx1"/>
                  </w14:solidFill>
                </w14:textFill>
              </w:rPr>
              <w:t xml:space="preserve">     </w:t>
            </w:r>
            <w:r>
              <w:rPr>
                <w:rFonts w:hint="eastAsia"/>
                <w:b/>
                <w:bCs/>
                <w:color w:val="000000" w:themeColor="text1"/>
                <w:sz w:val="24"/>
                <w14:textFill>
                  <w14:solidFill>
                    <w14:schemeClr w14:val="tx1"/>
                  </w14:solidFill>
                </w14:textFill>
              </w:rPr>
              <w:t>风险单元分布</w:t>
            </w:r>
          </w:p>
          <w:tbl>
            <w:tblPr>
              <w:tblStyle w:val="28"/>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8"/>
              <w:gridCol w:w="2846"/>
              <w:gridCol w:w="2830"/>
            </w:tblGrid>
            <w:tr w14:paraId="2C5B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8" w:type="dxa"/>
                  <w:noWrap w:val="0"/>
                  <w:vAlign w:val="center"/>
                </w:tcPr>
                <w:p w14:paraId="2592541A">
                  <w:pPr>
                    <w:widowControl/>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风险物质</w:t>
                  </w:r>
                </w:p>
              </w:tc>
              <w:tc>
                <w:tcPr>
                  <w:tcW w:w="2846" w:type="dxa"/>
                  <w:noWrap w:val="0"/>
                  <w:vAlign w:val="center"/>
                </w:tcPr>
                <w:p w14:paraId="05C36ED2">
                  <w:pPr>
                    <w:widowControl/>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风险单元</w:t>
                  </w:r>
                </w:p>
              </w:tc>
              <w:tc>
                <w:tcPr>
                  <w:tcW w:w="2830" w:type="dxa"/>
                  <w:noWrap w:val="0"/>
                  <w:vAlign w:val="center"/>
                </w:tcPr>
                <w:p w14:paraId="57C0C047">
                  <w:pPr>
                    <w:widowControl/>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风险类别</w:t>
                  </w:r>
                </w:p>
              </w:tc>
            </w:tr>
            <w:tr w14:paraId="4398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8" w:type="dxa"/>
                  <w:noWrap w:val="0"/>
                  <w:vAlign w:val="center"/>
                </w:tcPr>
                <w:p w14:paraId="6A430549">
                  <w:pPr>
                    <w:widowControl/>
                    <w:adjustRightInd w:val="0"/>
                    <w:snapToGrid w:val="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生物质大豆油</w:t>
                  </w:r>
                </w:p>
              </w:tc>
              <w:tc>
                <w:tcPr>
                  <w:tcW w:w="2846" w:type="dxa"/>
                  <w:noWrap w:val="0"/>
                  <w:vAlign w:val="center"/>
                </w:tcPr>
                <w:p w14:paraId="2C6C06E7">
                  <w:pPr>
                    <w:widowControl/>
                    <w:adjustRightInd w:val="0"/>
                    <w:snapToGrid w:val="0"/>
                    <w:jc w:val="center"/>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制瓦车间</w:t>
                  </w:r>
                </w:p>
              </w:tc>
              <w:tc>
                <w:tcPr>
                  <w:tcW w:w="2830" w:type="dxa"/>
                  <w:noWrap w:val="0"/>
                  <w:vAlign w:val="center"/>
                </w:tcPr>
                <w:p w14:paraId="743A2F77">
                  <w:pPr>
                    <w:widowControl/>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火灾、爆炸</w:t>
                  </w:r>
                </w:p>
              </w:tc>
            </w:tr>
            <w:tr w14:paraId="48EB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8" w:type="dxa"/>
                  <w:noWrap w:val="0"/>
                  <w:vAlign w:val="center"/>
                </w:tcPr>
                <w:p w14:paraId="4636FB07">
                  <w:pPr>
                    <w:widowControl/>
                    <w:adjustRightInd w:val="0"/>
                    <w:snapToGrid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废机油、废润滑油</w:t>
                  </w:r>
                </w:p>
              </w:tc>
              <w:tc>
                <w:tcPr>
                  <w:tcW w:w="2846" w:type="dxa"/>
                  <w:noWrap w:val="0"/>
                  <w:vAlign w:val="center"/>
                </w:tcPr>
                <w:p w14:paraId="40900134">
                  <w:pPr>
                    <w:widowControl/>
                    <w:adjustRightInd w:val="0"/>
                    <w:snapToGrid w:val="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危险废物暂存间</w:t>
                  </w:r>
                </w:p>
              </w:tc>
              <w:tc>
                <w:tcPr>
                  <w:tcW w:w="2830" w:type="dxa"/>
                  <w:noWrap w:val="0"/>
                  <w:vAlign w:val="center"/>
                </w:tcPr>
                <w:p w14:paraId="33921E54">
                  <w:pPr>
                    <w:widowControl/>
                    <w:adjustRightInd w:val="0"/>
                    <w:snapToGrid w:val="0"/>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泄漏、</w:t>
                  </w:r>
                  <w:r>
                    <w:rPr>
                      <w:rFonts w:hint="eastAsia"/>
                      <w:color w:val="000000" w:themeColor="text1"/>
                      <w14:textFill>
                        <w14:solidFill>
                          <w14:schemeClr w14:val="tx1"/>
                        </w14:solidFill>
                      </w14:textFill>
                    </w:rPr>
                    <w:t>火灾、爆炸</w:t>
                  </w:r>
                </w:p>
              </w:tc>
            </w:tr>
            <w:tr w14:paraId="4798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8" w:type="dxa"/>
                  <w:noWrap w:val="0"/>
                  <w:vAlign w:val="center"/>
                </w:tcPr>
                <w:p w14:paraId="0CC538AD">
                  <w:pPr>
                    <w:widowControl/>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废水</w:t>
                  </w:r>
                </w:p>
              </w:tc>
              <w:tc>
                <w:tcPr>
                  <w:tcW w:w="2846" w:type="dxa"/>
                  <w:noWrap w:val="0"/>
                  <w:vAlign w:val="center"/>
                </w:tcPr>
                <w:p w14:paraId="291EC07E">
                  <w:pPr>
                    <w:widowControl/>
                    <w:adjustRightInd w:val="0"/>
                    <w:snapToGrid w:val="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脱硫塔循环沉淀池</w:t>
                  </w:r>
                </w:p>
              </w:tc>
              <w:tc>
                <w:tcPr>
                  <w:tcW w:w="2830" w:type="dxa"/>
                  <w:noWrap w:val="0"/>
                  <w:vAlign w:val="center"/>
                </w:tcPr>
                <w:p w14:paraId="1F55A0D4">
                  <w:pPr>
                    <w:widowControl/>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泄漏、事故排放</w:t>
                  </w:r>
                </w:p>
              </w:tc>
            </w:tr>
          </w:tbl>
          <w:p w14:paraId="77B110F7">
            <w:pPr>
              <w:widowControl/>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由</w:t>
            </w:r>
            <w:r>
              <w:rPr>
                <w:rFonts w:hint="eastAsia"/>
                <w:color w:val="000000" w:themeColor="text1"/>
                <w:sz w:val="24"/>
                <w:lang w:val="en-US" w:eastAsia="zh-CN"/>
                <w14:textFill>
                  <w14:solidFill>
                    <w14:schemeClr w14:val="tx1"/>
                  </w14:solidFill>
                </w14:textFill>
              </w:rPr>
              <w:t>上表</w:t>
            </w:r>
            <w:r>
              <w:rPr>
                <w:color w:val="000000" w:themeColor="text1"/>
                <w:sz w:val="24"/>
                <w14:textFill>
                  <w14:solidFill>
                    <w14:schemeClr w14:val="tx1"/>
                  </w14:solidFill>
                </w14:textFill>
              </w:rPr>
              <w:t>可知，</w:t>
            </w:r>
            <w:r>
              <w:rPr>
                <w:rFonts w:hint="eastAsia"/>
                <w:color w:val="000000" w:themeColor="text1"/>
                <w:sz w:val="24"/>
                <w14:textFill>
                  <w14:solidFill>
                    <w14:schemeClr w14:val="tx1"/>
                  </w14:solidFill>
                </w14:textFill>
              </w:rPr>
              <w:t>项目</w:t>
            </w:r>
            <w:r>
              <w:rPr>
                <w:color w:val="000000" w:themeColor="text1"/>
                <w:sz w:val="24"/>
                <w14:textFill>
                  <w14:solidFill>
                    <w14:schemeClr w14:val="tx1"/>
                  </w14:solidFill>
                </w14:textFill>
              </w:rPr>
              <w:t>生产过程中</w:t>
            </w:r>
            <w:r>
              <w:rPr>
                <w:rFonts w:hint="eastAsia"/>
                <w:color w:val="000000" w:themeColor="text1"/>
                <w:sz w:val="24"/>
                <w14:textFill>
                  <w14:solidFill>
                    <w14:schemeClr w14:val="tx1"/>
                  </w14:solidFill>
                </w14:textFill>
              </w:rPr>
              <w:t>可能引发风险事故的生产设施为</w:t>
            </w:r>
            <w:r>
              <w:rPr>
                <w:rFonts w:hint="eastAsia"/>
                <w:color w:val="000000" w:themeColor="text1"/>
                <w:sz w:val="24"/>
                <w:lang w:val="en-US" w:eastAsia="zh-CN"/>
                <w14:textFill>
                  <w14:solidFill>
                    <w14:schemeClr w14:val="tx1"/>
                  </w14:solidFill>
                </w14:textFill>
              </w:rPr>
              <w:t>制瓦车间、危险废物暂存间、脱硫塔循环沉淀池</w:t>
            </w:r>
            <w:r>
              <w:rPr>
                <w:color w:val="000000" w:themeColor="text1"/>
                <w:sz w:val="24"/>
                <w14:textFill>
                  <w14:solidFill>
                    <w14:schemeClr w14:val="tx1"/>
                  </w14:solidFill>
                </w14:textFill>
              </w:rPr>
              <w:t>。</w:t>
            </w:r>
          </w:p>
          <w:p w14:paraId="276720AA">
            <w:pPr>
              <w:adjustRightInd w:val="0"/>
              <w:snapToGrid w:val="0"/>
              <w:spacing w:line="360" w:lineRule="auto"/>
              <w:ind w:firstLine="482" w:firstLineChars="200"/>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6.2</w:t>
            </w:r>
            <w:r>
              <w:rPr>
                <w:b/>
                <w:color w:val="000000" w:themeColor="text1"/>
                <w:sz w:val="24"/>
                <w14:textFill>
                  <w14:solidFill>
                    <w14:schemeClr w14:val="tx1"/>
                  </w14:solidFill>
                </w14:textFill>
              </w:rPr>
              <w:t>风险事故情形分析</w:t>
            </w:r>
          </w:p>
          <w:p w14:paraId="3D20BFF2">
            <w:pPr>
              <w:widowControl/>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根据上述分析，本项目涉及</w:t>
            </w:r>
            <w:r>
              <w:rPr>
                <w:color w:val="000000" w:themeColor="text1"/>
                <w:sz w:val="24"/>
                <w14:textFill>
                  <w14:solidFill>
                    <w14:schemeClr w14:val="tx1"/>
                  </w14:solidFill>
                </w14:textFill>
              </w:rPr>
              <w:t>的主要风险类型见下表。</w:t>
            </w:r>
          </w:p>
          <w:p w14:paraId="7CA70CE0">
            <w:pPr>
              <w:widowControl/>
              <w:adjustRightInd w:val="0"/>
              <w:snapToGrid w:val="0"/>
              <w:spacing w:line="276" w:lineRule="auto"/>
              <w:jc w:val="center"/>
              <w:rPr>
                <w:rFonts w:hint="eastAsia"/>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表</w:t>
            </w:r>
            <w:r>
              <w:rPr>
                <w:rFonts w:hint="eastAsia"/>
                <w:b/>
                <w:bCs/>
                <w:color w:val="000000" w:themeColor="text1"/>
                <w:sz w:val="24"/>
                <w14:textFill>
                  <w14:solidFill>
                    <w14:schemeClr w14:val="tx1"/>
                  </w14:solidFill>
                </w14:textFill>
              </w:rPr>
              <w:t>4-</w:t>
            </w:r>
            <w:r>
              <w:rPr>
                <w:rFonts w:hint="eastAsia"/>
                <w:b/>
                <w:bCs/>
                <w:color w:val="000000" w:themeColor="text1"/>
                <w:sz w:val="24"/>
                <w:lang w:val="en-US" w:eastAsia="zh-CN"/>
                <w14:textFill>
                  <w14:solidFill>
                    <w14:schemeClr w14:val="tx1"/>
                  </w14:solidFill>
                </w14:textFill>
              </w:rPr>
              <w:t>28</w:t>
            </w:r>
            <w:r>
              <w:rPr>
                <w:b/>
                <w:bCs/>
                <w:color w:val="000000" w:themeColor="text1"/>
                <w:sz w:val="24"/>
                <w14:textFill>
                  <w14:solidFill>
                    <w14:schemeClr w14:val="tx1"/>
                  </w14:solidFill>
                </w14:textFill>
              </w:rPr>
              <w:t xml:space="preserve"> </w:t>
            </w:r>
            <w:r>
              <w:rPr>
                <w:rFonts w:hint="eastAsia"/>
                <w:b/>
                <w:bCs/>
                <w:color w:val="000000" w:themeColor="text1"/>
                <w:sz w:val="24"/>
                <w14:textFill>
                  <w14:solidFill>
                    <w14:schemeClr w14:val="tx1"/>
                  </w14:solidFill>
                </w14:textFill>
              </w:rPr>
              <w:t xml:space="preserve"> </w:t>
            </w:r>
            <w:r>
              <w:rPr>
                <w:b/>
                <w:bCs/>
                <w:color w:val="000000" w:themeColor="text1"/>
                <w:sz w:val="24"/>
                <w14:textFill>
                  <w14:solidFill>
                    <w14:schemeClr w14:val="tx1"/>
                  </w14:solidFill>
                </w14:textFill>
              </w:rPr>
              <w:t xml:space="preserve"> </w:t>
            </w:r>
            <w:r>
              <w:rPr>
                <w:rFonts w:hint="eastAsia"/>
                <w:b/>
                <w:bCs/>
                <w:color w:val="000000" w:themeColor="text1"/>
                <w:sz w:val="24"/>
                <w14:textFill>
                  <w14:solidFill>
                    <w14:schemeClr w14:val="tx1"/>
                  </w14:solidFill>
                </w14:textFill>
              </w:rPr>
              <w:t>主要风险事故</w:t>
            </w:r>
          </w:p>
          <w:tbl>
            <w:tblPr>
              <w:tblStyle w:val="28"/>
              <w:tblW w:w="8504"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45"/>
              <w:gridCol w:w="1024"/>
              <w:gridCol w:w="1792"/>
              <w:gridCol w:w="3300"/>
              <w:gridCol w:w="1143"/>
            </w:tblGrid>
            <w:tr w14:paraId="17B937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Borders>
                    <w:top w:val="single" w:color="auto" w:sz="4" w:space="0"/>
                    <w:left w:val="single" w:color="auto" w:sz="0" w:space="0"/>
                  </w:tcBorders>
                  <w:noWrap w:val="0"/>
                  <w:vAlign w:val="center"/>
                </w:tcPr>
                <w:p w14:paraId="38ECB143">
                  <w:pPr>
                    <w:widowControl/>
                    <w:adjustRightInd w:val="0"/>
                    <w:snapToGrid w:val="0"/>
                    <w:jc w:val="center"/>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t>风险物质</w:t>
                  </w:r>
                </w:p>
              </w:tc>
              <w:tc>
                <w:tcPr>
                  <w:tcW w:w="1024" w:type="dxa"/>
                  <w:tcBorders>
                    <w:top w:val="single" w:color="auto" w:sz="4" w:space="0"/>
                  </w:tcBorders>
                  <w:noWrap w:val="0"/>
                  <w:vAlign w:val="center"/>
                </w:tcPr>
                <w:p w14:paraId="633D59C8">
                  <w:pPr>
                    <w:widowControl/>
                    <w:adjustRightInd w:val="0"/>
                    <w:snapToGrid w:val="0"/>
                    <w:jc w:val="center"/>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t>风险单元</w:t>
                  </w:r>
                </w:p>
              </w:tc>
              <w:tc>
                <w:tcPr>
                  <w:tcW w:w="1792" w:type="dxa"/>
                  <w:tcBorders>
                    <w:top w:val="single" w:color="auto" w:sz="4" w:space="0"/>
                  </w:tcBorders>
                  <w:noWrap w:val="0"/>
                  <w:vAlign w:val="center"/>
                </w:tcPr>
                <w:p w14:paraId="14A856E6">
                  <w:pPr>
                    <w:widowControl/>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风险类型</w:t>
                  </w:r>
                </w:p>
              </w:tc>
              <w:tc>
                <w:tcPr>
                  <w:tcW w:w="3300" w:type="dxa"/>
                  <w:tcBorders>
                    <w:top w:val="single" w:color="auto" w:sz="4" w:space="0"/>
                  </w:tcBorders>
                  <w:noWrap w:val="0"/>
                  <w:vAlign w:val="center"/>
                </w:tcPr>
                <w:p w14:paraId="3745F8B8">
                  <w:pPr>
                    <w:widowControl/>
                    <w:adjustRightInd w:val="0"/>
                    <w:snapToGrid w:val="0"/>
                    <w:jc w:val="center"/>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t>影响途径</w:t>
                  </w:r>
                </w:p>
              </w:tc>
              <w:tc>
                <w:tcPr>
                  <w:tcW w:w="1143" w:type="dxa"/>
                  <w:tcBorders>
                    <w:top w:val="single" w:color="auto" w:sz="4" w:space="0"/>
                    <w:right w:val="single" w:color="auto" w:sz="4" w:space="0"/>
                  </w:tcBorders>
                  <w:noWrap w:val="0"/>
                  <w:vAlign w:val="center"/>
                </w:tcPr>
                <w:p w14:paraId="1E112AD7">
                  <w:pPr>
                    <w:widowControl/>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原因简析</w:t>
                  </w:r>
                </w:p>
              </w:tc>
            </w:tr>
            <w:tr w14:paraId="100127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Borders>
                    <w:left w:val="single" w:color="auto" w:sz="4" w:space="0"/>
                  </w:tcBorders>
                  <w:noWrap w:val="0"/>
                  <w:vAlign w:val="center"/>
                </w:tcPr>
                <w:p w14:paraId="20EF0B0D">
                  <w:pPr>
                    <w:widowControl/>
                    <w:adjustRightInd w:val="0"/>
                    <w:snapToGrid w:val="0"/>
                    <w:jc w:val="cente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生物质大豆油</w:t>
                  </w:r>
                </w:p>
              </w:tc>
              <w:tc>
                <w:tcPr>
                  <w:tcW w:w="1024" w:type="dxa"/>
                  <w:noWrap w:val="0"/>
                  <w:vAlign w:val="center"/>
                </w:tcPr>
                <w:p w14:paraId="057C19CF">
                  <w:pPr>
                    <w:widowControl/>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生物质大豆油</w:t>
                  </w:r>
                </w:p>
              </w:tc>
              <w:tc>
                <w:tcPr>
                  <w:tcW w:w="1792" w:type="dxa"/>
                  <w:noWrap w:val="0"/>
                  <w:vAlign w:val="center"/>
                </w:tcPr>
                <w:p w14:paraId="6353C12F">
                  <w:pPr>
                    <w:widowControl/>
                    <w:adjustRightInd w:val="0"/>
                    <w:snapToGrid w:val="0"/>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火灾、爆炸</w:t>
                  </w:r>
                </w:p>
              </w:tc>
              <w:tc>
                <w:tcPr>
                  <w:tcW w:w="3300" w:type="dxa"/>
                  <w:noWrap w:val="0"/>
                  <w:vAlign w:val="center"/>
                </w:tcPr>
                <w:p w14:paraId="3396C67B">
                  <w:pPr>
                    <w:widowControl/>
                    <w:adjustRightInd w:val="0"/>
                    <w:snapToGrid w:val="0"/>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①</w:t>
                  </w:r>
                  <w:r>
                    <w:rPr>
                      <w:rFonts w:hint="eastAsia"/>
                      <w:color w:val="000000" w:themeColor="text1"/>
                      <w14:textFill>
                        <w14:solidFill>
                          <w14:schemeClr w14:val="tx1"/>
                        </w14:solidFill>
                      </w14:textFill>
                    </w:rPr>
                    <w:t>产生的燃烧废气污染周边大气环境</w:t>
                  </w:r>
                </w:p>
                <w:p w14:paraId="60E95670">
                  <w:pPr>
                    <w:widowControl/>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②产生的消防水处置不当流入外环境污染水环境</w:t>
                  </w:r>
                </w:p>
              </w:tc>
              <w:tc>
                <w:tcPr>
                  <w:tcW w:w="1143" w:type="dxa"/>
                  <w:tcBorders>
                    <w:right w:val="single" w:color="auto" w:sz="4" w:space="0"/>
                  </w:tcBorders>
                  <w:noWrap w:val="0"/>
                  <w:vAlign w:val="center"/>
                </w:tcPr>
                <w:p w14:paraId="31A0C4F6">
                  <w:pPr>
                    <w:widowControl/>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存在火源</w:t>
                  </w:r>
                </w:p>
              </w:tc>
            </w:tr>
            <w:tr w14:paraId="7D5B4A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45" w:type="dxa"/>
                  <w:vMerge w:val="restart"/>
                  <w:tcBorders>
                    <w:left w:val="single" w:color="auto" w:sz="4" w:space="0"/>
                  </w:tcBorders>
                  <w:noWrap w:val="0"/>
                  <w:vAlign w:val="center"/>
                </w:tcPr>
                <w:p w14:paraId="3FD02515">
                  <w:pPr>
                    <w:widowControl/>
                    <w:adjustRightInd w:val="0"/>
                    <w:snapToGrid w:val="0"/>
                    <w:jc w:val="cente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废机油、废润滑油</w:t>
                  </w:r>
                </w:p>
              </w:tc>
              <w:tc>
                <w:tcPr>
                  <w:tcW w:w="1024" w:type="dxa"/>
                  <w:vMerge w:val="restart"/>
                  <w:noWrap w:val="0"/>
                  <w:vAlign w:val="center"/>
                </w:tcPr>
                <w:p w14:paraId="1B6FA1DF">
                  <w:pPr>
                    <w:widowControl/>
                    <w:adjustRightInd w:val="0"/>
                    <w:snapToGrid w:val="0"/>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危险废物暂存间</w:t>
                  </w:r>
                </w:p>
              </w:tc>
              <w:tc>
                <w:tcPr>
                  <w:tcW w:w="1792" w:type="dxa"/>
                  <w:noWrap w:val="0"/>
                  <w:vAlign w:val="center"/>
                </w:tcPr>
                <w:p w14:paraId="04F0FB90">
                  <w:pPr>
                    <w:widowControl/>
                    <w:adjustRightInd w:val="0"/>
                    <w:snapToGrid w:val="0"/>
                    <w:jc w:val="cente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废机油、</w:t>
                  </w:r>
                  <w:r>
                    <w:rPr>
                      <w:rFonts w:hint="eastAsia"/>
                      <w:color w:val="000000" w:themeColor="text1"/>
                      <w14:textFill>
                        <w14:solidFill>
                          <w14:schemeClr w14:val="tx1"/>
                        </w14:solidFill>
                      </w14:textFill>
                    </w:rPr>
                    <w:t>废润滑油泄漏</w:t>
                  </w:r>
                </w:p>
              </w:tc>
              <w:tc>
                <w:tcPr>
                  <w:tcW w:w="3300" w:type="dxa"/>
                  <w:noWrap w:val="0"/>
                  <w:vAlign w:val="center"/>
                </w:tcPr>
                <w:p w14:paraId="6D6ACD76">
                  <w:pPr>
                    <w:widowControl/>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泄漏对周围土壤、地下水、地表水产生影响</w:t>
                  </w:r>
                </w:p>
              </w:tc>
              <w:tc>
                <w:tcPr>
                  <w:tcW w:w="1143" w:type="dxa"/>
                  <w:tcBorders>
                    <w:right w:val="single" w:color="auto" w:sz="4" w:space="0"/>
                  </w:tcBorders>
                  <w:noWrap w:val="0"/>
                  <w:vAlign w:val="center"/>
                </w:tcPr>
                <w:p w14:paraId="768FC84B">
                  <w:pPr>
                    <w:widowControl/>
                    <w:adjustRightInd w:val="0"/>
                    <w:snapToGrid w:val="0"/>
                    <w:jc w:val="center"/>
                    <w:rPr>
                      <w:rFonts w:hint="default"/>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容器破损</w:t>
                  </w:r>
                </w:p>
              </w:tc>
            </w:tr>
            <w:tr w14:paraId="2EF00F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45" w:type="dxa"/>
                  <w:vMerge w:val="continue"/>
                  <w:tcBorders>
                    <w:left w:val="single" w:color="auto" w:sz="4" w:space="0"/>
                  </w:tcBorders>
                  <w:noWrap w:val="0"/>
                  <w:vAlign w:val="center"/>
                </w:tcPr>
                <w:p w14:paraId="5144BB95">
                  <w:pPr>
                    <w:widowControl/>
                    <w:adjustRightInd w:val="0"/>
                    <w:snapToGrid w:val="0"/>
                    <w:jc w:val="center"/>
                    <w:rPr>
                      <w:color w:val="000000" w:themeColor="text1"/>
                      <w14:textFill>
                        <w14:solidFill>
                          <w14:schemeClr w14:val="tx1"/>
                        </w14:solidFill>
                      </w14:textFill>
                    </w:rPr>
                  </w:pPr>
                </w:p>
              </w:tc>
              <w:tc>
                <w:tcPr>
                  <w:tcW w:w="1024" w:type="dxa"/>
                  <w:vMerge w:val="continue"/>
                  <w:noWrap w:val="0"/>
                  <w:vAlign w:val="center"/>
                </w:tcPr>
                <w:p w14:paraId="2F6A8BBA">
                  <w:pPr>
                    <w:widowControl/>
                    <w:adjustRightInd w:val="0"/>
                    <w:snapToGrid w:val="0"/>
                    <w:jc w:val="center"/>
                    <w:rPr>
                      <w:color w:val="000000" w:themeColor="text1"/>
                      <w14:textFill>
                        <w14:solidFill>
                          <w14:schemeClr w14:val="tx1"/>
                        </w14:solidFill>
                      </w14:textFill>
                    </w:rPr>
                  </w:pPr>
                </w:p>
              </w:tc>
              <w:tc>
                <w:tcPr>
                  <w:tcW w:w="1792" w:type="dxa"/>
                  <w:noWrap w:val="0"/>
                  <w:vAlign w:val="center"/>
                </w:tcPr>
                <w:p w14:paraId="1D104189">
                  <w:pPr>
                    <w:widowControl/>
                    <w:adjustRightInd w:val="0"/>
                    <w:snapToGrid w:val="0"/>
                    <w:jc w:val="center"/>
                    <w:rPr>
                      <w:rFonts w:hint="eastAsia"/>
                      <w:color w:val="000000" w:themeColor="text1"/>
                      <w:lang w:val="en-US" w:eastAsia="zh-CN"/>
                      <w14:textFill>
                        <w14:solidFill>
                          <w14:schemeClr w14:val="tx1"/>
                        </w14:solidFill>
                      </w14:textFill>
                    </w:rPr>
                  </w:pPr>
                  <w:r>
                    <w:rPr>
                      <w:color w:val="000000" w:themeColor="text1"/>
                      <w14:textFill>
                        <w14:solidFill>
                          <w14:schemeClr w14:val="tx1"/>
                        </w14:solidFill>
                      </w14:textFill>
                    </w:rPr>
                    <w:t>火灾、爆炸</w:t>
                  </w:r>
                </w:p>
              </w:tc>
              <w:tc>
                <w:tcPr>
                  <w:tcW w:w="3300" w:type="dxa"/>
                  <w:noWrap w:val="0"/>
                  <w:vAlign w:val="center"/>
                </w:tcPr>
                <w:p w14:paraId="4172E5D9">
                  <w:pPr>
                    <w:widowControl/>
                    <w:adjustRightInd w:val="0"/>
                    <w:snapToGrid w:val="0"/>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①</w:t>
                  </w:r>
                  <w:r>
                    <w:rPr>
                      <w:rFonts w:hint="eastAsia"/>
                      <w:color w:val="000000" w:themeColor="text1"/>
                      <w14:textFill>
                        <w14:solidFill>
                          <w14:schemeClr w14:val="tx1"/>
                        </w14:solidFill>
                      </w14:textFill>
                    </w:rPr>
                    <w:t>产生的燃烧废气污染周边大气环境</w:t>
                  </w:r>
                </w:p>
                <w:p w14:paraId="34C9D80A">
                  <w:pPr>
                    <w:widowControl/>
                    <w:adjustRightInd w:val="0"/>
                    <w:snapToGrid w:val="0"/>
                    <w:jc w:val="center"/>
                    <w:rPr>
                      <w:rFonts w:hint="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②产生的消防水处置不当流入外环境污染水环境</w:t>
                  </w:r>
                </w:p>
              </w:tc>
              <w:tc>
                <w:tcPr>
                  <w:tcW w:w="1143" w:type="dxa"/>
                  <w:tcBorders>
                    <w:right w:val="single" w:color="auto" w:sz="4" w:space="0"/>
                  </w:tcBorders>
                  <w:noWrap w:val="0"/>
                  <w:vAlign w:val="center"/>
                </w:tcPr>
                <w:p w14:paraId="66403656">
                  <w:pPr>
                    <w:widowControl/>
                    <w:adjustRightInd w:val="0"/>
                    <w:snapToGrid w:val="0"/>
                    <w:jc w:val="center"/>
                    <w:rPr>
                      <w:rFonts w:hint="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存在火源</w:t>
                  </w:r>
                </w:p>
              </w:tc>
            </w:tr>
            <w:tr w14:paraId="1DC7E5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Borders>
                    <w:left w:val="single" w:color="auto" w:sz="4" w:space="0"/>
                  </w:tcBorders>
                  <w:noWrap w:val="0"/>
                  <w:vAlign w:val="center"/>
                </w:tcPr>
                <w:p w14:paraId="76DA8FB0">
                  <w:pPr>
                    <w:widowControl/>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废水</w:t>
                  </w:r>
                </w:p>
              </w:tc>
              <w:tc>
                <w:tcPr>
                  <w:tcW w:w="1024" w:type="dxa"/>
                  <w:noWrap w:val="0"/>
                  <w:vAlign w:val="center"/>
                </w:tcPr>
                <w:p w14:paraId="2A6D1002">
                  <w:pPr>
                    <w:widowControl/>
                    <w:adjustRightInd w:val="0"/>
                    <w:snapToGrid w:val="0"/>
                    <w:jc w:val="cente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脱硫塔循环沉淀池</w:t>
                  </w:r>
                </w:p>
              </w:tc>
              <w:tc>
                <w:tcPr>
                  <w:tcW w:w="1792" w:type="dxa"/>
                  <w:noWrap w:val="0"/>
                  <w:vAlign w:val="center"/>
                </w:tcPr>
                <w:p w14:paraId="61E5F994">
                  <w:pPr>
                    <w:widowControl/>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泄漏</w:t>
                  </w:r>
                </w:p>
              </w:tc>
              <w:tc>
                <w:tcPr>
                  <w:tcW w:w="3300" w:type="dxa"/>
                  <w:noWrap w:val="0"/>
                  <w:vAlign w:val="center"/>
                </w:tcPr>
                <w:p w14:paraId="6213D2BE">
                  <w:pPr>
                    <w:widowControl/>
                    <w:adjustRightInd w:val="0"/>
                    <w:snapToGrid w:val="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污染周边土壤、地下水环境</w:t>
                  </w:r>
                </w:p>
              </w:tc>
              <w:tc>
                <w:tcPr>
                  <w:tcW w:w="1143" w:type="dxa"/>
                  <w:tcBorders>
                    <w:right w:val="single" w:color="auto" w:sz="4" w:space="0"/>
                  </w:tcBorders>
                  <w:noWrap w:val="0"/>
                  <w:vAlign w:val="center"/>
                </w:tcPr>
                <w:p w14:paraId="609C48FA">
                  <w:pPr>
                    <w:widowControl/>
                    <w:adjustRightInd w:val="0"/>
                    <w:snapToGrid w:val="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设施破损</w:t>
                  </w:r>
                </w:p>
              </w:tc>
            </w:tr>
          </w:tbl>
          <w:p w14:paraId="6AB1FF0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6.3环境风险分析</w:t>
            </w:r>
          </w:p>
          <w:p w14:paraId="25772A9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lang w:eastAsia="zh-CN"/>
                <w14:textFill>
                  <w14:solidFill>
                    <w14:schemeClr w14:val="tx1"/>
                  </w14:solidFill>
                </w14:textFill>
              </w:rPr>
              <w:t>（</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1</w:t>
            </w:r>
            <w:r>
              <w:rPr>
                <w:rFonts w:hint="eastAsia" w:ascii="Times New Roman" w:hAnsi="Times New Roman" w:eastAsia="宋体" w:cs="Times New Roman"/>
                <w:b/>
                <w:bCs/>
                <w:color w:val="000000" w:themeColor="text1"/>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sz w:val="24"/>
                <w:szCs w:val="24"/>
                <w14:textFill>
                  <w14:solidFill>
                    <w14:schemeClr w14:val="tx1"/>
                  </w14:solidFill>
                </w14:textFill>
              </w:rPr>
              <w:t>大气环境风险分析</w:t>
            </w:r>
          </w:p>
          <w:p w14:paraId="21986B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废机油、废润滑油</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生物质大豆油</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属易燃液体，</w:t>
            </w:r>
            <w:r>
              <w:rPr>
                <w:rFonts w:hint="default" w:ascii="Times New Roman" w:hAnsi="Times New Roman" w:eastAsia="宋体" w:cs="Times New Roman"/>
                <w:color w:val="000000" w:themeColor="text1"/>
                <w:sz w:val="24"/>
                <w:szCs w:val="24"/>
                <w14:textFill>
                  <w14:solidFill>
                    <w14:schemeClr w14:val="tx1"/>
                  </w14:solidFill>
                </w14:textFill>
              </w:rPr>
              <w:t>如</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运行</w:t>
            </w:r>
            <w:r>
              <w:rPr>
                <w:rFonts w:hint="eastAsia" w:cs="Times New Roman"/>
                <w:color w:val="000000" w:themeColor="text1"/>
                <w:sz w:val="24"/>
                <w:szCs w:val="24"/>
                <w:lang w:val="en-US" w:eastAsia="zh-CN"/>
                <w14:textFill>
                  <w14:solidFill>
                    <w14:schemeClr w14:val="tx1"/>
                  </w14:solidFill>
                </w14:textFill>
              </w:rPr>
              <w:t>期间</w:t>
            </w:r>
            <w:r>
              <w:rPr>
                <w:rFonts w:hint="default" w:ascii="Times New Roman" w:hAnsi="Times New Roman" w:eastAsia="宋体" w:cs="Times New Roman"/>
                <w:color w:val="000000" w:themeColor="text1"/>
                <w:sz w:val="24"/>
                <w:szCs w:val="24"/>
                <w14:textFill>
                  <w14:solidFill>
                    <w14:schemeClr w14:val="tx1"/>
                  </w14:solidFill>
                </w14:textFill>
              </w:rPr>
              <w:t>安全措施不到位，极易引发火灾事故和污染事故。一般火灾事故会造成较大的人身财产安全，在物料燃烧过程中会造成大气环境污染。燃烧过程中会产生如CO、烟尘等有毒有害气体。CO在大气中比较稳定，不易与其他物质产生化学反应，但当CO浓度过高时，人在这种环境下待的时间较长，就会出现</w:t>
            </w:r>
            <w:r>
              <w:rPr>
                <w:rFonts w:hint="default" w:ascii="Times New Roman" w:hAnsi="Times New Roman" w:eastAsia="宋体" w:cs="Times New Roman"/>
                <w:color w:val="000000" w:themeColor="text1"/>
                <w:sz w:val="24"/>
                <w:szCs w:val="24"/>
                <w:lang w:eastAsia="zh-CN"/>
                <w14:textFill>
                  <w14:solidFill>
                    <w14:schemeClr w14:val="tx1"/>
                  </w14:solidFill>
                </w14:textFill>
              </w:rPr>
              <w:t>眩晕</w:t>
            </w:r>
            <w:r>
              <w:rPr>
                <w:rFonts w:hint="default" w:ascii="Times New Roman" w:hAnsi="Times New Roman" w:eastAsia="宋体" w:cs="Times New Roman"/>
                <w:color w:val="000000" w:themeColor="text1"/>
                <w:sz w:val="24"/>
                <w:szCs w:val="24"/>
                <w14:textFill>
                  <w14:solidFill>
                    <w14:schemeClr w14:val="tx1"/>
                  </w14:solidFill>
                </w14:textFill>
              </w:rPr>
              <w:t>、头痛、</w:t>
            </w:r>
            <w:r>
              <w:rPr>
                <w:rFonts w:hint="default" w:ascii="Times New Roman" w:hAnsi="Times New Roman" w:eastAsia="宋体" w:cs="Times New Roman"/>
                <w:color w:val="000000" w:themeColor="text1"/>
                <w:sz w:val="24"/>
                <w:szCs w:val="24"/>
                <w:lang w:eastAsia="zh-CN"/>
                <w14:textFill>
                  <w14:solidFill>
                    <w14:schemeClr w14:val="tx1"/>
                  </w14:solidFill>
                </w14:textFill>
              </w:rPr>
              <w:t>倦怠</w:t>
            </w:r>
            <w:r>
              <w:rPr>
                <w:rFonts w:hint="default" w:ascii="Times New Roman" w:hAnsi="Times New Roman" w:eastAsia="宋体" w:cs="Times New Roman"/>
                <w:color w:val="000000" w:themeColor="text1"/>
                <w:sz w:val="24"/>
                <w:szCs w:val="24"/>
                <w14:textFill>
                  <w14:solidFill>
                    <w14:schemeClr w14:val="tx1"/>
                  </w14:solidFill>
                </w14:textFill>
              </w:rPr>
              <w:t>的现象，CO对人的主要危害就是引起组织缺氧，导致急性或者慢性中毒甚至有死亡的威胁。此外，CO还可能造成听力与视力的损害，比如视野的减小或者听力的丧失。</w:t>
            </w:r>
          </w:p>
          <w:p w14:paraId="7D5CB2A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lang w:eastAsia="zh-CN"/>
                <w14:textFill>
                  <w14:solidFill>
                    <w14:schemeClr w14:val="tx1"/>
                  </w14:solidFill>
                </w14:textFill>
              </w:rPr>
              <w:t>（</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2</w:t>
            </w:r>
            <w:r>
              <w:rPr>
                <w:rFonts w:hint="eastAsia" w:ascii="Times New Roman" w:hAnsi="Times New Roman" w:eastAsia="宋体" w:cs="Times New Roman"/>
                <w:b/>
                <w:bCs/>
                <w:color w:val="000000" w:themeColor="text1"/>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sz w:val="24"/>
                <w:szCs w:val="24"/>
                <w14:textFill>
                  <w14:solidFill>
                    <w14:schemeClr w14:val="tx1"/>
                  </w14:solidFill>
                </w14:textFill>
              </w:rPr>
              <w:t>对水环境、土壤环境风险分析</w:t>
            </w:r>
          </w:p>
          <w:p w14:paraId="2E7E6E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color w:val="000000" w:themeColor="text1"/>
                <w:sz w:val="24"/>
                <w:szCs w:val="24"/>
                <w14:textFill>
                  <w14:solidFill>
                    <w14:schemeClr w14:val="tx1"/>
                  </w14:solidFill>
                </w14:textFill>
              </w:rPr>
            </w:pPr>
            <w:r>
              <w:rPr>
                <w:rFonts w:hint="eastAsia" w:cs="Times New Roman"/>
                <w:b w:val="0"/>
                <w:bCs/>
                <w:color w:val="000000" w:themeColor="text1"/>
                <w:sz w:val="24"/>
                <w:szCs w:val="24"/>
                <w:lang w:val="en-US" w:eastAsia="zh-CN"/>
                <w14:textFill>
                  <w14:solidFill>
                    <w14:schemeClr w14:val="tx1"/>
                  </w14:solidFill>
                </w14:textFill>
              </w:rPr>
              <w:t>项目废机油废润滑油产生量很小，发生泄漏可控制在危险废物暂存间内，项目危险废物暂存间按照重点防渗要求建设，不会对区域地下水环境造成影响。</w:t>
            </w:r>
            <w:r>
              <w:rPr>
                <w:rFonts w:hint="default" w:ascii="Times New Roman" w:hAnsi="Times New Roman" w:eastAsia="宋体" w:cs="Times New Roman"/>
                <w:b w:val="0"/>
                <w:bCs/>
                <w:color w:val="000000" w:themeColor="text1"/>
                <w:sz w:val="24"/>
                <w:szCs w:val="24"/>
                <w14:textFill>
                  <w14:solidFill>
                    <w14:schemeClr w14:val="tx1"/>
                  </w14:solidFill>
                </w14:textFill>
              </w:rPr>
              <w:t>项目</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脱硫塔</w:t>
            </w:r>
            <w:r>
              <w:rPr>
                <w:rFonts w:hint="eastAsia" w:cs="Times New Roman"/>
                <w:b w:val="0"/>
                <w:bCs/>
                <w:color w:val="000000" w:themeColor="text1"/>
                <w:sz w:val="24"/>
                <w:szCs w:val="24"/>
                <w:lang w:val="en-US" w:eastAsia="zh-CN"/>
                <w14:textFill>
                  <w14:solidFill>
                    <w14:schemeClr w14:val="tx1"/>
                  </w14:solidFill>
                </w14:textFill>
              </w:rPr>
              <w:t>循环沉淀池</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因池体破损导致废水泄漏</w:t>
            </w:r>
            <w:r>
              <w:rPr>
                <w:rFonts w:hint="default" w:ascii="Times New Roman" w:hAnsi="Times New Roman" w:eastAsia="宋体" w:cs="Times New Roman"/>
                <w:b w:val="0"/>
                <w:bCs/>
                <w:color w:val="000000" w:themeColor="text1"/>
                <w:sz w:val="24"/>
                <w:szCs w:val="24"/>
                <w14:textFill>
                  <w14:solidFill>
                    <w14:schemeClr w14:val="tx1"/>
                  </w14:solidFill>
                </w14:textFill>
              </w:rPr>
              <w:t>，泄漏主要集中在土壤层，对区域地下水环境影响不大，如废水大量泄漏可能对区域土壤和地下水环境造成一定的影响。项目废水含有高</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浓度的</w:t>
            </w:r>
            <w:r>
              <w:rPr>
                <w:rFonts w:hint="eastAsia" w:ascii="Times New Roman" w:hAnsi="Times New Roman" w:cs="Times New Roman"/>
                <w:color w:val="000000" w:themeColor="text1"/>
                <w:kern w:val="0"/>
                <w:sz w:val="24"/>
                <w:szCs w:val="24"/>
                <w:highlight w:val="none"/>
                <w:lang w:val="en-US" w:eastAsia="zh-CN"/>
                <w14:textFill>
                  <w14:solidFill>
                    <w14:schemeClr w14:val="tx1"/>
                  </w14:solidFill>
                </w14:textFill>
              </w:rPr>
              <w:t>钙、镁、硫酸根</w:t>
            </w:r>
            <w:r>
              <w:rPr>
                <w:rFonts w:hint="default" w:ascii="Times New Roman" w:hAnsi="Times New Roman" w:eastAsia="宋体" w:cs="Times New Roman"/>
                <w:b w:val="0"/>
                <w:bCs/>
                <w:color w:val="000000" w:themeColor="text1"/>
                <w:sz w:val="24"/>
                <w:szCs w:val="24"/>
                <w14:textFill>
                  <w14:solidFill>
                    <w14:schemeClr w14:val="tx1"/>
                  </w14:solidFill>
                </w14:textFill>
              </w:rPr>
              <w:t>，渗入土壤会降低土壤质量，导致土壤微生物死亡，渗入地下水环境会降低地下水水质。</w:t>
            </w:r>
          </w:p>
          <w:p w14:paraId="3AD3393E">
            <w:pPr>
              <w:spacing w:line="360" w:lineRule="auto"/>
              <w:ind w:firstLine="482" w:firstLineChars="200"/>
              <w:rPr>
                <w:b/>
                <w:color w:val="000000" w:themeColor="text1"/>
                <w:sz w:val="24"/>
                <w14:textFill>
                  <w14:solidFill>
                    <w14:schemeClr w14:val="tx1"/>
                  </w14:solidFill>
                </w14:textFill>
              </w:rPr>
            </w:pPr>
            <w:r>
              <w:rPr>
                <w:rFonts w:hint="eastAsia"/>
                <w:b/>
                <w:color w:val="000000" w:themeColor="text1"/>
                <w:sz w:val="24"/>
                <w:lang w:val="en-US" w:eastAsia="zh-CN"/>
                <w14:textFill>
                  <w14:solidFill>
                    <w14:schemeClr w14:val="tx1"/>
                  </w14:solidFill>
                </w14:textFill>
              </w:rPr>
              <w:t>6.4</w:t>
            </w:r>
            <w:r>
              <w:rPr>
                <w:b/>
                <w:color w:val="000000" w:themeColor="text1"/>
                <w:sz w:val="24"/>
                <w14:textFill>
                  <w14:solidFill>
                    <w14:schemeClr w14:val="tx1"/>
                  </w14:solidFill>
                </w14:textFill>
              </w:rPr>
              <w:t>环境风险防范措施及应急要求</w:t>
            </w:r>
          </w:p>
          <w:p w14:paraId="4463262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val="0"/>
                <w:color w:val="000000" w:themeColor="text1"/>
                <w:sz w:val="24"/>
                <w14:textFill>
                  <w14:solidFill>
                    <w14:schemeClr w14:val="tx1"/>
                  </w14:solidFill>
                </w14:textFill>
              </w:rPr>
            </w:pPr>
            <w:r>
              <w:rPr>
                <w:rFonts w:hint="eastAsia"/>
                <w:b/>
                <w:bCs w:val="0"/>
                <w:color w:val="000000" w:themeColor="text1"/>
                <w:sz w:val="24"/>
                <w14:textFill>
                  <w14:solidFill>
                    <w14:schemeClr w14:val="tx1"/>
                  </w14:solidFill>
                </w14:textFill>
              </w:rPr>
              <w:t>（1）泄漏事故应急措施</w:t>
            </w:r>
          </w:p>
          <w:p w14:paraId="45F927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①发现泄漏后生产人员立即将泄漏的危险废物妥善收集到专门的容器内，及时交由有资质单位处置，防止造成新的污染。</w:t>
            </w:r>
          </w:p>
          <w:p w14:paraId="3EEFFD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②收集完毕之后将受影响的土壤清理干净。</w:t>
            </w:r>
          </w:p>
          <w:p w14:paraId="3AF4DE6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val="0"/>
                <w:color w:val="000000" w:themeColor="text1"/>
                <w:sz w:val="24"/>
                <w14:textFill>
                  <w14:solidFill>
                    <w14:schemeClr w14:val="tx1"/>
                  </w14:solidFill>
                </w14:textFill>
              </w:rPr>
            </w:pPr>
            <w:r>
              <w:rPr>
                <w:rFonts w:hint="eastAsia"/>
                <w:b/>
                <w:bCs w:val="0"/>
                <w:color w:val="000000" w:themeColor="text1"/>
                <w:sz w:val="24"/>
                <w14:textFill>
                  <w14:solidFill>
                    <w14:schemeClr w14:val="tx1"/>
                  </w14:solidFill>
                </w14:textFill>
              </w:rPr>
              <w:t>（2）火灾事故应急措施</w:t>
            </w:r>
          </w:p>
          <w:p w14:paraId="3DB5D9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①在保证安全情况下将人员转移至安全地带，并将其他易燃易爆物品及时转移至安全位置。并第一时间通知周边村民，必要时让村民疏散至安全地带。</w:t>
            </w:r>
          </w:p>
          <w:p w14:paraId="6ADD19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②使用厂区消防器材进行灭火，尽量将火势控制在一定范围内，防止其蔓延。</w:t>
            </w:r>
          </w:p>
          <w:p w14:paraId="119838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③事故处置完毕后，对处置过程中产生的消防废水、废物进行收集存储，后期交由资质单位进行集中处置。</w:t>
            </w:r>
          </w:p>
          <w:p w14:paraId="0263F2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bCs/>
                <w:color w:val="000000" w:themeColor="text1"/>
                <w:sz w:val="24"/>
                <w:szCs w:val="24"/>
                <w:lang w:val="zh-CN"/>
                <w14:textFill>
                  <w14:solidFill>
                    <w14:schemeClr w14:val="tx1"/>
                  </w14:solidFill>
                </w14:textFill>
              </w:rPr>
            </w:pPr>
            <w:r>
              <w:rPr>
                <w:rFonts w:hint="eastAsia"/>
                <w:bCs/>
                <w:color w:val="000000" w:themeColor="text1"/>
                <w:sz w:val="24"/>
                <w14:textFill>
                  <w14:solidFill>
                    <w14:schemeClr w14:val="tx1"/>
                  </w14:solidFill>
                </w14:textFill>
              </w:rPr>
              <w:t>④若出现火灾、爆炸事故，应当</w:t>
            </w:r>
            <w:r>
              <w:rPr>
                <w:rFonts w:hint="eastAsia"/>
                <w:bCs/>
                <w:color w:val="000000" w:themeColor="text1"/>
                <w:sz w:val="24"/>
                <w:lang w:eastAsia="zh-CN"/>
                <w14:textFill>
                  <w14:solidFill>
                    <w14:schemeClr w14:val="tx1"/>
                  </w14:solidFill>
                </w14:textFill>
              </w:rPr>
              <w:t>依据</w:t>
            </w:r>
            <w:r>
              <w:rPr>
                <w:rFonts w:hint="eastAsia"/>
                <w:bCs/>
                <w:color w:val="000000" w:themeColor="text1"/>
                <w:sz w:val="24"/>
                <w14:textFill>
                  <w14:solidFill>
                    <w14:schemeClr w14:val="tx1"/>
                  </w14:solidFill>
                </w14:textFill>
              </w:rPr>
              <w:t>事故现场处置方案，立即停机，切断现场所有电源开关，扑救火灾，通知现场及附近人员紧急撤离事故现场，并立即向上级报</w:t>
            </w:r>
            <w:r>
              <w:rPr>
                <w:rFonts w:hint="eastAsia"/>
                <w:bCs/>
                <w:color w:val="000000" w:themeColor="text1"/>
                <w:sz w:val="24"/>
                <w:szCs w:val="24"/>
                <w14:textFill>
                  <w14:solidFill>
                    <w14:schemeClr w14:val="tx1"/>
                  </w14:solidFill>
                </w14:textFill>
              </w:rPr>
              <w:t>告。当事故超出企业自救能力时，及时拨打110报警电话和120急救电话。</w:t>
            </w:r>
          </w:p>
          <w:p w14:paraId="19EA87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bCs/>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⑤按照《突发环境事件应急预案管理暂行办法》的要求，编制突发环境事件应急预案，并报</w:t>
            </w:r>
            <w:r>
              <w:rPr>
                <w:rFonts w:hint="eastAsia" w:ascii="宋体" w:hAnsi="宋体" w:cs="宋体"/>
                <w:color w:val="000000" w:themeColor="text1"/>
                <w:sz w:val="24"/>
                <w:szCs w:val="24"/>
                <w:lang w:val="en-US" w:eastAsia="zh-CN"/>
                <w14:textFill>
                  <w14:solidFill>
                    <w14:schemeClr w14:val="tx1"/>
                  </w14:solidFill>
                </w14:textFill>
              </w:rPr>
              <w:t>曲靖市生态环境局罗平分局</w:t>
            </w:r>
            <w:r>
              <w:rPr>
                <w:rFonts w:hint="eastAsia" w:ascii="宋体" w:hAnsi="宋体" w:cs="宋体"/>
                <w:color w:val="000000" w:themeColor="text1"/>
                <w:sz w:val="24"/>
                <w:szCs w:val="24"/>
                <w14:textFill>
                  <w14:solidFill>
                    <w14:schemeClr w14:val="tx1"/>
                  </w14:solidFill>
                </w14:textFill>
              </w:rPr>
              <w:t>备案</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建立完善的应急报告制度，落实应急物资和经费，日常加强应急演练，并按规定及时修订完善预案并备案。</w:t>
            </w:r>
          </w:p>
          <w:p w14:paraId="32E801F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imes New Roman" w:hAnsi="Times New Roman" w:cs="Times New Roman"/>
                <w:b/>
                <w:bCs/>
                <w:color w:val="000000" w:themeColor="text1"/>
                <w:sz w:val="24"/>
                <w:szCs w:val="24"/>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6.5</w:t>
            </w:r>
            <w:r>
              <w:rPr>
                <w:rFonts w:ascii="Times New Roman" w:hAnsi="Times New Roman" w:cs="Times New Roman"/>
                <w:b/>
                <w:bCs/>
                <w:color w:val="000000" w:themeColor="text1"/>
                <w:sz w:val="24"/>
                <w:szCs w:val="24"/>
                <w14:textFill>
                  <w14:solidFill>
                    <w14:schemeClr w14:val="tx1"/>
                  </w14:solidFill>
                </w14:textFill>
              </w:rPr>
              <w:t>风险评价结论</w:t>
            </w:r>
          </w:p>
          <w:p w14:paraId="1966A0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项目在落实相关风险防范措施的情况下，建设项目环境风险是</w:t>
            </w:r>
            <w:r>
              <w:rPr>
                <w:rFonts w:hint="eastAsia" w:ascii="Times New Roman" w:hAnsi="Times New Roman" w:cs="Times New Roman"/>
                <w:color w:val="000000" w:themeColor="text1"/>
                <w:sz w:val="24"/>
                <w:szCs w:val="24"/>
                <w:lang w:eastAsia="zh-CN"/>
                <w14:textFill>
                  <w14:solidFill>
                    <w14:schemeClr w14:val="tx1"/>
                  </w14:solidFill>
                </w14:textFill>
              </w:rPr>
              <w:t>可以</w:t>
            </w:r>
            <w:r>
              <w:rPr>
                <w:rFonts w:ascii="Times New Roman" w:hAnsi="Times New Roman" w:cs="Times New Roman"/>
                <w:color w:val="000000" w:themeColor="text1"/>
                <w:sz w:val="24"/>
                <w:szCs w:val="24"/>
                <w14:textFill>
                  <w14:solidFill>
                    <w14:schemeClr w14:val="tx1"/>
                  </w14:solidFill>
                </w14:textFill>
              </w:rPr>
              <w:t>防控的。建设项目环境风险简单分析见表</w:t>
            </w:r>
            <w:r>
              <w:rPr>
                <w:rFonts w:hint="eastAsia" w:ascii="Times New Roman" w:hAnsi="Times New Roman" w:cs="Times New Roman"/>
                <w:color w:val="000000" w:themeColor="text1"/>
                <w:sz w:val="24"/>
                <w:szCs w:val="24"/>
                <w:lang w:val="en-US" w:eastAsia="zh-CN"/>
                <w14:textFill>
                  <w14:solidFill>
                    <w14:schemeClr w14:val="tx1"/>
                  </w14:solidFill>
                </w14:textFill>
              </w:rPr>
              <w:t>4-</w:t>
            </w:r>
            <w:r>
              <w:rPr>
                <w:rFonts w:hint="eastAsia" w:cs="Times New Roman"/>
                <w:color w:val="000000" w:themeColor="text1"/>
                <w:sz w:val="24"/>
                <w:szCs w:val="24"/>
                <w:lang w:val="en-US" w:eastAsia="zh-CN"/>
                <w14:textFill>
                  <w14:solidFill>
                    <w14:schemeClr w14:val="tx1"/>
                  </w14:solidFill>
                </w14:textFill>
              </w:rPr>
              <w:t>29</w:t>
            </w:r>
            <w:r>
              <w:rPr>
                <w:rFonts w:ascii="Times New Roman" w:hAnsi="Times New Roman" w:cs="Times New Roman"/>
                <w:color w:val="000000" w:themeColor="text1"/>
                <w:sz w:val="24"/>
                <w:szCs w:val="24"/>
                <w14:textFill>
                  <w14:solidFill>
                    <w14:schemeClr w14:val="tx1"/>
                  </w14:solidFill>
                </w14:textFill>
              </w:rPr>
              <w:t>。</w:t>
            </w:r>
          </w:p>
          <w:p w14:paraId="6BEF107A">
            <w:pPr>
              <w:keepNext w:val="0"/>
              <w:keepLines w:val="0"/>
              <w:pageBreakBefore w:val="0"/>
              <w:widowControl w:val="0"/>
              <w:kinsoku/>
              <w:wordWrap/>
              <w:overflowPunct/>
              <w:topLinePunct w:val="0"/>
              <w:autoSpaceDE/>
              <w:autoSpaceDN/>
              <w:bidi w:val="0"/>
              <w:adjustRightInd/>
              <w:snapToGrid/>
              <w:spacing w:line="276" w:lineRule="auto"/>
              <w:ind w:firstLine="0" w:firstLineChars="0"/>
              <w:jc w:val="center"/>
              <w:textAlignment w:val="auto"/>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表4-</w:t>
            </w:r>
            <w:r>
              <w:rPr>
                <w:rFonts w:hint="eastAsia"/>
                <w:b/>
                <w:bCs/>
                <w:color w:val="000000" w:themeColor="text1"/>
                <w:sz w:val="24"/>
                <w:szCs w:val="24"/>
                <w:lang w:val="en-US" w:eastAsia="zh-CN"/>
                <w14:textFill>
                  <w14:solidFill>
                    <w14:schemeClr w14:val="tx1"/>
                  </w14:solidFill>
                </w14:textFill>
              </w:rPr>
              <w:t xml:space="preserve">29   </w:t>
            </w:r>
            <w:r>
              <w:rPr>
                <w:b/>
                <w:bCs/>
                <w:color w:val="000000" w:themeColor="text1"/>
                <w:sz w:val="24"/>
                <w:szCs w:val="24"/>
                <w14:textFill>
                  <w14:solidFill>
                    <w14:schemeClr w14:val="tx1"/>
                  </w14:solidFill>
                </w14:textFill>
              </w:rPr>
              <w:t>建设项目环境风险简单分析内容表</w:t>
            </w:r>
          </w:p>
          <w:tbl>
            <w:tblPr>
              <w:tblStyle w:val="28"/>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7"/>
              <w:gridCol w:w="1187"/>
              <w:gridCol w:w="2520"/>
              <w:gridCol w:w="888"/>
              <w:gridCol w:w="2452"/>
            </w:tblGrid>
            <w:tr w14:paraId="6F55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 w:type="pct"/>
                  <w:noWrap w:val="0"/>
                  <w:vAlign w:val="center"/>
                </w:tcPr>
                <w:p w14:paraId="2EFEED87">
                  <w:pPr>
                    <w:pStyle w:val="75"/>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建设项目名称</w:t>
                  </w:r>
                </w:p>
              </w:tc>
              <w:tc>
                <w:tcPr>
                  <w:tcW w:w="4061" w:type="pct"/>
                  <w:gridSpan w:val="4"/>
                  <w:noWrap w:val="0"/>
                  <w:vAlign w:val="center"/>
                </w:tcPr>
                <w:p w14:paraId="6F48654F">
                  <w:pPr>
                    <w:pStyle w:val="75"/>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罗平阿岗镇青瓦制作技艺改造项目（非物质文化遗产）</w:t>
                  </w:r>
                </w:p>
              </w:tc>
            </w:tr>
            <w:tr w14:paraId="0338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 w:type="pct"/>
                  <w:noWrap w:val="0"/>
                  <w:vAlign w:val="center"/>
                </w:tcPr>
                <w:p w14:paraId="67F71C91">
                  <w:pPr>
                    <w:pStyle w:val="75"/>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建设地点</w:t>
                  </w:r>
                </w:p>
              </w:tc>
              <w:tc>
                <w:tcPr>
                  <w:tcW w:w="4061" w:type="pct"/>
                  <w:gridSpan w:val="4"/>
                  <w:noWrap w:val="0"/>
                  <w:vAlign w:val="center"/>
                </w:tcPr>
                <w:p w14:paraId="6327FF87">
                  <w:pPr>
                    <w:pStyle w:val="75"/>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罗平县阿岗镇岗德村委会小岗德村</w:t>
                  </w:r>
                </w:p>
              </w:tc>
            </w:tr>
            <w:tr w14:paraId="15BE4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 w:type="pct"/>
                  <w:noWrap w:val="0"/>
                  <w:vAlign w:val="center"/>
                </w:tcPr>
                <w:p w14:paraId="1F764650">
                  <w:pPr>
                    <w:pStyle w:val="75"/>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地理坐标</w:t>
                  </w:r>
                </w:p>
              </w:tc>
              <w:tc>
                <w:tcPr>
                  <w:tcW w:w="684" w:type="pct"/>
                  <w:noWrap w:val="0"/>
                  <w:vAlign w:val="center"/>
                </w:tcPr>
                <w:p w14:paraId="5EB44020">
                  <w:pPr>
                    <w:pStyle w:val="75"/>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经度</w:t>
                  </w:r>
                </w:p>
              </w:tc>
              <w:tc>
                <w:tcPr>
                  <w:tcW w:w="1452" w:type="pct"/>
                  <w:noWrap w:val="0"/>
                  <w:vAlign w:val="center"/>
                </w:tcPr>
                <w:p w14:paraId="5A2D4192">
                  <w:pPr>
                    <w:pStyle w:val="75"/>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104°</w:t>
                  </w:r>
                  <w:r>
                    <w:rPr>
                      <w:rFonts w:hint="eastAsia"/>
                      <w:color w:val="000000" w:themeColor="text1"/>
                      <w:szCs w:val="21"/>
                      <w:lang w:val="en-US" w:eastAsia="zh-CN"/>
                      <w14:textFill>
                        <w14:solidFill>
                          <w14:schemeClr w14:val="tx1"/>
                        </w14:solidFill>
                      </w14:textFill>
                    </w:rPr>
                    <w:t>4</w:t>
                  </w:r>
                  <w:r>
                    <w:rPr>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52.087</w:t>
                  </w:r>
                  <w:r>
                    <w:rPr>
                      <w:color w:val="000000" w:themeColor="text1"/>
                      <w:szCs w:val="21"/>
                      <w14:textFill>
                        <w14:solidFill>
                          <w14:schemeClr w14:val="tx1"/>
                        </w14:solidFill>
                      </w14:textFill>
                    </w:rPr>
                    <w:t>″</w:t>
                  </w:r>
                </w:p>
              </w:tc>
              <w:tc>
                <w:tcPr>
                  <w:tcW w:w="512" w:type="pct"/>
                  <w:noWrap w:val="0"/>
                  <w:vAlign w:val="center"/>
                </w:tcPr>
                <w:p w14:paraId="6FCC26A5">
                  <w:pPr>
                    <w:pStyle w:val="75"/>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纬度</w:t>
                  </w:r>
                </w:p>
              </w:tc>
              <w:tc>
                <w:tcPr>
                  <w:tcW w:w="1411" w:type="pct"/>
                  <w:noWrap w:val="0"/>
                  <w:vAlign w:val="center"/>
                </w:tcPr>
                <w:p w14:paraId="708F3696">
                  <w:pPr>
                    <w:pStyle w:val="75"/>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r>
                    <w:rPr>
                      <w:rFonts w:hint="eastAsia"/>
                      <w:color w:val="000000" w:themeColor="text1"/>
                      <w:szCs w:val="21"/>
                      <w:lang w:val="en-US" w:eastAsia="zh-CN"/>
                      <w14:textFill>
                        <w14:solidFill>
                          <w14:schemeClr w14:val="tx1"/>
                        </w14:solidFill>
                      </w14:textFill>
                    </w:rPr>
                    <w:t>5</w:t>
                  </w:r>
                  <w:r>
                    <w:rPr>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9</w:t>
                  </w:r>
                  <w:r>
                    <w:rPr>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15.149</w:t>
                  </w:r>
                  <w:r>
                    <w:rPr>
                      <w:color w:val="000000" w:themeColor="text1"/>
                      <w:szCs w:val="21"/>
                      <w14:textFill>
                        <w14:solidFill>
                          <w14:schemeClr w14:val="tx1"/>
                        </w14:solidFill>
                      </w14:textFill>
                    </w:rPr>
                    <w:t>″</w:t>
                  </w:r>
                </w:p>
              </w:tc>
            </w:tr>
            <w:tr w14:paraId="20208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938" w:type="pct"/>
                  <w:noWrap w:val="0"/>
                  <w:vAlign w:val="center"/>
                </w:tcPr>
                <w:p w14:paraId="54F64722">
                  <w:pPr>
                    <w:pStyle w:val="75"/>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主要危险物质及分布</w:t>
                  </w:r>
                </w:p>
              </w:tc>
              <w:tc>
                <w:tcPr>
                  <w:tcW w:w="4061" w:type="pct"/>
                  <w:gridSpan w:val="4"/>
                  <w:noWrap w:val="0"/>
                  <w:vAlign w:val="center"/>
                </w:tcPr>
                <w:p w14:paraId="6FAEA349">
                  <w:pPr>
                    <w:pStyle w:val="75"/>
                    <w:jc w:val="center"/>
                    <w:rPr>
                      <w:rFonts w:hint="default" w:eastAsia="宋体"/>
                      <w:color w:val="000000" w:themeColor="text1"/>
                      <w:szCs w:val="21"/>
                      <w:lang w:val="en-US" w:eastAsia="zh-CN"/>
                      <w14:textFill>
                        <w14:solidFill>
                          <w14:schemeClr w14:val="tx1"/>
                        </w14:solidFill>
                      </w14:textFill>
                    </w:rPr>
                  </w:pPr>
                  <w:r>
                    <w:rPr>
                      <w:color w:val="000000" w:themeColor="text1"/>
                      <w:szCs w:val="21"/>
                      <w14:textFill>
                        <w14:solidFill>
                          <w14:schemeClr w14:val="tx1"/>
                        </w14:solidFill>
                      </w14:textFill>
                    </w:rPr>
                    <w:t>风险物质：</w:t>
                  </w:r>
                  <w:r>
                    <w:rPr>
                      <w:rFonts w:hint="eastAsia"/>
                      <w:color w:val="000000" w:themeColor="text1"/>
                      <w:szCs w:val="21"/>
                      <w:lang w:val="en-US" w:eastAsia="zh-CN"/>
                      <w14:textFill>
                        <w14:solidFill>
                          <w14:schemeClr w14:val="tx1"/>
                        </w14:solidFill>
                      </w14:textFill>
                    </w:rPr>
                    <w:t>生物质大豆油、废机油废润滑油</w:t>
                  </w:r>
                  <w:r>
                    <w:rPr>
                      <w:color w:val="000000" w:themeColor="text1"/>
                      <w:szCs w:val="21"/>
                      <w14:textFill>
                        <w14:solidFill>
                          <w14:schemeClr w14:val="tx1"/>
                        </w14:solidFill>
                      </w14:textFill>
                    </w:rPr>
                    <w:t>；风险源：</w:t>
                  </w:r>
                  <w:r>
                    <w:rPr>
                      <w:rFonts w:hint="eastAsia"/>
                      <w:color w:val="000000" w:themeColor="text1"/>
                      <w:szCs w:val="21"/>
                      <w:lang w:val="en-US" w:eastAsia="zh-CN"/>
                      <w14:textFill>
                        <w14:solidFill>
                          <w14:schemeClr w14:val="tx1"/>
                        </w14:solidFill>
                      </w14:textFill>
                    </w:rPr>
                    <w:t>制瓦车间</w:t>
                  </w:r>
                  <w:r>
                    <w:rPr>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危险废物暂存间、脱硫塔循环沉淀池</w:t>
                  </w:r>
                </w:p>
              </w:tc>
            </w:tr>
            <w:tr w14:paraId="53BB8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 w:type="pct"/>
                  <w:noWrap w:val="0"/>
                  <w:vAlign w:val="center"/>
                </w:tcPr>
                <w:p w14:paraId="5EF21E2F">
                  <w:pPr>
                    <w:pStyle w:val="75"/>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环境影响途径及危害后果（大气、地表水、地下水等</w:t>
                  </w:r>
                </w:p>
              </w:tc>
              <w:tc>
                <w:tcPr>
                  <w:tcW w:w="4061" w:type="pct"/>
                  <w:gridSpan w:val="4"/>
                  <w:noWrap w:val="0"/>
                  <w:vAlign w:val="center"/>
                </w:tcPr>
                <w:p w14:paraId="473D0F11">
                  <w:pPr>
                    <w:pStyle w:val="75"/>
                    <w:keepNext w:val="0"/>
                    <w:keepLines w:val="0"/>
                    <w:pageBreakBefore w:val="0"/>
                    <w:widowControl/>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根据项目环境的风险识别结果，项目潜在的环境风险情景如下：</w:t>
                  </w:r>
                </w:p>
                <w:p w14:paraId="134AC500">
                  <w:pPr>
                    <w:pStyle w:val="75"/>
                    <w:keepNext w:val="0"/>
                    <w:keepLines w:val="0"/>
                    <w:pageBreakBefore w:val="0"/>
                    <w:widowControl/>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fldChar w:fldCharType="begin"/>
                  </w:r>
                  <w:r>
                    <w:rPr>
                      <w:rFonts w:hint="default" w:ascii="Times New Roman" w:hAnsi="Times New Roman" w:cs="Times New Roman"/>
                      <w:color w:val="000000" w:themeColor="text1"/>
                      <w:szCs w:val="21"/>
                      <w14:textFill>
                        <w14:solidFill>
                          <w14:schemeClr w14:val="tx1"/>
                        </w14:solidFill>
                      </w14:textFill>
                    </w:rPr>
                    <w:instrText xml:space="preserve"> = 1 \* GB3 </w:instrText>
                  </w:r>
                  <w:r>
                    <w:rPr>
                      <w:rFonts w:hint="default" w:ascii="Times New Roman" w:hAnsi="Times New Roman" w:cs="Times New Roman"/>
                      <w:color w:val="000000" w:themeColor="text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①</w:t>
                  </w:r>
                  <w:r>
                    <w:rPr>
                      <w:rFonts w:hint="default" w:ascii="Times New Roman" w:hAnsi="Times New Roman" w:cs="Times New Roman"/>
                      <w:color w:val="000000" w:themeColor="text1"/>
                      <w:szCs w:val="21"/>
                      <w14:textFill>
                        <w14:solidFill>
                          <w14:schemeClr w14:val="tx1"/>
                        </w14:solidFill>
                      </w14:textFill>
                    </w:rPr>
                    <w:fldChar w:fldCharType="end"/>
                  </w:r>
                  <w:r>
                    <w:rPr>
                      <w:rFonts w:hint="default" w:ascii="Times New Roman" w:hAnsi="Times New Roman" w:cs="Times New Roman"/>
                      <w:color w:val="000000" w:themeColor="text1"/>
                      <w:szCs w:val="21"/>
                      <w14:textFill>
                        <w14:solidFill>
                          <w14:schemeClr w14:val="tx1"/>
                        </w14:solidFill>
                      </w14:textFill>
                    </w:rPr>
                    <w:t>泄漏：</w:t>
                  </w:r>
                  <w:r>
                    <w:rPr>
                      <w:rFonts w:hint="eastAsia" w:ascii="Times New Roman" w:hAnsi="Times New Roman" w:cs="Times New Roman"/>
                      <w:color w:val="000000" w:themeColor="text1"/>
                      <w:szCs w:val="21"/>
                      <w:lang w:val="en-US" w:eastAsia="zh-CN"/>
                      <w14:textFill>
                        <w14:solidFill>
                          <w14:schemeClr w14:val="tx1"/>
                        </w14:solidFill>
                      </w14:textFill>
                    </w:rPr>
                    <w:t>脱硫塔</w:t>
                  </w:r>
                  <w:r>
                    <w:rPr>
                      <w:rFonts w:hint="eastAsia" w:cs="Times New Roman"/>
                      <w:color w:val="000000" w:themeColor="text1"/>
                      <w:szCs w:val="21"/>
                      <w:lang w:val="en-US" w:eastAsia="zh-CN"/>
                      <w14:textFill>
                        <w14:solidFill>
                          <w14:schemeClr w14:val="tx1"/>
                        </w14:solidFill>
                      </w14:textFill>
                    </w:rPr>
                    <w:t>循环沉淀池</w:t>
                  </w:r>
                  <w:r>
                    <w:rPr>
                      <w:rFonts w:hint="eastAsia" w:ascii="Times New Roman" w:hAnsi="Times New Roman" w:cs="Times New Roman"/>
                      <w:color w:val="000000" w:themeColor="text1"/>
                      <w:szCs w:val="21"/>
                      <w:lang w:val="en-US" w:eastAsia="zh-CN"/>
                      <w14:textFill>
                        <w14:solidFill>
                          <w14:schemeClr w14:val="tx1"/>
                        </w14:solidFill>
                      </w14:textFill>
                    </w:rPr>
                    <w:t>因池体破损</w:t>
                  </w:r>
                  <w:r>
                    <w:rPr>
                      <w:rFonts w:hint="default"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lang w:val="en-US" w:eastAsia="zh-CN"/>
                      <w14:textFill>
                        <w14:solidFill>
                          <w14:schemeClr w14:val="tx1"/>
                        </w14:solidFill>
                      </w14:textFill>
                    </w:rPr>
                    <w:t>造成脱硫废水泄漏，</w:t>
                  </w:r>
                  <w:r>
                    <w:rPr>
                      <w:rFonts w:hint="default" w:ascii="Times New Roman" w:hAnsi="Times New Roman" w:cs="Times New Roman"/>
                      <w:color w:val="000000" w:themeColor="text1"/>
                      <w:szCs w:val="21"/>
                      <w14:textFill>
                        <w14:solidFill>
                          <w14:schemeClr w14:val="tx1"/>
                        </w14:solidFill>
                      </w14:textFill>
                    </w:rPr>
                    <w:t>可能对土壤、地下水和地表水造成一定污染。</w:t>
                  </w:r>
                </w:p>
                <w:p w14:paraId="378E7DD7">
                  <w:pPr>
                    <w:pStyle w:val="75"/>
                    <w:keepNext w:val="0"/>
                    <w:keepLines w:val="0"/>
                    <w:pageBreakBefore w:val="0"/>
                    <w:widowControl/>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③火灾事故：</w:t>
                  </w:r>
                  <w:r>
                    <w:rPr>
                      <w:rFonts w:hint="eastAsia" w:cs="Times New Roman"/>
                      <w:color w:val="000000" w:themeColor="text1"/>
                      <w:szCs w:val="21"/>
                      <w:lang w:val="en-US" w:eastAsia="zh-CN"/>
                      <w14:textFill>
                        <w14:solidFill>
                          <w14:schemeClr w14:val="tx1"/>
                        </w14:solidFill>
                      </w14:textFill>
                    </w:rPr>
                    <w:t>废机油、废润滑油、</w:t>
                  </w:r>
                  <w:r>
                    <w:rPr>
                      <w:rFonts w:hint="default" w:ascii="Times New Roman" w:hAnsi="Times New Roman" w:cs="Times New Roman"/>
                      <w:color w:val="000000" w:themeColor="text1"/>
                      <w:szCs w:val="21"/>
                      <w14:textFill>
                        <w14:solidFill>
                          <w14:schemeClr w14:val="tx1"/>
                        </w14:solidFill>
                      </w14:textFill>
                    </w:rPr>
                    <w:t>生物质大豆油属易燃液体，</w:t>
                  </w:r>
                  <w:r>
                    <w:rPr>
                      <w:rFonts w:hint="default" w:ascii="Times New Roman" w:hAnsi="Times New Roman" w:cs="Times New Roman"/>
                      <w:color w:val="000000" w:themeColor="text1"/>
                      <w:szCs w:val="21"/>
                      <w:lang w:eastAsia="zh-CN"/>
                      <w14:textFill>
                        <w14:solidFill>
                          <w14:schemeClr w14:val="tx1"/>
                        </w14:solidFill>
                      </w14:textFill>
                    </w:rPr>
                    <w:t>遇</w:t>
                  </w:r>
                  <w:r>
                    <w:rPr>
                      <w:rFonts w:hint="default" w:ascii="Times New Roman" w:hAnsi="Times New Roman" w:cs="Times New Roman"/>
                      <w:color w:val="000000" w:themeColor="text1"/>
                      <w:szCs w:val="21"/>
                      <w14:textFill>
                        <w14:solidFill>
                          <w14:schemeClr w14:val="tx1"/>
                        </w14:solidFill>
                      </w14:textFill>
                    </w:rPr>
                    <w:t>明火可发生燃烧从而引起火灾，火灾次生污染物可能对大气、地表水等造成一定的污染。</w:t>
                  </w:r>
                </w:p>
              </w:tc>
            </w:tr>
            <w:tr w14:paraId="34AC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 w:type="pct"/>
                  <w:noWrap w:val="0"/>
                  <w:vAlign w:val="center"/>
                </w:tcPr>
                <w:p w14:paraId="3575CFB6">
                  <w:pPr>
                    <w:pStyle w:val="75"/>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风险防范措施要求</w:t>
                  </w:r>
                </w:p>
              </w:tc>
              <w:tc>
                <w:tcPr>
                  <w:tcW w:w="4061" w:type="pct"/>
                  <w:gridSpan w:val="4"/>
                  <w:noWrap w:val="0"/>
                  <w:vAlign w:val="center"/>
                </w:tcPr>
                <w:p w14:paraId="3114D141">
                  <w:pPr>
                    <w:pStyle w:val="75"/>
                    <w:keepNext w:val="0"/>
                    <w:keepLines w:val="0"/>
                    <w:pageBreakBefore w:val="0"/>
                    <w:widowControl/>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1）泄漏事故应急措施</w:t>
                  </w:r>
                </w:p>
                <w:p w14:paraId="47500354">
                  <w:pPr>
                    <w:pStyle w:val="75"/>
                    <w:keepNext w:val="0"/>
                    <w:keepLines w:val="0"/>
                    <w:pageBreakBefore w:val="0"/>
                    <w:widowControl/>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①发现泄漏后生产人员立即将泄漏的危险废物妥善收集到专门的容器内，及时交由有资质单位处置，防止造成新的污染。</w:t>
                  </w:r>
                </w:p>
                <w:p w14:paraId="535AD2E8">
                  <w:pPr>
                    <w:pStyle w:val="75"/>
                    <w:keepNext w:val="0"/>
                    <w:keepLines w:val="0"/>
                    <w:pageBreakBefore w:val="0"/>
                    <w:widowControl/>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②收集完毕之后将受影响的土壤清理干净。</w:t>
                  </w:r>
                </w:p>
                <w:p w14:paraId="27864F3D">
                  <w:pPr>
                    <w:pStyle w:val="75"/>
                    <w:keepNext w:val="0"/>
                    <w:keepLines w:val="0"/>
                    <w:pageBreakBefore w:val="0"/>
                    <w:widowControl/>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2）火灾事故应急措施</w:t>
                  </w:r>
                </w:p>
                <w:p w14:paraId="2D20CAC9">
                  <w:pPr>
                    <w:pStyle w:val="75"/>
                    <w:keepNext w:val="0"/>
                    <w:keepLines w:val="0"/>
                    <w:pageBreakBefore w:val="0"/>
                    <w:widowControl/>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①在保证安全情况下将人员转移至安全地带，并将其他易燃易爆物品及时转移至安全位置。并第一时间通知周边村民，必要时让村民疏散至安全地带。</w:t>
                  </w:r>
                </w:p>
                <w:p w14:paraId="1941D486">
                  <w:pPr>
                    <w:pStyle w:val="75"/>
                    <w:keepNext w:val="0"/>
                    <w:keepLines w:val="0"/>
                    <w:pageBreakBefore w:val="0"/>
                    <w:widowControl/>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②使用厂区消防器材进行灭火，尽量将火势控制在一定范围内，防止其蔓延。</w:t>
                  </w:r>
                </w:p>
                <w:p w14:paraId="42E5D3A8">
                  <w:pPr>
                    <w:pStyle w:val="75"/>
                    <w:keepNext w:val="0"/>
                    <w:keepLines w:val="0"/>
                    <w:pageBreakBefore w:val="0"/>
                    <w:widowControl/>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③事故处置完毕后，对处置过程中产生的消防废水、废物进行收集存储，后期交由资质单位进行集中处置。</w:t>
                  </w:r>
                </w:p>
                <w:p w14:paraId="4AA3563F">
                  <w:pPr>
                    <w:pStyle w:val="75"/>
                    <w:keepNext w:val="0"/>
                    <w:keepLines w:val="0"/>
                    <w:pageBreakBefore w:val="0"/>
                    <w:widowControl/>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④若出现火灾、爆炸事故，应当</w:t>
                  </w:r>
                  <w:r>
                    <w:rPr>
                      <w:rFonts w:hint="eastAsia" w:ascii="Times New Roman" w:hAnsi="Times New Roman" w:cs="Times New Roman"/>
                      <w:color w:val="000000" w:themeColor="text1"/>
                      <w:szCs w:val="21"/>
                      <w:lang w:eastAsia="zh-CN"/>
                      <w14:textFill>
                        <w14:solidFill>
                          <w14:schemeClr w14:val="tx1"/>
                        </w14:solidFill>
                      </w14:textFill>
                    </w:rPr>
                    <w:t>依据</w:t>
                  </w:r>
                  <w:r>
                    <w:rPr>
                      <w:rFonts w:hint="default" w:ascii="Times New Roman" w:hAnsi="Times New Roman" w:cs="Times New Roman"/>
                      <w:color w:val="000000" w:themeColor="text1"/>
                      <w:szCs w:val="21"/>
                      <w14:textFill>
                        <w14:solidFill>
                          <w14:schemeClr w14:val="tx1"/>
                        </w14:solidFill>
                      </w14:textFill>
                    </w:rPr>
                    <w:t>事故现场处置方案，立即停机，切断现场所有电源开关，扑救火灾，通知现场及附近人员紧急撤离事故现场，并立即向上级报告。当事故超出企业自救能力时，及时拨打110报警电话和120急救电话。</w:t>
                  </w:r>
                </w:p>
                <w:p w14:paraId="6F39C566">
                  <w:pPr>
                    <w:pStyle w:val="75"/>
                    <w:keepNext w:val="0"/>
                    <w:keepLines w:val="0"/>
                    <w:pageBreakBefore w:val="0"/>
                    <w:widowControl/>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⑤按照《突发环境事件应急预案管理暂行办法》的要求，编制突发环境事件应急预案，并报曲靖市生态环</w:t>
                  </w:r>
                  <w:r>
                    <w:rPr>
                      <w:rFonts w:hint="eastAsia" w:cs="Times New Roman"/>
                      <w:color w:val="000000" w:themeColor="text1"/>
                      <w:szCs w:val="21"/>
                      <w:lang w:eastAsia="zh-CN"/>
                      <w14:textFill>
                        <w14:solidFill>
                          <w14:schemeClr w14:val="tx1"/>
                        </w14:solidFill>
                      </w14:textFill>
                    </w:rPr>
                    <w:t>境局</w:t>
                  </w:r>
                  <w:r>
                    <w:rPr>
                      <w:rFonts w:hint="default" w:ascii="Times New Roman" w:hAnsi="Times New Roman" w:cs="Times New Roman"/>
                      <w:color w:val="000000" w:themeColor="text1"/>
                      <w:szCs w:val="21"/>
                      <w14:textFill>
                        <w14:solidFill>
                          <w14:schemeClr w14:val="tx1"/>
                        </w14:solidFill>
                      </w14:textFill>
                    </w:rPr>
                    <w:t>罗平分局备案。建立完善的应急报告制度，落实应急物资和经费，日常加强应急演练，并按规定及时修订完善预案并备案。</w:t>
                  </w:r>
                </w:p>
              </w:tc>
            </w:tr>
            <w:tr w14:paraId="23A4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 w:type="pct"/>
                  <w:noWrap w:val="0"/>
                  <w:vAlign w:val="center"/>
                </w:tcPr>
                <w:p w14:paraId="2D0DFA7E">
                  <w:pPr>
                    <w:pStyle w:val="75"/>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填表说明（列出项目相关信息及评价说明）：</w:t>
                  </w:r>
                </w:p>
              </w:tc>
              <w:tc>
                <w:tcPr>
                  <w:tcW w:w="4061" w:type="pct"/>
                  <w:gridSpan w:val="4"/>
                  <w:noWrap w:val="0"/>
                  <w:vAlign w:val="center"/>
                </w:tcPr>
                <w:p w14:paraId="104CE43A">
                  <w:pPr>
                    <w:pStyle w:val="75"/>
                    <w:rPr>
                      <w:color w:val="000000" w:themeColor="text1"/>
                      <w:szCs w:val="21"/>
                      <w14:textFill>
                        <w14:solidFill>
                          <w14:schemeClr w14:val="tx1"/>
                        </w14:solidFill>
                      </w14:textFill>
                    </w:rPr>
                  </w:pPr>
                  <w:r>
                    <w:rPr>
                      <w:color w:val="000000" w:themeColor="text1"/>
                      <w:szCs w:val="21"/>
                      <w14:textFill>
                        <w14:solidFill>
                          <w14:schemeClr w14:val="tx1"/>
                        </w14:solidFill>
                      </w14:textFill>
                    </w:rPr>
                    <w:t>根据项目Q值计算，判定环境风险潜势为I，项目环境风险为简单分析。</w:t>
                  </w:r>
                </w:p>
              </w:tc>
            </w:tr>
          </w:tbl>
          <w:p w14:paraId="21443AED">
            <w:pPr>
              <w:adjustRightInd w:val="0"/>
              <w:snapToGrid w:val="0"/>
              <w:spacing w:line="360" w:lineRule="auto"/>
              <w:ind w:firstLine="480" w:firstLineChars="200"/>
              <w:rPr>
                <w:color w:val="000000" w:themeColor="text1"/>
                <w:kern w:val="0"/>
                <w:sz w:val="24"/>
                <w:lang w:val="zh-CN" w:bidi="ar"/>
                <w14:textFill>
                  <w14:solidFill>
                    <w14:schemeClr w14:val="tx1"/>
                  </w14:solidFill>
                </w14:textFill>
              </w:rPr>
            </w:pPr>
          </w:p>
          <w:p w14:paraId="6119D930">
            <w:pPr>
              <w:adjustRightInd w:val="0"/>
              <w:snapToGrid w:val="0"/>
              <w:spacing w:line="360" w:lineRule="auto"/>
              <w:ind w:firstLine="480" w:firstLineChars="200"/>
              <w:rPr>
                <w:color w:val="000000" w:themeColor="text1"/>
                <w:kern w:val="0"/>
                <w:sz w:val="24"/>
                <w:lang w:val="zh-CN" w:bidi="ar"/>
                <w14:textFill>
                  <w14:solidFill>
                    <w14:schemeClr w14:val="tx1"/>
                  </w14:solidFill>
                </w14:textFill>
              </w:rPr>
            </w:pPr>
          </w:p>
          <w:p w14:paraId="60F62B59">
            <w:pPr>
              <w:pStyle w:val="2"/>
              <w:rPr>
                <w:color w:val="000000" w:themeColor="text1"/>
                <w:kern w:val="0"/>
                <w:sz w:val="24"/>
                <w:lang w:val="zh-CN" w:bidi="ar"/>
                <w14:textFill>
                  <w14:solidFill>
                    <w14:schemeClr w14:val="tx1"/>
                  </w14:solidFill>
                </w14:textFill>
              </w:rPr>
            </w:pPr>
          </w:p>
          <w:p w14:paraId="373D3263">
            <w:pPr>
              <w:rPr>
                <w:color w:val="000000" w:themeColor="text1"/>
                <w:kern w:val="0"/>
                <w:sz w:val="24"/>
                <w:lang w:val="zh-CN" w:bidi="ar"/>
                <w14:textFill>
                  <w14:solidFill>
                    <w14:schemeClr w14:val="tx1"/>
                  </w14:solidFill>
                </w14:textFill>
              </w:rPr>
            </w:pPr>
          </w:p>
          <w:p w14:paraId="6273648A">
            <w:pPr>
              <w:pStyle w:val="6"/>
              <w:rPr>
                <w:color w:val="000000" w:themeColor="text1"/>
                <w:kern w:val="0"/>
                <w:sz w:val="24"/>
                <w:lang w:val="zh-CN" w:bidi="ar"/>
                <w14:textFill>
                  <w14:solidFill>
                    <w14:schemeClr w14:val="tx1"/>
                  </w14:solidFill>
                </w14:textFill>
              </w:rPr>
            </w:pPr>
          </w:p>
          <w:p w14:paraId="06FEE837">
            <w:pPr>
              <w:rPr>
                <w:color w:val="000000" w:themeColor="text1"/>
                <w:kern w:val="0"/>
                <w:sz w:val="24"/>
                <w:lang w:val="zh-CN" w:bidi="ar"/>
                <w14:textFill>
                  <w14:solidFill>
                    <w14:schemeClr w14:val="tx1"/>
                  </w14:solidFill>
                </w14:textFill>
              </w:rPr>
            </w:pPr>
          </w:p>
          <w:p w14:paraId="1D0D94DB">
            <w:pPr>
              <w:pStyle w:val="6"/>
              <w:rPr>
                <w:color w:val="000000" w:themeColor="text1"/>
                <w:kern w:val="0"/>
                <w:sz w:val="24"/>
                <w:lang w:val="zh-CN" w:bidi="ar"/>
                <w14:textFill>
                  <w14:solidFill>
                    <w14:schemeClr w14:val="tx1"/>
                  </w14:solidFill>
                </w14:textFill>
              </w:rPr>
            </w:pPr>
          </w:p>
          <w:p w14:paraId="727FEE02">
            <w:pPr>
              <w:rPr>
                <w:color w:val="000000" w:themeColor="text1"/>
                <w:kern w:val="0"/>
                <w:sz w:val="24"/>
                <w:lang w:val="zh-CN" w:bidi="ar"/>
                <w14:textFill>
                  <w14:solidFill>
                    <w14:schemeClr w14:val="tx1"/>
                  </w14:solidFill>
                </w14:textFill>
              </w:rPr>
            </w:pPr>
          </w:p>
          <w:p w14:paraId="431D9111">
            <w:pPr>
              <w:pStyle w:val="6"/>
              <w:rPr>
                <w:color w:val="000000" w:themeColor="text1"/>
                <w:kern w:val="0"/>
                <w:sz w:val="24"/>
                <w:lang w:val="zh-CN" w:bidi="ar"/>
                <w14:textFill>
                  <w14:solidFill>
                    <w14:schemeClr w14:val="tx1"/>
                  </w14:solidFill>
                </w14:textFill>
              </w:rPr>
            </w:pPr>
          </w:p>
          <w:p w14:paraId="160F5810">
            <w:pPr>
              <w:rPr>
                <w:color w:val="000000" w:themeColor="text1"/>
                <w:kern w:val="0"/>
                <w:sz w:val="24"/>
                <w:lang w:val="zh-CN" w:bidi="ar"/>
                <w14:textFill>
                  <w14:solidFill>
                    <w14:schemeClr w14:val="tx1"/>
                  </w14:solidFill>
                </w14:textFill>
              </w:rPr>
            </w:pPr>
          </w:p>
          <w:p w14:paraId="45970B5D">
            <w:pPr>
              <w:pStyle w:val="6"/>
              <w:rPr>
                <w:color w:val="000000" w:themeColor="text1"/>
                <w:kern w:val="0"/>
                <w:sz w:val="24"/>
                <w:lang w:val="zh-CN" w:bidi="ar"/>
                <w14:textFill>
                  <w14:solidFill>
                    <w14:schemeClr w14:val="tx1"/>
                  </w14:solidFill>
                </w14:textFill>
              </w:rPr>
            </w:pPr>
          </w:p>
          <w:p w14:paraId="7185CF19">
            <w:pPr>
              <w:rPr>
                <w:color w:val="000000" w:themeColor="text1"/>
                <w:kern w:val="0"/>
                <w:sz w:val="24"/>
                <w:lang w:val="zh-CN" w:bidi="ar"/>
                <w14:textFill>
                  <w14:solidFill>
                    <w14:schemeClr w14:val="tx1"/>
                  </w14:solidFill>
                </w14:textFill>
              </w:rPr>
            </w:pPr>
          </w:p>
          <w:p w14:paraId="4614CD47">
            <w:pPr>
              <w:pStyle w:val="6"/>
              <w:rPr>
                <w:color w:val="000000" w:themeColor="text1"/>
                <w:kern w:val="0"/>
                <w:sz w:val="24"/>
                <w:lang w:val="zh-CN" w:bidi="ar"/>
                <w14:textFill>
                  <w14:solidFill>
                    <w14:schemeClr w14:val="tx1"/>
                  </w14:solidFill>
                </w14:textFill>
              </w:rPr>
            </w:pPr>
          </w:p>
          <w:p w14:paraId="63D7F224">
            <w:pPr>
              <w:rPr>
                <w:color w:val="000000" w:themeColor="text1"/>
                <w:kern w:val="0"/>
                <w:sz w:val="24"/>
                <w:lang w:val="zh-CN" w:bidi="ar"/>
                <w14:textFill>
                  <w14:solidFill>
                    <w14:schemeClr w14:val="tx1"/>
                  </w14:solidFill>
                </w14:textFill>
              </w:rPr>
            </w:pPr>
          </w:p>
          <w:p w14:paraId="36C24096">
            <w:pPr>
              <w:pStyle w:val="6"/>
              <w:rPr>
                <w:color w:val="000000" w:themeColor="text1"/>
                <w:kern w:val="0"/>
                <w:sz w:val="24"/>
                <w:lang w:val="zh-CN" w:bidi="ar"/>
                <w14:textFill>
                  <w14:solidFill>
                    <w14:schemeClr w14:val="tx1"/>
                  </w14:solidFill>
                </w14:textFill>
              </w:rPr>
            </w:pPr>
          </w:p>
          <w:p w14:paraId="71B27B16">
            <w:pPr>
              <w:rPr>
                <w:color w:val="000000" w:themeColor="text1"/>
                <w:kern w:val="0"/>
                <w:sz w:val="24"/>
                <w:lang w:val="zh-CN" w:bidi="ar"/>
                <w14:textFill>
                  <w14:solidFill>
                    <w14:schemeClr w14:val="tx1"/>
                  </w14:solidFill>
                </w14:textFill>
              </w:rPr>
            </w:pPr>
          </w:p>
          <w:p w14:paraId="66074023">
            <w:pPr>
              <w:pStyle w:val="6"/>
              <w:rPr>
                <w:color w:val="000000" w:themeColor="text1"/>
                <w:kern w:val="0"/>
                <w:sz w:val="24"/>
                <w:lang w:val="zh-CN" w:bidi="ar"/>
                <w14:textFill>
                  <w14:solidFill>
                    <w14:schemeClr w14:val="tx1"/>
                  </w14:solidFill>
                </w14:textFill>
              </w:rPr>
            </w:pPr>
          </w:p>
          <w:p w14:paraId="26FD21BF">
            <w:pPr>
              <w:rPr>
                <w:color w:val="000000" w:themeColor="text1"/>
                <w:kern w:val="0"/>
                <w:sz w:val="24"/>
                <w:lang w:val="zh-CN" w:bidi="ar"/>
                <w14:textFill>
                  <w14:solidFill>
                    <w14:schemeClr w14:val="tx1"/>
                  </w14:solidFill>
                </w14:textFill>
              </w:rPr>
            </w:pPr>
          </w:p>
          <w:p w14:paraId="2AFC1413">
            <w:pPr>
              <w:pStyle w:val="6"/>
              <w:rPr>
                <w:color w:val="000000" w:themeColor="text1"/>
                <w:kern w:val="0"/>
                <w:sz w:val="24"/>
                <w:lang w:val="zh-CN" w:bidi="ar"/>
                <w14:textFill>
                  <w14:solidFill>
                    <w14:schemeClr w14:val="tx1"/>
                  </w14:solidFill>
                </w14:textFill>
              </w:rPr>
            </w:pPr>
          </w:p>
          <w:p w14:paraId="17C9E1EF">
            <w:pPr>
              <w:rPr>
                <w:color w:val="000000" w:themeColor="text1"/>
                <w:kern w:val="0"/>
                <w:sz w:val="24"/>
                <w:lang w:val="zh-CN" w:bidi="ar"/>
                <w14:textFill>
                  <w14:solidFill>
                    <w14:schemeClr w14:val="tx1"/>
                  </w14:solidFill>
                </w14:textFill>
              </w:rPr>
            </w:pPr>
          </w:p>
          <w:p w14:paraId="02D8FD9B">
            <w:pPr>
              <w:pStyle w:val="6"/>
              <w:rPr>
                <w:color w:val="000000" w:themeColor="text1"/>
                <w:kern w:val="0"/>
                <w:sz w:val="24"/>
                <w:lang w:val="zh-CN" w:bidi="ar"/>
                <w14:textFill>
                  <w14:solidFill>
                    <w14:schemeClr w14:val="tx1"/>
                  </w14:solidFill>
                </w14:textFill>
              </w:rPr>
            </w:pPr>
          </w:p>
          <w:p w14:paraId="7F847EC5">
            <w:pPr>
              <w:rPr>
                <w:color w:val="000000" w:themeColor="text1"/>
                <w:kern w:val="0"/>
                <w:sz w:val="24"/>
                <w:lang w:val="zh-CN" w:bidi="ar"/>
                <w14:textFill>
                  <w14:solidFill>
                    <w14:schemeClr w14:val="tx1"/>
                  </w14:solidFill>
                </w14:textFill>
              </w:rPr>
            </w:pPr>
          </w:p>
          <w:p w14:paraId="3B1045A8">
            <w:pPr>
              <w:pStyle w:val="6"/>
              <w:rPr>
                <w:color w:val="000000" w:themeColor="text1"/>
                <w:kern w:val="0"/>
                <w:sz w:val="24"/>
                <w:lang w:val="zh-CN" w:bidi="ar"/>
                <w14:textFill>
                  <w14:solidFill>
                    <w14:schemeClr w14:val="tx1"/>
                  </w14:solidFill>
                </w14:textFill>
              </w:rPr>
            </w:pPr>
          </w:p>
          <w:p w14:paraId="36A592BD">
            <w:pPr>
              <w:rPr>
                <w:color w:val="000000" w:themeColor="text1"/>
                <w:kern w:val="0"/>
                <w:sz w:val="24"/>
                <w:lang w:val="zh-CN" w:bidi="ar"/>
                <w14:textFill>
                  <w14:solidFill>
                    <w14:schemeClr w14:val="tx1"/>
                  </w14:solidFill>
                </w14:textFill>
              </w:rPr>
            </w:pPr>
          </w:p>
          <w:p w14:paraId="1EFC8570">
            <w:pPr>
              <w:pStyle w:val="6"/>
              <w:rPr>
                <w:color w:val="000000" w:themeColor="text1"/>
                <w:kern w:val="0"/>
                <w:sz w:val="24"/>
                <w:lang w:val="zh-CN" w:bidi="ar"/>
                <w14:textFill>
                  <w14:solidFill>
                    <w14:schemeClr w14:val="tx1"/>
                  </w14:solidFill>
                </w14:textFill>
              </w:rPr>
            </w:pPr>
          </w:p>
          <w:p w14:paraId="5B3911FD">
            <w:pPr>
              <w:adjustRightInd w:val="0"/>
              <w:snapToGrid w:val="0"/>
              <w:spacing w:line="360" w:lineRule="auto"/>
              <w:rPr>
                <w:rFonts w:hint="eastAsia"/>
                <w:color w:val="000000" w:themeColor="text1"/>
                <w:kern w:val="0"/>
                <w:sz w:val="24"/>
                <w:lang w:val="zh-CN" w:bidi="ar"/>
                <w14:textFill>
                  <w14:solidFill>
                    <w14:schemeClr w14:val="tx1"/>
                  </w14:solidFill>
                </w14:textFill>
              </w:rPr>
            </w:pPr>
          </w:p>
        </w:tc>
      </w:tr>
    </w:tbl>
    <w:p w14:paraId="03CE5205">
      <w:pPr>
        <w:pStyle w:val="6"/>
        <w:rPr>
          <w:rFonts w:hint="eastAsia"/>
          <w:color w:val="000000" w:themeColor="text1"/>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526B69F2">
      <w:pPr>
        <w:pStyle w:val="2"/>
        <w:keepNext/>
        <w:keepLines w:val="0"/>
        <w:pageBreakBefore w:val="0"/>
        <w:widowControl w:val="0"/>
        <w:kinsoku/>
        <w:wordWrap/>
        <w:overflowPunct w:val="0"/>
        <w:topLinePunct w:val="0"/>
        <w:autoSpaceDE/>
        <w:autoSpaceDN/>
        <w:bidi w:val="0"/>
        <w:adjustRightInd/>
        <w:snapToGrid w:val="0"/>
        <w:spacing w:line="260" w:lineRule="auto"/>
        <w:ind w:left="0" w:firstLine="0"/>
        <w:jc w:val="center"/>
        <w:textAlignment w:val="auto"/>
        <w:rPr>
          <w:rFonts w:hint="eastAsia" w:ascii="Times New Roman" w:hAnsi="Times New Roman" w:eastAsia="宋体" w:cs="Times New Roman"/>
          <w:color w:val="000000" w:themeColor="text1"/>
          <w14:textFill>
            <w14:solidFill>
              <w14:schemeClr w14:val="tx1"/>
            </w14:solidFill>
          </w14:textFill>
        </w:rPr>
      </w:pPr>
      <w:bookmarkStart w:id="10" w:name="_Toc73"/>
      <w:bookmarkStart w:id="11" w:name="_Hlk54167917"/>
      <w:r>
        <w:rPr>
          <w:rFonts w:hint="eastAsia" w:ascii="Times New Roman" w:hAnsi="Times New Roman" w:eastAsia="宋体" w:cs="Times New Roman"/>
          <w:color w:val="000000" w:themeColor="text1"/>
          <w:lang w:val="en-US" w:eastAsia="zh-CN"/>
          <w14:textFill>
            <w14:solidFill>
              <w14:schemeClr w14:val="tx1"/>
            </w14:solidFill>
          </w14:textFill>
        </w:rPr>
        <w:t>五、</w:t>
      </w:r>
      <w:r>
        <w:rPr>
          <w:rFonts w:hint="eastAsia" w:ascii="Times New Roman" w:hAnsi="Times New Roman" w:eastAsia="宋体" w:cs="Times New Roman"/>
          <w:color w:val="000000" w:themeColor="text1"/>
          <w14:textFill>
            <w14:solidFill>
              <w14:schemeClr w14:val="tx1"/>
            </w14:solidFill>
          </w14:textFill>
        </w:rPr>
        <w:t>环境保护措施监督检查清单</w:t>
      </w:r>
      <w:bookmarkEnd w:id="10"/>
      <w:bookmarkEnd w:id="11"/>
    </w:p>
    <w:tbl>
      <w:tblPr>
        <w:tblStyle w:val="28"/>
        <w:tblW w:w="92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30"/>
        <w:gridCol w:w="1338"/>
        <w:gridCol w:w="1867"/>
        <w:gridCol w:w="3380"/>
        <w:gridCol w:w="1426"/>
      </w:tblGrid>
      <w:tr w14:paraId="39AF81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1230" w:type="dxa"/>
            <w:tcBorders>
              <w:tl2br w:val="single" w:color="auto" w:sz="4" w:space="0"/>
            </w:tcBorders>
            <w:noWrap w:val="0"/>
            <w:vAlign w:val="center"/>
          </w:tcPr>
          <w:p w14:paraId="1B844C9C">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14:textFill>
                  <w14:solidFill>
                    <w14:schemeClr w14:val="tx1"/>
                  </w14:solidFill>
                </w14:textFill>
              </w:rPr>
              <w:t>内容</w:t>
            </w:r>
          </w:p>
          <w:p w14:paraId="3AA092EC">
            <w:pPr>
              <w:pStyle w:val="12"/>
              <w:keepNext w:val="0"/>
              <w:keepLines w:val="0"/>
              <w:pageBreakBefore w:val="0"/>
              <w:kinsoku/>
              <w:overflowPunct/>
              <w:topLinePunct w:val="0"/>
              <w:bidi w:val="0"/>
              <w:adjustRightInd/>
              <w:snapToGrid/>
              <w:textAlignment w:val="auto"/>
              <w:outlineLvl w:val="9"/>
              <w:rPr>
                <w:rFonts w:hint="eastAsia"/>
                <w:color w:val="000000" w:themeColor="text1"/>
                <w:sz w:val="24"/>
                <w:szCs w:val="24"/>
                <w14:textFill>
                  <w14:solidFill>
                    <w14:schemeClr w14:val="tx1"/>
                  </w14:solidFill>
                </w14:textFill>
              </w:rPr>
            </w:pPr>
          </w:p>
          <w:p w14:paraId="4D77022B">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14:textFill>
                  <w14:solidFill>
                    <w14:schemeClr w14:val="tx1"/>
                  </w14:solidFill>
                </w14:textFill>
              </w:rPr>
              <w:t>要素</w:t>
            </w:r>
          </w:p>
        </w:tc>
        <w:tc>
          <w:tcPr>
            <w:tcW w:w="1338" w:type="dxa"/>
            <w:noWrap w:val="0"/>
            <w:vAlign w:val="center"/>
          </w:tcPr>
          <w:p w14:paraId="27780DDE">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14:textFill>
                  <w14:solidFill>
                    <w14:schemeClr w14:val="tx1"/>
                  </w14:solidFill>
                </w14:textFill>
              </w:rPr>
              <w:t>排放口</w:t>
            </w:r>
            <w:r>
              <w:rPr>
                <w:rFonts w:hint="eastAsia" w:ascii="Times New Roman" w:hAnsi="Times New Roman" w:eastAsia="宋体" w:cs="宋体"/>
                <w:snapToGrid/>
                <w:color w:val="000000" w:themeColor="text1"/>
                <w:spacing w:val="0"/>
                <w:kern w:val="0"/>
                <w:sz w:val="24"/>
                <w:szCs w:val="24"/>
                <w:lang w:eastAsia="zh-CN"/>
                <w14:textFill>
                  <w14:solidFill>
                    <w14:schemeClr w14:val="tx1"/>
                  </w14:solidFill>
                </w14:textFill>
              </w:rPr>
              <w:t>（</w:t>
            </w:r>
            <w:r>
              <w:rPr>
                <w:rFonts w:hint="eastAsia" w:ascii="Times New Roman" w:hAnsi="Times New Roman" w:eastAsia="宋体" w:cs="宋体"/>
                <w:snapToGrid/>
                <w:color w:val="000000" w:themeColor="text1"/>
                <w:spacing w:val="0"/>
                <w:kern w:val="0"/>
                <w:sz w:val="24"/>
                <w:szCs w:val="24"/>
                <w14:textFill>
                  <w14:solidFill>
                    <w14:schemeClr w14:val="tx1"/>
                  </w14:solidFill>
                </w14:textFill>
              </w:rPr>
              <w:t>编号、名称</w:t>
            </w:r>
            <w:r>
              <w:rPr>
                <w:rFonts w:hint="eastAsia" w:ascii="Times New Roman" w:hAnsi="Times New Roman" w:eastAsia="宋体" w:cs="宋体"/>
                <w:snapToGrid/>
                <w:color w:val="000000" w:themeColor="text1"/>
                <w:spacing w:val="0"/>
                <w:kern w:val="0"/>
                <w:sz w:val="24"/>
                <w:szCs w:val="24"/>
                <w:lang w:eastAsia="zh-CN"/>
                <w14:textFill>
                  <w14:solidFill>
                    <w14:schemeClr w14:val="tx1"/>
                  </w14:solidFill>
                </w14:textFill>
              </w:rPr>
              <w:t>）</w:t>
            </w:r>
            <w:r>
              <w:rPr>
                <w:rFonts w:hint="eastAsia" w:ascii="Times New Roman" w:hAnsi="Times New Roman" w:eastAsia="宋体" w:cs="宋体"/>
                <w:snapToGrid/>
                <w:color w:val="000000" w:themeColor="text1"/>
                <w:spacing w:val="0"/>
                <w:kern w:val="0"/>
                <w:sz w:val="24"/>
                <w:szCs w:val="24"/>
                <w14:textFill>
                  <w14:solidFill>
                    <w14:schemeClr w14:val="tx1"/>
                  </w14:solidFill>
                </w14:textFill>
              </w:rPr>
              <w:t>/污染源</w:t>
            </w:r>
          </w:p>
        </w:tc>
        <w:tc>
          <w:tcPr>
            <w:tcW w:w="1867" w:type="dxa"/>
            <w:noWrap w:val="0"/>
            <w:vAlign w:val="center"/>
          </w:tcPr>
          <w:p w14:paraId="17ECE619">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14:textFill>
                  <w14:solidFill>
                    <w14:schemeClr w14:val="tx1"/>
                  </w14:solidFill>
                </w14:textFill>
              </w:rPr>
              <w:t>污染物项目</w:t>
            </w:r>
          </w:p>
        </w:tc>
        <w:tc>
          <w:tcPr>
            <w:tcW w:w="3380" w:type="dxa"/>
            <w:noWrap w:val="0"/>
            <w:vAlign w:val="center"/>
          </w:tcPr>
          <w:p w14:paraId="4C552312">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14:textFill>
                  <w14:solidFill>
                    <w14:schemeClr w14:val="tx1"/>
                  </w14:solidFill>
                </w14:textFill>
              </w:rPr>
              <w:t>环境保护措施</w:t>
            </w:r>
          </w:p>
        </w:tc>
        <w:tc>
          <w:tcPr>
            <w:tcW w:w="1426" w:type="dxa"/>
            <w:noWrap w:val="0"/>
            <w:vAlign w:val="center"/>
          </w:tcPr>
          <w:p w14:paraId="1AC7CE53">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14:textFill>
                  <w14:solidFill>
                    <w14:schemeClr w14:val="tx1"/>
                  </w14:solidFill>
                </w14:textFill>
              </w:rPr>
              <w:t>执行标准</w:t>
            </w:r>
          </w:p>
        </w:tc>
      </w:tr>
      <w:tr w14:paraId="40E066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0" w:type="dxa"/>
            <w:vMerge w:val="restart"/>
            <w:noWrap w:val="0"/>
            <w:vAlign w:val="center"/>
          </w:tcPr>
          <w:p w14:paraId="4D237826">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14:textFill>
                  <w14:solidFill>
                    <w14:schemeClr w14:val="tx1"/>
                  </w14:solidFill>
                </w14:textFill>
              </w:rPr>
              <w:t>大气环境</w:t>
            </w:r>
          </w:p>
        </w:tc>
        <w:tc>
          <w:tcPr>
            <w:tcW w:w="1338" w:type="dxa"/>
            <w:noWrap w:val="0"/>
            <w:vAlign w:val="center"/>
          </w:tcPr>
          <w:p w14:paraId="2B1A00B0">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default" w:ascii="Times New Roman" w:hAnsi="Times New Roman" w:eastAsia="宋体" w:cs="宋体"/>
                <w:snapToGrid/>
                <w:color w:val="000000" w:themeColor="text1"/>
                <w:spacing w:val="0"/>
                <w:kern w:val="0"/>
                <w:sz w:val="24"/>
                <w:szCs w:val="24"/>
                <w:lang w:val="en-US" w:eastAsia="zh-CN"/>
                <w14:textFill>
                  <w14:solidFill>
                    <w14:schemeClr w14:val="tx1"/>
                  </w14:solidFill>
                </w14:textFill>
              </w:rPr>
            </w:pPr>
            <w:r>
              <w:rPr>
                <w:rFonts w:hint="default" w:ascii="Times New Roman" w:hAnsi="Times New Roman" w:eastAsia="宋体" w:cs="宋体"/>
                <w:snapToGrid/>
                <w:color w:val="000000" w:themeColor="text1"/>
                <w:spacing w:val="0"/>
                <w:kern w:val="0"/>
                <w:sz w:val="24"/>
                <w:szCs w:val="24"/>
                <w:lang w:val="en-US" w:eastAsia="zh-CN"/>
                <w14:textFill>
                  <w14:solidFill>
                    <w14:schemeClr w14:val="tx1"/>
                  </w14:solidFill>
                </w14:textFill>
              </w:rPr>
              <w:t>原辅料制备排放口</w:t>
            </w:r>
            <w:r>
              <w:rPr>
                <w:rFonts w:hint="eastAsia" w:cs="宋体"/>
                <w:snapToGrid/>
                <w:color w:val="000000" w:themeColor="text1"/>
                <w:spacing w:val="0"/>
                <w:kern w:val="0"/>
                <w:sz w:val="24"/>
                <w:szCs w:val="24"/>
                <w:lang w:val="en-US" w:eastAsia="zh-CN"/>
                <w14:textFill>
                  <w14:solidFill>
                    <w14:schemeClr w14:val="tx1"/>
                  </w14:solidFill>
                </w14:textFill>
              </w:rPr>
              <w:t>（DA002）</w:t>
            </w:r>
          </w:p>
        </w:tc>
        <w:tc>
          <w:tcPr>
            <w:tcW w:w="1867" w:type="dxa"/>
            <w:noWrap w:val="0"/>
            <w:vAlign w:val="center"/>
          </w:tcPr>
          <w:p w14:paraId="5FC81084">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default" w:ascii="Times New Roman" w:hAnsi="Times New Roman" w:eastAsia="宋体" w:cs="宋体"/>
                <w:snapToGrid/>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lang w:eastAsia="zh-CN"/>
                <w14:textFill>
                  <w14:solidFill>
                    <w14:schemeClr w14:val="tx1"/>
                  </w14:solidFill>
                </w14:textFill>
              </w:rPr>
              <w:t>颗粒物</w:t>
            </w:r>
          </w:p>
        </w:tc>
        <w:tc>
          <w:tcPr>
            <w:tcW w:w="3380" w:type="dxa"/>
            <w:noWrap w:val="0"/>
            <w:vAlign w:val="center"/>
          </w:tcPr>
          <w:p w14:paraId="24A8514C">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default" w:ascii="Times New Roman" w:hAnsi="Times New Roman" w:eastAsia="宋体" w:cs="宋体"/>
                <w:snapToGrid/>
                <w:color w:val="000000" w:themeColor="text1"/>
                <w:spacing w:val="0"/>
                <w:kern w:val="0"/>
                <w:sz w:val="24"/>
                <w:szCs w:val="24"/>
                <w:lang w:val="en-US" w:eastAsia="zh-CN"/>
                <w14:textFill>
                  <w14:solidFill>
                    <w14:schemeClr w14:val="tx1"/>
                  </w14:solidFill>
                </w14:textFill>
              </w:rPr>
            </w:pPr>
            <w:r>
              <w:rPr>
                <w:rFonts w:hint="default" w:ascii="Times New Roman" w:hAnsi="Times New Roman" w:eastAsia="宋体" w:cs="宋体"/>
                <w:snapToGrid/>
                <w:color w:val="000000" w:themeColor="text1"/>
                <w:spacing w:val="0"/>
                <w:kern w:val="0"/>
                <w:sz w:val="24"/>
                <w:szCs w:val="24"/>
                <w:lang w:val="en-US" w:eastAsia="zh-CN"/>
                <w14:textFill>
                  <w14:solidFill>
                    <w14:schemeClr w14:val="tx1"/>
                  </w14:solidFill>
                </w14:textFill>
              </w:rPr>
              <w:t>破碎、筛分各设置1个集气罩（收集效率不低于60%）收集，粉磨废气设置管道收集，进入1套脉冲</w:t>
            </w:r>
            <w:r>
              <w:rPr>
                <w:rFonts w:hint="eastAsia" w:cs="宋体"/>
                <w:snapToGrid/>
                <w:color w:val="000000" w:themeColor="text1"/>
                <w:spacing w:val="0"/>
                <w:kern w:val="0"/>
                <w:sz w:val="24"/>
                <w:szCs w:val="24"/>
                <w:lang w:val="en-US" w:eastAsia="zh-CN"/>
                <w14:textFill>
                  <w14:solidFill>
                    <w14:schemeClr w14:val="tx1"/>
                  </w14:solidFill>
                </w14:textFill>
              </w:rPr>
              <w:t>袋式</w:t>
            </w:r>
            <w:r>
              <w:rPr>
                <w:rFonts w:hint="default" w:ascii="Times New Roman" w:hAnsi="Times New Roman" w:eastAsia="宋体" w:cs="宋体"/>
                <w:snapToGrid/>
                <w:color w:val="000000" w:themeColor="text1"/>
                <w:spacing w:val="0"/>
                <w:kern w:val="0"/>
                <w:sz w:val="24"/>
                <w:szCs w:val="24"/>
                <w:lang w:val="en-US" w:eastAsia="zh-CN"/>
                <w14:textFill>
                  <w14:solidFill>
                    <w14:schemeClr w14:val="tx1"/>
                  </w14:solidFill>
                </w14:textFill>
              </w:rPr>
              <w:t>除尘器处理后设置1根高15m的排气筒（DA00</w:t>
            </w:r>
            <w:r>
              <w:rPr>
                <w:rFonts w:hint="eastAsia" w:cs="宋体"/>
                <w:snapToGrid/>
                <w:color w:val="000000" w:themeColor="text1"/>
                <w:spacing w:val="0"/>
                <w:kern w:val="0"/>
                <w:sz w:val="24"/>
                <w:szCs w:val="24"/>
                <w:lang w:val="en-US" w:eastAsia="zh-CN"/>
                <w14:textFill>
                  <w14:solidFill>
                    <w14:schemeClr w14:val="tx1"/>
                  </w14:solidFill>
                </w14:textFill>
              </w:rPr>
              <w:t>2</w:t>
            </w:r>
            <w:r>
              <w:rPr>
                <w:rFonts w:hint="default" w:ascii="Times New Roman" w:hAnsi="Times New Roman" w:eastAsia="宋体" w:cs="宋体"/>
                <w:snapToGrid/>
                <w:color w:val="000000" w:themeColor="text1"/>
                <w:spacing w:val="0"/>
                <w:kern w:val="0"/>
                <w:sz w:val="24"/>
                <w:szCs w:val="24"/>
                <w:lang w:val="en-US" w:eastAsia="zh-CN"/>
                <w14:textFill>
                  <w14:solidFill>
                    <w14:schemeClr w14:val="tx1"/>
                  </w14:solidFill>
                </w14:textFill>
              </w:rPr>
              <w:t>）排放。</w:t>
            </w:r>
          </w:p>
        </w:tc>
        <w:tc>
          <w:tcPr>
            <w:tcW w:w="1426" w:type="dxa"/>
            <w:vMerge w:val="restart"/>
            <w:noWrap w:val="0"/>
            <w:vAlign w:val="center"/>
          </w:tcPr>
          <w:p w14:paraId="6E99D580">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default" w:ascii="Times New Roman" w:hAnsi="Times New Roman" w:eastAsia="宋体" w:cs="宋体"/>
                <w:snapToGrid/>
                <w:color w:val="000000" w:themeColor="text1"/>
                <w:spacing w:val="0"/>
                <w:kern w:val="0"/>
                <w:sz w:val="24"/>
                <w:szCs w:val="24"/>
                <w14:textFill>
                  <w14:solidFill>
                    <w14:schemeClr w14:val="tx1"/>
                  </w14:solidFill>
                </w14:textFill>
              </w:rPr>
            </w:pPr>
            <w:r>
              <w:rPr>
                <w:rFonts w:hint="default" w:ascii="Times New Roman" w:hAnsi="Times New Roman" w:eastAsia="宋体" w:cs="宋体"/>
                <w:snapToGrid/>
                <w:color w:val="000000" w:themeColor="text1"/>
                <w:spacing w:val="0"/>
                <w:kern w:val="0"/>
                <w:sz w:val="24"/>
                <w:szCs w:val="24"/>
                <w:lang w:val="en-US" w:eastAsia="zh-CN"/>
                <w14:textFill>
                  <w14:solidFill>
                    <w14:schemeClr w14:val="tx1"/>
                  </w14:solidFill>
                </w14:textFill>
              </w:rPr>
              <w:t>《砖瓦工业大气污染物排放标准》（GB29620-2013）及其修改单</w:t>
            </w:r>
          </w:p>
        </w:tc>
      </w:tr>
      <w:tr w14:paraId="2E56AC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0" w:type="dxa"/>
            <w:vMerge w:val="continue"/>
            <w:noWrap w:val="0"/>
            <w:vAlign w:val="center"/>
          </w:tcPr>
          <w:p w14:paraId="1FCE28AE">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14:textFill>
                  <w14:solidFill>
                    <w14:schemeClr w14:val="tx1"/>
                  </w14:solidFill>
                </w14:textFill>
              </w:rPr>
            </w:pPr>
          </w:p>
        </w:tc>
        <w:tc>
          <w:tcPr>
            <w:tcW w:w="1338" w:type="dxa"/>
            <w:noWrap w:val="0"/>
            <w:vAlign w:val="center"/>
          </w:tcPr>
          <w:p w14:paraId="18790282">
            <w:pPr>
              <w:keepNext w:val="0"/>
              <w:keepLines w:val="0"/>
              <w:pageBreakBefore w:val="0"/>
              <w:kinsoku/>
              <w:wordWrap w:val="0"/>
              <w:overflowPunct/>
              <w:topLinePunct w:val="0"/>
              <w:bidi w:val="0"/>
              <w:adjustRightInd/>
              <w:snapToGrid/>
              <w:spacing w:line="240" w:lineRule="auto"/>
              <w:ind w:right="0" w:rightChars="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pPr>
            <w:r>
              <w:rPr>
                <w:rFonts w:hint="eastAsia" w:cs="宋体"/>
                <w:snapToGrid/>
                <w:color w:val="000000" w:themeColor="text1"/>
                <w:spacing w:val="0"/>
                <w:kern w:val="0"/>
                <w:sz w:val="24"/>
                <w:szCs w:val="24"/>
                <w:lang w:val="en-US" w:eastAsia="zh-CN"/>
                <w14:textFill>
                  <w14:solidFill>
                    <w14:schemeClr w14:val="tx1"/>
                  </w14:solidFill>
                </w14:textFill>
              </w:rPr>
              <w:t>窑烟囱</w:t>
            </w: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（DA00</w:t>
            </w:r>
            <w:r>
              <w:rPr>
                <w:rFonts w:hint="eastAsia" w:cs="宋体"/>
                <w:snapToGrid/>
                <w:color w:val="000000" w:themeColor="text1"/>
                <w:spacing w:val="0"/>
                <w:kern w:val="0"/>
                <w:sz w:val="24"/>
                <w:szCs w:val="24"/>
                <w:lang w:val="en-US" w:eastAsia="zh-CN"/>
                <w14:textFill>
                  <w14:solidFill>
                    <w14:schemeClr w14:val="tx1"/>
                  </w14:solidFill>
                </w14:textFill>
              </w:rPr>
              <w:t>1</w:t>
            </w: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w:t>
            </w:r>
          </w:p>
        </w:tc>
        <w:tc>
          <w:tcPr>
            <w:tcW w:w="1867" w:type="dxa"/>
            <w:noWrap w:val="0"/>
            <w:vAlign w:val="center"/>
          </w:tcPr>
          <w:p w14:paraId="146D93F0">
            <w:pPr>
              <w:keepNext w:val="0"/>
              <w:keepLines w:val="0"/>
              <w:pageBreakBefore w:val="0"/>
              <w:kinsoku/>
              <w:wordWrap w:val="0"/>
              <w:overflowPunct/>
              <w:topLinePunct w:val="0"/>
              <w:bidi w:val="0"/>
              <w:adjustRightInd/>
              <w:snapToGrid/>
              <w:spacing w:line="240" w:lineRule="auto"/>
              <w:ind w:right="0" w:rightChars="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lang w:eastAsia="zh-CN"/>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lang w:eastAsia="zh-CN"/>
                <w14:textFill>
                  <w14:solidFill>
                    <w14:schemeClr w14:val="tx1"/>
                  </w14:solidFill>
                </w14:textFill>
              </w:rPr>
              <w:t>颗粒物、</w:t>
            </w: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二氧化硫、氮氧化物、氟化物</w:t>
            </w:r>
          </w:p>
        </w:tc>
        <w:tc>
          <w:tcPr>
            <w:tcW w:w="3380" w:type="dxa"/>
            <w:noWrap w:val="0"/>
            <w:vAlign w:val="center"/>
          </w:tcPr>
          <w:p w14:paraId="41DAD8E6">
            <w:pPr>
              <w:keepNext w:val="0"/>
              <w:keepLines w:val="0"/>
              <w:pageBreakBefore w:val="0"/>
              <w:kinsoku/>
              <w:wordWrap w:val="0"/>
              <w:overflowPunct/>
              <w:topLinePunct w:val="0"/>
              <w:bidi w:val="0"/>
              <w:adjustRightInd/>
              <w:snapToGrid/>
              <w:spacing w:line="240" w:lineRule="auto"/>
              <w:ind w:right="0" w:rightChars="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由DN800管道收集后设置1套“高温脉冲</w:t>
            </w:r>
            <w:r>
              <w:rPr>
                <w:rFonts w:hint="eastAsia" w:cs="宋体"/>
                <w:snapToGrid/>
                <w:color w:val="000000" w:themeColor="text1"/>
                <w:spacing w:val="0"/>
                <w:kern w:val="0"/>
                <w:sz w:val="24"/>
                <w:szCs w:val="24"/>
                <w:lang w:val="en-US" w:eastAsia="zh-CN"/>
                <w14:textFill>
                  <w14:solidFill>
                    <w14:schemeClr w14:val="tx1"/>
                  </w14:solidFill>
                </w14:textFill>
              </w:rPr>
              <w:t>袋式</w:t>
            </w: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除尘+脱硫塔（石灰石石膏法）”处理后，由1根15m高的排气筒（DA00</w:t>
            </w:r>
            <w:r>
              <w:rPr>
                <w:rFonts w:hint="eastAsia" w:cs="宋体"/>
                <w:snapToGrid/>
                <w:color w:val="000000" w:themeColor="text1"/>
                <w:spacing w:val="0"/>
                <w:kern w:val="0"/>
                <w:sz w:val="24"/>
                <w:szCs w:val="24"/>
                <w:lang w:val="en-US" w:eastAsia="zh-CN"/>
                <w14:textFill>
                  <w14:solidFill>
                    <w14:schemeClr w14:val="tx1"/>
                  </w14:solidFill>
                </w14:textFill>
              </w:rPr>
              <w:t>1</w:t>
            </w: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）排放。</w:t>
            </w:r>
          </w:p>
        </w:tc>
        <w:tc>
          <w:tcPr>
            <w:tcW w:w="1426" w:type="dxa"/>
            <w:vMerge w:val="continue"/>
            <w:noWrap w:val="0"/>
            <w:vAlign w:val="center"/>
          </w:tcPr>
          <w:p w14:paraId="29CFCED5">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default" w:ascii="Times New Roman" w:hAnsi="Times New Roman" w:eastAsia="宋体" w:cs="宋体"/>
                <w:snapToGrid/>
                <w:color w:val="000000" w:themeColor="text1"/>
                <w:spacing w:val="0"/>
                <w:kern w:val="0"/>
                <w:sz w:val="24"/>
                <w:szCs w:val="24"/>
                <w:lang w:val="en-US" w:eastAsia="zh-CN"/>
                <w14:textFill>
                  <w14:solidFill>
                    <w14:schemeClr w14:val="tx1"/>
                  </w14:solidFill>
                </w14:textFill>
              </w:rPr>
            </w:pPr>
          </w:p>
        </w:tc>
      </w:tr>
      <w:tr w14:paraId="550834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0" w:type="dxa"/>
            <w:vMerge w:val="continue"/>
            <w:noWrap w:val="0"/>
            <w:vAlign w:val="center"/>
          </w:tcPr>
          <w:p w14:paraId="351BE56E">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14:textFill>
                  <w14:solidFill>
                    <w14:schemeClr w14:val="tx1"/>
                  </w14:solidFill>
                </w14:textFill>
              </w:rPr>
            </w:pPr>
          </w:p>
        </w:tc>
        <w:tc>
          <w:tcPr>
            <w:tcW w:w="1338" w:type="dxa"/>
            <w:noWrap w:val="0"/>
            <w:vAlign w:val="center"/>
          </w:tcPr>
          <w:p w14:paraId="17AA0E40">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default" w:ascii="Times New Roman" w:hAnsi="Times New Roman" w:eastAsia="宋体" w:cs="宋体"/>
                <w:snapToGrid/>
                <w:color w:val="000000" w:themeColor="text1"/>
                <w:spacing w:val="0"/>
                <w:kern w:val="0"/>
                <w:sz w:val="24"/>
                <w:szCs w:val="24"/>
                <w:lang w:val="en-US"/>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厂界无组织</w:t>
            </w:r>
          </w:p>
        </w:tc>
        <w:tc>
          <w:tcPr>
            <w:tcW w:w="1867" w:type="dxa"/>
            <w:noWrap w:val="0"/>
            <w:vAlign w:val="center"/>
          </w:tcPr>
          <w:p w14:paraId="1F275F44">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default" w:ascii="Times New Roman" w:hAnsi="Times New Roman" w:eastAsia="宋体" w:cs="宋体"/>
                <w:snapToGrid/>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颗粒物</w:t>
            </w:r>
          </w:p>
        </w:tc>
        <w:tc>
          <w:tcPr>
            <w:tcW w:w="3380" w:type="dxa"/>
            <w:noWrap w:val="0"/>
            <w:vAlign w:val="center"/>
          </w:tcPr>
          <w:p w14:paraId="5CF4F1E6">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①原料贮存库北侧和东侧设置封闭围挡+库顶喷雾降尘</w:t>
            </w:r>
          </w:p>
          <w:p w14:paraId="31512ACC">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14:textFill>
                  <w14:solidFill>
                    <w14:schemeClr w14:val="tx1"/>
                  </w14:solidFill>
                </w14:textFill>
              </w:rPr>
              <w:t>②</w:t>
            </w:r>
            <w:r>
              <w:rPr>
                <w:rFonts w:hint="eastAsia"/>
                <w:color w:val="000000" w:themeColor="text1"/>
                <w:sz w:val="24"/>
                <w:szCs w:val="24"/>
                <w:lang w:val="en-US" w:eastAsia="zh-CN"/>
                <w14:textFill>
                  <w14:solidFill>
                    <w14:schemeClr w14:val="tx1"/>
                  </w14:solidFill>
                </w14:textFill>
              </w:rPr>
              <w:t>物料密闭运输、道路定期洒水降尘</w:t>
            </w:r>
          </w:p>
        </w:tc>
        <w:tc>
          <w:tcPr>
            <w:tcW w:w="1426" w:type="dxa"/>
            <w:vMerge w:val="continue"/>
            <w:noWrap w:val="0"/>
            <w:vAlign w:val="center"/>
          </w:tcPr>
          <w:p w14:paraId="1734CC9C">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default" w:ascii="Times New Roman" w:hAnsi="Times New Roman" w:eastAsia="宋体" w:cs="宋体"/>
                <w:snapToGrid/>
                <w:color w:val="000000" w:themeColor="text1"/>
                <w:spacing w:val="0"/>
                <w:kern w:val="0"/>
                <w:sz w:val="24"/>
                <w:szCs w:val="24"/>
                <w14:textFill>
                  <w14:solidFill>
                    <w14:schemeClr w14:val="tx1"/>
                  </w14:solidFill>
                </w14:textFill>
              </w:rPr>
            </w:pPr>
          </w:p>
        </w:tc>
      </w:tr>
      <w:tr w14:paraId="7E6DE8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83" w:hRule="atLeast"/>
          <w:jc w:val="center"/>
        </w:trPr>
        <w:tc>
          <w:tcPr>
            <w:tcW w:w="1230" w:type="dxa"/>
            <w:vMerge w:val="restart"/>
            <w:noWrap w:val="0"/>
            <w:vAlign w:val="center"/>
          </w:tcPr>
          <w:p w14:paraId="05AA54D2">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14:textFill>
                  <w14:solidFill>
                    <w14:schemeClr w14:val="tx1"/>
                  </w14:solidFill>
                </w14:textFill>
              </w:rPr>
              <w:t>地表水环境</w:t>
            </w:r>
          </w:p>
        </w:tc>
        <w:tc>
          <w:tcPr>
            <w:tcW w:w="1338" w:type="dxa"/>
            <w:noWrap w:val="0"/>
            <w:vAlign w:val="center"/>
          </w:tcPr>
          <w:p w14:paraId="1F9F5044">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default" w:ascii="Times New Roman" w:hAnsi="Times New Roman" w:eastAsia="宋体" w:cs="宋体"/>
                <w:snapToGrid/>
                <w:color w:val="000000" w:themeColor="text1"/>
                <w:spacing w:val="0"/>
                <w:kern w:val="0"/>
                <w:sz w:val="24"/>
                <w:szCs w:val="24"/>
                <w:lang w:val="en-US" w:eastAsia="zh-CN"/>
                <w14:textFill>
                  <w14:solidFill>
                    <w14:schemeClr w14:val="tx1"/>
                  </w14:solidFill>
                </w14:textFill>
              </w:rPr>
            </w:pPr>
            <w:r>
              <w:rPr>
                <w:rFonts w:hint="eastAsia" w:cs="宋体"/>
                <w:snapToGrid/>
                <w:color w:val="000000" w:themeColor="text1"/>
                <w:spacing w:val="0"/>
                <w:kern w:val="0"/>
                <w:sz w:val="24"/>
                <w:szCs w:val="24"/>
                <w:lang w:val="en-US" w:eastAsia="zh-CN"/>
                <w14:textFill>
                  <w14:solidFill>
                    <w14:schemeClr w14:val="tx1"/>
                  </w14:solidFill>
                </w14:textFill>
              </w:rPr>
              <w:t>脱硫废水</w:t>
            </w:r>
          </w:p>
        </w:tc>
        <w:tc>
          <w:tcPr>
            <w:tcW w:w="1867" w:type="dxa"/>
            <w:noWrap w:val="0"/>
            <w:vAlign w:val="center"/>
          </w:tcPr>
          <w:p w14:paraId="1726D66F">
            <w:pPr>
              <w:keepNext w:val="0"/>
              <w:keepLines w:val="0"/>
              <w:pageBreakBefore w:val="0"/>
              <w:kinsoku/>
              <w:wordWrap w:val="0"/>
              <w:overflowPunct/>
              <w:topLinePunct w:val="0"/>
              <w:bidi w:val="0"/>
              <w:adjustRightInd/>
              <w:snapToGrid/>
              <w:spacing w:line="240" w:lineRule="auto"/>
              <w:ind w:right="0" w:rightChars="0" w:firstLine="0" w:firstLineChars="0"/>
              <w:jc w:val="center"/>
              <w:textAlignment w:val="auto"/>
              <w:outlineLvl w:val="9"/>
              <w:rPr>
                <w:rFonts w:hint="default" w:ascii="Times New Roman" w:hAnsi="Times New Roman" w:eastAsia="宋体" w:cs="宋体"/>
                <w:snapToGrid/>
                <w:color w:val="000000" w:themeColor="text1"/>
                <w:spacing w:val="0"/>
                <w:kern w:val="0"/>
                <w:sz w:val="24"/>
                <w:szCs w:val="24"/>
                <w:lang w:val="en-US" w:eastAsia="zh-CN" w:bidi="ar-SA"/>
                <w14:textFill>
                  <w14:solidFill>
                    <w14:schemeClr w14:val="tx1"/>
                  </w14:solidFill>
                </w14:textFill>
              </w:rPr>
            </w:pPr>
            <w:r>
              <w:rPr>
                <w:rFonts w:hint="eastAsia" w:cs="Times New Roman" w:eastAsiaTheme="minorEastAsia"/>
                <w:b w:val="0"/>
                <w:bCs/>
                <w:color w:val="000000" w:themeColor="text1"/>
                <w:sz w:val="21"/>
                <w:szCs w:val="21"/>
                <w:vertAlign w:val="baseline"/>
                <w:lang w:val="en-US" w:eastAsia="zh-CN"/>
                <w14:textFill>
                  <w14:solidFill>
                    <w14:schemeClr w14:val="tx1"/>
                  </w14:solidFill>
                </w14:textFill>
              </w:rPr>
              <w:t>pH、</w:t>
            </w:r>
            <w:r>
              <w:rPr>
                <w:rFonts w:hint="eastAsia" w:ascii="Times New Roman" w:hAnsi="Times New Roman" w:cs="Times New Roman" w:eastAsiaTheme="minorEastAsia"/>
                <w:b w:val="0"/>
                <w:bCs/>
                <w:color w:val="000000" w:themeColor="text1"/>
                <w:sz w:val="21"/>
                <w:szCs w:val="21"/>
                <w:vertAlign w:val="baseline"/>
                <w:lang w:val="en-US" w:eastAsia="zh-CN"/>
                <w14:textFill>
                  <w14:solidFill>
                    <w14:schemeClr w14:val="tx1"/>
                  </w14:solidFill>
                </w14:textFill>
              </w:rPr>
              <w:t>SS、COD、</w:t>
            </w:r>
            <w:r>
              <w:rPr>
                <w:rFonts w:hint="eastAsia" w:cs="Times New Roman" w:eastAsiaTheme="minorEastAsia"/>
                <w:b w:val="0"/>
                <w:bCs/>
                <w:color w:val="000000" w:themeColor="text1"/>
                <w:sz w:val="21"/>
                <w:szCs w:val="21"/>
                <w:vertAlign w:val="baseline"/>
                <w:lang w:val="en-US" w:eastAsia="zh-CN"/>
                <w14:textFill>
                  <w14:solidFill>
                    <w14:schemeClr w14:val="tx1"/>
                  </w14:solidFill>
                </w14:textFill>
              </w:rPr>
              <w:t>盐类</w:t>
            </w:r>
          </w:p>
        </w:tc>
        <w:tc>
          <w:tcPr>
            <w:tcW w:w="3380" w:type="dxa"/>
            <w:noWrap w:val="0"/>
            <w:vAlign w:val="center"/>
          </w:tcPr>
          <w:p w14:paraId="458DF266">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default" w:ascii="Times New Roman" w:hAnsi="Times New Roman" w:eastAsia="宋体" w:cs="宋体"/>
                <w:snapToGrid/>
                <w:color w:val="000000" w:themeColor="text1"/>
                <w:spacing w:val="0"/>
                <w:kern w:val="0"/>
                <w:sz w:val="24"/>
                <w:szCs w:val="24"/>
                <w:vertAlign w:val="baseline"/>
                <w:lang w:val="en-US" w:eastAsia="zh-CN"/>
                <w14:textFill>
                  <w14:solidFill>
                    <w14:schemeClr w14:val="tx1"/>
                  </w14:solidFill>
                </w14:textFill>
              </w:rPr>
            </w:pPr>
            <w:r>
              <w:rPr>
                <w:rFonts w:hint="eastAsia" w:cs="宋体"/>
                <w:snapToGrid/>
                <w:color w:val="000000" w:themeColor="text1"/>
                <w:spacing w:val="0"/>
                <w:kern w:val="0"/>
                <w:sz w:val="24"/>
                <w:szCs w:val="24"/>
                <w:lang w:val="en-US" w:eastAsia="zh-CN"/>
                <w14:textFill>
                  <w14:solidFill>
                    <w14:schemeClr w14:val="tx1"/>
                  </w14:solidFill>
                </w14:textFill>
              </w:rPr>
              <w:t>1个容积为80m</w:t>
            </w:r>
            <w:r>
              <w:rPr>
                <w:rFonts w:hint="eastAsia" w:cs="宋体"/>
                <w:snapToGrid/>
                <w:color w:val="000000" w:themeColor="text1"/>
                <w:spacing w:val="0"/>
                <w:kern w:val="0"/>
                <w:sz w:val="24"/>
                <w:szCs w:val="24"/>
                <w:vertAlign w:val="superscript"/>
                <w:lang w:val="en-US" w:eastAsia="zh-CN"/>
                <w14:textFill>
                  <w14:solidFill>
                    <w14:schemeClr w14:val="tx1"/>
                  </w14:solidFill>
                </w14:textFill>
              </w:rPr>
              <w:t>3</w:t>
            </w:r>
            <w:r>
              <w:rPr>
                <w:rFonts w:hint="eastAsia" w:cs="宋体"/>
                <w:snapToGrid/>
                <w:color w:val="000000" w:themeColor="text1"/>
                <w:spacing w:val="0"/>
                <w:kern w:val="0"/>
                <w:sz w:val="24"/>
                <w:szCs w:val="24"/>
                <w:vertAlign w:val="baseline"/>
                <w:lang w:val="en-US" w:eastAsia="zh-CN"/>
                <w14:textFill>
                  <w14:solidFill>
                    <w14:schemeClr w14:val="tx1"/>
                  </w14:solidFill>
                </w14:textFill>
              </w:rPr>
              <w:t>的循环沉淀池</w:t>
            </w:r>
            <w:r>
              <w:rPr>
                <w:rFonts w:hint="eastAsia" w:cs="Times New Roman"/>
                <w:b w:val="0"/>
                <w:bCs/>
                <w:color w:val="000000" w:themeColor="text1"/>
                <w:sz w:val="24"/>
                <w:szCs w:val="24"/>
                <w:highlight w:val="none"/>
                <w:vertAlign w:val="baseline"/>
                <w:lang w:val="en-US" w:eastAsia="zh-CN"/>
                <w14:textFill>
                  <w14:solidFill>
                    <w14:schemeClr w14:val="tx1"/>
                  </w14:solidFill>
                </w14:textFill>
              </w:rPr>
              <w:t>中和絮凝沉淀处理后</w:t>
            </w:r>
            <w:r>
              <w:rPr>
                <w:rFonts w:hint="eastAsia" w:cs="宋体"/>
                <w:snapToGrid/>
                <w:color w:val="000000" w:themeColor="text1"/>
                <w:spacing w:val="0"/>
                <w:kern w:val="0"/>
                <w:sz w:val="24"/>
                <w:szCs w:val="24"/>
                <w:vertAlign w:val="baseline"/>
                <w:lang w:val="en-US" w:eastAsia="zh-CN"/>
                <w14:textFill>
                  <w14:solidFill>
                    <w14:schemeClr w14:val="tx1"/>
                  </w14:solidFill>
                </w14:textFill>
              </w:rPr>
              <w:t>，全部回用于搅拌用水，不外排。</w:t>
            </w:r>
          </w:p>
        </w:tc>
        <w:tc>
          <w:tcPr>
            <w:tcW w:w="1426" w:type="dxa"/>
            <w:noWrap w:val="0"/>
            <w:vAlign w:val="center"/>
          </w:tcPr>
          <w:p w14:paraId="12BF019D">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default" w:ascii="Times New Roman" w:hAnsi="Times New Roman" w:eastAsia="宋体" w:cs="宋体"/>
                <w:snapToGrid/>
                <w:color w:val="000000" w:themeColor="text1"/>
                <w:spacing w:val="0"/>
                <w:kern w:val="0"/>
                <w:sz w:val="24"/>
                <w:szCs w:val="24"/>
                <w:lang w:val="en-US" w:eastAsia="zh-CN"/>
                <w14:textFill>
                  <w14:solidFill>
                    <w14:schemeClr w14:val="tx1"/>
                  </w14:solidFill>
                </w14:textFill>
              </w:rPr>
            </w:pPr>
            <w:r>
              <w:rPr>
                <w:rFonts w:hint="default" w:ascii="Times New Roman" w:hAnsi="Times New Roman" w:eastAsia="宋体" w:cs="宋体"/>
                <w:snapToGrid/>
                <w:color w:val="000000" w:themeColor="text1"/>
                <w:spacing w:val="0"/>
                <w:kern w:val="0"/>
                <w:sz w:val="24"/>
                <w:szCs w:val="24"/>
                <w:lang w:val="en-US" w:eastAsia="zh-CN"/>
                <w14:textFill>
                  <w14:solidFill>
                    <w14:schemeClr w14:val="tx1"/>
                  </w14:solidFill>
                </w14:textFill>
              </w:rPr>
              <w:t>全部回用，不外排</w:t>
            </w:r>
          </w:p>
        </w:tc>
      </w:tr>
      <w:tr w14:paraId="763347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83" w:hRule="atLeast"/>
          <w:jc w:val="center"/>
        </w:trPr>
        <w:tc>
          <w:tcPr>
            <w:tcW w:w="1230" w:type="dxa"/>
            <w:vMerge w:val="continue"/>
            <w:noWrap w:val="0"/>
            <w:vAlign w:val="center"/>
          </w:tcPr>
          <w:p w14:paraId="7CC53E63">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14:textFill>
                  <w14:solidFill>
                    <w14:schemeClr w14:val="tx1"/>
                  </w14:solidFill>
                </w14:textFill>
              </w:rPr>
            </w:pPr>
          </w:p>
        </w:tc>
        <w:tc>
          <w:tcPr>
            <w:tcW w:w="1338" w:type="dxa"/>
            <w:noWrap w:val="0"/>
            <w:vAlign w:val="center"/>
          </w:tcPr>
          <w:p w14:paraId="109B8BBC">
            <w:pPr>
              <w:keepNext w:val="0"/>
              <w:keepLines w:val="0"/>
              <w:pageBreakBefore w:val="0"/>
              <w:kinsoku/>
              <w:wordWrap w:val="0"/>
              <w:overflowPunct/>
              <w:topLinePunct w:val="0"/>
              <w:bidi w:val="0"/>
              <w:adjustRightInd/>
              <w:snapToGrid/>
              <w:spacing w:line="240" w:lineRule="auto"/>
              <w:ind w:right="0" w:rightChars="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初期雨水</w:t>
            </w:r>
          </w:p>
        </w:tc>
        <w:tc>
          <w:tcPr>
            <w:tcW w:w="1867" w:type="dxa"/>
            <w:noWrap w:val="0"/>
            <w:vAlign w:val="center"/>
          </w:tcPr>
          <w:p w14:paraId="392601E6">
            <w:pPr>
              <w:keepNext w:val="0"/>
              <w:keepLines w:val="0"/>
              <w:pageBreakBefore w:val="0"/>
              <w:kinsoku/>
              <w:wordWrap w:val="0"/>
              <w:overflowPunct/>
              <w:topLinePunct w:val="0"/>
              <w:bidi w:val="0"/>
              <w:adjustRightInd/>
              <w:snapToGrid/>
              <w:spacing w:line="240" w:lineRule="auto"/>
              <w:ind w:right="0" w:rightChars="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SS</w:t>
            </w:r>
          </w:p>
        </w:tc>
        <w:tc>
          <w:tcPr>
            <w:tcW w:w="3380" w:type="dxa"/>
            <w:noWrap w:val="0"/>
            <w:vAlign w:val="center"/>
          </w:tcPr>
          <w:p w14:paraId="40FA10FB">
            <w:pPr>
              <w:keepNext w:val="0"/>
              <w:keepLines w:val="0"/>
              <w:pageBreakBefore w:val="0"/>
              <w:kinsoku/>
              <w:wordWrap w:val="0"/>
              <w:overflowPunct/>
              <w:topLinePunct w:val="0"/>
              <w:bidi w:val="0"/>
              <w:adjustRightInd/>
              <w:snapToGrid/>
              <w:spacing w:line="240" w:lineRule="auto"/>
              <w:ind w:right="0" w:rightChars="0" w:firstLine="0" w:firstLineChars="0"/>
              <w:jc w:val="center"/>
              <w:textAlignment w:val="auto"/>
              <w:outlineLvl w:val="9"/>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1个容积为20m</w:t>
            </w:r>
            <w:r>
              <w:rPr>
                <w:rFonts w:hint="eastAsia" w:ascii="Times New Roman" w:hAnsi="Times New Roman" w:eastAsia="宋体" w:cs="Times New Roman"/>
                <w:color w:val="000000" w:themeColor="text1"/>
                <w:kern w:val="0"/>
                <w:sz w:val="24"/>
                <w:szCs w:val="24"/>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的初期雨水收集池</w:t>
            </w:r>
            <w:r>
              <w:rPr>
                <w:rFonts w:hint="eastAsia" w:cs="Times New Roman"/>
                <w:color w:val="000000" w:themeColor="text1"/>
                <w:kern w:val="0"/>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进水管设置切断阀，配套初期雨水回用管道，经沉淀后全部回用于项目洒水降尘及搅拌用水，不外排。</w:t>
            </w:r>
          </w:p>
        </w:tc>
        <w:tc>
          <w:tcPr>
            <w:tcW w:w="1426" w:type="dxa"/>
            <w:noWrap w:val="0"/>
            <w:vAlign w:val="center"/>
          </w:tcPr>
          <w:p w14:paraId="5697CE36">
            <w:pPr>
              <w:keepNext w:val="0"/>
              <w:keepLines w:val="0"/>
              <w:pageBreakBefore w:val="0"/>
              <w:kinsoku/>
              <w:wordWrap w:val="0"/>
              <w:overflowPunct/>
              <w:topLinePunct w:val="0"/>
              <w:bidi w:val="0"/>
              <w:adjustRightInd/>
              <w:snapToGrid/>
              <w:spacing w:line="240" w:lineRule="auto"/>
              <w:ind w:right="0" w:rightChars="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全部回用，不外排</w:t>
            </w:r>
          </w:p>
        </w:tc>
      </w:tr>
      <w:tr w14:paraId="07774A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230" w:type="dxa"/>
            <w:vMerge w:val="continue"/>
            <w:noWrap w:val="0"/>
            <w:vAlign w:val="center"/>
          </w:tcPr>
          <w:p w14:paraId="27CDDD72">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14:textFill>
                  <w14:solidFill>
                    <w14:schemeClr w14:val="tx1"/>
                  </w14:solidFill>
                </w14:textFill>
              </w:rPr>
            </w:pPr>
          </w:p>
        </w:tc>
        <w:tc>
          <w:tcPr>
            <w:tcW w:w="1338" w:type="dxa"/>
            <w:noWrap w:val="0"/>
            <w:vAlign w:val="center"/>
          </w:tcPr>
          <w:p w14:paraId="3BC31BF0">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lang w:val="en-US" w:eastAsia="zh-CN" w:bidi="ar-SA"/>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生活污水</w:t>
            </w:r>
          </w:p>
        </w:tc>
        <w:tc>
          <w:tcPr>
            <w:tcW w:w="1867" w:type="dxa"/>
            <w:noWrap w:val="0"/>
            <w:vAlign w:val="center"/>
          </w:tcPr>
          <w:p w14:paraId="0EA2D773">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COD</w:t>
            </w:r>
            <w:r>
              <w:rPr>
                <w:rFonts w:hint="eastAsia" w:ascii="Times New Roman" w:hAnsi="Times New Roman" w:eastAsia="宋体" w:cs="宋体"/>
                <w:snapToGrid/>
                <w:color w:val="000000" w:themeColor="text1"/>
                <w:spacing w:val="0"/>
                <w:kern w:val="0"/>
                <w:sz w:val="24"/>
                <w:szCs w:val="24"/>
                <w:vertAlign w:val="subscript"/>
                <w:lang w:val="en-US" w:eastAsia="zh-CN"/>
                <w14:textFill>
                  <w14:solidFill>
                    <w14:schemeClr w14:val="tx1"/>
                  </w14:solidFill>
                </w14:textFill>
              </w:rPr>
              <w:t>cr</w:t>
            </w:r>
            <w:r>
              <w:rPr>
                <w:rFonts w:hint="eastAsia" w:ascii="Times New Roman" w:hAnsi="Times New Roman" w:eastAsia="宋体" w:cs="宋体"/>
                <w:snapToGrid/>
                <w:color w:val="000000" w:themeColor="text1"/>
                <w:spacing w:val="0"/>
                <w:kern w:val="0"/>
                <w:sz w:val="24"/>
                <w:szCs w:val="24"/>
                <w:vertAlign w:val="baseline"/>
                <w:lang w:val="en-US" w:eastAsia="zh-CN"/>
                <w14:textFill>
                  <w14:solidFill>
                    <w14:schemeClr w14:val="tx1"/>
                  </w14:solidFill>
                </w14:textFill>
              </w:rPr>
              <w:t>、</w:t>
            </w: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BOD</w:t>
            </w:r>
            <w:r>
              <w:rPr>
                <w:rFonts w:hint="eastAsia" w:ascii="Times New Roman" w:hAnsi="Times New Roman" w:eastAsia="宋体" w:cs="宋体"/>
                <w:snapToGrid/>
                <w:color w:val="000000" w:themeColor="text1"/>
                <w:spacing w:val="0"/>
                <w:kern w:val="0"/>
                <w:sz w:val="24"/>
                <w:szCs w:val="24"/>
                <w:vertAlign w:val="subscript"/>
                <w:lang w:val="en-US" w:eastAsia="zh-CN"/>
                <w14:textFill>
                  <w14:solidFill>
                    <w14:schemeClr w14:val="tx1"/>
                  </w14:solidFill>
                </w14:textFill>
              </w:rPr>
              <w:t>5</w:t>
            </w:r>
            <w:r>
              <w:rPr>
                <w:rFonts w:hint="eastAsia" w:ascii="Times New Roman" w:hAnsi="Times New Roman" w:eastAsia="宋体" w:cs="宋体"/>
                <w:snapToGrid/>
                <w:color w:val="000000" w:themeColor="text1"/>
                <w:spacing w:val="0"/>
                <w:kern w:val="0"/>
                <w:sz w:val="24"/>
                <w:szCs w:val="24"/>
                <w:vertAlign w:val="baseline"/>
                <w:lang w:val="en-US" w:eastAsia="zh-CN"/>
                <w14:textFill>
                  <w14:solidFill>
                    <w14:schemeClr w14:val="tx1"/>
                  </w14:solidFill>
                </w14:textFill>
              </w:rPr>
              <w:t>、</w:t>
            </w: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NH</w:t>
            </w:r>
            <w:r>
              <w:rPr>
                <w:rFonts w:hint="eastAsia" w:ascii="Times New Roman" w:hAnsi="Times New Roman" w:eastAsia="宋体" w:cs="宋体"/>
                <w:snapToGrid/>
                <w:color w:val="000000" w:themeColor="text1"/>
                <w:spacing w:val="0"/>
                <w:kern w:val="0"/>
                <w:sz w:val="24"/>
                <w:szCs w:val="24"/>
                <w:vertAlign w:val="subscript"/>
                <w:lang w:val="en-US" w:eastAsia="zh-CN"/>
                <w14:textFill>
                  <w14:solidFill>
                    <w14:schemeClr w14:val="tx1"/>
                  </w14:solidFill>
                </w14:textFill>
              </w:rPr>
              <w:t>3</w:t>
            </w: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-N、SS、动植物油</w:t>
            </w:r>
          </w:p>
        </w:tc>
        <w:tc>
          <w:tcPr>
            <w:tcW w:w="3380" w:type="dxa"/>
            <w:noWrap w:val="0"/>
            <w:vAlign w:val="center"/>
          </w:tcPr>
          <w:p w14:paraId="183152D6">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1个容积为10m</w:t>
            </w:r>
            <w:r>
              <w:rPr>
                <w:rFonts w:hint="eastAsia" w:ascii="Times New Roman" w:hAnsi="Times New Roman" w:eastAsia="宋体" w:cs="Times New Roman"/>
                <w:bCs/>
                <w:color w:val="000000" w:themeColor="text1"/>
                <w:sz w:val="24"/>
                <w:szCs w:val="24"/>
                <w:vertAlign w:val="superscript"/>
                <w:lang w:val="en-US" w:eastAsia="zh-CN"/>
                <w14:textFill>
                  <w14:solidFill>
                    <w14:schemeClr w14:val="tx1"/>
                  </w14:solidFill>
                </w14:textFill>
              </w:rPr>
              <w:t>3</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的化粪池处理后定期清掏用作农肥</w:t>
            </w:r>
          </w:p>
        </w:tc>
        <w:tc>
          <w:tcPr>
            <w:tcW w:w="1426" w:type="dxa"/>
            <w:noWrap w:val="0"/>
            <w:vAlign w:val="center"/>
          </w:tcPr>
          <w:p w14:paraId="279D3201">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default" w:ascii="Times New Roman" w:hAnsi="Times New Roman" w:eastAsia="宋体" w:cs="宋体"/>
                <w:snapToGrid/>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不外排</w:t>
            </w:r>
          </w:p>
        </w:tc>
      </w:tr>
      <w:tr w14:paraId="4D9D25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230" w:type="dxa"/>
            <w:noWrap w:val="0"/>
            <w:vAlign w:val="center"/>
          </w:tcPr>
          <w:p w14:paraId="11DB1F9A">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14:textFill>
                  <w14:solidFill>
                    <w14:schemeClr w14:val="tx1"/>
                  </w14:solidFill>
                </w14:textFill>
              </w:rPr>
              <w:t>声环境</w:t>
            </w:r>
          </w:p>
        </w:tc>
        <w:tc>
          <w:tcPr>
            <w:tcW w:w="1338" w:type="dxa"/>
            <w:noWrap w:val="0"/>
            <w:vAlign w:val="center"/>
          </w:tcPr>
          <w:p w14:paraId="1F562E09">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default" w:ascii="Times New Roman" w:hAnsi="Times New Roman" w:eastAsia="宋体" w:cs="宋体"/>
                <w:snapToGrid/>
                <w:color w:val="000000" w:themeColor="text1"/>
                <w:spacing w:val="0"/>
                <w:kern w:val="0"/>
                <w:sz w:val="24"/>
                <w:szCs w:val="24"/>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设备</w:t>
            </w:r>
          </w:p>
        </w:tc>
        <w:tc>
          <w:tcPr>
            <w:tcW w:w="1867" w:type="dxa"/>
            <w:noWrap w:val="0"/>
            <w:vAlign w:val="center"/>
          </w:tcPr>
          <w:p w14:paraId="221E65DD">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lang w:eastAsia="zh-CN"/>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lang w:eastAsia="zh-CN"/>
                <w14:textFill>
                  <w14:solidFill>
                    <w14:schemeClr w14:val="tx1"/>
                  </w14:solidFill>
                </w14:textFill>
              </w:rPr>
              <w:t>噪声</w:t>
            </w:r>
          </w:p>
        </w:tc>
        <w:tc>
          <w:tcPr>
            <w:tcW w:w="3380" w:type="dxa"/>
            <w:noWrap w:val="0"/>
            <w:vAlign w:val="center"/>
          </w:tcPr>
          <w:p w14:paraId="13B75DA8">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default" w:ascii="Times New Roman" w:hAnsi="Times New Roman" w:eastAsia="宋体" w:cs="宋体"/>
                <w:snapToGrid/>
                <w:color w:val="000000" w:themeColor="text1"/>
                <w:spacing w:val="0"/>
                <w:kern w:val="0"/>
                <w:sz w:val="24"/>
                <w:szCs w:val="24"/>
                <w14:textFill>
                  <w14:solidFill>
                    <w14:schemeClr w14:val="tx1"/>
                  </w14:solidFill>
                </w14:textFill>
              </w:rPr>
            </w:pPr>
            <w:r>
              <w:rPr>
                <w:rFonts w:hint="default" w:ascii="Times New Roman" w:hAnsi="Times New Roman" w:eastAsia="宋体" w:cs="宋体"/>
                <w:snapToGrid/>
                <w:color w:val="000000" w:themeColor="text1"/>
                <w:spacing w:val="0"/>
                <w:kern w:val="0"/>
                <w:sz w:val="24"/>
                <w:szCs w:val="24"/>
                <w:lang w:eastAsia="zh-CN"/>
                <w14:textFill>
                  <w14:solidFill>
                    <w14:schemeClr w14:val="tx1"/>
                  </w14:solidFill>
                </w14:textFill>
              </w:rPr>
              <w:t>生产设备置于厂房内；生产设备基座加装</w:t>
            </w: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减振</w:t>
            </w:r>
            <w:r>
              <w:rPr>
                <w:rFonts w:hint="default" w:ascii="Times New Roman" w:hAnsi="Times New Roman" w:eastAsia="宋体" w:cs="宋体"/>
                <w:snapToGrid/>
                <w:color w:val="000000" w:themeColor="text1"/>
                <w:spacing w:val="0"/>
                <w:kern w:val="0"/>
                <w:sz w:val="24"/>
                <w:szCs w:val="24"/>
                <w:lang w:eastAsia="zh-CN"/>
                <w14:textFill>
                  <w14:solidFill>
                    <w14:schemeClr w14:val="tx1"/>
                  </w14:solidFill>
                </w14:textFill>
              </w:rPr>
              <w:t>垫；</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脱硫塔引风机设置在建筑物内；进出项目区车辆应安排在白天</w:t>
            </w:r>
            <w:r>
              <w:rPr>
                <w:rFonts w:hint="eastAsia" w:ascii="Times New Roman" w:hAnsi="Times New Roman" w:eastAsia="宋体" w:cs="宋体"/>
                <w:snapToGrid/>
                <w:color w:val="000000" w:themeColor="text1"/>
                <w:spacing w:val="0"/>
                <w:kern w:val="0"/>
                <w:sz w:val="24"/>
                <w:szCs w:val="24"/>
                <w:lang w:eastAsia="zh-CN"/>
                <w14:textFill>
                  <w14:solidFill>
                    <w14:schemeClr w14:val="tx1"/>
                  </w14:solidFill>
                </w14:textFill>
              </w:rPr>
              <w:t>。</w:t>
            </w:r>
          </w:p>
        </w:tc>
        <w:tc>
          <w:tcPr>
            <w:tcW w:w="1426" w:type="dxa"/>
            <w:noWrap w:val="0"/>
            <w:vAlign w:val="center"/>
          </w:tcPr>
          <w:p w14:paraId="6D02E4FD">
            <w:pPr>
              <w:keepNext w:val="0"/>
              <w:keepLines w:val="0"/>
              <w:pageBreakBefore w:val="0"/>
              <w:widowControl w:val="0"/>
              <w:kinsoku/>
              <w:wordWrap w:val="0"/>
              <w:overflowPunct/>
              <w:topLinePunct w:val="0"/>
              <w:autoSpaceDE/>
              <w:autoSpaceDN/>
              <w:bidi w:val="0"/>
              <w:adjustRightInd/>
              <w:snapToGrid/>
              <w:spacing w:line="240" w:lineRule="auto"/>
              <w:ind w:right="0" w:firstLine="0" w:firstLineChars="0"/>
              <w:jc w:val="center"/>
              <w:textAlignment w:val="auto"/>
              <w:outlineLvl w:val="9"/>
              <w:rPr>
                <w:rFonts w:hint="default" w:ascii="Times New Roman" w:hAnsi="Times New Roman" w:eastAsia="宋体" w:cs="宋体"/>
                <w:snapToGrid/>
                <w:color w:val="000000" w:themeColor="text1"/>
                <w:spacing w:val="0"/>
                <w:kern w:val="0"/>
                <w:sz w:val="24"/>
                <w:szCs w:val="24"/>
                <w14:textFill>
                  <w14:solidFill>
                    <w14:schemeClr w14:val="tx1"/>
                  </w14:solidFill>
                </w14:textFill>
              </w:rPr>
            </w:pPr>
            <w:r>
              <w:rPr>
                <w:rFonts w:hint="default" w:ascii="Times New Roman" w:hAnsi="Times New Roman" w:eastAsia="宋体" w:cs="宋体"/>
                <w:snapToGrid/>
                <w:color w:val="000000" w:themeColor="text1"/>
                <w:spacing w:val="0"/>
                <w:kern w:val="0"/>
                <w:sz w:val="24"/>
                <w:szCs w:val="24"/>
                <w14:textFill>
                  <w14:solidFill>
                    <w14:schemeClr w14:val="tx1"/>
                  </w14:solidFill>
                </w14:textFill>
              </w:rPr>
              <w:t>《工业企业厂界环境噪声排放标准》（GB12348-2008）</w:t>
            </w:r>
            <w:r>
              <w:rPr>
                <w:rFonts w:hint="default" w:ascii="Times New Roman" w:hAnsi="Times New Roman" w:eastAsia="宋体" w:cs="宋体"/>
                <w:snapToGrid/>
                <w:color w:val="000000" w:themeColor="text1"/>
                <w:spacing w:val="0"/>
                <w:kern w:val="0"/>
                <w:sz w:val="24"/>
                <w:szCs w:val="24"/>
                <w:lang w:val="en-US" w:eastAsia="zh-CN"/>
                <w14:textFill>
                  <w14:solidFill>
                    <w14:schemeClr w14:val="tx1"/>
                  </w14:solidFill>
                </w14:textFill>
              </w:rPr>
              <w:t>2</w:t>
            </w:r>
            <w:r>
              <w:rPr>
                <w:rFonts w:hint="default" w:ascii="Times New Roman" w:hAnsi="Times New Roman" w:eastAsia="宋体" w:cs="宋体"/>
                <w:snapToGrid/>
                <w:color w:val="000000" w:themeColor="text1"/>
                <w:spacing w:val="0"/>
                <w:kern w:val="0"/>
                <w:sz w:val="24"/>
                <w:szCs w:val="24"/>
                <w14:textFill>
                  <w14:solidFill>
                    <w14:schemeClr w14:val="tx1"/>
                  </w14:solidFill>
                </w14:textFill>
              </w:rPr>
              <w:t>类标准</w:t>
            </w:r>
            <w:r>
              <w:rPr>
                <w:rFonts w:hint="default" w:ascii="Times New Roman" w:hAnsi="Times New Roman" w:eastAsia="宋体" w:cs="宋体"/>
                <w:snapToGrid/>
                <w:color w:val="000000" w:themeColor="text1"/>
                <w:spacing w:val="0"/>
                <w:kern w:val="0"/>
                <w:sz w:val="24"/>
                <w:szCs w:val="24"/>
                <w:lang w:eastAsia="zh-CN"/>
                <w14:textFill>
                  <w14:solidFill>
                    <w14:schemeClr w14:val="tx1"/>
                  </w14:solidFill>
                </w14:textFill>
              </w:rPr>
              <w:t>限值</w:t>
            </w:r>
          </w:p>
        </w:tc>
      </w:tr>
      <w:tr w14:paraId="2B61E9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230" w:type="dxa"/>
            <w:noWrap w:val="0"/>
            <w:vAlign w:val="center"/>
          </w:tcPr>
          <w:p w14:paraId="7DB4CA30">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14:textFill>
                  <w14:solidFill>
                    <w14:schemeClr w14:val="tx1"/>
                  </w14:solidFill>
                </w14:textFill>
              </w:rPr>
              <w:t>电磁辐射</w:t>
            </w:r>
          </w:p>
        </w:tc>
        <w:tc>
          <w:tcPr>
            <w:tcW w:w="8011" w:type="dxa"/>
            <w:gridSpan w:val="4"/>
            <w:noWrap w:val="0"/>
            <w:vAlign w:val="center"/>
          </w:tcPr>
          <w:p w14:paraId="4E349B94">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lang w:eastAsia="zh-CN"/>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lang w:eastAsia="zh-CN"/>
                <w14:textFill>
                  <w14:solidFill>
                    <w14:schemeClr w14:val="tx1"/>
                  </w14:solidFill>
                </w14:textFill>
              </w:rPr>
              <w:t>无</w:t>
            </w:r>
          </w:p>
        </w:tc>
      </w:tr>
      <w:tr w14:paraId="0F409C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230" w:type="dxa"/>
            <w:noWrap w:val="0"/>
            <w:vAlign w:val="center"/>
          </w:tcPr>
          <w:p w14:paraId="0AAB4329">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14:textFill>
                  <w14:solidFill>
                    <w14:schemeClr w14:val="tx1"/>
                  </w14:solidFill>
                </w14:textFill>
              </w:rPr>
              <w:t>固体废物</w:t>
            </w:r>
          </w:p>
        </w:tc>
        <w:tc>
          <w:tcPr>
            <w:tcW w:w="8011" w:type="dxa"/>
            <w:gridSpan w:val="4"/>
            <w:noWrap w:val="0"/>
            <w:vAlign w:val="center"/>
          </w:tcPr>
          <w:p w14:paraId="6601CA8D">
            <w:pPr>
              <w:keepNext w:val="0"/>
              <w:keepLines w:val="0"/>
              <w:pageBreakBefore w:val="0"/>
              <w:kinsoku/>
              <w:wordWrap w:val="0"/>
              <w:overflowPunct/>
              <w:topLinePunct w:val="0"/>
              <w:bidi w:val="0"/>
              <w:adjustRightInd/>
              <w:snapToGrid/>
              <w:spacing w:line="240" w:lineRule="auto"/>
              <w:ind w:right="0" w:firstLine="0" w:firstLineChars="0"/>
              <w:jc w:val="both"/>
              <w:textAlignment w:val="auto"/>
              <w:outlineLvl w:val="9"/>
              <w:rPr>
                <w:rFonts w:hint="eastAsia" w:ascii="Times New Roman" w:hAnsi="Times New Roman" w:eastAsia="宋体" w:cs="宋体"/>
                <w:snapToGrid/>
                <w:color w:val="000000" w:themeColor="text1"/>
                <w:spacing w:val="0"/>
                <w:kern w:val="0"/>
                <w:sz w:val="24"/>
                <w:szCs w:val="24"/>
                <w:lang w:eastAsia="zh-CN"/>
                <w14:textFill>
                  <w14:solidFill>
                    <w14:schemeClr w14:val="tx1"/>
                  </w14:solidFill>
                </w14:textFill>
              </w:rPr>
            </w:pPr>
            <w:r>
              <w:rPr>
                <w:rFonts w:hint="eastAsia" w:ascii="Times New Roman" w:hAnsi="Times New Roman" w:eastAsia="宋体" w:cs="宋体"/>
                <w:b w:val="0"/>
                <w:bCs w:val="0"/>
                <w:snapToGrid/>
                <w:color w:val="000000" w:themeColor="text1"/>
                <w:spacing w:val="0"/>
                <w:kern w:val="0"/>
                <w:sz w:val="24"/>
                <w:szCs w:val="24"/>
                <w:lang w:val="en-US" w:eastAsia="zh-CN"/>
                <w14:textFill>
                  <w14:solidFill>
                    <w14:schemeClr w14:val="tx1"/>
                  </w14:solidFill>
                </w14:textFill>
              </w:rPr>
              <w:t>①</w:t>
            </w:r>
            <w:r>
              <w:rPr>
                <w:rFonts w:hint="eastAsia" w:cs="宋体"/>
                <w:b w:val="0"/>
                <w:bCs w:val="0"/>
                <w:snapToGrid/>
                <w:color w:val="000000" w:themeColor="text1"/>
                <w:spacing w:val="0"/>
                <w:kern w:val="0"/>
                <w:sz w:val="24"/>
                <w:szCs w:val="24"/>
                <w:lang w:val="en-US" w:eastAsia="zh-CN"/>
                <w14:textFill>
                  <w14:solidFill>
                    <w14:schemeClr w14:val="tx1"/>
                  </w14:solidFill>
                </w14:textFill>
              </w:rPr>
              <w:t>设置1间一般固体废物暂存间，暂存产生的</w:t>
            </w:r>
            <w:r>
              <w:rPr>
                <w:rFonts w:hint="eastAsia" w:ascii="Times New Roman" w:hAnsi="Times New Roman" w:eastAsia="宋体" w:cs="宋体"/>
                <w:b w:val="0"/>
                <w:bCs w:val="0"/>
                <w:snapToGrid/>
                <w:color w:val="000000" w:themeColor="text1"/>
                <w:spacing w:val="0"/>
                <w:kern w:val="0"/>
                <w:sz w:val="24"/>
                <w:szCs w:val="24"/>
                <w:lang w:val="en-US" w:eastAsia="zh-CN"/>
                <w14:textFill>
                  <w14:solidFill>
                    <w14:schemeClr w14:val="tx1"/>
                  </w14:solidFill>
                </w14:textFill>
              </w:rPr>
              <w:t>边角料及不合格品</w:t>
            </w:r>
            <w:r>
              <w:rPr>
                <w:rFonts w:hint="eastAsia" w:cs="宋体"/>
                <w:b w:val="0"/>
                <w:bCs w:val="0"/>
                <w:snapToGrid/>
                <w:color w:val="000000" w:themeColor="text1"/>
                <w:spacing w:val="0"/>
                <w:kern w:val="0"/>
                <w:sz w:val="24"/>
                <w:szCs w:val="24"/>
                <w:lang w:val="en-US" w:eastAsia="zh-CN"/>
                <w14:textFill>
                  <w14:solidFill>
                    <w14:schemeClr w14:val="tx1"/>
                  </w14:solidFill>
                </w14:textFill>
              </w:rPr>
              <w:t>、炉渣、脱硫石膏，统一收集后分类分区存放，全部回用于项目原料制备工段，产生的废布袋由设备厂家更换直接带走处置</w:t>
            </w:r>
            <w:r>
              <w:rPr>
                <w:rFonts w:hint="eastAsia" w:ascii="Times New Roman" w:hAnsi="Times New Roman" w:eastAsia="宋体" w:cs="宋体"/>
                <w:b w:val="0"/>
                <w:bCs w:val="0"/>
                <w:snapToGrid/>
                <w:color w:val="000000" w:themeColor="text1"/>
                <w:spacing w:val="0"/>
                <w:kern w:val="0"/>
                <w:sz w:val="24"/>
                <w:szCs w:val="24"/>
                <w:lang w:val="en-US" w:eastAsia="zh-CN"/>
                <w14:textFill>
                  <w14:solidFill>
                    <w14:schemeClr w14:val="tx1"/>
                  </w14:solidFill>
                </w14:textFill>
              </w:rPr>
              <w:t>。</w:t>
            </w:r>
          </w:p>
          <w:p w14:paraId="6C6124E2">
            <w:pPr>
              <w:keepNext w:val="0"/>
              <w:keepLines w:val="0"/>
              <w:pageBreakBefore w:val="0"/>
              <w:kinsoku/>
              <w:wordWrap w:val="0"/>
              <w:overflowPunct/>
              <w:topLinePunct w:val="0"/>
              <w:bidi w:val="0"/>
              <w:adjustRightInd/>
              <w:snapToGrid/>
              <w:spacing w:line="240" w:lineRule="auto"/>
              <w:ind w:right="0" w:firstLine="0" w:firstLineChars="0"/>
              <w:jc w:val="both"/>
              <w:textAlignment w:val="auto"/>
              <w:outlineLvl w:val="9"/>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b w:val="0"/>
                <w:bCs w:val="0"/>
                <w:snapToGrid/>
                <w:color w:val="000000" w:themeColor="text1"/>
                <w:spacing w:val="0"/>
                <w:kern w:val="0"/>
                <w:sz w:val="24"/>
                <w:szCs w:val="24"/>
                <w:lang w:val="en-US" w:eastAsia="zh-CN"/>
                <w14:textFill>
                  <w14:solidFill>
                    <w14:schemeClr w14:val="tx1"/>
                  </w14:solidFill>
                </w14:textFill>
              </w:rPr>
              <w:t>②生活垃圾设置生活垃圾收集箱收集后委托环卫部门定期清运</w:t>
            </w:r>
            <w:r>
              <w:rPr>
                <w:rFonts w:hint="default" w:ascii="Times New Roman" w:hAnsi="Times New Roman" w:eastAsia="宋体" w:cs="宋体"/>
                <w:b w:val="0"/>
                <w:bCs w:val="0"/>
                <w:snapToGrid/>
                <w:color w:val="000000" w:themeColor="text1"/>
                <w:spacing w:val="0"/>
                <w:kern w:val="0"/>
                <w:sz w:val="24"/>
                <w:szCs w:val="24"/>
                <w:lang w:val="en-US" w:eastAsia="zh-CN"/>
                <w14:textFill>
                  <w14:solidFill>
                    <w14:schemeClr w14:val="tx1"/>
                  </w14:solidFill>
                </w14:textFill>
              </w:rPr>
              <w:t>。</w:t>
            </w:r>
          </w:p>
          <w:p w14:paraId="2667C55D">
            <w:pPr>
              <w:keepNext w:val="0"/>
              <w:keepLines w:val="0"/>
              <w:pageBreakBefore w:val="0"/>
              <w:kinsoku/>
              <w:wordWrap w:val="0"/>
              <w:overflowPunct/>
              <w:topLinePunct w:val="0"/>
              <w:bidi w:val="0"/>
              <w:adjustRightInd/>
              <w:snapToGrid/>
              <w:spacing w:line="240" w:lineRule="auto"/>
              <w:ind w:right="0" w:firstLine="0" w:firstLineChars="0"/>
              <w:jc w:val="both"/>
              <w:textAlignment w:val="auto"/>
              <w:outlineLvl w:val="9"/>
              <w:rPr>
                <w:rFonts w:hint="default" w:ascii="Times New Roman" w:hAnsi="Times New Roman" w:eastAsia="宋体" w:cs="宋体"/>
                <w:snapToGrid/>
                <w:color w:val="000000" w:themeColor="text1"/>
                <w:spacing w:val="0"/>
                <w:kern w:val="0"/>
                <w:sz w:val="24"/>
                <w:szCs w:val="24"/>
                <w14:textFill>
                  <w14:solidFill>
                    <w14:schemeClr w14:val="tx1"/>
                  </w14:solidFill>
                </w14:textFill>
              </w:rPr>
            </w:pPr>
            <w:r>
              <w:rPr>
                <w:rFonts w:hint="eastAsia" w:ascii="Times New Roman" w:hAnsi="Times New Roman" w:eastAsia="宋体" w:cs="宋体"/>
                <w:b w:val="0"/>
                <w:bCs w:val="0"/>
                <w:snapToGrid/>
                <w:color w:val="000000" w:themeColor="text1"/>
                <w:spacing w:val="0"/>
                <w:kern w:val="0"/>
                <w:sz w:val="24"/>
                <w:szCs w:val="24"/>
                <w:lang w:val="en-US" w:eastAsia="zh-CN"/>
                <w14:textFill>
                  <w14:solidFill>
                    <w14:schemeClr w14:val="tx1"/>
                  </w14:solidFill>
                </w14:textFill>
              </w:rPr>
              <w:t>③产生废润滑油</w:t>
            </w:r>
            <w:r>
              <w:rPr>
                <w:rFonts w:hint="eastAsia" w:cs="宋体"/>
                <w:b w:val="0"/>
                <w:bCs w:val="0"/>
                <w:snapToGrid/>
                <w:color w:val="000000" w:themeColor="text1"/>
                <w:spacing w:val="0"/>
                <w:kern w:val="0"/>
                <w:sz w:val="24"/>
                <w:szCs w:val="24"/>
                <w:lang w:val="en-US" w:eastAsia="zh-CN"/>
                <w14:textFill>
                  <w14:solidFill>
                    <w14:schemeClr w14:val="tx1"/>
                  </w14:solidFill>
                </w14:textFill>
              </w:rPr>
              <w:t>设置1间危险废物暂存间，委托有资质的单位清运处置</w:t>
            </w:r>
            <w:r>
              <w:rPr>
                <w:rFonts w:hint="eastAsia" w:ascii="Times New Roman" w:hAnsi="Times New Roman" w:eastAsia="宋体" w:cs="宋体"/>
                <w:b w:val="0"/>
                <w:bCs w:val="0"/>
                <w:snapToGrid/>
                <w:color w:val="000000" w:themeColor="text1"/>
                <w:spacing w:val="0"/>
                <w:kern w:val="0"/>
                <w:sz w:val="24"/>
                <w:szCs w:val="24"/>
                <w:lang w:val="en-US" w:eastAsia="zh-CN"/>
                <w14:textFill>
                  <w14:solidFill>
                    <w14:schemeClr w14:val="tx1"/>
                  </w14:solidFill>
                </w14:textFill>
              </w:rPr>
              <w:t>。</w:t>
            </w:r>
          </w:p>
        </w:tc>
      </w:tr>
      <w:tr w14:paraId="5E3E0C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30" w:type="dxa"/>
            <w:noWrap w:val="0"/>
            <w:vAlign w:val="center"/>
          </w:tcPr>
          <w:p w14:paraId="7E47767C">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14:textFill>
                  <w14:solidFill>
                    <w14:schemeClr w14:val="tx1"/>
                  </w14:solidFill>
                </w14:textFill>
              </w:rPr>
              <w:t>土壤及地下水污染防治措施</w:t>
            </w:r>
          </w:p>
        </w:tc>
        <w:tc>
          <w:tcPr>
            <w:tcW w:w="8011" w:type="dxa"/>
            <w:gridSpan w:val="4"/>
            <w:noWrap w:val="0"/>
            <w:vAlign w:val="center"/>
          </w:tcPr>
          <w:p w14:paraId="017212E4">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right="0" w:rightChars="0" w:firstLine="0" w:firstLineChars="0"/>
              <w:jc w:val="left"/>
              <w:textAlignment w:val="auto"/>
              <w:outlineLvl w:val="9"/>
              <w:rPr>
                <w:rFonts w:hint="default" w:ascii="Times New Roman" w:hAnsi="Times New Roman" w:eastAsia="宋体" w:cs="宋体"/>
                <w:snapToGrid/>
                <w:color w:val="000000" w:themeColor="text1"/>
                <w:spacing w:val="0"/>
                <w:kern w:val="0"/>
                <w:sz w:val="24"/>
                <w:szCs w:val="24"/>
                <w:lang w:val="en-US" w:eastAsia="zh-CN"/>
                <w14:textFill>
                  <w14:solidFill>
                    <w14:schemeClr w14:val="tx1"/>
                  </w14:solidFill>
                </w14:textFill>
              </w:rPr>
            </w:pPr>
            <w:r>
              <w:rPr>
                <w:rFonts w:hint="default" w:ascii="Times New Roman" w:hAnsi="Times New Roman" w:eastAsia="宋体" w:cs="宋体"/>
                <w:snapToGrid/>
                <w:color w:val="000000" w:themeColor="text1"/>
                <w:spacing w:val="0"/>
                <w:kern w:val="0"/>
                <w:sz w:val="24"/>
                <w:szCs w:val="24"/>
                <w:lang w:val="en-US" w:eastAsia="zh-CN"/>
                <w14:textFill>
                  <w14:solidFill>
                    <w14:schemeClr w14:val="tx1"/>
                  </w14:solidFill>
                </w14:textFill>
              </w:rPr>
              <w:t>①源头控制措施</w:t>
            </w: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w:t>
            </w:r>
          </w:p>
          <w:p w14:paraId="7E0D7C10">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right="0" w:rightChars="0" w:firstLine="0" w:firstLineChars="0"/>
              <w:jc w:val="left"/>
              <w:textAlignment w:val="auto"/>
              <w:outlineLvl w:val="9"/>
              <w:rPr>
                <w:rFonts w:hint="default" w:ascii="Times New Roman" w:hAnsi="Times New Roman" w:eastAsia="宋体" w:cs="宋体"/>
                <w:snapToGrid/>
                <w:color w:val="000000" w:themeColor="text1"/>
                <w:spacing w:val="0"/>
                <w:kern w:val="0"/>
                <w:sz w:val="24"/>
                <w:szCs w:val="24"/>
                <w:lang w:val="en-US" w:eastAsia="zh-CN"/>
                <w14:textFill>
                  <w14:solidFill>
                    <w14:schemeClr w14:val="tx1"/>
                  </w14:solidFill>
                </w14:textFill>
              </w:rPr>
            </w:pPr>
            <w:r>
              <w:rPr>
                <w:rFonts w:hint="default" w:ascii="Times New Roman" w:hAnsi="Times New Roman" w:eastAsia="宋体" w:cs="宋体"/>
                <w:snapToGrid/>
                <w:color w:val="000000" w:themeColor="text1"/>
                <w:spacing w:val="0"/>
                <w:kern w:val="0"/>
                <w:sz w:val="24"/>
                <w:szCs w:val="24"/>
                <w:lang w:val="en-US" w:eastAsia="zh-CN"/>
                <w14:textFill>
                  <w14:solidFill>
                    <w14:schemeClr w14:val="tx1"/>
                  </w14:solidFill>
                </w14:textFill>
              </w:rPr>
              <w:t>项目生产车间场地均进行了地面硬化处理；项目设置的无组织废气收集治理设施，减少无组织废气的排放，同时设置了相应的炉窑烟气治理设备对有组织排放废气进行处理，经处理后的废气能够实现达标排放。在设备下方设置收集桶避免润滑油使用过程跑冒滴漏。</w:t>
            </w:r>
          </w:p>
          <w:p w14:paraId="1B045E3C">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right="0" w:rightChars="0" w:firstLine="0" w:firstLineChars="0"/>
              <w:jc w:val="left"/>
              <w:textAlignment w:val="auto"/>
              <w:outlineLvl w:val="9"/>
              <w:rPr>
                <w:rFonts w:hint="default" w:ascii="Times New Roman" w:hAnsi="Times New Roman" w:eastAsia="宋体" w:cs="宋体"/>
                <w:snapToGrid/>
                <w:color w:val="000000" w:themeColor="text1"/>
                <w:spacing w:val="0"/>
                <w:kern w:val="0"/>
                <w:sz w:val="24"/>
                <w:szCs w:val="24"/>
                <w:lang w:val="en-US" w:eastAsia="zh-CN"/>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②分区防渗：</w:t>
            </w:r>
            <w:r>
              <w:rPr>
                <w:rFonts w:hint="eastAsia" w:cs="宋体"/>
                <w:snapToGrid/>
                <w:color w:val="000000" w:themeColor="text1"/>
                <w:spacing w:val="0"/>
                <w:kern w:val="0"/>
                <w:sz w:val="24"/>
                <w:szCs w:val="24"/>
                <w:lang w:val="en-US" w:eastAsia="zh-CN"/>
                <w14:textFill>
                  <w14:solidFill>
                    <w14:schemeClr w14:val="tx1"/>
                  </w14:solidFill>
                </w14:textFill>
              </w:rPr>
              <w:t>危险废物暂存间重点防渗，防渗标准及要求达到</w:t>
            </w:r>
            <w:r>
              <w:rPr>
                <w:color w:val="000000" w:themeColor="text1"/>
                <w:sz w:val="24"/>
                <w:szCs w:val="24"/>
                <w14:textFill>
                  <w14:solidFill>
                    <w14:schemeClr w14:val="tx1"/>
                  </w14:solidFill>
                </w14:textFill>
              </w:rPr>
              <w:t>等效黏土防渗层Mb≥6m，K≤1×10</w:t>
            </w:r>
            <w:r>
              <w:rPr>
                <w:color w:val="000000" w:themeColor="text1"/>
                <w:sz w:val="24"/>
                <w:szCs w:val="24"/>
                <w:vertAlign w:val="superscript"/>
                <w14:textFill>
                  <w14:solidFill>
                    <w14:schemeClr w14:val="tx1"/>
                  </w14:solidFill>
                </w14:textFill>
              </w:rPr>
              <w:t>-7</w:t>
            </w:r>
            <w:r>
              <w:rPr>
                <w:color w:val="000000" w:themeColor="text1"/>
                <w:sz w:val="24"/>
                <w:szCs w:val="24"/>
                <w14:textFill>
                  <w14:solidFill>
                    <w14:schemeClr w14:val="tx1"/>
                  </w14:solidFill>
                </w14:textFill>
              </w:rPr>
              <w:t>cm/s</w:t>
            </w:r>
            <w:r>
              <w:rPr>
                <w:rFonts w:hint="eastAsia" w:cs="宋体"/>
                <w:snapToGrid/>
                <w:color w:val="000000" w:themeColor="text1"/>
                <w:spacing w:val="0"/>
                <w:kern w:val="0"/>
                <w:sz w:val="24"/>
                <w:szCs w:val="24"/>
                <w:lang w:val="en-US" w:eastAsia="zh-CN"/>
                <w14:textFill>
                  <w14:solidFill>
                    <w14:schemeClr w14:val="tx1"/>
                  </w14:solidFill>
                </w14:textFill>
              </w:rPr>
              <w:t>；</w:t>
            </w: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脱硫塔</w:t>
            </w:r>
            <w:r>
              <w:rPr>
                <w:rFonts w:hint="eastAsia" w:cs="宋体"/>
                <w:snapToGrid/>
                <w:color w:val="000000" w:themeColor="text1"/>
                <w:spacing w:val="0"/>
                <w:kern w:val="0"/>
                <w:sz w:val="24"/>
                <w:szCs w:val="24"/>
                <w:lang w:val="en-US" w:eastAsia="zh-CN"/>
                <w14:textFill>
                  <w14:solidFill>
                    <w14:schemeClr w14:val="tx1"/>
                  </w14:solidFill>
                </w14:textFill>
              </w:rPr>
              <w:t>循环沉淀池</w:t>
            </w: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、一般固废暂存间进行一般防渗，防渗标准及要求达到等效黏土防渗层厚度Mb≥1.5m，渗透系数K≤等于1.0×10</w:t>
            </w:r>
            <w:r>
              <w:rPr>
                <w:rFonts w:hint="eastAsia" w:ascii="Times New Roman" w:hAnsi="Times New Roman" w:eastAsia="宋体" w:cs="宋体"/>
                <w:snapToGrid/>
                <w:color w:val="000000" w:themeColor="text1"/>
                <w:spacing w:val="0"/>
                <w:kern w:val="0"/>
                <w:sz w:val="24"/>
                <w:szCs w:val="24"/>
                <w:vertAlign w:val="superscript"/>
                <w:lang w:val="en-US" w:eastAsia="zh-CN"/>
                <w14:textFill>
                  <w14:solidFill>
                    <w14:schemeClr w14:val="tx1"/>
                  </w14:solidFill>
                </w14:textFill>
              </w:rPr>
              <w:t>-7</w:t>
            </w:r>
            <w:r>
              <w:rPr>
                <w:rFonts w:hint="eastAsia" w:ascii="Times New Roman" w:hAnsi="Times New Roman" w:eastAsia="宋体" w:cs="宋体"/>
                <w:snapToGrid/>
                <w:color w:val="000000" w:themeColor="text1"/>
                <w:spacing w:val="0"/>
                <w:kern w:val="0"/>
                <w:sz w:val="24"/>
                <w:szCs w:val="24"/>
                <w:lang w:val="en-US" w:eastAsia="zh-CN"/>
                <w14:textFill>
                  <w14:solidFill>
                    <w14:schemeClr w14:val="tx1"/>
                  </w14:solidFill>
                </w14:textFill>
              </w:rPr>
              <w:t>cm/s。</w:t>
            </w:r>
          </w:p>
        </w:tc>
      </w:tr>
      <w:tr w14:paraId="63E617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30" w:type="dxa"/>
            <w:noWrap w:val="0"/>
            <w:vAlign w:val="center"/>
          </w:tcPr>
          <w:p w14:paraId="3FBB9EEB">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14:textFill>
                  <w14:solidFill>
                    <w14:schemeClr w14:val="tx1"/>
                  </w14:solidFill>
                </w14:textFill>
              </w:rPr>
              <w:t>生态保护措施</w:t>
            </w:r>
          </w:p>
        </w:tc>
        <w:tc>
          <w:tcPr>
            <w:tcW w:w="8011" w:type="dxa"/>
            <w:gridSpan w:val="4"/>
            <w:noWrap w:val="0"/>
            <w:vAlign w:val="center"/>
          </w:tcPr>
          <w:p w14:paraId="107C0F90">
            <w:pPr>
              <w:keepNext w:val="0"/>
              <w:keepLines w:val="0"/>
              <w:pageBreakBefore w:val="0"/>
              <w:kinsoku/>
              <w:wordWrap w:val="0"/>
              <w:overflowPunct/>
              <w:topLinePunct w:val="0"/>
              <w:bidi w:val="0"/>
              <w:adjustRightInd/>
              <w:snapToGrid/>
              <w:spacing w:line="240" w:lineRule="auto"/>
              <w:ind w:right="0" w:firstLine="0" w:firstLineChars="0"/>
              <w:jc w:val="both"/>
              <w:textAlignment w:val="auto"/>
              <w:outlineLvl w:val="9"/>
              <w:rPr>
                <w:rFonts w:hint="default" w:ascii="Times New Roman" w:hAnsi="Times New Roman" w:eastAsia="宋体" w:cs="宋体"/>
                <w:snapToGrid/>
                <w:color w:val="000000" w:themeColor="text1"/>
                <w:spacing w:val="0"/>
                <w:kern w:val="0"/>
                <w:sz w:val="24"/>
                <w:szCs w:val="24"/>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lang w:eastAsia="zh-CN"/>
                <w14:textFill>
                  <w14:solidFill>
                    <w14:schemeClr w14:val="tx1"/>
                  </w14:solidFill>
                </w14:textFill>
              </w:rPr>
              <w:t>无</w:t>
            </w:r>
          </w:p>
        </w:tc>
      </w:tr>
      <w:tr w14:paraId="5A279E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1230" w:type="dxa"/>
            <w:noWrap w:val="0"/>
            <w:vAlign w:val="center"/>
          </w:tcPr>
          <w:p w14:paraId="1D3A97F2">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ascii="Times New Roman" w:hAnsi="Times New Roman" w:eastAsia="宋体" w:cs="宋体"/>
                <w:snapToGrid/>
                <w:color w:val="000000" w:themeColor="text1"/>
                <w:spacing w:val="0"/>
                <w:kern w:val="0"/>
                <w:sz w:val="24"/>
                <w:szCs w:val="24"/>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14:textFill>
                  <w14:solidFill>
                    <w14:schemeClr w14:val="tx1"/>
                  </w14:solidFill>
                </w14:textFill>
              </w:rPr>
              <w:t>环境风险</w:t>
            </w:r>
          </w:p>
          <w:p w14:paraId="056A4FA4">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14:textFill>
                  <w14:solidFill>
                    <w14:schemeClr w14:val="tx1"/>
                  </w14:solidFill>
                </w14:textFill>
              </w:rPr>
              <w:t>防范措施</w:t>
            </w:r>
          </w:p>
        </w:tc>
        <w:tc>
          <w:tcPr>
            <w:tcW w:w="8011" w:type="dxa"/>
            <w:gridSpan w:val="4"/>
            <w:noWrap w:val="0"/>
            <w:vAlign w:val="center"/>
          </w:tcPr>
          <w:p w14:paraId="6947C3B5">
            <w:pPr>
              <w:keepNext w:val="0"/>
              <w:keepLines w:val="0"/>
              <w:pageBreakBefore w:val="0"/>
              <w:widowControl w:val="0"/>
              <w:kinsoku/>
              <w:wordWrap/>
              <w:overflowPunct/>
              <w:topLinePunct w:val="0"/>
              <w:autoSpaceDE/>
              <w:autoSpaceDN/>
              <w:bidi w:val="0"/>
              <w:adjustRightInd/>
              <w:snapToGrid/>
              <w:jc w:val="left"/>
              <w:textAlignment w:val="auto"/>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1）泄漏事故应急措施</w:t>
            </w:r>
          </w:p>
          <w:p w14:paraId="564DD8A9">
            <w:pPr>
              <w:keepNext w:val="0"/>
              <w:keepLines w:val="0"/>
              <w:pageBreakBefore w:val="0"/>
              <w:widowControl w:val="0"/>
              <w:kinsoku/>
              <w:wordWrap/>
              <w:overflowPunct/>
              <w:topLinePunct w:val="0"/>
              <w:autoSpaceDE/>
              <w:autoSpaceDN/>
              <w:bidi w:val="0"/>
              <w:adjustRightInd/>
              <w:snapToGrid/>
              <w:jc w:val="left"/>
              <w:textAlignment w:val="auto"/>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①发现泄漏后生产人员立即将泄漏的危险废物妥善收集到专门的容器内，及时交由有资质单位处置，防止造成新的污染。</w:t>
            </w:r>
          </w:p>
          <w:p w14:paraId="57CE606E">
            <w:pPr>
              <w:keepNext w:val="0"/>
              <w:keepLines w:val="0"/>
              <w:pageBreakBefore w:val="0"/>
              <w:widowControl w:val="0"/>
              <w:kinsoku/>
              <w:wordWrap/>
              <w:overflowPunct/>
              <w:topLinePunct w:val="0"/>
              <w:autoSpaceDE/>
              <w:autoSpaceDN/>
              <w:bidi w:val="0"/>
              <w:adjustRightInd/>
              <w:snapToGrid/>
              <w:jc w:val="left"/>
              <w:textAlignment w:val="auto"/>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②收集完毕之后将受影响的土壤清理干净。</w:t>
            </w:r>
          </w:p>
          <w:p w14:paraId="4E3E74CB">
            <w:pPr>
              <w:keepNext w:val="0"/>
              <w:keepLines w:val="0"/>
              <w:pageBreakBefore w:val="0"/>
              <w:widowControl w:val="0"/>
              <w:kinsoku/>
              <w:wordWrap/>
              <w:overflowPunct/>
              <w:topLinePunct w:val="0"/>
              <w:autoSpaceDE/>
              <w:autoSpaceDN/>
              <w:bidi w:val="0"/>
              <w:adjustRightInd/>
              <w:snapToGrid/>
              <w:jc w:val="left"/>
              <w:textAlignment w:val="auto"/>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2）火灾事故应急措施</w:t>
            </w:r>
          </w:p>
          <w:p w14:paraId="7D91A1D0">
            <w:pPr>
              <w:keepNext w:val="0"/>
              <w:keepLines w:val="0"/>
              <w:pageBreakBefore w:val="0"/>
              <w:widowControl w:val="0"/>
              <w:kinsoku/>
              <w:wordWrap/>
              <w:overflowPunct/>
              <w:topLinePunct w:val="0"/>
              <w:autoSpaceDE/>
              <w:autoSpaceDN/>
              <w:bidi w:val="0"/>
              <w:adjustRightInd/>
              <w:snapToGrid/>
              <w:jc w:val="left"/>
              <w:textAlignment w:val="auto"/>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①在保证安全情况下将人员转移至安全地带，并将其他易燃易爆物品及时转移至安全位置。并第一时间通知周边村民，必要时让村民疏散至安全地带。</w:t>
            </w:r>
          </w:p>
          <w:p w14:paraId="6DA295FB">
            <w:pPr>
              <w:keepNext w:val="0"/>
              <w:keepLines w:val="0"/>
              <w:pageBreakBefore w:val="0"/>
              <w:widowControl w:val="0"/>
              <w:kinsoku/>
              <w:wordWrap/>
              <w:overflowPunct/>
              <w:topLinePunct w:val="0"/>
              <w:autoSpaceDE/>
              <w:autoSpaceDN/>
              <w:bidi w:val="0"/>
              <w:adjustRightInd/>
              <w:snapToGrid/>
              <w:jc w:val="left"/>
              <w:textAlignment w:val="auto"/>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②使用厂区消防器材进行灭火，尽量将火势控制在一定范围内，防止其蔓延。</w:t>
            </w:r>
          </w:p>
          <w:p w14:paraId="0EBD8E85">
            <w:pPr>
              <w:keepNext w:val="0"/>
              <w:keepLines w:val="0"/>
              <w:pageBreakBefore w:val="0"/>
              <w:widowControl w:val="0"/>
              <w:kinsoku/>
              <w:wordWrap/>
              <w:overflowPunct/>
              <w:topLinePunct w:val="0"/>
              <w:autoSpaceDE/>
              <w:autoSpaceDN/>
              <w:bidi w:val="0"/>
              <w:adjustRightInd/>
              <w:snapToGrid/>
              <w:jc w:val="left"/>
              <w:textAlignment w:val="auto"/>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③事故处置完毕后，对处置过程中产生的消防废水、废物进行收集存储，后期交由资质单位进行集中处置。</w:t>
            </w:r>
          </w:p>
          <w:p w14:paraId="11CFB0C1">
            <w:pPr>
              <w:keepNext w:val="0"/>
              <w:keepLines w:val="0"/>
              <w:pageBreakBefore w:val="0"/>
              <w:widowControl w:val="0"/>
              <w:kinsoku/>
              <w:wordWrap/>
              <w:overflowPunct/>
              <w:topLinePunct w:val="0"/>
              <w:autoSpaceDE/>
              <w:autoSpaceDN/>
              <w:bidi w:val="0"/>
              <w:adjustRightInd/>
              <w:snapToGrid/>
              <w:jc w:val="left"/>
              <w:textAlignment w:val="auto"/>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④若出现火灾、爆炸事故，应当依事故现场处置方案，立即停机，切断现场所有电源开关，扑救火灾，通知现场及附近人员紧急撤离事故现场，并立即向上级报告。当事故超出企业自救能力时，及时拨打110报警电话和120急救电话。</w:t>
            </w:r>
          </w:p>
          <w:p w14:paraId="61A739A3">
            <w:pPr>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宋体" w:cs="宋体"/>
                <w:snapToGrid/>
                <w:color w:val="000000" w:themeColor="text1"/>
                <w:spacing w:val="0"/>
                <w:kern w:val="0"/>
                <w:szCs w:val="24"/>
                <w14:textFill>
                  <w14:solidFill>
                    <w14:schemeClr w14:val="tx1"/>
                  </w14:solidFill>
                </w14:textFill>
              </w:rPr>
            </w:pPr>
            <w:r>
              <w:rPr>
                <w:rFonts w:hint="default"/>
                <w:color w:val="000000" w:themeColor="text1"/>
                <w:sz w:val="24"/>
                <w:szCs w:val="24"/>
                <w14:textFill>
                  <w14:solidFill>
                    <w14:schemeClr w14:val="tx1"/>
                  </w14:solidFill>
                </w14:textFill>
              </w:rPr>
              <w:t>⑤按照《突发环境事件应急预案管理暂行办法》的要求，编制突发环境事件应急预案，并报曲靖市生态环</w:t>
            </w:r>
            <w:r>
              <w:rPr>
                <w:rFonts w:hint="eastAsia"/>
                <w:color w:val="000000" w:themeColor="text1"/>
                <w:sz w:val="24"/>
                <w:szCs w:val="24"/>
                <w:lang w:eastAsia="zh-CN"/>
                <w14:textFill>
                  <w14:solidFill>
                    <w14:schemeClr w14:val="tx1"/>
                  </w14:solidFill>
                </w14:textFill>
              </w:rPr>
              <w:t>境局</w:t>
            </w:r>
            <w:r>
              <w:rPr>
                <w:rFonts w:hint="default"/>
                <w:color w:val="000000" w:themeColor="text1"/>
                <w:sz w:val="24"/>
                <w:szCs w:val="24"/>
                <w14:textFill>
                  <w14:solidFill>
                    <w14:schemeClr w14:val="tx1"/>
                  </w14:solidFill>
                </w14:textFill>
              </w:rPr>
              <w:t>罗平分局备案。建立完善的应急报告制度，落实应急物资和经费，日常加强应急演练，并按规定及时修订完善预案并备案。</w:t>
            </w:r>
          </w:p>
        </w:tc>
      </w:tr>
      <w:tr w14:paraId="424C78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2" w:hRule="atLeast"/>
          <w:jc w:val="center"/>
        </w:trPr>
        <w:tc>
          <w:tcPr>
            <w:tcW w:w="1230" w:type="dxa"/>
            <w:noWrap w:val="0"/>
            <w:vAlign w:val="center"/>
          </w:tcPr>
          <w:p w14:paraId="7295AC75">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ascii="Times New Roman" w:hAnsi="Times New Roman" w:eastAsia="宋体" w:cs="宋体"/>
                <w:snapToGrid/>
                <w:color w:val="000000" w:themeColor="text1"/>
                <w:spacing w:val="0"/>
                <w:kern w:val="0"/>
                <w:sz w:val="24"/>
                <w:szCs w:val="24"/>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14:textFill>
                  <w14:solidFill>
                    <w14:schemeClr w14:val="tx1"/>
                  </w14:solidFill>
                </w14:textFill>
              </w:rPr>
              <w:t>其他环境</w:t>
            </w:r>
          </w:p>
          <w:p w14:paraId="4E0DE02C">
            <w:pPr>
              <w:keepNext w:val="0"/>
              <w:keepLines w:val="0"/>
              <w:pageBreakBefore w:val="0"/>
              <w:kinsoku/>
              <w:wordWrap w:val="0"/>
              <w:overflowPunct/>
              <w:topLinePunct w:val="0"/>
              <w:bidi w:val="0"/>
              <w:adjustRightInd/>
              <w:snapToGrid/>
              <w:spacing w:line="240" w:lineRule="auto"/>
              <w:ind w:right="0" w:firstLine="0" w:firstLineChars="0"/>
              <w:jc w:val="center"/>
              <w:textAlignment w:val="auto"/>
              <w:outlineLvl w:val="9"/>
              <w:rPr>
                <w:rFonts w:hint="eastAsia" w:ascii="Times New Roman" w:hAnsi="Times New Roman" w:eastAsia="宋体" w:cs="宋体"/>
                <w:snapToGrid/>
                <w:color w:val="000000" w:themeColor="text1"/>
                <w:spacing w:val="0"/>
                <w:kern w:val="0"/>
                <w:sz w:val="24"/>
                <w:szCs w:val="24"/>
                <w14:textFill>
                  <w14:solidFill>
                    <w14:schemeClr w14:val="tx1"/>
                  </w14:solidFill>
                </w14:textFill>
              </w:rPr>
            </w:pPr>
            <w:r>
              <w:rPr>
                <w:rFonts w:hint="eastAsia" w:ascii="Times New Roman" w:hAnsi="Times New Roman" w:eastAsia="宋体" w:cs="宋体"/>
                <w:snapToGrid/>
                <w:color w:val="000000" w:themeColor="text1"/>
                <w:spacing w:val="0"/>
                <w:kern w:val="0"/>
                <w:sz w:val="24"/>
                <w:szCs w:val="24"/>
                <w14:textFill>
                  <w14:solidFill>
                    <w14:schemeClr w14:val="tx1"/>
                  </w14:solidFill>
                </w14:textFill>
              </w:rPr>
              <w:t>管理要求</w:t>
            </w:r>
          </w:p>
        </w:tc>
        <w:tc>
          <w:tcPr>
            <w:tcW w:w="8011" w:type="dxa"/>
            <w:gridSpan w:val="4"/>
            <w:noWrap w:val="0"/>
            <w:vAlign w:val="center"/>
          </w:tcPr>
          <w:p w14:paraId="724CA01A">
            <w:pPr>
              <w:keepNext w:val="0"/>
              <w:keepLines w:val="0"/>
              <w:pageBreakBefore w:val="0"/>
              <w:widowControl w:val="0"/>
              <w:kinsoku/>
              <w:wordWrap/>
              <w:overflowPunct/>
              <w:topLinePunct w:val="0"/>
              <w:autoSpaceDE/>
              <w:autoSpaceDN/>
              <w:bidi w:val="0"/>
              <w:adjustRightInd/>
              <w:snapToGrid/>
              <w:spacing w:line="360" w:lineRule="auto"/>
              <w:ind w:left="0" w:right="0" w:firstLine="466"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pacing w:val="-4"/>
                <w:sz w:val="24"/>
                <w:szCs w:val="24"/>
                <w:lang w:val="en-US" w:eastAsia="zh-CN"/>
                <w14:textFill>
                  <w14:solidFill>
                    <w14:schemeClr w14:val="tx1"/>
                  </w14:solidFill>
                </w14:textFill>
              </w:rPr>
              <w:t>1.</w:t>
            </w:r>
            <w:r>
              <w:rPr>
                <w:rFonts w:hint="default" w:ascii="Times New Roman" w:hAnsi="Times New Roman" w:eastAsia="宋体" w:cs="Times New Roman"/>
                <w:b/>
                <w:bCs/>
                <w:color w:val="000000" w:themeColor="text1"/>
                <w:spacing w:val="-4"/>
                <w:sz w:val="24"/>
                <w:szCs w:val="24"/>
                <w14:textFill>
                  <w14:solidFill>
                    <w14:schemeClr w14:val="tx1"/>
                  </w14:solidFill>
                </w14:textFill>
              </w:rPr>
              <w:t>排污许可管理</w:t>
            </w:r>
          </w:p>
          <w:p w14:paraId="4D9A980A">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000000" w:themeColor="text1"/>
                <w:spacing w:val="-8"/>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根据《关于做好环境影响评价制度与排污许可</w:t>
            </w:r>
            <w:r>
              <w:rPr>
                <w:rFonts w:hint="default" w:ascii="Times New Roman" w:hAnsi="Times New Roman" w:cs="Times New Roman"/>
                <w:color w:val="000000" w:themeColor="text1"/>
                <w:sz w:val="24"/>
                <w:szCs w:val="24"/>
                <w:lang w:eastAsia="zh-CN"/>
                <w14:textFill>
                  <w14:solidFill>
                    <w14:schemeClr w14:val="tx1"/>
                  </w14:solidFill>
                </w14:textFill>
              </w:rPr>
              <w:t>制度</w:t>
            </w:r>
            <w:r>
              <w:rPr>
                <w:rFonts w:hint="default" w:ascii="Times New Roman" w:hAnsi="Times New Roman" w:eastAsia="宋体" w:cs="Times New Roman"/>
                <w:color w:val="000000" w:themeColor="text1"/>
                <w:sz w:val="24"/>
                <w:szCs w:val="24"/>
                <w14:textFill>
                  <w14:solidFill>
                    <w14:schemeClr w14:val="tx1"/>
                  </w14:solidFill>
                </w14:textFill>
              </w:rPr>
              <w:t>衔接相关工作的通知》，在项目取得经批准的环境影响评价文件及批复文件后，应按照</w:t>
            </w:r>
            <w:r>
              <w:rPr>
                <w:rFonts w:hint="default" w:ascii="Times New Roman" w:hAnsi="Times New Roman" w:eastAsia="宋体" w:cs="Times New Roman"/>
                <w:color w:val="000000" w:themeColor="text1"/>
                <w:spacing w:val="-1"/>
                <w:sz w:val="24"/>
                <w:szCs w:val="24"/>
                <w14:textFill>
                  <w14:solidFill>
                    <w14:schemeClr w14:val="tx1"/>
                  </w14:solidFill>
                </w14:textFill>
              </w:rPr>
              <w:t>《排污许可证管理办法》</w:t>
            </w:r>
            <w:r>
              <w:rPr>
                <w:rFonts w:hint="default" w:ascii="Times New Roman" w:hAnsi="Times New Roman" w:eastAsia="宋体" w:cs="Times New Roman"/>
                <w:color w:val="000000" w:themeColor="text1"/>
                <w:sz w:val="24"/>
                <w:szCs w:val="24"/>
                <w14:textFill>
                  <w14:solidFill>
                    <w14:schemeClr w14:val="tx1"/>
                  </w14:solidFill>
                </w14:textFill>
              </w:rPr>
              <w:t>《排污许可证申请与核发技术规范》（</w:t>
            </w:r>
            <w:r>
              <w:rPr>
                <w:rFonts w:hint="default" w:ascii="Times New Roman" w:hAnsi="Times New Roman" w:eastAsia="Times New Roman" w:cs="Times New Roman"/>
                <w:color w:val="000000" w:themeColor="text1"/>
                <w:sz w:val="24"/>
                <w:szCs w:val="24"/>
                <w14:textFill>
                  <w14:solidFill>
                    <w14:schemeClr w14:val="tx1"/>
                  </w14:solidFill>
                </w14:textFill>
              </w:rPr>
              <w:t>HJ942-2018</w:t>
            </w:r>
            <w:r>
              <w:rPr>
                <w:rFonts w:hint="default" w:ascii="Times New Roman" w:hAnsi="Times New Roman" w:eastAsia="宋体" w:cs="Times New Roman"/>
                <w:color w:val="000000" w:themeColor="text1"/>
                <w:sz w:val="24"/>
                <w:szCs w:val="24"/>
                <w14:textFill>
                  <w14:solidFill>
                    <w14:schemeClr w14:val="tx1"/>
                  </w14:solidFill>
                </w14:textFill>
              </w:rPr>
              <w:t>）等要求申请排污许可证，不得</w:t>
            </w:r>
            <w:r>
              <w:rPr>
                <w:rFonts w:hint="default" w:ascii="Times New Roman" w:hAnsi="Times New Roman" w:eastAsia="宋体" w:cs="Times New Roman"/>
                <w:color w:val="000000" w:themeColor="text1"/>
                <w:spacing w:val="-8"/>
                <w:sz w:val="24"/>
                <w:szCs w:val="24"/>
                <w14:textFill>
                  <w14:solidFill>
                    <w14:schemeClr w14:val="tx1"/>
                  </w14:solidFill>
                </w14:textFill>
              </w:rPr>
              <w:t>无证排污。</w:t>
            </w:r>
            <w:r>
              <w:rPr>
                <w:rFonts w:hint="default" w:ascii="Times New Roman" w:hAnsi="Times New Roman" w:eastAsia="宋体" w:cs="Times New Roman"/>
                <w:color w:val="000000" w:themeColor="text1"/>
                <w:spacing w:val="-5"/>
                <w:sz w:val="24"/>
                <w:szCs w:val="24"/>
                <w14:textFill>
                  <w14:solidFill>
                    <w14:schemeClr w14:val="tx1"/>
                  </w14:solidFill>
                </w14:textFill>
              </w:rPr>
              <w:t>根据《固定污染源排污许可分类管理名录（</w:t>
            </w:r>
            <w:r>
              <w:rPr>
                <w:rFonts w:hint="default" w:ascii="Times New Roman" w:hAnsi="Times New Roman" w:eastAsia="Times New Roman" w:cs="Times New Roman"/>
                <w:color w:val="000000" w:themeColor="text1"/>
                <w:spacing w:val="-5"/>
                <w:sz w:val="24"/>
                <w:szCs w:val="24"/>
                <w14:textFill>
                  <w14:solidFill>
                    <w14:schemeClr w14:val="tx1"/>
                  </w14:solidFill>
                </w14:textFill>
              </w:rPr>
              <w:t>2019</w:t>
            </w:r>
            <w:r>
              <w:rPr>
                <w:rFonts w:hint="default" w:ascii="Times New Roman" w:hAnsi="Times New Roman" w:eastAsia="宋体" w:cs="Times New Roman"/>
                <w:color w:val="000000" w:themeColor="text1"/>
                <w:spacing w:val="-5"/>
                <w:sz w:val="24"/>
                <w:szCs w:val="24"/>
                <w14:textFill>
                  <w14:solidFill>
                    <w14:schemeClr w14:val="tx1"/>
                  </w14:solidFill>
                </w14:textFill>
              </w:rPr>
              <w:t>年版）》，本项目排污许可管</w:t>
            </w:r>
            <w:r>
              <w:rPr>
                <w:rFonts w:hint="default" w:ascii="Times New Roman" w:hAnsi="Times New Roman" w:eastAsia="宋体" w:cs="Times New Roman"/>
                <w:color w:val="000000" w:themeColor="text1"/>
                <w:spacing w:val="-8"/>
                <w:sz w:val="24"/>
                <w:szCs w:val="24"/>
                <w14:textFill>
                  <w14:solidFill>
                    <w14:schemeClr w14:val="tx1"/>
                  </w14:solidFill>
                </w14:textFill>
              </w:rPr>
              <w:t>理类别如下所示：</w:t>
            </w:r>
          </w:p>
          <w:p w14:paraId="5DD8341C">
            <w:pPr>
              <w:keepNext w:val="0"/>
              <w:keepLines w:val="0"/>
              <w:pageBreakBefore w:val="0"/>
              <w:widowControl w:val="0"/>
              <w:kinsoku/>
              <w:wordWrap/>
              <w:overflowPunct/>
              <w:topLinePunct w:val="0"/>
              <w:autoSpaceDE/>
              <w:autoSpaceDN/>
              <w:bidi w:val="0"/>
              <w:adjustRightInd/>
              <w:snapToGrid/>
              <w:spacing w:line="276" w:lineRule="auto"/>
              <w:ind w:left="0" w:leftChars="0" w:firstLine="0" w:firstLineChars="0"/>
              <w:jc w:val="center"/>
              <w:textAlignment w:val="auto"/>
              <w:rPr>
                <w:rFonts w:ascii="宋体" w:hAnsi="宋体" w:eastAsia="宋体" w:cs="宋体"/>
                <w:b/>
                <w:bCs/>
                <w:color w:val="000000" w:themeColor="text1"/>
                <w:spacing w:val="-3"/>
                <w:sz w:val="24"/>
                <w:szCs w:val="24"/>
                <w14:textFill>
                  <w14:solidFill>
                    <w14:schemeClr w14:val="tx1"/>
                  </w14:solidFill>
                </w14:textFill>
              </w:rPr>
            </w:pPr>
            <w:r>
              <w:rPr>
                <w:rFonts w:ascii="宋体" w:hAnsi="宋体" w:eastAsia="宋体" w:cs="宋体"/>
                <w:b/>
                <w:bCs/>
                <w:color w:val="000000" w:themeColor="text1"/>
                <w:spacing w:val="-2"/>
                <w:sz w:val="24"/>
                <w:szCs w:val="24"/>
                <w14:textFill>
                  <w14:solidFill>
                    <w14:schemeClr w14:val="tx1"/>
                  </w14:solidFill>
                </w14:textFill>
              </w:rPr>
              <w:t>表</w:t>
            </w:r>
            <w:r>
              <w:rPr>
                <w:rFonts w:ascii="Times New Roman" w:hAnsi="Times New Roman" w:eastAsia="Times New Roman" w:cs="Times New Roman"/>
                <w:b/>
                <w:bCs/>
                <w:color w:val="000000" w:themeColor="text1"/>
                <w:spacing w:val="-2"/>
                <w:sz w:val="24"/>
                <w:szCs w:val="24"/>
                <w14:textFill>
                  <w14:solidFill>
                    <w14:schemeClr w14:val="tx1"/>
                  </w14:solidFill>
                </w14:textFill>
              </w:rPr>
              <w:t>5-1</w:t>
            </w:r>
            <w:r>
              <w:rPr>
                <w:rFonts w:hint="eastAsia" w:ascii="Times New Roman" w:hAnsi="Times New Roman" w:cs="Times New Roman"/>
                <w:b/>
                <w:bCs/>
                <w:color w:val="000000" w:themeColor="text1"/>
                <w:spacing w:val="-2"/>
                <w:sz w:val="24"/>
                <w:szCs w:val="24"/>
                <w:lang w:val="en-US" w:eastAsia="zh-CN"/>
                <w14:textFill>
                  <w14:solidFill>
                    <w14:schemeClr w14:val="tx1"/>
                  </w14:solidFill>
                </w14:textFill>
              </w:rPr>
              <w:t xml:space="preserve">  </w:t>
            </w:r>
            <w:r>
              <w:rPr>
                <w:rFonts w:ascii="宋体" w:hAnsi="宋体" w:eastAsia="宋体" w:cs="宋体"/>
                <w:b/>
                <w:bCs/>
                <w:color w:val="000000" w:themeColor="text1"/>
                <w:spacing w:val="-2"/>
                <w:sz w:val="24"/>
                <w:szCs w:val="24"/>
                <w14:textFill>
                  <w14:solidFill>
                    <w14:schemeClr w14:val="tx1"/>
                  </w14:solidFill>
                </w14:textFill>
              </w:rPr>
              <w:t>固定污染源排污许可分类管</w:t>
            </w:r>
            <w:r>
              <w:rPr>
                <w:rFonts w:ascii="宋体" w:hAnsi="宋体" w:eastAsia="宋体" w:cs="宋体"/>
                <w:b/>
                <w:bCs/>
                <w:color w:val="000000" w:themeColor="text1"/>
                <w:spacing w:val="-3"/>
                <w:sz w:val="24"/>
                <w:szCs w:val="24"/>
                <w14:textFill>
                  <w14:solidFill>
                    <w14:schemeClr w14:val="tx1"/>
                  </w14:solidFill>
                </w14:textFill>
              </w:rPr>
              <w:t>理名录（摘录）</w:t>
            </w:r>
          </w:p>
          <w:tbl>
            <w:tblPr>
              <w:tblStyle w:val="29"/>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1475"/>
              <w:gridCol w:w="1505"/>
              <w:gridCol w:w="2570"/>
              <w:gridCol w:w="1588"/>
            </w:tblGrid>
            <w:tr w14:paraId="1ECB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noWrap w:val="0"/>
                  <w:vAlign w:val="center"/>
                </w:tcPr>
                <w:p w14:paraId="63413B33">
                  <w:pPr>
                    <w:pStyle w:val="78"/>
                    <w:ind w:firstLine="0" w:firstLineChars="0"/>
                    <w:jc w:val="center"/>
                    <w:rPr>
                      <w:rFonts w:ascii="Times New Roman" w:hAnsi="Times New Roman" w:eastAsia="宋体" w:cs="Times New Roman"/>
                      <w:b/>
                      <w:bCs/>
                      <w:color w:val="000000" w:themeColor="text1"/>
                      <w:kern w:val="0"/>
                      <w:sz w:val="24"/>
                      <w:szCs w:val="24"/>
                      <w:lang w:val="zh-CN" w:eastAsia="zh-CN" w:bidi="ar-SA"/>
                      <w14:textFill>
                        <w14:solidFill>
                          <w14:schemeClr w14:val="tx1"/>
                        </w14:solidFill>
                      </w14:textFill>
                    </w:rPr>
                  </w:pPr>
                  <w:r>
                    <w:rPr>
                      <w:rFonts w:ascii="Times New Roman" w:hAnsi="Times New Roman" w:eastAsia="宋体" w:cs="Times New Roman"/>
                      <w:b/>
                      <w:bCs/>
                      <w:color w:val="000000" w:themeColor="text1"/>
                      <w:sz w:val="24"/>
                      <w:szCs w:val="24"/>
                      <w14:textFill>
                        <w14:solidFill>
                          <w14:schemeClr w14:val="tx1"/>
                        </w14:solidFill>
                      </w14:textFill>
                    </w:rPr>
                    <w:t>序号</w:t>
                  </w:r>
                </w:p>
              </w:tc>
              <w:tc>
                <w:tcPr>
                  <w:tcW w:w="1568" w:type="dxa"/>
                  <w:noWrap w:val="0"/>
                  <w:vAlign w:val="center"/>
                </w:tcPr>
                <w:p w14:paraId="39618973">
                  <w:pPr>
                    <w:pStyle w:val="78"/>
                    <w:ind w:firstLine="0" w:firstLineChars="0"/>
                    <w:jc w:val="center"/>
                    <w:rPr>
                      <w:rFonts w:ascii="Times New Roman" w:hAnsi="Times New Roman" w:eastAsia="宋体" w:cs="Times New Roman"/>
                      <w:b/>
                      <w:bCs/>
                      <w:color w:val="000000" w:themeColor="text1"/>
                      <w:kern w:val="0"/>
                      <w:sz w:val="24"/>
                      <w:szCs w:val="24"/>
                      <w:lang w:val="zh-CN" w:eastAsia="zh-CN" w:bidi="ar-SA"/>
                      <w14:textFill>
                        <w14:solidFill>
                          <w14:schemeClr w14:val="tx1"/>
                        </w14:solidFill>
                      </w14:textFill>
                    </w:rPr>
                  </w:pPr>
                  <w:r>
                    <w:rPr>
                      <w:rFonts w:ascii="Times New Roman" w:hAnsi="Times New Roman" w:eastAsia="宋体" w:cs="Times New Roman"/>
                      <w:b/>
                      <w:bCs/>
                      <w:color w:val="000000" w:themeColor="text1"/>
                      <w:sz w:val="24"/>
                      <w:szCs w:val="24"/>
                      <w14:textFill>
                        <w14:solidFill>
                          <w14:schemeClr w14:val="tx1"/>
                        </w14:solidFill>
                      </w14:textFill>
                    </w:rPr>
                    <w:t>行业类别</w:t>
                  </w:r>
                </w:p>
              </w:tc>
              <w:tc>
                <w:tcPr>
                  <w:tcW w:w="1600" w:type="dxa"/>
                  <w:noWrap w:val="0"/>
                  <w:vAlign w:val="center"/>
                </w:tcPr>
                <w:p w14:paraId="3495D836">
                  <w:pPr>
                    <w:pStyle w:val="78"/>
                    <w:ind w:firstLine="0" w:firstLineChars="0"/>
                    <w:jc w:val="center"/>
                    <w:rPr>
                      <w:rFonts w:ascii="Times New Roman" w:hAnsi="Times New Roman" w:eastAsia="宋体" w:cs="Times New Roman"/>
                      <w:b/>
                      <w:bCs/>
                      <w:color w:val="000000" w:themeColor="text1"/>
                      <w:kern w:val="0"/>
                      <w:sz w:val="24"/>
                      <w:szCs w:val="24"/>
                      <w:lang w:val="zh-CN" w:eastAsia="zh-CN" w:bidi="ar-SA"/>
                      <w14:textFill>
                        <w14:solidFill>
                          <w14:schemeClr w14:val="tx1"/>
                        </w14:solidFill>
                      </w14:textFill>
                    </w:rPr>
                  </w:pPr>
                  <w:r>
                    <w:rPr>
                      <w:rFonts w:ascii="Times New Roman" w:hAnsi="Times New Roman" w:eastAsia="宋体" w:cs="Times New Roman"/>
                      <w:b/>
                      <w:bCs/>
                      <w:color w:val="000000" w:themeColor="text1"/>
                      <w:sz w:val="24"/>
                      <w:szCs w:val="24"/>
                      <w14:textFill>
                        <w14:solidFill>
                          <w14:schemeClr w14:val="tx1"/>
                        </w14:solidFill>
                      </w14:textFill>
                    </w:rPr>
                    <w:t>重点管理</w:t>
                  </w:r>
                </w:p>
              </w:tc>
              <w:tc>
                <w:tcPr>
                  <w:tcW w:w="2744" w:type="dxa"/>
                  <w:noWrap w:val="0"/>
                  <w:vAlign w:val="center"/>
                </w:tcPr>
                <w:p w14:paraId="3306710B">
                  <w:pPr>
                    <w:pStyle w:val="78"/>
                    <w:ind w:firstLine="0" w:firstLineChars="0"/>
                    <w:jc w:val="center"/>
                    <w:rPr>
                      <w:rFonts w:ascii="Times New Roman" w:hAnsi="Times New Roman" w:eastAsia="宋体" w:cs="Times New Roman"/>
                      <w:b/>
                      <w:bCs/>
                      <w:color w:val="000000" w:themeColor="text1"/>
                      <w:kern w:val="0"/>
                      <w:sz w:val="24"/>
                      <w:szCs w:val="24"/>
                      <w:lang w:val="zh-CN" w:eastAsia="zh-CN" w:bidi="ar-SA"/>
                      <w14:textFill>
                        <w14:solidFill>
                          <w14:schemeClr w14:val="tx1"/>
                        </w14:solidFill>
                      </w14:textFill>
                    </w:rPr>
                  </w:pPr>
                  <w:r>
                    <w:rPr>
                      <w:rFonts w:ascii="Times New Roman" w:hAnsi="Times New Roman" w:eastAsia="宋体" w:cs="Times New Roman"/>
                      <w:b/>
                      <w:bCs/>
                      <w:color w:val="000000" w:themeColor="text1"/>
                      <w:sz w:val="24"/>
                      <w:szCs w:val="24"/>
                      <w14:textFill>
                        <w14:solidFill>
                          <w14:schemeClr w14:val="tx1"/>
                        </w14:solidFill>
                      </w14:textFill>
                    </w:rPr>
                    <w:t>简化管理</w:t>
                  </w:r>
                </w:p>
              </w:tc>
              <w:tc>
                <w:tcPr>
                  <w:tcW w:w="1689" w:type="dxa"/>
                  <w:noWrap w:val="0"/>
                  <w:vAlign w:val="center"/>
                </w:tcPr>
                <w:p w14:paraId="79EFA293">
                  <w:pPr>
                    <w:pStyle w:val="78"/>
                    <w:ind w:firstLine="0" w:firstLineChars="0"/>
                    <w:jc w:val="center"/>
                    <w:rPr>
                      <w:rFonts w:ascii="Times New Roman" w:hAnsi="Times New Roman" w:eastAsia="宋体" w:cs="Times New Roman"/>
                      <w:b/>
                      <w:bCs/>
                      <w:color w:val="000000" w:themeColor="text1"/>
                      <w:kern w:val="0"/>
                      <w:sz w:val="24"/>
                      <w:szCs w:val="24"/>
                      <w:lang w:val="zh-CN" w:eastAsia="zh-CN" w:bidi="ar-SA"/>
                      <w14:textFill>
                        <w14:solidFill>
                          <w14:schemeClr w14:val="tx1"/>
                        </w14:solidFill>
                      </w14:textFill>
                    </w:rPr>
                  </w:pPr>
                  <w:r>
                    <w:rPr>
                      <w:rFonts w:ascii="Times New Roman" w:hAnsi="Times New Roman" w:eastAsia="宋体" w:cs="Times New Roman"/>
                      <w:b/>
                      <w:bCs/>
                      <w:color w:val="000000" w:themeColor="text1"/>
                      <w:sz w:val="24"/>
                      <w:szCs w:val="24"/>
                      <w14:textFill>
                        <w14:solidFill>
                          <w14:schemeClr w14:val="tx1"/>
                        </w14:solidFill>
                      </w14:textFill>
                    </w:rPr>
                    <w:t>登记管理</w:t>
                  </w:r>
                </w:p>
              </w:tc>
            </w:tr>
            <w:tr w14:paraId="5D188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noWrap w:val="0"/>
                  <w:vAlign w:val="center"/>
                </w:tcPr>
                <w:p w14:paraId="2C82E75B">
                  <w:pPr>
                    <w:pStyle w:val="78"/>
                    <w:ind w:firstLine="0" w:firstLineChars="0"/>
                    <w:jc w:val="center"/>
                    <w:rPr>
                      <w:rFonts w:ascii="Times New Roman" w:hAnsi="Times New Roman" w:eastAsia="宋体" w:cs="Times New Roman"/>
                      <w:color w:val="000000" w:themeColor="text1"/>
                      <w:kern w:val="0"/>
                      <w:sz w:val="24"/>
                      <w:szCs w:val="24"/>
                      <w:lang w:val="zh-CN" w:eastAsia="zh-CN" w:bidi="ar-SA"/>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64</w:t>
                  </w:r>
                </w:p>
              </w:tc>
              <w:tc>
                <w:tcPr>
                  <w:tcW w:w="1568" w:type="dxa"/>
                  <w:noWrap w:val="0"/>
                  <w:vAlign w:val="center"/>
                </w:tcPr>
                <w:p w14:paraId="40FFBB99">
                  <w:pPr>
                    <w:pStyle w:val="78"/>
                    <w:ind w:firstLine="0" w:firstLineChars="0"/>
                    <w:jc w:val="center"/>
                    <w:rPr>
                      <w:rFonts w:ascii="Times New Roman" w:hAnsi="Times New Roman" w:eastAsia="宋体" w:cs="Times New Roman"/>
                      <w:color w:val="000000" w:themeColor="text1"/>
                      <w:kern w:val="0"/>
                      <w:sz w:val="24"/>
                      <w:szCs w:val="24"/>
                      <w:lang w:val="zh-CN" w:eastAsia="zh-CN" w:bidi="ar-SA"/>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砖瓦、石材等建筑材料制造303</w:t>
                  </w:r>
                </w:p>
              </w:tc>
              <w:tc>
                <w:tcPr>
                  <w:tcW w:w="1600" w:type="dxa"/>
                  <w:noWrap w:val="0"/>
                  <w:vAlign w:val="center"/>
                </w:tcPr>
                <w:p w14:paraId="70AA7D53">
                  <w:pPr>
                    <w:pStyle w:val="78"/>
                    <w:jc w:val="center"/>
                    <w:rPr>
                      <w:rFonts w:ascii="Times New Roman" w:hAnsi="Times New Roman" w:eastAsia="宋体" w:cs="Times New Roman"/>
                      <w:color w:val="000000" w:themeColor="text1"/>
                      <w:kern w:val="0"/>
                      <w:sz w:val="24"/>
                      <w:szCs w:val="24"/>
                      <w:lang w:val="zh-CN" w:eastAsia="zh-CN" w:bidi="ar-SA"/>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粘土砖瓦及建筑砌块制造3031（以煤或者煤矸石为燃料的烧结砖瓦）</w:t>
                  </w:r>
                </w:p>
              </w:tc>
              <w:tc>
                <w:tcPr>
                  <w:tcW w:w="2744" w:type="dxa"/>
                  <w:noWrap w:val="0"/>
                  <w:vAlign w:val="center"/>
                </w:tcPr>
                <w:p w14:paraId="3D030D19">
                  <w:pPr>
                    <w:pStyle w:val="78"/>
                    <w:jc w:val="center"/>
                    <w:rPr>
                      <w:rFonts w:ascii="Times New Roman" w:hAnsi="Times New Roman" w:eastAsia="宋体" w:cs="Times New Roman"/>
                      <w:color w:val="000000" w:themeColor="text1"/>
                      <w:kern w:val="0"/>
                      <w:sz w:val="24"/>
                      <w:szCs w:val="24"/>
                      <w:lang w:val="zh-CN" w:eastAsia="zh-CN" w:bidi="ar-SA"/>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粘土砖瓦及建筑砌块制造3031（除以煤或者煤矸石为燃料的烧结砖瓦以外的），建筑用石加工3032，防水建筑材料制造3033，隔热和隔音材料制造3034，其他建筑材料制造3039，以上均不含仅切割加工的</w:t>
                  </w:r>
                </w:p>
              </w:tc>
              <w:tc>
                <w:tcPr>
                  <w:tcW w:w="1689" w:type="dxa"/>
                  <w:noWrap w:val="0"/>
                  <w:vAlign w:val="center"/>
                </w:tcPr>
                <w:p w14:paraId="2F7FCEEA">
                  <w:pPr>
                    <w:pStyle w:val="78"/>
                    <w:ind w:firstLine="0" w:firstLineChars="0"/>
                    <w:jc w:val="center"/>
                    <w:rPr>
                      <w:rFonts w:ascii="Times New Roman" w:hAnsi="Times New Roman" w:eastAsia="宋体" w:cs="Times New Roman"/>
                      <w:color w:val="000000" w:themeColor="text1"/>
                      <w:kern w:val="0"/>
                      <w:sz w:val="24"/>
                      <w:szCs w:val="24"/>
                      <w:lang w:val="zh-CN" w:eastAsia="zh-CN" w:bidi="ar-SA"/>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仅切割加工的</w:t>
                  </w:r>
                </w:p>
              </w:tc>
            </w:tr>
          </w:tbl>
          <w:p w14:paraId="043A9596">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eastAsia="宋体" w:cs="Times New Roman"/>
                <w:color w:val="000000" w:themeColor="text1"/>
                <w:spacing w:val="-2"/>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综上，本项目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改扩建完成后</w:t>
            </w:r>
            <w:r>
              <w:rPr>
                <w:rFonts w:hint="default" w:ascii="Times New Roman" w:hAnsi="Times New Roman" w:eastAsia="宋体" w:cs="Times New Roman"/>
                <w:color w:val="000000" w:themeColor="text1"/>
                <w:sz w:val="24"/>
                <w:szCs w:val="24"/>
                <w14:textFill>
                  <w14:solidFill>
                    <w14:schemeClr w14:val="tx1"/>
                  </w14:solidFill>
                </w14:textFill>
              </w:rPr>
              <w:t>燃料为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生物质颗粒</w:t>
            </w:r>
            <w:r>
              <w:rPr>
                <w:rFonts w:hint="default" w:ascii="Times New Roman" w:hAnsi="Times New Roman" w:eastAsia="宋体" w:cs="Times New Roman"/>
                <w:color w:val="000000" w:themeColor="text1"/>
                <w:sz w:val="24"/>
                <w:szCs w:val="24"/>
                <w14:textFill>
                  <w14:solidFill>
                    <w14:schemeClr w14:val="tx1"/>
                  </w14:solidFill>
                </w14:textFill>
              </w:rPr>
              <w:t>，需进行</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简化管理</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本次改扩建新增炉窑，</w:t>
            </w:r>
            <w:r>
              <w:rPr>
                <w:rFonts w:hint="default" w:ascii="Times New Roman" w:hAnsi="Times New Roman" w:eastAsia="宋体" w:cs="Times New Roman"/>
                <w:color w:val="000000" w:themeColor="text1"/>
                <w:sz w:val="24"/>
                <w:szCs w:val="24"/>
                <w14:textFill>
                  <w14:solidFill>
                    <w14:schemeClr w14:val="tx1"/>
                  </w14:solidFill>
                </w14:textFill>
              </w:rPr>
              <w:t>建设单位应根据《排污许可</w:t>
            </w:r>
            <w:r>
              <w:rPr>
                <w:rFonts w:hint="default" w:ascii="Times New Roman" w:hAnsi="Times New Roman" w:eastAsia="宋体" w:cs="Times New Roman"/>
                <w:color w:val="000000" w:themeColor="text1"/>
                <w:spacing w:val="-2"/>
                <w:sz w:val="24"/>
                <w:szCs w:val="24"/>
                <w14:textFill>
                  <w14:solidFill>
                    <w14:schemeClr w14:val="tx1"/>
                  </w14:solidFill>
                </w14:textFill>
              </w:rPr>
              <w:t>证申请与核发技术规范陶瓷砖瓦工业》（HJ</w:t>
            </w:r>
            <w:r>
              <w:rPr>
                <w:rFonts w:hint="default" w:ascii="Times New Roman" w:hAnsi="Times New Roman" w:eastAsia="宋体" w:cs="Times New Roman"/>
                <w:color w:val="000000" w:themeColor="text1"/>
                <w:spacing w:val="-3"/>
                <w:sz w:val="24"/>
                <w:szCs w:val="24"/>
                <w14:textFill>
                  <w14:solidFill>
                    <w14:schemeClr w14:val="tx1"/>
                  </w14:solidFill>
                </w14:textFill>
              </w:rPr>
              <w:t>954-2018）</w:t>
            </w:r>
            <w:r>
              <w:rPr>
                <w:rFonts w:hint="eastAsia" w:ascii="Times New Roman" w:hAnsi="Times New Roman" w:eastAsia="宋体" w:cs="Times New Roman"/>
                <w:color w:val="000000" w:themeColor="text1"/>
                <w:spacing w:val="-3"/>
                <w:sz w:val="24"/>
                <w:szCs w:val="24"/>
                <w:lang w:val="en-US" w:eastAsia="zh-CN"/>
                <w14:textFill>
                  <w14:solidFill>
                    <w14:schemeClr w14:val="tx1"/>
                  </w14:solidFill>
                </w14:textFill>
              </w:rPr>
              <w:t>在</w:t>
            </w:r>
            <w:r>
              <w:rPr>
                <w:rFonts w:hint="default" w:ascii="Times New Roman" w:hAnsi="Times New Roman" w:eastAsia="宋体" w:cs="Times New Roman"/>
                <w:color w:val="000000" w:themeColor="text1"/>
                <w:spacing w:val="-1"/>
                <w:sz w:val="24"/>
                <w:szCs w:val="24"/>
                <w14:textFill>
                  <w14:solidFill>
                    <w14:schemeClr w14:val="tx1"/>
                  </w14:solidFill>
                </w14:textFill>
              </w:rPr>
              <w:t>全国排污许可证管理信息平台－公开</w:t>
            </w:r>
            <w:r>
              <w:rPr>
                <w:rFonts w:hint="default" w:ascii="Times New Roman" w:hAnsi="Times New Roman" w:eastAsia="宋体" w:cs="Times New Roman"/>
                <w:color w:val="000000" w:themeColor="text1"/>
                <w:spacing w:val="-2"/>
                <w:sz w:val="24"/>
                <w:szCs w:val="24"/>
                <w14:textFill>
                  <w14:solidFill>
                    <w14:schemeClr w14:val="tx1"/>
                  </w14:solidFill>
                </w14:textFill>
              </w:rPr>
              <w:t>端</w:t>
            </w:r>
            <w:r>
              <w:rPr>
                <w:rFonts w:hint="eastAsia" w:ascii="Times New Roman" w:hAnsi="Times New Roman" w:eastAsia="宋体" w:cs="Times New Roman"/>
                <w:color w:val="000000" w:themeColor="text1"/>
                <w:spacing w:val="-2"/>
                <w:sz w:val="24"/>
                <w:szCs w:val="24"/>
                <w:lang w:val="en-US" w:eastAsia="zh-CN"/>
                <w14:textFill>
                  <w14:solidFill>
                    <w14:schemeClr w14:val="tx1"/>
                  </w14:solidFill>
                </w14:textFill>
              </w:rPr>
              <w:t>重新申请排污许可</w:t>
            </w:r>
            <w:r>
              <w:rPr>
                <w:rFonts w:hint="default" w:ascii="Times New Roman" w:hAnsi="Times New Roman" w:eastAsia="宋体" w:cs="Times New Roman"/>
                <w:color w:val="000000" w:themeColor="text1"/>
                <w:spacing w:val="-2"/>
                <w:sz w:val="24"/>
                <w:szCs w:val="24"/>
                <w14:textFill>
                  <w14:solidFill>
                    <w14:schemeClr w14:val="tx1"/>
                  </w14:solidFill>
                </w14:textFill>
              </w:rPr>
              <w:t>。</w:t>
            </w:r>
          </w:p>
          <w:p w14:paraId="33E8234C">
            <w:pPr>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jc w:val="both"/>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14:textFill>
                  <w14:solidFill>
                    <w14:schemeClr w14:val="tx1"/>
                  </w14:solidFill>
                </w14:textFill>
              </w:rPr>
              <w:t>排污口规范化管理</w:t>
            </w:r>
          </w:p>
          <w:p w14:paraId="451662AC">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废气排放口、噪声源和固体废物贮存必须按照国家有关规定进行建设，应符合“一明显、二合理、三便于”的要求，即环保标志明显，排污口（接管口）设置合理，便于采集样品、便于监测计量、便于监督管理。同时要求按照生态环境部制定的《环境保护图形标志实施细则（试行）》的规定，设置与排污口相应的图形标志牌。</w:t>
            </w:r>
          </w:p>
          <w:p w14:paraId="7F9CE2DC">
            <w:pPr>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jc w:val="both"/>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lang w:eastAsia="zh-CN"/>
                <w14:textFill>
                  <w14:solidFill>
                    <w14:schemeClr w14:val="tx1"/>
                  </w14:solidFill>
                </w14:textFill>
              </w:rPr>
              <w:t>（</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1</w:t>
            </w:r>
            <w:r>
              <w:rPr>
                <w:rFonts w:hint="eastAsia" w:ascii="Times New Roman" w:hAnsi="Times New Roman" w:eastAsia="宋体" w:cs="Times New Roman"/>
                <w:b/>
                <w:bCs/>
                <w:color w:val="000000" w:themeColor="text1"/>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sz w:val="24"/>
                <w:szCs w:val="24"/>
                <w14:textFill>
                  <w14:solidFill>
                    <w14:schemeClr w14:val="tx1"/>
                  </w14:solidFill>
                </w14:textFill>
              </w:rPr>
              <w:t>排污口管理</w:t>
            </w:r>
          </w:p>
          <w:p w14:paraId="21B4B396">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建设单位应在各个排污口处设置标志牌，分别按以下内容建立排污口管理的专门档案：排污口性质和编号；位置；排放主要污染物种类、数量、浓度；排放去向；达标情况；治理设施运行情况及整改意见。</w:t>
            </w:r>
          </w:p>
          <w:p w14:paraId="3C176A46">
            <w:pPr>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jc w:val="both"/>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lang w:eastAsia="zh-CN"/>
                <w14:textFill>
                  <w14:solidFill>
                    <w14:schemeClr w14:val="tx1"/>
                  </w14:solidFill>
                </w14:textFill>
              </w:rPr>
              <w:t>（</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2</w:t>
            </w:r>
            <w:r>
              <w:rPr>
                <w:rFonts w:hint="eastAsia" w:ascii="Times New Roman" w:hAnsi="Times New Roman" w:eastAsia="宋体" w:cs="Times New Roman"/>
                <w:b/>
                <w:bCs/>
                <w:color w:val="000000" w:themeColor="text1"/>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sz w:val="24"/>
                <w:szCs w:val="24"/>
                <w14:textFill>
                  <w14:solidFill>
                    <w14:schemeClr w14:val="tx1"/>
                  </w14:solidFill>
                </w14:textFill>
              </w:rPr>
              <w:t>环境保护图形标志</w:t>
            </w:r>
          </w:p>
          <w:p w14:paraId="3A59D55E">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eastAsia="宋体" w:cs="Times New Roman"/>
                <w:color w:val="000000" w:themeColor="text1"/>
                <w:spacing w:val="-2"/>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在厂区的废气排放口、固体废物贮存处置场应设置环境保护图形标志，图形符号分为提示图形和警告图形符号两种，分别按GB15562.1-1995、GB</w:t>
            </w:r>
            <w:r>
              <w:rPr>
                <w:rFonts w:hint="default" w:ascii="Times New Roman" w:hAnsi="Times New Roman" w:eastAsia="宋体" w:cs="Times New Roman"/>
                <w:color w:val="000000" w:themeColor="text1"/>
                <w:spacing w:val="-1"/>
                <w:sz w:val="24"/>
                <w:szCs w:val="24"/>
                <w14:textFill>
                  <w14:solidFill>
                    <w14:schemeClr w14:val="tx1"/>
                  </w14:solidFill>
                </w14:textFill>
              </w:rPr>
              <w:t>15562.2-1995</w:t>
            </w:r>
            <w:r>
              <w:rPr>
                <w:rFonts w:hint="default" w:ascii="Times New Roman" w:hAnsi="Times New Roman" w:eastAsia="宋体" w:cs="Times New Roman"/>
                <w:color w:val="000000" w:themeColor="text1"/>
                <w:spacing w:val="-2"/>
                <w:sz w:val="24"/>
                <w:szCs w:val="24"/>
                <w14:textFill>
                  <w14:solidFill>
                    <w14:schemeClr w14:val="tx1"/>
                  </w14:solidFill>
                </w14:textFill>
              </w:rPr>
              <w:t>执行。环境保护图形标志的形状及颜色及环境保护图形符号见下表。</w:t>
            </w:r>
          </w:p>
          <w:p w14:paraId="565CBD47">
            <w:pPr>
              <w:keepNext w:val="0"/>
              <w:keepLines w:val="0"/>
              <w:pageBreakBefore w:val="0"/>
              <w:widowControl w:val="0"/>
              <w:kinsoku/>
              <w:wordWrap/>
              <w:overflowPunct/>
              <w:topLinePunct w:val="0"/>
              <w:autoSpaceDE/>
              <w:autoSpaceDN/>
              <w:bidi w:val="0"/>
              <w:adjustRightInd/>
              <w:snapToGrid/>
              <w:spacing w:line="276" w:lineRule="auto"/>
              <w:ind w:left="0" w:leftChars="0" w:firstLine="0" w:firstLineChars="0"/>
              <w:jc w:val="center"/>
              <w:textAlignment w:val="auto"/>
              <w:rPr>
                <w:rFonts w:hint="default" w:ascii="宋体" w:hAnsi="宋体" w:eastAsia="宋体" w:cs="宋体"/>
                <w:b/>
                <w:bCs/>
                <w:color w:val="000000" w:themeColor="text1"/>
                <w:spacing w:val="-3"/>
                <w:sz w:val="24"/>
                <w:szCs w:val="24"/>
                <w:lang w:val="en-US" w:eastAsia="zh-CN"/>
                <w14:textFill>
                  <w14:solidFill>
                    <w14:schemeClr w14:val="tx1"/>
                  </w14:solidFill>
                </w14:textFill>
              </w:rPr>
            </w:pPr>
            <w:r>
              <w:rPr>
                <w:rFonts w:ascii="宋体" w:hAnsi="宋体" w:eastAsia="宋体" w:cs="宋体"/>
                <w:b/>
                <w:bCs/>
                <w:color w:val="000000" w:themeColor="text1"/>
                <w:spacing w:val="-2"/>
                <w:sz w:val="24"/>
                <w:szCs w:val="24"/>
                <w14:textFill>
                  <w14:solidFill>
                    <w14:schemeClr w14:val="tx1"/>
                  </w14:solidFill>
                </w14:textFill>
              </w:rPr>
              <w:t>表</w:t>
            </w:r>
            <w:r>
              <w:rPr>
                <w:rFonts w:ascii="Times New Roman" w:hAnsi="Times New Roman" w:eastAsia="Times New Roman" w:cs="Times New Roman"/>
                <w:b/>
                <w:bCs/>
                <w:color w:val="000000" w:themeColor="text1"/>
                <w:spacing w:val="-2"/>
                <w:sz w:val="24"/>
                <w:szCs w:val="24"/>
                <w14:textFill>
                  <w14:solidFill>
                    <w14:schemeClr w14:val="tx1"/>
                  </w14:solidFill>
                </w14:textFill>
              </w:rPr>
              <w:t>5-</w:t>
            </w:r>
            <w:r>
              <w:rPr>
                <w:rFonts w:hint="eastAsia" w:ascii="Times New Roman" w:hAnsi="Times New Roman" w:eastAsia="宋体" w:cs="Times New Roman"/>
                <w:b/>
                <w:bCs/>
                <w:color w:val="000000" w:themeColor="text1"/>
                <w:spacing w:val="-2"/>
                <w:sz w:val="24"/>
                <w:szCs w:val="24"/>
                <w:lang w:val="en-US" w:eastAsia="zh-CN"/>
                <w14:textFill>
                  <w14:solidFill>
                    <w14:schemeClr w14:val="tx1"/>
                  </w14:solidFill>
                </w14:textFill>
              </w:rPr>
              <w:t xml:space="preserve">2  </w:t>
            </w:r>
            <w:r>
              <w:rPr>
                <w:rFonts w:hint="eastAsia" w:ascii="宋体" w:hAnsi="宋体" w:eastAsia="宋体" w:cs="宋体"/>
                <w:b/>
                <w:bCs/>
                <w:color w:val="000000" w:themeColor="text1"/>
                <w:spacing w:val="-2"/>
                <w:sz w:val="24"/>
                <w:szCs w:val="24"/>
                <w:lang w:val="en-US" w:eastAsia="zh-CN"/>
                <w14:textFill>
                  <w14:solidFill>
                    <w14:schemeClr w14:val="tx1"/>
                  </w14:solidFill>
                </w14:textFill>
              </w:rPr>
              <w:t>排放口标志牌</w:t>
            </w:r>
          </w:p>
          <w:tbl>
            <w:tblPr>
              <w:tblStyle w:val="28"/>
              <w:tblW w:w="793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0"/>
              <w:gridCol w:w="3298"/>
              <w:gridCol w:w="1680"/>
              <w:gridCol w:w="1226"/>
              <w:gridCol w:w="993"/>
            </w:tblGrid>
            <w:tr w14:paraId="09C31A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0" w:type="dxa"/>
                  <w:tcBorders>
                    <w:tl2br w:val="nil"/>
                    <w:tr2bl w:val="nil"/>
                  </w:tcBorders>
                  <w:noWrap w:val="0"/>
                  <w:vAlign w:val="center"/>
                </w:tcPr>
                <w:p w14:paraId="1DFC20AB">
                  <w:pPr>
                    <w:adjustRightInd w:val="0"/>
                    <w:snapToGrid w:val="0"/>
                    <w:jc w:val="center"/>
                    <w:rPr>
                      <w:rFonts w:hint="default" w:ascii="Times New Roman" w:hAnsi="Times New Roman" w:cs="Times New Roman"/>
                      <w:color w:val="000000" w:themeColor="text1"/>
                      <w:spacing w:val="0"/>
                      <w:sz w:val="24"/>
                      <w:szCs w:val="24"/>
                      <w14:textFill>
                        <w14:solidFill>
                          <w14:schemeClr w14:val="tx1"/>
                        </w14:solidFill>
                      </w14:textFill>
                    </w:rPr>
                  </w:pPr>
                  <w:r>
                    <w:rPr>
                      <w:rFonts w:hint="default" w:ascii="Times New Roman" w:hAnsi="Times New Roman" w:cs="Times New Roman"/>
                      <w:color w:val="000000" w:themeColor="text1"/>
                      <w:spacing w:val="0"/>
                      <w:sz w:val="24"/>
                      <w:szCs w:val="24"/>
                      <w14:textFill>
                        <w14:solidFill>
                          <w14:schemeClr w14:val="tx1"/>
                        </w14:solidFill>
                      </w14:textFill>
                    </w:rPr>
                    <w:t>序号</w:t>
                  </w:r>
                </w:p>
              </w:tc>
              <w:tc>
                <w:tcPr>
                  <w:tcW w:w="3298" w:type="dxa"/>
                  <w:tcBorders>
                    <w:tl2br w:val="nil"/>
                    <w:tr2bl w:val="nil"/>
                  </w:tcBorders>
                  <w:noWrap w:val="0"/>
                  <w:vAlign w:val="center"/>
                </w:tcPr>
                <w:p w14:paraId="6295379B">
                  <w:pPr>
                    <w:adjustRightInd w:val="0"/>
                    <w:snapToGrid w:val="0"/>
                    <w:jc w:val="center"/>
                    <w:rPr>
                      <w:rFonts w:hint="default" w:ascii="Times New Roman" w:hAnsi="Times New Roman" w:eastAsia="宋体" w:cs="Times New Roman"/>
                      <w:color w:val="000000" w:themeColor="text1"/>
                      <w:spacing w:val="0"/>
                      <w:sz w:val="24"/>
                      <w:szCs w:val="24"/>
                      <w:lang w:val="en-US" w:eastAsia="zh-CN"/>
                      <w14:textFill>
                        <w14:solidFill>
                          <w14:schemeClr w14:val="tx1"/>
                        </w14:solidFill>
                      </w14:textFill>
                    </w:rPr>
                  </w:pPr>
                  <w:r>
                    <w:rPr>
                      <w:rFonts w:hint="eastAsia" w:cs="Times New Roman"/>
                      <w:color w:val="000000" w:themeColor="text1"/>
                      <w:spacing w:val="0"/>
                      <w:sz w:val="24"/>
                      <w:szCs w:val="24"/>
                      <w:lang w:val="en-US" w:eastAsia="zh-CN"/>
                      <w14:textFill>
                        <w14:solidFill>
                          <w14:schemeClr w14:val="tx1"/>
                        </w14:solidFill>
                      </w14:textFill>
                    </w:rPr>
                    <w:t>排放口标志牌</w:t>
                  </w:r>
                </w:p>
              </w:tc>
              <w:tc>
                <w:tcPr>
                  <w:tcW w:w="1680" w:type="dxa"/>
                  <w:tcBorders>
                    <w:tl2br w:val="nil"/>
                    <w:tr2bl w:val="nil"/>
                  </w:tcBorders>
                  <w:noWrap w:val="0"/>
                  <w:vAlign w:val="center"/>
                </w:tcPr>
                <w:p w14:paraId="1C1A6768">
                  <w:pPr>
                    <w:adjustRightInd w:val="0"/>
                    <w:snapToGrid w:val="0"/>
                    <w:jc w:val="center"/>
                    <w:rPr>
                      <w:rFonts w:hint="default" w:ascii="Times New Roman" w:hAnsi="Times New Roman" w:cs="Times New Roman"/>
                      <w:color w:val="000000" w:themeColor="text1"/>
                      <w:spacing w:val="0"/>
                      <w:sz w:val="24"/>
                      <w:szCs w:val="24"/>
                      <w14:textFill>
                        <w14:solidFill>
                          <w14:schemeClr w14:val="tx1"/>
                        </w14:solidFill>
                      </w14:textFill>
                    </w:rPr>
                  </w:pPr>
                  <w:r>
                    <w:rPr>
                      <w:rFonts w:hint="default" w:ascii="Times New Roman" w:hAnsi="Times New Roman" w:cs="Times New Roman"/>
                      <w:color w:val="000000" w:themeColor="text1"/>
                      <w:spacing w:val="0"/>
                      <w:sz w:val="24"/>
                      <w:szCs w:val="24"/>
                      <w14:textFill>
                        <w14:solidFill>
                          <w14:schemeClr w14:val="tx1"/>
                        </w14:solidFill>
                      </w14:textFill>
                    </w:rPr>
                    <w:t>警告图形符号</w:t>
                  </w:r>
                </w:p>
              </w:tc>
              <w:tc>
                <w:tcPr>
                  <w:tcW w:w="1226" w:type="dxa"/>
                  <w:tcBorders>
                    <w:tl2br w:val="nil"/>
                    <w:tr2bl w:val="nil"/>
                  </w:tcBorders>
                  <w:noWrap w:val="0"/>
                  <w:vAlign w:val="center"/>
                </w:tcPr>
                <w:p w14:paraId="32BE3FA9">
                  <w:pPr>
                    <w:adjustRightInd w:val="0"/>
                    <w:snapToGrid w:val="0"/>
                    <w:jc w:val="center"/>
                    <w:rPr>
                      <w:rFonts w:hint="default" w:ascii="Times New Roman" w:hAnsi="Times New Roman" w:cs="Times New Roman"/>
                      <w:color w:val="000000" w:themeColor="text1"/>
                      <w:spacing w:val="0"/>
                      <w:sz w:val="24"/>
                      <w:szCs w:val="24"/>
                      <w14:textFill>
                        <w14:solidFill>
                          <w14:schemeClr w14:val="tx1"/>
                        </w14:solidFill>
                      </w14:textFill>
                    </w:rPr>
                  </w:pPr>
                  <w:r>
                    <w:rPr>
                      <w:rFonts w:hint="default" w:ascii="Times New Roman" w:hAnsi="Times New Roman" w:cs="Times New Roman"/>
                      <w:color w:val="000000" w:themeColor="text1"/>
                      <w:spacing w:val="0"/>
                      <w:sz w:val="24"/>
                      <w:szCs w:val="24"/>
                      <w14:textFill>
                        <w14:solidFill>
                          <w14:schemeClr w14:val="tx1"/>
                        </w14:solidFill>
                      </w14:textFill>
                    </w:rPr>
                    <w:t>名称</w:t>
                  </w:r>
                </w:p>
              </w:tc>
              <w:tc>
                <w:tcPr>
                  <w:tcW w:w="993" w:type="dxa"/>
                  <w:tcBorders>
                    <w:tl2br w:val="nil"/>
                    <w:tr2bl w:val="nil"/>
                  </w:tcBorders>
                  <w:noWrap w:val="0"/>
                  <w:vAlign w:val="center"/>
                </w:tcPr>
                <w:p w14:paraId="1C198C54">
                  <w:pPr>
                    <w:adjustRightInd w:val="0"/>
                    <w:snapToGrid w:val="0"/>
                    <w:jc w:val="center"/>
                    <w:rPr>
                      <w:rFonts w:hint="eastAsia" w:ascii="Times New Roman" w:hAnsi="Times New Roman" w:eastAsia="宋体" w:cs="Times New Roman"/>
                      <w:color w:val="000000" w:themeColor="text1"/>
                      <w:spacing w:val="0"/>
                      <w:sz w:val="24"/>
                      <w:szCs w:val="24"/>
                      <w:lang w:val="en-US" w:eastAsia="zh-CN"/>
                      <w14:textFill>
                        <w14:solidFill>
                          <w14:schemeClr w14:val="tx1"/>
                        </w14:solidFill>
                      </w14:textFill>
                    </w:rPr>
                  </w:pPr>
                  <w:r>
                    <w:rPr>
                      <w:rFonts w:hint="eastAsia" w:cs="Times New Roman"/>
                      <w:color w:val="000000" w:themeColor="text1"/>
                      <w:spacing w:val="0"/>
                      <w:sz w:val="24"/>
                      <w:szCs w:val="24"/>
                      <w:lang w:val="en-US" w:eastAsia="zh-CN"/>
                      <w14:textFill>
                        <w14:solidFill>
                          <w14:schemeClr w14:val="tx1"/>
                        </w14:solidFill>
                      </w14:textFill>
                    </w:rPr>
                    <w:t>功能</w:t>
                  </w:r>
                </w:p>
              </w:tc>
            </w:tr>
            <w:tr w14:paraId="325584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0" w:type="dxa"/>
                  <w:tcBorders>
                    <w:tl2br w:val="nil"/>
                    <w:tr2bl w:val="nil"/>
                  </w:tcBorders>
                  <w:noWrap w:val="0"/>
                  <w:vAlign w:val="center"/>
                </w:tcPr>
                <w:p w14:paraId="3285041E">
                  <w:pPr>
                    <w:adjustRightInd w:val="0"/>
                    <w:snapToGrid w:val="0"/>
                    <w:jc w:val="center"/>
                    <w:rPr>
                      <w:rFonts w:hint="default" w:ascii="Times New Roman" w:hAnsi="Times New Roman" w:cs="Times New Roman"/>
                      <w:color w:val="000000" w:themeColor="text1"/>
                      <w:spacing w:val="0"/>
                      <w:sz w:val="24"/>
                      <w:szCs w:val="24"/>
                      <w14:textFill>
                        <w14:solidFill>
                          <w14:schemeClr w14:val="tx1"/>
                        </w14:solidFill>
                      </w14:textFill>
                    </w:rPr>
                  </w:pPr>
                  <w:r>
                    <w:rPr>
                      <w:rFonts w:hint="default" w:ascii="Times New Roman" w:hAnsi="Times New Roman" w:cs="Times New Roman"/>
                      <w:color w:val="000000" w:themeColor="text1"/>
                      <w:spacing w:val="0"/>
                      <w:sz w:val="24"/>
                      <w:szCs w:val="24"/>
                      <w14:textFill>
                        <w14:solidFill>
                          <w14:schemeClr w14:val="tx1"/>
                        </w14:solidFill>
                      </w14:textFill>
                    </w:rPr>
                    <w:t>1</w:t>
                  </w:r>
                </w:p>
              </w:tc>
              <w:tc>
                <w:tcPr>
                  <w:tcW w:w="3298" w:type="dxa"/>
                  <w:tcBorders>
                    <w:tl2br w:val="nil"/>
                    <w:tr2bl w:val="nil"/>
                  </w:tcBorders>
                  <w:noWrap w:val="0"/>
                  <w:vAlign w:val="center"/>
                </w:tcPr>
                <w:p w14:paraId="15E9AFC0">
                  <w:pPr>
                    <w:adjustRightInd w:val="0"/>
                    <w:snapToGrid w:val="0"/>
                    <w:jc w:val="center"/>
                    <w:rPr>
                      <w:rFonts w:hint="default" w:ascii="Times New Roman" w:hAnsi="Times New Roman" w:cs="Times New Roman"/>
                      <w:color w:val="000000" w:themeColor="text1"/>
                      <w:spacing w:val="0"/>
                      <w:sz w:val="24"/>
                      <w:szCs w:val="24"/>
                      <w14:textFill>
                        <w14:solidFill>
                          <w14:schemeClr w14:val="tx1"/>
                        </w14:solidFill>
                      </w14:textFill>
                    </w:rPr>
                  </w:pPr>
                  <w:r>
                    <w:rPr>
                      <w:color w:val="000000" w:themeColor="text1"/>
                      <w14:textFill>
                        <w14:solidFill>
                          <w14:schemeClr w14:val="tx1"/>
                        </w14:solidFill>
                      </w14:textFill>
                    </w:rPr>
                    <w:drawing>
                      <wp:inline distT="0" distB="0" distL="114300" distR="114300">
                        <wp:extent cx="1954530" cy="1224280"/>
                        <wp:effectExtent l="0" t="0" r="11430" b="10160"/>
                        <wp:docPr id="21" name="图片 14"/>
                        <wp:cNvGraphicFramePr/>
                        <a:graphic xmlns:a="http://schemas.openxmlformats.org/drawingml/2006/main">
                          <a:graphicData uri="http://schemas.openxmlformats.org/drawingml/2006/picture">
                            <pic:pic xmlns:pic="http://schemas.openxmlformats.org/drawingml/2006/picture">
                              <pic:nvPicPr>
                                <pic:cNvPr id="21" name="图片 14"/>
                                <pic:cNvPicPr/>
                              </pic:nvPicPr>
                              <pic:blipFill>
                                <a:blip r:embed="rId33"/>
                                <a:stretch>
                                  <a:fillRect/>
                                </a:stretch>
                              </pic:blipFill>
                              <pic:spPr>
                                <a:xfrm>
                                  <a:off x="0" y="0"/>
                                  <a:ext cx="1954530" cy="1224280"/>
                                </a:xfrm>
                                <a:prstGeom prst="rect">
                                  <a:avLst/>
                                </a:prstGeom>
                                <a:noFill/>
                                <a:ln>
                                  <a:noFill/>
                                </a:ln>
                              </pic:spPr>
                            </pic:pic>
                          </a:graphicData>
                        </a:graphic>
                      </wp:inline>
                    </w:drawing>
                  </w:r>
                </w:p>
              </w:tc>
              <w:tc>
                <w:tcPr>
                  <w:tcW w:w="1680" w:type="dxa"/>
                  <w:tcBorders>
                    <w:tl2br w:val="nil"/>
                    <w:tr2bl w:val="nil"/>
                  </w:tcBorders>
                  <w:noWrap w:val="0"/>
                  <w:vAlign w:val="center"/>
                </w:tcPr>
                <w:p w14:paraId="181324ED">
                  <w:pPr>
                    <w:adjustRightInd w:val="0"/>
                    <w:snapToGrid w:val="0"/>
                    <w:jc w:val="center"/>
                    <w:rPr>
                      <w:rFonts w:hint="default" w:ascii="Times New Roman" w:hAnsi="Times New Roman" w:cs="Times New Roman"/>
                      <w:color w:val="000000" w:themeColor="text1"/>
                      <w:spacing w:val="0"/>
                      <w:sz w:val="24"/>
                      <w:szCs w:val="24"/>
                      <w14:textFill>
                        <w14:solidFill>
                          <w14:schemeClr w14:val="tx1"/>
                        </w14:solidFill>
                      </w14:textFill>
                    </w:rPr>
                  </w:pPr>
                  <w:r>
                    <w:rPr>
                      <w:rFonts w:hint="default" w:ascii="Times New Roman" w:hAnsi="Times New Roman" w:cs="Times New Roman"/>
                      <w:color w:val="000000" w:themeColor="text1"/>
                      <w:spacing w:val="0"/>
                      <w:sz w:val="24"/>
                      <w:szCs w:val="24"/>
                      <w14:textFill>
                        <w14:solidFill>
                          <w14:schemeClr w14:val="tx1"/>
                        </w14:solidFill>
                      </w14:textFill>
                    </w:rPr>
                    <w:drawing>
                      <wp:inline distT="0" distB="0" distL="114300" distR="114300">
                        <wp:extent cx="828675" cy="835660"/>
                        <wp:effectExtent l="0" t="0" r="0" b="0"/>
                        <wp:docPr id="8" name="图片 92" descr="IM 108"/>
                        <wp:cNvGraphicFramePr/>
                        <a:graphic xmlns:a="http://schemas.openxmlformats.org/drawingml/2006/main">
                          <a:graphicData uri="http://schemas.openxmlformats.org/drawingml/2006/picture">
                            <pic:pic xmlns:pic="http://schemas.openxmlformats.org/drawingml/2006/picture">
                              <pic:nvPicPr>
                                <pic:cNvPr id="8" name="图片 92" descr="IM 108"/>
                                <pic:cNvPicPr/>
                              </pic:nvPicPr>
                              <pic:blipFill>
                                <a:blip r:embed="rId34"/>
                                <a:stretch>
                                  <a:fillRect/>
                                </a:stretch>
                              </pic:blipFill>
                              <pic:spPr>
                                <a:xfrm>
                                  <a:off x="0" y="0"/>
                                  <a:ext cx="828675" cy="835660"/>
                                </a:xfrm>
                                <a:prstGeom prst="rect">
                                  <a:avLst/>
                                </a:prstGeom>
                                <a:noFill/>
                                <a:ln>
                                  <a:noFill/>
                                </a:ln>
                              </pic:spPr>
                            </pic:pic>
                          </a:graphicData>
                        </a:graphic>
                      </wp:inline>
                    </w:drawing>
                  </w:r>
                </w:p>
              </w:tc>
              <w:tc>
                <w:tcPr>
                  <w:tcW w:w="1226" w:type="dxa"/>
                  <w:tcBorders>
                    <w:tl2br w:val="nil"/>
                    <w:tr2bl w:val="nil"/>
                  </w:tcBorders>
                  <w:noWrap w:val="0"/>
                  <w:vAlign w:val="center"/>
                </w:tcPr>
                <w:p w14:paraId="4D1F25B9">
                  <w:pPr>
                    <w:adjustRightInd w:val="0"/>
                    <w:snapToGrid w:val="0"/>
                    <w:jc w:val="center"/>
                    <w:rPr>
                      <w:rFonts w:hint="default" w:ascii="Times New Roman" w:hAnsi="Times New Roman" w:cs="Times New Roman"/>
                      <w:color w:val="000000" w:themeColor="text1"/>
                      <w:spacing w:val="0"/>
                      <w:sz w:val="24"/>
                      <w:szCs w:val="24"/>
                      <w14:textFill>
                        <w14:solidFill>
                          <w14:schemeClr w14:val="tx1"/>
                        </w14:solidFill>
                      </w14:textFill>
                    </w:rPr>
                  </w:pPr>
                  <w:r>
                    <w:rPr>
                      <w:rFonts w:hint="default" w:ascii="Times New Roman" w:hAnsi="Times New Roman" w:cs="Times New Roman"/>
                      <w:color w:val="000000" w:themeColor="text1"/>
                      <w:spacing w:val="0"/>
                      <w:sz w:val="24"/>
                      <w:szCs w:val="24"/>
                      <w14:textFill>
                        <w14:solidFill>
                          <w14:schemeClr w14:val="tx1"/>
                        </w14:solidFill>
                      </w14:textFill>
                    </w:rPr>
                    <w:t>废气排放口</w:t>
                  </w:r>
                </w:p>
              </w:tc>
              <w:tc>
                <w:tcPr>
                  <w:tcW w:w="993" w:type="dxa"/>
                  <w:tcBorders>
                    <w:tl2br w:val="nil"/>
                    <w:tr2bl w:val="nil"/>
                  </w:tcBorders>
                  <w:noWrap w:val="0"/>
                  <w:vAlign w:val="center"/>
                </w:tcPr>
                <w:p w14:paraId="702C9C61">
                  <w:pPr>
                    <w:adjustRightInd w:val="0"/>
                    <w:snapToGrid w:val="0"/>
                    <w:jc w:val="center"/>
                    <w:rPr>
                      <w:rFonts w:hint="default" w:ascii="Times New Roman" w:hAnsi="Times New Roman" w:eastAsia="宋体" w:cs="Times New Roman"/>
                      <w:color w:val="000000" w:themeColor="text1"/>
                      <w:spacing w:val="0"/>
                      <w:sz w:val="24"/>
                      <w:szCs w:val="24"/>
                      <w:lang w:val="en-US" w:eastAsia="zh-CN"/>
                      <w14:textFill>
                        <w14:solidFill>
                          <w14:schemeClr w14:val="tx1"/>
                        </w14:solidFill>
                      </w14:textFill>
                    </w:rPr>
                  </w:pPr>
                  <w:r>
                    <w:rPr>
                      <w:rFonts w:hint="eastAsia" w:cs="Times New Roman"/>
                      <w:color w:val="000000" w:themeColor="text1"/>
                      <w:spacing w:val="0"/>
                      <w:sz w:val="24"/>
                      <w:szCs w:val="24"/>
                      <w:lang w:val="en-US" w:eastAsia="zh-CN"/>
                      <w14:textFill>
                        <w14:solidFill>
                          <w14:schemeClr w14:val="tx1"/>
                        </w14:solidFill>
                      </w14:textFill>
                    </w:rPr>
                    <w:t>表示废气向大气环境排放</w:t>
                  </w:r>
                </w:p>
              </w:tc>
            </w:tr>
            <w:tr w14:paraId="4C41B0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0" w:type="dxa"/>
                  <w:tcBorders>
                    <w:tl2br w:val="nil"/>
                    <w:tr2bl w:val="nil"/>
                  </w:tcBorders>
                  <w:noWrap w:val="0"/>
                  <w:vAlign w:val="center"/>
                </w:tcPr>
                <w:p w14:paraId="6FEAC824">
                  <w:pPr>
                    <w:adjustRightInd w:val="0"/>
                    <w:snapToGrid w:val="0"/>
                    <w:jc w:val="center"/>
                    <w:rPr>
                      <w:rFonts w:hint="default" w:ascii="Times New Roman" w:hAnsi="Times New Roman" w:cs="Times New Roman"/>
                      <w:color w:val="000000" w:themeColor="text1"/>
                      <w:spacing w:val="0"/>
                      <w:sz w:val="24"/>
                      <w:szCs w:val="24"/>
                      <w14:textFill>
                        <w14:solidFill>
                          <w14:schemeClr w14:val="tx1"/>
                        </w14:solidFill>
                      </w14:textFill>
                    </w:rPr>
                  </w:pPr>
                  <w:r>
                    <w:rPr>
                      <w:rFonts w:hint="default" w:ascii="Times New Roman" w:hAnsi="Times New Roman" w:cs="Times New Roman"/>
                      <w:color w:val="000000" w:themeColor="text1"/>
                      <w:spacing w:val="0"/>
                      <w:sz w:val="24"/>
                      <w:szCs w:val="24"/>
                      <w14:textFill>
                        <w14:solidFill>
                          <w14:schemeClr w14:val="tx1"/>
                        </w14:solidFill>
                      </w14:textFill>
                    </w:rPr>
                    <w:t>2</w:t>
                  </w:r>
                </w:p>
              </w:tc>
              <w:tc>
                <w:tcPr>
                  <w:tcW w:w="3298" w:type="dxa"/>
                  <w:tcBorders>
                    <w:tl2br w:val="nil"/>
                    <w:tr2bl w:val="nil"/>
                  </w:tcBorders>
                  <w:noWrap w:val="0"/>
                  <w:vAlign w:val="center"/>
                </w:tcPr>
                <w:p w14:paraId="507EFD73">
                  <w:pPr>
                    <w:adjustRightInd w:val="0"/>
                    <w:snapToGrid w:val="0"/>
                    <w:jc w:val="center"/>
                    <w:rPr>
                      <w:rFonts w:hint="default" w:ascii="Times New Roman" w:hAnsi="Times New Roman" w:cs="Times New Roman"/>
                      <w:color w:val="000000" w:themeColor="text1"/>
                      <w:spacing w:val="0"/>
                      <w:sz w:val="24"/>
                      <w:szCs w:val="24"/>
                      <w14:textFill>
                        <w14:solidFill>
                          <w14:schemeClr w14:val="tx1"/>
                        </w14:solidFill>
                      </w14:textFill>
                    </w:rPr>
                  </w:pPr>
                  <w:r>
                    <w:rPr>
                      <w:color w:val="000000" w:themeColor="text1"/>
                      <w14:textFill>
                        <w14:solidFill>
                          <w14:schemeClr w14:val="tx1"/>
                        </w14:solidFill>
                      </w14:textFill>
                    </w:rPr>
                    <w:drawing>
                      <wp:inline distT="0" distB="0" distL="114300" distR="114300">
                        <wp:extent cx="1954530" cy="1224280"/>
                        <wp:effectExtent l="0" t="0" r="11430" b="10160"/>
                        <wp:docPr id="22" name="图片 15"/>
                        <wp:cNvGraphicFramePr/>
                        <a:graphic xmlns:a="http://schemas.openxmlformats.org/drawingml/2006/main">
                          <a:graphicData uri="http://schemas.openxmlformats.org/drawingml/2006/picture">
                            <pic:pic xmlns:pic="http://schemas.openxmlformats.org/drawingml/2006/picture">
                              <pic:nvPicPr>
                                <pic:cNvPr id="22" name="图片 15"/>
                                <pic:cNvPicPr/>
                              </pic:nvPicPr>
                              <pic:blipFill>
                                <a:blip r:embed="rId35"/>
                                <a:stretch>
                                  <a:fillRect/>
                                </a:stretch>
                              </pic:blipFill>
                              <pic:spPr>
                                <a:xfrm>
                                  <a:off x="0" y="0"/>
                                  <a:ext cx="1954530" cy="1224280"/>
                                </a:xfrm>
                                <a:prstGeom prst="rect">
                                  <a:avLst/>
                                </a:prstGeom>
                                <a:noFill/>
                                <a:ln>
                                  <a:noFill/>
                                </a:ln>
                              </pic:spPr>
                            </pic:pic>
                          </a:graphicData>
                        </a:graphic>
                      </wp:inline>
                    </w:drawing>
                  </w:r>
                </w:p>
              </w:tc>
              <w:tc>
                <w:tcPr>
                  <w:tcW w:w="1680" w:type="dxa"/>
                  <w:tcBorders>
                    <w:tl2br w:val="nil"/>
                    <w:tr2bl w:val="nil"/>
                  </w:tcBorders>
                  <w:noWrap w:val="0"/>
                  <w:vAlign w:val="center"/>
                </w:tcPr>
                <w:p w14:paraId="6CA3C5B6">
                  <w:pPr>
                    <w:adjustRightInd w:val="0"/>
                    <w:snapToGrid w:val="0"/>
                    <w:jc w:val="center"/>
                    <w:rPr>
                      <w:rFonts w:hint="default" w:ascii="Times New Roman" w:hAnsi="Times New Roman" w:cs="Times New Roman"/>
                      <w:color w:val="000000" w:themeColor="text1"/>
                      <w:spacing w:val="0"/>
                      <w:sz w:val="24"/>
                      <w:szCs w:val="24"/>
                      <w14:textFill>
                        <w14:solidFill>
                          <w14:schemeClr w14:val="tx1"/>
                        </w14:solidFill>
                      </w14:textFill>
                    </w:rPr>
                  </w:pPr>
                  <w:r>
                    <w:rPr>
                      <w:rFonts w:hint="default" w:ascii="Times New Roman" w:hAnsi="Times New Roman" w:cs="Times New Roman"/>
                      <w:color w:val="000000" w:themeColor="text1"/>
                      <w:spacing w:val="0"/>
                      <w:sz w:val="24"/>
                      <w:szCs w:val="24"/>
                      <w14:textFill>
                        <w14:solidFill>
                          <w14:schemeClr w14:val="tx1"/>
                        </w14:solidFill>
                      </w14:textFill>
                    </w:rPr>
                    <w:drawing>
                      <wp:inline distT="0" distB="0" distL="114300" distR="114300">
                        <wp:extent cx="885190" cy="829310"/>
                        <wp:effectExtent l="0" t="0" r="0" b="0"/>
                        <wp:docPr id="10" name="图片 94" descr="IM 110"/>
                        <wp:cNvGraphicFramePr/>
                        <a:graphic xmlns:a="http://schemas.openxmlformats.org/drawingml/2006/main">
                          <a:graphicData uri="http://schemas.openxmlformats.org/drawingml/2006/picture">
                            <pic:pic xmlns:pic="http://schemas.openxmlformats.org/drawingml/2006/picture">
                              <pic:nvPicPr>
                                <pic:cNvPr id="10" name="图片 94" descr="IM 110"/>
                                <pic:cNvPicPr/>
                              </pic:nvPicPr>
                              <pic:blipFill>
                                <a:blip r:embed="rId36"/>
                                <a:stretch>
                                  <a:fillRect/>
                                </a:stretch>
                              </pic:blipFill>
                              <pic:spPr>
                                <a:xfrm>
                                  <a:off x="0" y="0"/>
                                  <a:ext cx="885190" cy="829310"/>
                                </a:xfrm>
                                <a:prstGeom prst="rect">
                                  <a:avLst/>
                                </a:prstGeom>
                                <a:noFill/>
                                <a:ln>
                                  <a:noFill/>
                                </a:ln>
                              </pic:spPr>
                            </pic:pic>
                          </a:graphicData>
                        </a:graphic>
                      </wp:inline>
                    </w:drawing>
                  </w:r>
                </w:p>
              </w:tc>
              <w:tc>
                <w:tcPr>
                  <w:tcW w:w="1226" w:type="dxa"/>
                  <w:tcBorders>
                    <w:tl2br w:val="nil"/>
                    <w:tr2bl w:val="nil"/>
                  </w:tcBorders>
                  <w:noWrap w:val="0"/>
                  <w:vAlign w:val="center"/>
                </w:tcPr>
                <w:p w14:paraId="55F2EFD4">
                  <w:pPr>
                    <w:adjustRightInd w:val="0"/>
                    <w:snapToGrid w:val="0"/>
                    <w:jc w:val="center"/>
                    <w:rPr>
                      <w:rFonts w:hint="default" w:ascii="Times New Roman" w:hAnsi="Times New Roman" w:cs="Times New Roman"/>
                      <w:color w:val="000000" w:themeColor="text1"/>
                      <w:spacing w:val="0"/>
                      <w:sz w:val="24"/>
                      <w:szCs w:val="24"/>
                      <w14:textFill>
                        <w14:solidFill>
                          <w14:schemeClr w14:val="tx1"/>
                        </w14:solidFill>
                      </w14:textFill>
                    </w:rPr>
                  </w:pPr>
                  <w:r>
                    <w:rPr>
                      <w:rFonts w:hint="default" w:ascii="Times New Roman" w:hAnsi="Times New Roman" w:cs="Times New Roman"/>
                      <w:color w:val="000000" w:themeColor="text1"/>
                      <w:spacing w:val="0"/>
                      <w:sz w:val="24"/>
                      <w:szCs w:val="24"/>
                      <w14:textFill>
                        <w14:solidFill>
                          <w14:schemeClr w14:val="tx1"/>
                        </w14:solidFill>
                      </w14:textFill>
                    </w:rPr>
                    <w:t>一般固体废物</w:t>
                  </w:r>
                </w:p>
              </w:tc>
              <w:tc>
                <w:tcPr>
                  <w:tcW w:w="993" w:type="dxa"/>
                  <w:tcBorders>
                    <w:tl2br w:val="nil"/>
                    <w:tr2bl w:val="nil"/>
                  </w:tcBorders>
                  <w:noWrap w:val="0"/>
                  <w:vAlign w:val="center"/>
                </w:tcPr>
                <w:p w14:paraId="0C56F176">
                  <w:pPr>
                    <w:adjustRightInd w:val="0"/>
                    <w:snapToGrid w:val="0"/>
                    <w:jc w:val="center"/>
                    <w:rPr>
                      <w:rFonts w:hint="default" w:ascii="Times New Roman" w:hAnsi="Times New Roman" w:eastAsia="宋体" w:cs="Times New Roman"/>
                      <w:color w:val="000000" w:themeColor="text1"/>
                      <w:spacing w:val="0"/>
                      <w:sz w:val="24"/>
                      <w:szCs w:val="24"/>
                      <w:lang w:val="en-US" w:eastAsia="zh-CN"/>
                      <w14:textFill>
                        <w14:solidFill>
                          <w14:schemeClr w14:val="tx1"/>
                        </w14:solidFill>
                      </w14:textFill>
                    </w:rPr>
                  </w:pPr>
                  <w:r>
                    <w:rPr>
                      <w:rFonts w:hint="eastAsia" w:cs="Times New Roman"/>
                      <w:color w:val="000000" w:themeColor="text1"/>
                      <w:spacing w:val="0"/>
                      <w:sz w:val="24"/>
                      <w:szCs w:val="24"/>
                      <w:lang w:val="en-US" w:eastAsia="zh-CN"/>
                      <w14:textFill>
                        <w14:solidFill>
                          <w14:schemeClr w14:val="tx1"/>
                        </w14:solidFill>
                      </w14:textFill>
                    </w:rPr>
                    <w:t>表示一般固体废物贮存、处置场</w:t>
                  </w:r>
                </w:p>
              </w:tc>
            </w:tr>
            <w:tr w14:paraId="3808E1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0" w:type="dxa"/>
                  <w:tcBorders>
                    <w:tl2br w:val="nil"/>
                    <w:tr2bl w:val="nil"/>
                  </w:tcBorders>
                  <w:noWrap w:val="0"/>
                  <w:vAlign w:val="center"/>
                </w:tcPr>
                <w:p w14:paraId="6699D38E">
                  <w:pPr>
                    <w:adjustRightInd w:val="0"/>
                    <w:snapToGrid w:val="0"/>
                    <w:jc w:val="center"/>
                    <w:rPr>
                      <w:rFonts w:hint="default" w:ascii="Times New Roman" w:hAnsi="Times New Roman" w:cs="Times New Roman"/>
                      <w:color w:val="000000" w:themeColor="text1"/>
                      <w:spacing w:val="0"/>
                      <w:sz w:val="24"/>
                      <w:szCs w:val="24"/>
                      <w14:textFill>
                        <w14:solidFill>
                          <w14:schemeClr w14:val="tx1"/>
                        </w14:solidFill>
                      </w14:textFill>
                    </w:rPr>
                  </w:pPr>
                  <w:r>
                    <w:rPr>
                      <w:rFonts w:hint="default" w:ascii="Times New Roman" w:hAnsi="Times New Roman" w:cs="Times New Roman"/>
                      <w:color w:val="000000" w:themeColor="text1"/>
                      <w:spacing w:val="0"/>
                      <w:sz w:val="24"/>
                      <w:szCs w:val="24"/>
                      <w14:textFill>
                        <w14:solidFill>
                          <w14:schemeClr w14:val="tx1"/>
                        </w14:solidFill>
                      </w14:textFill>
                    </w:rPr>
                    <w:t>3</w:t>
                  </w:r>
                </w:p>
              </w:tc>
              <w:tc>
                <w:tcPr>
                  <w:tcW w:w="3298" w:type="dxa"/>
                  <w:tcBorders>
                    <w:tl2br w:val="nil"/>
                    <w:tr2bl w:val="nil"/>
                  </w:tcBorders>
                  <w:noWrap w:val="0"/>
                  <w:vAlign w:val="center"/>
                </w:tcPr>
                <w:p w14:paraId="3A234872">
                  <w:pPr>
                    <w:adjustRightInd w:val="0"/>
                    <w:snapToGrid w:val="0"/>
                    <w:jc w:val="center"/>
                    <w:rPr>
                      <w:rFonts w:hint="default" w:ascii="Times New Roman" w:hAnsi="Times New Roman" w:cs="Times New Roman"/>
                      <w:color w:val="000000" w:themeColor="text1"/>
                      <w:spacing w:val="0"/>
                      <w:sz w:val="24"/>
                      <w:szCs w:val="24"/>
                      <w14:textFill>
                        <w14:solidFill>
                          <w14:schemeClr w14:val="tx1"/>
                        </w14:solidFill>
                      </w14:textFill>
                    </w:rPr>
                  </w:pPr>
                  <w:r>
                    <w:rPr>
                      <w:color w:val="000000" w:themeColor="text1"/>
                      <w14:textFill>
                        <w14:solidFill>
                          <w14:schemeClr w14:val="tx1"/>
                        </w14:solidFill>
                      </w14:textFill>
                    </w:rPr>
                    <w:drawing>
                      <wp:inline distT="0" distB="0" distL="114300" distR="114300">
                        <wp:extent cx="1954530" cy="1224915"/>
                        <wp:effectExtent l="0" t="0" r="11430" b="9525"/>
                        <wp:docPr id="24" name="图片 17"/>
                        <wp:cNvGraphicFramePr/>
                        <a:graphic xmlns:a="http://schemas.openxmlformats.org/drawingml/2006/main">
                          <a:graphicData uri="http://schemas.openxmlformats.org/drawingml/2006/picture">
                            <pic:pic xmlns:pic="http://schemas.openxmlformats.org/drawingml/2006/picture">
                              <pic:nvPicPr>
                                <pic:cNvPr id="24" name="图片 17"/>
                                <pic:cNvPicPr/>
                              </pic:nvPicPr>
                              <pic:blipFill>
                                <a:blip r:embed="rId37"/>
                                <a:stretch>
                                  <a:fillRect/>
                                </a:stretch>
                              </pic:blipFill>
                              <pic:spPr>
                                <a:xfrm>
                                  <a:off x="0" y="0"/>
                                  <a:ext cx="1954530" cy="1224915"/>
                                </a:xfrm>
                                <a:prstGeom prst="rect">
                                  <a:avLst/>
                                </a:prstGeom>
                                <a:noFill/>
                                <a:ln>
                                  <a:noFill/>
                                </a:ln>
                              </pic:spPr>
                            </pic:pic>
                          </a:graphicData>
                        </a:graphic>
                      </wp:inline>
                    </w:drawing>
                  </w:r>
                </w:p>
              </w:tc>
              <w:tc>
                <w:tcPr>
                  <w:tcW w:w="1680" w:type="dxa"/>
                  <w:tcBorders>
                    <w:tl2br w:val="nil"/>
                    <w:tr2bl w:val="nil"/>
                  </w:tcBorders>
                  <w:noWrap w:val="0"/>
                  <w:vAlign w:val="center"/>
                </w:tcPr>
                <w:p w14:paraId="0E068DAC">
                  <w:pPr>
                    <w:adjustRightInd w:val="0"/>
                    <w:snapToGrid w:val="0"/>
                    <w:jc w:val="center"/>
                    <w:rPr>
                      <w:rFonts w:hint="default" w:ascii="Times New Roman" w:hAnsi="Times New Roman" w:cs="Times New Roman"/>
                      <w:color w:val="000000" w:themeColor="text1"/>
                      <w:spacing w:val="0"/>
                      <w:sz w:val="24"/>
                      <w:szCs w:val="24"/>
                      <w14:textFill>
                        <w14:solidFill>
                          <w14:schemeClr w14:val="tx1"/>
                        </w14:solidFill>
                      </w14:textFill>
                    </w:rPr>
                  </w:pPr>
                  <w:r>
                    <w:rPr>
                      <w:rFonts w:hint="default" w:ascii="Times New Roman" w:hAnsi="Times New Roman" w:cs="Times New Roman"/>
                      <w:color w:val="000000" w:themeColor="text1"/>
                      <w:spacing w:val="0"/>
                      <w:sz w:val="24"/>
                      <w:szCs w:val="24"/>
                      <w14:textFill>
                        <w14:solidFill>
                          <w14:schemeClr w14:val="tx1"/>
                        </w14:solidFill>
                      </w14:textFill>
                    </w:rPr>
                    <w:drawing>
                      <wp:inline distT="0" distB="0" distL="114300" distR="114300">
                        <wp:extent cx="952500" cy="835025"/>
                        <wp:effectExtent l="0" t="0" r="0" b="0"/>
                        <wp:docPr id="13" name="图片 96" descr="IM 112"/>
                        <wp:cNvGraphicFramePr/>
                        <a:graphic xmlns:a="http://schemas.openxmlformats.org/drawingml/2006/main">
                          <a:graphicData uri="http://schemas.openxmlformats.org/drawingml/2006/picture">
                            <pic:pic xmlns:pic="http://schemas.openxmlformats.org/drawingml/2006/picture">
                              <pic:nvPicPr>
                                <pic:cNvPr id="13" name="图片 96" descr="IM 112"/>
                                <pic:cNvPicPr/>
                              </pic:nvPicPr>
                              <pic:blipFill>
                                <a:blip r:embed="rId38"/>
                                <a:stretch>
                                  <a:fillRect/>
                                </a:stretch>
                              </pic:blipFill>
                              <pic:spPr>
                                <a:xfrm>
                                  <a:off x="0" y="0"/>
                                  <a:ext cx="952500" cy="835025"/>
                                </a:xfrm>
                                <a:prstGeom prst="rect">
                                  <a:avLst/>
                                </a:prstGeom>
                                <a:noFill/>
                                <a:ln>
                                  <a:noFill/>
                                </a:ln>
                              </pic:spPr>
                            </pic:pic>
                          </a:graphicData>
                        </a:graphic>
                      </wp:inline>
                    </w:drawing>
                  </w:r>
                </w:p>
              </w:tc>
              <w:tc>
                <w:tcPr>
                  <w:tcW w:w="1226" w:type="dxa"/>
                  <w:tcBorders>
                    <w:tl2br w:val="nil"/>
                    <w:tr2bl w:val="nil"/>
                  </w:tcBorders>
                  <w:noWrap w:val="0"/>
                  <w:vAlign w:val="center"/>
                </w:tcPr>
                <w:p w14:paraId="23881D71">
                  <w:pPr>
                    <w:adjustRightInd w:val="0"/>
                    <w:snapToGrid w:val="0"/>
                    <w:jc w:val="center"/>
                    <w:rPr>
                      <w:rFonts w:hint="default" w:ascii="Times New Roman" w:hAnsi="Times New Roman" w:cs="Times New Roman"/>
                      <w:color w:val="000000" w:themeColor="text1"/>
                      <w:spacing w:val="0"/>
                      <w:sz w:val="24"/>
                      <w:szCs w:val="24"/>
                      <w14:textFill>
                        <w14:solidFill>
                          <w14:schemeClr w14:val="tx1"/>
                        </w14:solidFill>
                      </w14:textFill>
                    </w:rPr>
                  </w:pPr>
                  <w:r>
                    <w:rPr>
                      <w:rFonts w:hint="default" w:ascii="Times New Roman" w:hAnsi="Times New Roman" w:cs="Times New Roman"/>
                      <w:color w:val="000000" w:themeColor="text1"/>
                      <w:spacing w:val="0"/>
                      <w:sz w:val="24"/>
                      <w:szCs w:val="24"/>
                      <w14:textFill>
                        <w14:solidFill>
                          <w14:schemeClr w14:val="tx1"/>
                        </w14:solidFill>
                      </w14:textFill>
                    </w:rPr>
                    <w:t>噪声排放源</w:t>
                  </w:r>
                </w:p>
              </w:tc>
              <w:tc>
                <w:tcPr>
                  <w:tcW w:w="993" w:type="dxa"/>
                  <w:tcBorders>
                    <w:tl2br w:val="nil"/>
                    <w:tr2bl w:val="nil"/>
                  </w:tcBorders>
                  <w:noWrap w:val="0"/>
                  <w:vAlign w:val="center"/>
                </w:tcPr>
                <w:p w14:paraId="2D97DB36">
                  <w:pPr>
                    <w:adjustRightInd w:val="0"/>
                    <w:snapToGrid w:val="0"/>
                    <w:jc w:val="center"/>
                    <w:rPr>
                      <w:rFonts w:hint="default" w:ascii="Times New Roman" w:hAnsi="Times New Roman" w:eastAsia="宋体" w:cs="Times New Roman"/>
                      <w:color w:val="000000" w:themeColor="text1"/>
                      <w:spacing w:val="0"/>
                      <w:sz w:val="24"/>
                      <w:szCs w:val="24"/>
                      <w:lang w:val="en-US" w:eastAsia="zh-CN"/>
                      <w14:textFill>
                        <w14:solidFill>
                          <w14:schemeClr w14:val="tx1"/>
                        </w14:solidFill>
                      </w14:textFill>
                    </w:rPr>
                  </w:pPr>
                  <w:r>
                    <w:rPr>
                      <w:rFonts w:hint="eastAsia" w:cs="Times New Roman"/>
                      <w:color w:val="000000" w:themeColor="text1"/>
                      <w:spacing w:val="0"/>
                      <w:sz w:val="24"/>
                      <w:szCs w:val="24"/>
                      <w:lang w:val="en-US" w:eastAsia="zh-CN"/>
                      <w14:textFill>
                        <w14:solidFill>
                          <w14:schemeClr w14:val="tx1"/>
                        </w14:solidFill>
                      </w14:textFill>
                    </w:rPr>
                    <w:t>表示噪声向外环境排放</w:t>
                  </w:r>
                </w:p>
              </w:tc>
            </w:tr>
            <w:tr w14:paraId="360261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0" w:type="dxa"/>
                  <w:tcBorders>
                    <w:tl2br w:val="nil"/>
                    <w:tr2bl w:val="nil"/>
                  </w:tcBorders>
                  <w:noWrap w:val="0"/>
                  <w:vAlign w:val="center"/>
                </w:tcPr>
                <w:p w14:paraId="6F54D10F">
                  <w:pPr>
                    <w:adjustRightInd w:val="0"/>
                    <w:snapToGrid w:val="0"/>
                    <w:jc w:val="center"/>
                    <w:rPr>
                      <w:rFonts w:hint="eastAsia" w:ascii="Times New Roman" w:hAnsi="Times New Roman" w:eastAsia="宋体" w:cs="Times New Roman"/>
                      <w:color w:val="000000" w:themeColor="text1"/>
                      <w:spacing w:val="0"/>
                      <w:sz w:val="24"/>
                      <w:szCs w:val="24"/>
                      <w:lang w:val="en-US" w:eastAsia="zh-CN"/>
                      <w14:textFill>
                        <w14:solidFill>
                          <w14:schemeClr w14:val="tx1"/>
                        </w14:solidFill>
                      </w14:textFill>
                    </w:rPr>
                  </w:pPr>
                  <w:r>
                    <w:rPr>
                      <w:rFonts w:hint="eastAsia" w:ascii="Times New Roman" w:hAnsi="Times New Roman" w:cs="Times New Roman"/>
                      <w:color w:val="000000" w:themeColor="text1"/>
                      <w:spacing w:val="0"/>
                      <w:sz w:val="24"/>
                      <w:szCs w:val="24"/>
                      <w:lang w:val="en-US" w:eastAsia="zh-CN"/>
                      <w14:textFill>
                        <w14:solidFill>
                          <w14:schemeClr w14:val="tx1"/>
                        </w14:solidFill>
                      </w14:textFill>
                    </w:rPr>
                    <w:t>4</w:t>
                  </w:r>
                </w:p>
              </w:tc>
              <w:tc>
                <w:tcPr>
                  <w:tcW w:w="3298" w:type="dxa"/>
                  <w:tcBorders>
                    <w:tl2br w:val="nil"/>
                    <w:tr2bl w:val="nil"/>
                  </w:tcBorders>
                  <w:noWrap w:val="0"/>
                  <w:vAlign w:val="center"/>
                </w:tcPr>
                <w:p w14:paraId="3A4EA2F2">
                  <w:pPr>
                    <w:adjustRightInd w:val="0"/>
                    <w:snapToGrid w:val="0"/>
                    <w:jc w:val="center"/>
                    <w:rPr>
                      <w:rFonts w:hint="default" w:ascii="Times New Roman" w:hAnsi="Times New Roman" w:cs="Times New Roman"/>
                      <w:color w:val="000000" w:themeColor="text1"/>
                      <w:spacing w:val="0"/>
                      <w:sz w:val="24"/>
                      <w:szCs w:val="24"/>
                      <w14:textFill>
                        <w14:solidFill>
                          <w14:schemeClr w14:val="tx1"/>
                        </w14:solidFill>
                      </w14:textFill>
                    </w:rPr>
                  </w:pPr>
                  <w:r>
                    <w:rPr>
                      <w:rFonts w:ascii="Microsoft YaHei UI" w:hAnsi="Microsoft YaHei UI" w:eastAsia="Microsoft YaHei UI" w:cs="Microsoft YaHei UI"/>
                      <w:i w:val="0"/>
                      <w:iCs w:val="0"/>
                      <w:caps w:val="0"/>
                      <w:color w:val="000000" w:themeColor="text1"/>
                      <w:spacing w:val="7"/>
                      <w:sz w:val="19"/>
                      <w:szCs w:val="19"/>
                      <w:shd w:val="clear" w:fill="FFFFFF"/>
                      <w14:textFill>
                        <w14:solidFill>
                          <w14:schemeClr w14:val="tx1"/>
                        </w14:solidFill>
                      </w14:textFill>
                    </w:rPr>
                    <w:drawing>
                      <wp:inline distT="0" distB="0" distL="114300" distR="114300">
                        <wp:extent cx="1943735" cy="1224280"/>
                        <wp:effectExtent l="0" t="0" r="6985" b="10160"/>
                        <wp:docPr id="18" name="图片 12" descr="IMG_256"/>
                        <wp:cNvGraphicFramePr/>
                        <a:graphic xmlns:a="http://schemas.openxmlformats.org/drawingml/2006/main">
                          <a:graphicData uri="http://schemas.openxmlformats.org/drawingml/2006/picture">
                            <pic:pic xmlns:pic="http://schemas.openxmlformats.org/drawingml/2006/picture">
                              <pic:nvPicPr>
                                <pic:cNvPr id="18" name="图片 12" descr="IMG_256"/>
                                <pic:cNvPicPr/>
                              </pic:nvPicPr>
                              <pic:blipFill>
                                <a:blip r:embed="rId39"/>
                                <a:stretch>
                                  <a:fillRect/>
                                </a:stretch>
                              </pic:blipFill>
                              <pic:spPr>
                                <a:xfrm>
                                  <a:off x="0" y="0"/>
                                  <a:ext cx="1943735" cy="1224280"/>
                                </a:xfrm>
                                <a:prstGeom prst="rect">
                                  <a:avLst/>
                                </a:prstGeom>
                                <a:noFill/>
                                <a:ln w="9525">
                                  <a:noFill/>
                                </a:ln>
                              </pic:spPr>
                            </pic:pic>
                          </a:graphicData>
                        </a:graphic>
                      </wp:inline>
                    </w:drawing>
                  </w:r>
                </w:p>
              </w:tc>
              <w:tc>
                <w:tcPr>
                  <w:tcW w:w="1680" w:type="dxa"/>
                  <w:tcBorders>
                    <w:tl2br w:val="nil"/>
                    <w:tr2bl w:val="nil"/>
                  </w:tcBorders>
                  <w:noWrap w:val="0"/>
                  <w:vAlign w:val="center"/>
                </w:tcPr>
                <w:p w14:paraId="3E109293">
                  <w:pPr>
                    <w:adjustRightInd w:val="0"/>
                    <w:snapToGrid w:val="0"/>
                    <w:jc w:val="center"/>
                    <w:rPr>
                      <w:rFonts w:hint="default" w:ascii="Times New Roman" w:hAnsi="Times New Roman" w:cs="Times New Roman"/>
                      <w:color w:val="000000" w:themeColor="text1"/>
                      <w:spacing w:val="0"/>
                      <w:sz w:val="24"/>
                      <w:szCs w:val="24"/>
                      <w14:textFill>
                        <w14:solidFill>
                          <w14:schemeClr w14:val="tx1"/>
                        </w14:solidFill>
                      </w14:textFill>
                    </w:rPr>
                  </w:pPr>
                  <w:r>
                    <w:rPr>
                      <w:color w:val="000000" w:themeColor="text1"/>
                      <w14:textFill>
                        <w14:solidFill>
                          <w14:schemeClr w14:val="tx1"/>
                        </w14:solidFill>
                      </w14:textFill>
                    </w:rPr>
                    <w:drawing>
                      <wp:inline distT="0" distB="0" distL="114300" distR="114300">
                        <wp:extent cx="953770" cy="835025"/>
                        <wp:effectExtent l="0" t="0" r="6350" b="3175"/>
                        <wp:docPr id="19" name="图片 13"/>
                        <wp:cNvGraphicFramePr/>
                        <a:graphic xmlns:a="http://schemas.openxmlformats.org/drawingml/2006/main">
                          <a:graphicData uri="http://schemas.openxmlformats.org/drawingml/2006/picture">
                            <pic:pic xmlns:pic="http://schemas.openxmlformats.org/drawingml/2006/picture">
                              <pic:nvPicPr>
                                <pic:cNvPr id="19" name="图片 13"/>
                                <pic:cNvPicPr/>
                              </pic:nvPicPr>
                              <pic:blipFill>
                                <a:blip r:embed="rId40"/>
                                <a:stretch>
                                  <a:fillRect/>
                                </a:stretch>
                              </pic:blipFill>
                              <pic:spPr>
                                <a:xfrm>
                                  <a:off x="0" y="0"/>
                                  <a:ext cx="953770" cy="835025"/>
                                </a:xfrm>
                                <a:prstGeom prst="rect">
                                  <a:avLst/>
                                </a:prstGeom>
                                <a:noFill/>
                                <a:ln>
                                  <a:noFill/>
                                </a:ln>
                              </pic:spPr>
                            </pic:pic>
                          </a:graphicData>
                        </a:graphic>
                      </wp:inline>
                    </w:drawing>
                  </w:r>
                </w:p>
              </w:tc>
              <w:tc>
                <w:tcPr>
                  <w:tcW w:w="1226" w:type="dxa"/>
                  <w:tcBorders>
                    <w:tl2br w:val="nil"/>
                    <w:tr2bl w:val="nil"/>
                  </w:tcBorders>
                  <w:noWrap w:val="0"/>
                  <w:vAlign w:val="center"/>
                </w:tcPr>
                <w:p w14:paraId="0C2E82FA">
                  <w:pPr>
                    <w:adjustRightInd w:val="0"/>
                    <w:snapToGrid w:val="0"/>
                    <w:jc w:val="center"/>
                    <w:rPr>
                      <w:rFonts w:hint="default" w:ascii="Times New Roman" w:hAnsi="Times New Roman" w:eastAsia="宋体" w:cs="Times New Roman"/>
                      <w:color w:val="000000" w:themeColor="text1"/>
                      <w:spacing w:val="0"/>
                      <w:sz w:val="24"/>
                      <w:szCs w:val="24"/>
                      <w:lang w:val="en-US" w:eastAsia="zh-CN"/>
                      <w14:textFill>
                        <w14:solidFill>
                          <w14:schemeClr w14:val="tx1"/>
                        </w14:solidFill>
                      </w14:textFill>
                    </w:rPr>
                  </w:pPr>
                  <w:r>
                    <w:rPr>
                      <w:rFonts w:hint="eastAsia" w:ascii="Times New Roman" w:hAnsi="Times New Roman" w:cs="Times New Roman"/>
                      <w:color w:val="000000" w:themeColor="text1"/>
                      <w:spacing w:val="0"/>
                      <w:sz w:val="24"/>
                      <w:szCs w:val="24"/>
                      <w:lang w:val="en-US" w:eastAsia="zh-CN"/>
                      <w14:textFill>
                        <w14:solidFill>
                          <w14:schemeClr w14:val="tx1"/>
                        </w14:solidFill>
                      </w14:textFill>
                    </w:rPr>
                    <w:t>危险废物</w:t>
                  </w:r>
                </w:p>
              </w:tc>
              <w:tc>
                <w:tcPr>
                  <w:tcW w:w="993" w:type="dxa"/>
                  <w:tcBorders>
                    <w:tl2br w:val="nil"/>
                    <w:tr2bl w:val="nil"/>
                  </w:tcBorders>
                  <w:noWrap w:val="0"/>
                  <w:vAlign w:val="center"/>
                </w:tcPr>
                <w:p w14:paraId="5CA6B683">
                  <w:pPr>
                    <w:adjustRightInd w:val="0"/>
                    <w:snapToGrid w:val="0"/>
                    <w:jc w:val="center"/>
                    <w:rPr>
                      <w:rFonts w:hint="default" w:ascii="Times New Roman" w:hAnsi="Times New Roman" w:cs="Times New Roman"/>
                      <w:color w:val="000000" w:themeColor="text1"/>
                      <w:spacing w:val="0"/>
                      <w:sz w:val="24"/>
                      <w:szCs w:val="24"/>
                      <w:lang w:val="en-US" w:eastAsia="zh-CN"/>
                      <w14:textFill>
                        <w14:solidFill>
                          <w14:schemeClr w14:val="tx1"/>
                        </w14:solidFill>
                      </w14:textFill>
                    </w:rPr>
                  </w:pPr>
                  <w:r>
                    <w:rPr>
                      <w:rFonts w:hint="eastAsia" w:cs="Times New Roman"/>
                      <w:color w:val="000000" w:themeColor="text1"/>
                      <w:spacing w:val="0"/>
                      <w:sz w:val="24"/>
                      <w:szCs w:val="24"/>
                      <w:lang w:val="en-US" w:eastAsia="zh-CN"/>
                      <w14:textFill>
                        <w14:solidFill>
                          <w14:schemeClr w14:val="tx1"/>
                        </w14:solidFill>
                      </w14:textFill>
                    </w:rPr>
                    <w:t>表示危险废物贮存场</w:t>
                  </w:r>
                </w:p>
              </w:tc>
            </w:tr>
            <w:tr w14:paraId="405584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0" w:type="dxa"/>
                  <w:tcBorders>
                    <w:tl2br w:val="nil"/>
                    <w:tr2bl w:val="nil"/>
                  </w:tcBorders>
                  <w:noWrap w:val="0"/>
                  <w:vAlign w:val="center"/>
                </w:tcPr>
                <w:p w14:paraId="508AF807">
                  <w:pPr>
                    <w:adjustRightInd w:val="0"/>
                    <w:snapToGrid w:val="0"/>
                    <w:jc w:val="center"/>
                    <w:rPr>
                      <w:rFonts w:hint="default" w:ascii="Times New Roman" w:hAnsi="Times New Roman" w:cs="Times New Roman"/>
                      <w:color w:val="000000" w:themeColor="text1"/>
                      <w:spacing w:val="0"/>
                      <w:sz w:val="24"/>
                      <w:szCs w:val="24"/>
                      <w:lang w:val="en-US" w:eastAsia="zh-CN"/>
                      <w14:textFill>
                        <w14:solidFill>
                          <w14:schemeClr w14:val="tx1"/>
                        </w14:solidFill>
                      </w14:textFill>
                    </w:rPr>
                  </w:pPr>
                  <w:r>
                    <w:rPr>
                      <w:rFonts w:hint="eastAsia" w:cs="Times New Roman"/>
                      <w:color w:val="000000" w:themeColor="text1"/>
                      <w:spacing w:val="0"/>
                      <w:sz w:val="24"/>
                      <w:szCs w:val="24"/>
                      <w:lang w:val="en-US" w:eastAsia="zh-CN"/>
                      <w14:textFill>
                        <w14:solidFill>
                          <w14:schemeClr w14:val="tx1"/>
                        </w14:solidFill>
                      </w14:textFill>
                    </w:rPr>
                    <w:t>5</w:t>
                  </w:r>
                </w:p>
              </w:tc>
              <w:tc>
                <w:tcPr>
                  <w:tcW w:w="3298" w:type="dxa"/>
                  <w:tcBorders>
                    <w:tl2br w:val="nil"/>
                    <w:tr2bl w:val="nil"/>
                  </w:tcBorders>
                  <w:noWrap w:val="0"/>
                  <w:vAlign w:val="center"/>
                </w:tcPr>
                <w:p w14:paraId="76CA6090">
                  <w:pPr>
                    <w:adjustRightInd w:val="0"/>
                    <w:snapToGrid w:val="0"/>
                    <w:jc w:val="center"/>
                    <w:rPr>
                      <w:rFonts w:ascii="Microsoft YaHei UI" w:hAnsi="Microsoft YaHei UI" w:eastAsia="Microsoft YaHei UI" w:cs="Microsoft YaHei UI"/>
                      <w:i w:val="0"/>
                      <w:iCs w:val="0"/>
                      <w:caps w:val="0"/>
                      <w:color w:val="000000" w:themeColor="text1"/>
                      <w:spacing w:val="7"/>
                      <w:sz w:val="19"/>
                      <w:szCs w:val="19"/>
                      <w:shd w:val="clear" w:fill="FFFFFF"/>
                      <w14:textFill>
                        <w14:solidFill>
                          <w14:schemeClr w14:val="tx1"/>
                        </w14:solidFill>
                      </w14:textFill>
                    </w:rPr>
                  </w:pPr>
                  <w:r>
                    <w:rPr>
                      <w:color w:val="000000" w:themeColor="text1"/>
                      <w14:textFill>
                        <w14:solidFill>
                          <w14:schemeClr w14:val="tx1"/>
                        </w14:solidFill>
                      </w14:textFill>
                    </w:rPr>
                    <w:drawing>
                      <wp:inline distT="0" distB="0" distL="114300" distR="114300">
                        <wp:extent cx="1954530" cy="1224280"/>
                        <wp:effectExtent l="0" t="0" r="11430" b="10160"/>
                        <wp:docPr id="25" name="图片 18"/>
                        <wp:cNvGraphicFramePr/>
                        <a:graphic xmlns:a="http://schemas.openxmlformats.org/drawingml/2006/main">
                          <a:graphicData uri="http://schemas.openxmlformats.org/drawingml/2006/picture">
                            <pic:pic xmlns:pic="http://schemas.openxmlformats.org/drawingml/2006/picture">
                              <pic:nvPicPr>
                                <pic:cNvPr id="25" name="图片 18"/>
                                <pic:cNvPicPr/>
                              </pic:nvPicPr>
                              <pic:blipFill>
                                <a:blip r:embed="rId41"/>
                                <a:stretch>
                                  <a:fillRect/>
                                </a:stretch>
                              </pic:blipFill>
                              <pic:spPr>
                                <a:xfrm>
                                  <a:off x="0" y="0"/>
                                  <a:ext cx="1954530" cy="1224280"/>
                                </a:xfrm>
                                <a:prstGeom prst="rect">
                                  <a:avLst/>
                                </a:prstGeom>
                                <a:noFill/>
                                <a:ln>
                                  <a:noFill/>
                                </a:ln>
                              </pic:spPr>
                            </pic:pic>
                          </a:graphicData>
                        </a:graphic>
                      </wp:inline>
                    </w:drawing>
                  </w:r>
                </w:p>
              </w:tc>
              <w:tc>
                <w:tcPr>
                  <w:tcW w:w="1680" w:type="dxa"/>
                  <w:tcBorders>
                    <w:tl2br w:val="nil"/>
                    <w:tr2bl w:val="nil"/>
                  </w:tcBorders>
                  <w:noWrap w:val="0"/>
                  <w:vAlign w:val="center"/>
                </w:tcPr>
                <w:p w14:paraId="3A18784D">
                  <w:pPr>
                    <w:adjustRightInd w:val="0"/>
                    <w:snapToGrid w:val="0"/>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1226" w:type="dxa"/>
                  <w:tcBorders>
                    <w:tl2br w:val="nil"/>
                    <w:tr2bl w:val="nil"/>
                  </w:tcBorders>
                  <w:noWrap w:val="0"/>
                  <w:vAlign w:val="center"/>
                </w:tcPr>
                <w:p w14:paraId="314F3F5A">
                  <w:pPr>
                    <w:adjustRightInd w:val="0"/>
                    <w:snapToGrid w:val="0"/>
                    <w:jc w:val="center"/>
                    <w:rPr>
                      <w:rFonts w:hint="default" w:ascii="Times New Roman" w:hAnsi="Times New Roman" w:cs="Times New Roman"/>
                      <w:color w:val="000000" w:themeColor="text1"/>
                      <w:spacing w:val="0"/>
                      <w:sz w:val="24"/>
                      <w:szCs w:val="24"/>
                      <w:lang w:val="en-US" w:eastAsia="zh-CN"/>
                      <w14:textFill>
                        <w14:solidFill>
                          <w14:schemeClr w14:val="tx1"/>
                        </w14:solidFill>
                      </w14:textFill>
                    </w:rPr>
                  </w:pPr>
                  <w:r>
                    <w:rPr>
                      <w:rFonts w:hint="eastAsia" w:cs="Times New Roman"/>
                      <w:color w:val="000000" w:themeColor="text1"/>
                      <w:spacing w:val="0"/>
                      <w:sz w:val="24"/>
                      <w:szCs w:val="24"/>
                      <w:lang w:val="en-US" w:eastAsia="zh-CN"/>
                      <w14:textFill>
                        <w14:solidFill>
                          <w14:schemeClr w14:val="tx1"/>
                        </w14:solidFill>
                      </w14:textFill>
                    </w:rPr>
                    <w:t>雨水排放口</w:t>
                  </w:r>
                </w:p>
              </w:tc>
              <w:tc>
                <w:tcPr>
                  <w:tcW w:w="993" w:type="dxa"/>
                  <w:tcBorders>
                    <w:tl2br w:val="nil"/>
                    <w:tr2bl w:val="nil"/>
                  </w:tcBorders>
                  <w:noWrap w:val="0"/>
                  <w:vAlign w:val="center"/>
                </w:tcPr>
                <w:p w14:paraId="73CA8A86">
                  <w:pPr>
                    <w:adjustRightInd w:val="0"/>
                    <w:snapToGrid w:val="0"/>
                    <w:jc w:val="center"/>
                    <w:rPr>
                      <w:rFonts w:hint="default" w:ascii="Times New Roman" w:hAnsi="Times New Roman" w:cs="Times New Roman"/>
                      <w:color w:val="000000" w:themeColor="text1"/>
                      <w:spacing w:val="0"/>
                      <w:sz w:val="24"/>
                      <w:szCs w:val="24"/>
                      <w:lang w:val="en-US" w:eastAsia="zh-CN"/>
                      <w14:textFill>
                        <w14:solidFill>
                          <w14:schemeClr w14:val="tx1"/>
                        </w14:solidFill>
                      </w14:textFill>
                    </w:rPr>
                  </w:pPr>
                  <w:r>
                    <w:rPr>
                      <w:rFonts w:hint="eastAsia" w:cs="Times New Roman"/>
                      <w:color w:val="000000" w:themeColor="text1"/>
                      <w:spacing w:val="0"/>
                      <w:sz w:val="24"/>
                      <w:szCs w:val="24"/>
                      <w:lang w:val="en-US" w:eastAsia="zh-CN"/>
                      <w14:textFill>
                        <w14:solidFill>
                          <w14:schemeClr w14:val="tx1"/>
                        </w14:solidFill>
                      </w14:textFill>
                    </w:rPr>
                    <w:t>表示雨水向外环境排放</w:t>
                  </w:r>
                </w:p>
              </w:tc>
            </w:tr>
          </w:tbl>
          <w:p w14:paraId="64AD4687">
            <w:pPr>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jc w:val="both"/>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eastAsia="zh-CN"/>
                <w14:textFill>
                  <w14:solidFill>
                    <w14:schemeClr w14:val="tx1"/>
                  </w14:solidFill>
                </w14:textFill>
              </w:rPr>
              <w:t>（3）</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废气采样口及采样平台要求</w:t>
            </w:r>
          </w:p>
          <w:p w14:paraId="187F315E">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根据《固定污染源排气中颗粒物测定与</w:t>
            </w:r>
            <w:r>
              <w:rPr>
                <w:rFonts w:hint="eastAsia" w:cs="Times New Roman" w:eastAsiaTheme="minorEastAsia"/>
                <w:b w:val="0"/>
                <w:bCs w:val="0"/>
                <w:color w:val="000000" w:themeColor="text1"/>
                <w:sz w:val="24"/>
                <w:szCs w:val="24"/>
                <w:lang w:val="en-US" w:eastAsia="zh-CN"/>
                <w14:textFill>
                  <w14:solidFill>
                    <w14:schemeClr w14:val="tx1"/>
                  </w14:solidFill>
                </w14:textFill>
              </w:rPr>
              <w:t>气态</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污染物采样方法》（GB/T 16157-1996）及修改单、《固定源废气监测技术规范》</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等规定</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b w:val="0"/>
                <w:bCs w:val="0"/>
                <w:color w:val="000000" w:themeColor="text1"/>
                <w:sz w:val="24"/>
                <w:szCs w:val="24"/>
                <w:lang w:eastAsia="zh-CN"/>
                <w14:textFill>
                  <w14:solidFill>
                    <w14:schemeClr w14:val="tx1"/>
                  </w14:solidFill>
                </w14:textFill>
              </w:rPr>
              <w:t>废气采样孔</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及采样平台设置要求如下所示：</w:t>
            </w:r>
          </w:p>
          <w:p w14:paraId="2906533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1）采样孔设置</w:t>
            </w:r>
          </w:p>
          <w:p w14:paraId="51DF06AC">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cs="Times New Roman" w:eastAsiaTheme="minorEastAsia"/>
                <w:b w:val="0"/>
                <w:bCs w:val="0"/>
                <w:color w:val="000000" w:themeColor="text1"/>
                <w:sz w:val="24"/>
                <w:szCs w:val="24"/>
                <w:lang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4"/>
                <w:szCs w:val="24"/>
                <w:lang w:eastAsia="zh-CN"/>
                <w14:textFill>
                  <w14:solidFill>
                    <w14:schemeClr w14:val="tx1"/>
                  </w14:solidFill>
                </w14:textFill>
              </w:rPr>
              <w:t>①采样孔位置应优先选择在垂直管段和烟道负压区域。</w:t>
            </w:r>
          </w:p>
          <w:p w14:paraId="6FDCBBF1">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4"/>
                <w:szCs w:val="24"/>
                <w:lang w:eastAsia="zh-CN"/>
                <w14:textFill>
                  <w14:solidFill>
                    <w14:schemeClr w14:val="tx1"/>
                  </w14:solidFill>
                </w14:textFill>
              </w:rPr>
              <w:t>②采样孔位置应避开烟道弯头和断面急剧变化的部</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位，设置在距弯头、阀门、变径管下游方向不小于6倍烟道直径处，以及距上述部件上游方向不小于3倍烟道直径处。</w:t>
            </w:r>
          </w:p>
          <w:p w14:paraId="123F705A">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③在选定的测定位置上开设采样孔，采样孔的内径应不小于80mm。</w:t>
            </w:r>
            <w:r>
              <w:rPr>
                <w:rFonts w:hint="eastAsia" w:cs="Times New Roman"/>
                <w:b w:val="0"/>
                <w:bCs w:val="0"/>
                <w:color w:val="000000" w:themeColor="text1"/>
                <w:sz w:val="24"/>
                <w:szCs w:val="24"/>
                <w:lang w:eastAsia="zh-CN"/>
                <w14:textFill>
                  <w14:solidFill>
                    <w14:schemeClr w14:val="tx1"/>
                  </w14:solidFill>
                </w14:textFill>
              </w:rPr>
              <w:t>采</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样孔管长应不大于50mm。不使用时应用盖板、管堵或管帽封。当采样孔用于采集气态污染物时，其内径应不小于40mmm。</w:t>
            </w:r>
          </w:p>
          <w:p w14:paraId="2B0B717D">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2）</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采样平台要求</w:t>
            </w:r>
          </w:p>
          <w:p w14:paraId="3EEB613A">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①采样平台为检测人员采样设置，应有足够的工作面积使工作人员安全、方便地操作。平台面积应不小于1.5m</w:t>
            </w:r>
            <w:r>
              <w:rPr>
                <w:rFonts w:hint="eastAsia" w:ascii="Times New Roman" w:hAnsi="Times New Roman" w:eastAsia="宋体" w:cs="Times New Roman"/>
                <w:b w:val="0"/>
                <w:bCs w:val="0"/>
                <w:color w:val="000000" w:themeColor="text1"/>
                <w:sz w:val="24"/>
                <w:szCs w:val="24"/>
                <w:vertAlign w:val="superscript"/>
                <w:lang w:eastAsia="zh-CN"/>
                <w14:textFill>
                  <w14:solidFill>
                    <w14:schemeClr w14:val="tx1"/>
                  </w14:solidFill>
                </w14:textFill>
              </w:rPr>
              <w:t>2</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，并设有1.2m高的护栏和不低于10cm的脚部挡板，采样平台的承重应不小于200kg/m</w:t>
            </w:r>
            <w:r>
              <w:rPr>
                <w:rFonts w:hint="eastAsia" w:ascii="Times New Roman" w:hAnsi="Times New Roman" w:eastAsia="宋体" w:cs="Times New Roman"/>
                <w:b w:val="0"/>
                <w:bCs w:val="0"/>
                <w:color w:val="000000" w:themeColor="text1"/>
                <w:sz w:val="24"/>
                <w:szCs w:val="24"/>
                <w:vertAlign w:val="superscript"/>
                <w:lang w:eastAsia="zh-CN"/>
                <w14:textFill>
                  <w14:solidFill>
                    <w14:schemeClr w14:val="tx1"/>
                  </w14:solidFill>
                </w14:textFill>
              </w:rPr>
              <w:t>2</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，采样平台面距采样孔约为1.2-1.3m。</w:t>
            </w:r>
          </w:p>
          <w:p w14:paraId="1D81D9B6">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②采样平台应设置永久性的电源。平台上方应建有防雨棚。当平台设置离地面高度＜2m时，可使用固定式钢直梯到达采样平台；当平台设置离地面高度≥2m时，应建设通往平台的斜梯/Z字梯/旋梯，梯段宽度应不小于0.8m，爬梯的角度应不大于45度。</w:t>
            </w:r>
          </w:p>
          <w:p w14:paraId="2DCCD7CB">
            <w:pPr>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jc w:val="both"/>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lang w:eastAsia="zh-CN"/>
                <w14:textFill>
                  <w14:solidFill>
                    <w14:schemeClr w14:val="tx1"/>
                  </w14:solidFill>
                </w14:textFill>
              </w:rPr>
              <w:t>（</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4</w:t>
            </w:r>
            <w:r>
              <w:rPr>
                <w:rFonts w:hint="eastAsia" w:ascii="Times New Roman" w:hAnsi="Times New Roman" w:eastAsia="宋体" w:cs="Times New Roman"/>
                <w:b/>
                <w:bCs/>
                <w:color w:val="000000" w:themeColor="text1"/>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sz w:val="24"/>
                <w:szCs w:val="24"/>
                <w14:textFill>
                  <w14:solidFill>
                    <w14:schemeClr w14:val="tx1"/>
                  </w14:solidFill>
                </w14:textFill>
              </w:rPr>
              <w:t>环境管理台账及信息公开</w:t>
            </w:r>
          </w:p>
          <w:p w14:paraId="099DF772">
            <w:pPr>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jc w:val="both"/>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1）环境管理台账记录要求</w:t>
            </w:r>
          </w:p>
          <w:p w14:paraId="74013F30">
            <w:pPr>
              <w:keepNext w:val="0"/>
              <w:keepLines w:val="0"/>
              <w:pageBreakBefore w:val="0"/>
              <w:widowControl w:val="0"/>
              <w:kinsoku/>
              <w:wordWrap/>
              <w:overflowPunct/>
              <w:topLinePunct w:val="0"/>
              <w:autoSpaceDE/>
              <w:autoSpaceDN/>
              <w:bidi w:val="0"/>
              <w:adjustRightInd/>
              <w:snapToGrid/>
              <w:spacing w:line="276" w:lineRule="auto"/>
              <w:ind w:left="0" w:right="0" w:firstLine="482" w:firstLineChars="200"/>
              <w:jc w:val="center"/>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表5-</w:t>
            </w:r>
            <w:r>
              <w:rPr>
                <w:rFonts w:hint="eastAsia" w:cs="Times New Roman"/>
                <w:b/>
                <w:bCs/>
                <w:color w:val="000000" w:themeColor="text1"/>
                <w:sz w:val="24"/>
                <w:szCs w:val="24"/>
                <w:lang w:val="en-US" w:eastAsia="zh-CN"/>
                <w14:textFill>
                  <w14:solidFill>
                    <w14:schemeClr w14:val="tx1"/>
                  </w14:solidFill>
                </w14:textFill>
              </w:rPr>
              <w:t>3</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 xml:space="preserve">  环境管理台账记录要求</w:t>
            </w:r>
          </w:p>
          <w:tbl>
            <w:tblPr>
              <w:tblStyle w:val="29"/>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894"/>
              <w:gridCol w:w="3186"/>
              <w:gridCol w:w="1640"/>
              <w:gridCol w:w="894"/>
              <w:gridCol w:w="859"/>
            </w:tblGrid>
            <w:tr w14:paraId="61D1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5CFC36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序号</w:t>
                  </w:r>
                </w:p>
              </w:tc>
              <w:tc>
                <w:tcPr>
                  <w:tcW w:w="894" w:type="dxa"/>
                  <w:noWrap w:val="0"/>
                  <w:vAlign w:val="center"/>
                </w:tcPr>
                <w:p w14:paraId="485CC5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类别</w:t>
                  </w:r>
                </w:p>
              </w:tc>
              <w:tc>
                <w:tcPr>
                  <w:tcW w:w="3186" w:type="dxa"/>
                  <w:noWrap w:val="0"/>
                  <w:vAlign w:val="center"/>
                </w:tcPr>
                <w:p w14:paraId="278E9C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记录内容</w:t>
                  </w:r>
                </w:p>
              </w:tc>
              <w:tc>
                <w:tcPr>
                  <w:tcW w:w="1640" w:type="dxa"/>
                  <w:noWrap w:val="0"/>
                  <w:vAlign w:val="center"/>
                </w:tcPr>
                <w:p w14:paraId="622A76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记录频次</w:t>
                  </w:r>
                </w:p>
              </w:tc>
              <w:tc>
                <w:tcPr>
                  <w:tcW w:w="894" w:type="dxa"/>
                  <w:noWrap w:val="0"/>
                  <w:vAlign w:val="center"/>
                </w:tcPr>
                <w:p w14:paraId="50DA41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记录形式</w:t>
                  </w:r>
                </w:p>
              </w:tc>
              <w:tc>
                <w:tcPr>
                  <w:tcW w:w="859" w:type="dxa"/>
                  <w:noWrap w:val="0"/>
                  <w:vAlign w:val="center"/>
                </w:tcPr>
                <w:p w14:paraId="69CE83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保存要求</w:t>
                  </w:r>
                </w:p>
              </w:tc>
            </w:tr>
            <w:tr w14:paraId="396E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1AAC39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1</w:t>
                  </w:r>
                </w:p>
              </w:tc>
              <w:tc>
                <w:tcPr>
                  <w:tcW w:w="894" w:type="dxa"/>
                  <w:noWrap w:val="0"/>
                  <w:vAlign w:val="center"/>
                </w:tcPr>
                <w:p w14:paraId="22E6F5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基本信息</w:t>
                  </w:r>
                </w:p>
              </w:tc>
              <w:tc>
                <w:tcPr>
                  <w:tcW w:w="3186" w:type="dxa"/>
                  <w:noWrap w:val="0"/>
                  <w:vAlign w:val="center"/>
                </w:tcPr>
                <w:p w14:paraId="67A497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（1）</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生产设施基本信息：主要技术参数及设计值等。</w:t>
                  </w:r>
                </w:p>
                <w:p w14:paraId="39D9BA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（2）</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污染防治设施基本信息：主要技术参数及设计值；对于防渗漏、防泄漏等污染防治措施，还应记录落实情况及问题整改情况等。</w:t>
                  </w:r>
                </w:p>
              </w:tc>
              <w:tc>
                <w:tcPr>
                  <w:tcW w:w="1640" w:type="dxa"/>
                  <w:noWrap w:val="0"/>
                  <w:vAlign w:val="center"/>
                </w:tcPr>
                <w:p w14:paraId="5C7D63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对于未发生变化的基本信息按年记录，1次/年；对于发生变化的基本信息，在发生变化时记录1次。</w:t>
                  </w:r>
                </w:p>
              </w:tc>
              <w:tc>
                <w:tcPr>
                  <w:tcW w:w="894" w:type="dxa"/>
                  <w:noWrap w:val="0"/>
                  <w:vAlign w:val="center"/>
                </w:tcPr>
                <w:p w14:paraId="29266F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电子台账+纸质</w:t>
                  </w:r>
                </w:p>
              </w:tc>
              <w:tc>
                <w:tcPr>
                  <w:tcW w:w="859" w:type="dxa"/>
                  <w:noWrap w:val="0"/>
                  <w:vAlign w:val="center"/>
                </w:tcPr>
                <w:p w14:paraId="0ECFC2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保存期限不低于5年</w:t>
                  </w:r>
                </w:p>
              </w:tc>
            </w:tr>
            <w:tr w14:paraId="3495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5ECD53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2</w:t>
                  </w:r>
                </w:p>
              </w:tc>
              <w:tc>
                <w:tcPr>
                  <w:tcW w:w="894" w:type="dxa"/>
                  <w:noWrap w:val="0"/>
                  <w:vAlign w:val="center"/>
                </w:tcPr>
                <w:p w14:paraId="052E80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生产设施运行管理信息</w:t>
                  </w:r>
                </w:p>
              </w:tc>
              <w:tc>
                <w:tcPr>
                  <w:tcW w:w="3186" w:type="dxa"/>
                  <w:noWrap w:val="0"/>
                  <w:vAlign w:val="center"/>
                </w:tcPr>
                <w:p w14:paraId="710AE39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生产设施信息包括生产设施基本信息和生产设施运行管理信息。</w:t>
                  </w:r>
                </w:p>
                <w:p w14:paraId="2EEEC2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生产设施基本信息应记录设施名称（如：破碎机、磨机、窑、喷雾干燥塔等）、编码、生产负荷等。</w:t>
                  </w:r>
                </w:p>
                <w:p w14:paraId="002050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生产设施运行管理信息应记录产品、原辅料及燃料信息。其中，生产设施信息按天记录，原辅料及</w:t>
                  </w:r>
                </w:p>
                <w:p w14:paraId="05132B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color w:val="000000" w:themeColor="text1"/>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（3）</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燃料信息按批次记录。生产设施信息记录内容应包括主要生产设施（如：磨机、煤气发生炉、喷雾干燥塔、陶瓷窑、砖瓦窑等）的设施编码、生产负荷、主要产品产能和实际产品产量等；原辅料和燃料信息记录应包括原料、燃料、辅料和能源的消耗量：排污单位可根据管理要求增加需要记录的管理信息要求。</w:t>
                  </w:r>
                </w:p>
              </w:tc>
              <w:tc>
                <w:tcPr>
                  <w:tcW w:w="1640" w:type="dxa"/>
                  <w:noWrap w:val="0"/>
                  <w:vAlign w:val="center"/>
                </w:tcPr>
                <w:p w14:paraId="0C90CA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正常工况：</w:t>
                  </w:r>
                </w:p>
                <w:p w14:paraId="05E81A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1）运行状态：一般按日或批次记录，1次/日或批次。</w:t>
                  </w:r>
                </w:p>
                <w:p w14:paraId="0AD0A0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2）</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生产负荷：一般按日或批次记录，1次/日或批次。</w:t>
                  </w:r>
                </w:p>
                <w:p w14:paraId="5E14464E">
                  <w:pPr>
                    <w:keepNext w:val="0"/>
                    <w:keepLines w:val="0"/>
                    <w:pageBreakBefore w:val="0"/>
                    <w:widowControl w:val="0"/>
                    <w:numPr>
                      <w:ilvl w:val="0"/>
                      <w:numId w:val="4"/>
                    </w:numPr>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产品产量</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连续生产的，按日记录，1次/日。非连续生产的，按照生产周期记录，1次/周期：周期小于1天的，按日记录，1次/日。</w:t>
                  </w:r>
                </w:p>
                <w:p w14:paraId="3B1D147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4）原辅料</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按照</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采</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购批次记录，1次/批。</w:t>
                  </w:r>
                </w:p>
                <w:p w14:paraId="02AF96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5）燃料：按照采购批次记录，1次/批。</w:t>
                  </w:r>
                </w:p>
                <w:p w14:paraId="73C5BC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非正常工况：</w:t>
                  </w:r>
                </w:p>
                <w:p w14:paraId="4E1E73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按照工况期记录，1次/工况期。</w:t>
                  </w:r>
                </w:p>
              </w:tc>
              <w:tc>
                <w:tcPr>
                  <w:tcW w:w="894" w:type="dxa"/>
                  <w:noWrap w:val="0"/>
                  <w:vAlign w:val="center"/>
                </w:tcPr>
                <w:p w14:paraId="7FEDCA4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电子台账+纸质</w:t>
                  </w:r>
                </w:p>
              </w:tc>
              <w:tc>
                <w:tcPr>
                  <w:tcW w:w="859" w:type="dxa"/>
                  <w:noWrap w:val="0"/>
                  <w:vAlign w:val="center"/>
                </w:tcPr>
                <w:p w14:paraId="7D423D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保存期限不低于5年</w:t>
                  </w:r>
                </w:p>
              </w:tc>
            </w:tr>
            <w:tr w14:paraId="28E5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3EF08D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3</w:t>
                  </w:r>
                </w:p>
              </w:tc>
              <w:tc>
                <w:tcPr>
                  <w:tcW w:w="894" w:type="dxa"/>
                  <w:noWrap w:val="0"/>
                  <w:vAlign w:val="center"/>
                </w:tcPr>
                <w:p w14:paraId="26D0C3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污染防治设施运行管理信息</w:t>
                  </w:r>
                </w:p>
              </w:tc>
              <w:tc>
                <w:tcPr>
                  <w:tcW w:w="3186" w:type="dxa"/>
                  <w:noWrap w:val="0"/>
                  <w:vAlign w:val="center"/>
                </w:tcPr>
                <w:p w14:paraId="7385A6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污染防治设施运行管理信息（正常情况）：运行情况、主要药剂添加情况等。</w:t>
                  </w:r>
                </w:p>
                <w:p w14:paraId="6B3C72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1）运行情况：是否正常运行，治理效率、副产物产量等。</w:t>
                  </w:r>
                </w:p>
                <w:p w14:paraId="0F1124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2）主要药剂（吸附剂）添加情况：添加（更换）时间、添加量等。</w:t>
                  </w:r>
                </w:p>
                <w:p w14:paraId="509334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3）污染防治设施运行管理信息（异常情况）：起止时间、污染物排放浓度、异常原因、应对措施、是否报告等</w:t>
                  </w:r>
                </w:p>
              </w:tc>
              <w:tc>
                <w:tcPr>
                  <w:tcW w:w="1640" w:type="dxa"/>
                  <w:noWrap w:val="0"/>
                  <w:vAlign w:val="center"/>
                </w:tcPr>
                <w:p w14:paraId="03F23F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正产情况：</w:t>
                  </w:r>
                </w:p>
                <w:p w14:paraId="1F894A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1）运行情况：按日记录，1次日。</w:t>
                  </w:r>
                </w:p>
                <w:p w14:paraId="713023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主要</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药剂添加情况：按日或批次记录，1次/日或批次。</w:t>
                  </w:r>
                </w:p>
                <w:p w14:paraId="5F72D8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3）异常情况：按照异常情况按期记录，1次/异常情况期。</w:t>
                  </w:r>
                </w:p>
              </w:tc>
              <w:tc>
                <w:tcPr>
                  <w:tcW w:w="894" w:type="dxa"/>
                  <w:noWrap w:val="0"/>
                  <w:vAlign w:val="center"/>
                </w:tcPr>
                <w:p w14:paraId="6F49D4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电子台账+纸质</w:t>
                  </w:r>
                </w:p>
              </w:tc>
              <w:tc>
                <w:tcPr>
                  <w:tcW w:w="859" w:type="dxa"/>
                  <w:noWrap w:val="0"/>
                  <w:vAlign w:val="center"/>
                </w:tcPr>
                <w:p w14:paraId="6573D8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保存期限不低于5年</w:t>
                  </w:r>
                </w:p>
              </w:tc>
            </w:tr>
            <w:tr w14:paraId="2F3A8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4A51D4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4</w:t>
                  </w:r>
                </w:p>
              </w:tc>
              <w:tc>
                <w:tcPr>
                  <w:tcW w:w="894" w:type="dxa"/>
                  <w:noWrap w:val="0"/>
                  <w:vAlign w:val="center"/>
                </w:tcPr>
                <w:p w14:paraId="53CD53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其他环境管理信息</w:t>
                  </w:r>
                </w:p>
              </w:tc>
              <w:tc>
                <w:tcPr>
                  <w:tcW w:w="3186" w:type="dxa"/>
                  <w:noWrap w:val="0"/>
                  <w:vAlign w:val="center"/>
                </w:tcPr>
                <w:p w14:paraId="18953C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无组织废气污染防治措施管理维护信息：管理维护时间及主要内容等。</w:t>
                  </w:r>
                </w:p>
                <w:p w14:paraId="0C0ACB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特殊时段环境管理信息：具体管理要求及其执行情况。</w:t>
                  </w:r>
                </w:p>
                <w:p w14:paraId="6B6223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其他信息：法律法规、标准规范确定的其他信息，企业自主记录的环境管理信息</w:t>
                  </w:r>
                </w:p>
              </w:tc>
              <w:tc>
                <w:tcPr>
                  <w:tcW w:w="1640" w:type="dxa"/>
                  <w:noWrap w:val="0"/>
                  <w:vAlign w:val="center"/>
                </w:tcPr>
                <w:p w14:paraId="477200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废气无组织污染防治措施管理维护信息：</w:t>
                  </w:r>
                </w:p>
                <w:p w14:paraId="317A59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按日记录，1次/日。对于停产或错峰生产的，原则上仅对停产或错峰生产的起止日期</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各</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记录1次。</w:t>
                  </w:r>
                </w:p>
                <w:p w14:paraId="6BA48A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其他信息：依据法律法规、标准规范或实际生产运行规律等确定记录频次。</w:t>
                  </w:r>
                </w:p>
              </w:tc>
              <w:tc>
                <w:tcPr>
                  <w:tcW w:w="894" w:type="dxa"/>
                  <w:noWrap w:val="0"/>
                  <w:vAlign w:val="center"/>
                </w:tcPr>
                <w:p w14:paraId="7053EA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电子台账+纸质</w:t>
                  </w:r>
                </w:p>
              </w:tc>
              <w:tc>
                <w:tcPr>
                  <w:tcW w:w="859" w:type="dxa"/>
                  <w:noWrap w:val="0"/>
                  <w:vAlign w:val="center"/>
                </w:tcPr>
                <w:p w14:paraId="13CC45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保存期限不低于5年</w:t>
                  </w:r>
                </w:p>
              </w:tc>
            </w:tr>
            <w:tr w14:paraId="70A5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1C61B3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5</w:t>
                  </w:r>
                </w:p>
              </w:tc>
              <w:tc>
                <w:tcPr>
                  <w:tcW w:w="894" w:type="dxa"/>
                  <w:noWrap w:val="0"/>
                  <w:vAlign w:val="center"/>
                </w:tcPr>
                <w:p w14:paraId="20EC0C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一</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般工业固体废物管理台账记录</w:t>
                  </w:r>
                </w:p>
              </w:tc>
              <w:tc>
                <w:tcPr>
                  <w:tcW w:w="3186" w:type="dxa"/>
                  <w:noWrap w:val="0"/>
                  <w:vAlign w:val="center"/>
                </w:tcPr>
                <w:p w14:paraId="43D783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一般固体废物按《一般工业固体废物管理台账制定指南》要求记录如下： 1）一般工业固体废物基础信息记录固体废物代码、名称、类别、产生环节、物理性状、主要成分、污染特性、产废系数/年产生量；一般工业固体废物流向信息记录废物代码、名称、类别、产生量、贮存量、累计贮存量、自行利用方式、自行利用数量、委托利用方式、委托利用数量、自行处置方式、自行处置数量、委托处置方式、委托处置数量；2）一般工业固体废物产生环节记录固体废物代码、名称、产生时间、产生数量、转移时间、转移去向、产生部门经办人、运输经办人；3）一般工业固体废物贮存环节记录废物来源、代码、名称、入库时间、入库数量、运输经办人、贮存部门经办人、出库时间、出库数量、废物去向、贮存部门经办人、运输经办人</w:t>
                  </w:r>
                </w:p>
              </w:tc>
              <w:tc>
                <w:tcPr>
                  <w:tcW w:w="1640" w:type="dxa"/>
                  <w:noWrap w:val="0"/>
                  <w:vAlign w:val="center"/>
                </w:tcPr>
                <w:p w14:paraId="54C856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一般工业固体废物的台账记录频次：基础信息按年统计、流向信息按月汇总、固体废物产生、贮存、利用、处置环节按批次记录。</w:t>
                  </w:r>
                </w:p>
              </w:tc>
              <w:tc>
                <w:tcPr>
                  <w:tcW w:w="894" w:type="dxa"/>
                  <w:noWrap w:val="0"/>
                  <w:vAlign w:val="center"/>
                </w:tcPr>
                <w:p w14:paraId="2F5C53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电子台账+纸质</w:t>
                  </w:r>
                </w:p>
              </w:tc>
              <w:tc>
                <w:tcPr>
                  <w:tcW w:w="859" w:type="dxa"/>
                  <w:noWrap w:val="0"/>
                  <w:vAlign w:val="center"/>
                </w:tcPr>
                <w:p w14:paraId="24F533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保存期限不低于5年</w:t>
                  </w:r>
                </w:p>
              </w:tc>
            </w:tr>
            <w:tr w14:paraId="7CC5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73DA18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6</w:t>
                  </w:r>
                </w:p>
              </w:tc>
              <w:tc>
                <w:tcPr>
                  <w:tcW w:w="894" w:type="dxa"/>
                  <w:noWrap w:val="0"/>
                  <w:vAlign w:val="center"/>
                </w:tcPr>
                <w:p w14:paraId="25B4A6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危险废物管理台账记录</w:t>
                  </w:r>
                </w:p>
              </w:tc>
              <w:tc>
                <w:tcPr>
                  <w:tcW w:w="3186" w:type="dxa"/>
                  <w:noWrap w:val="0"/>
                  <w:vAlign w:val="center"/>
                </w:tcPr>
                <w:p w14:paraId="74D31C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危险废物按《危险废物管理计划和管理台账制定技术导则》记录要求如下1）危险废物产生环节，应记录产生批次编码、产生时间、危险废物名称、危险废物类别、危险废物代码、产生量、计量单位、容器/包装编码、容器/包装类型、容器/包装数量、产生危险废物设施编码、产生部门经办人、去向等。2）危险废物入库环节，应记录入库批次编码、入库时间、容器/包装编码、容器/包装类型、容器/包装数量、危险废物名称、危险废物类别、危险废物代码、入库量、计量单位、贮存设施编码、贮存设施类型、运送部门经办人、贮存部门经办人、产生批次编码等。 3）危险废物出库环节，应记录出库批次编码、出库时间、容器/包装编码、容器/包装类型、容器/包装数量、危险废物名称、危险废物类别、危险废物代码、出库量、计量单位、贮存设施编码、贮存设施类型、出库部门经办人、运送部门经办人、入库批次编码、去向等。 4）危险废物委外利用/处置环节，应记录委外利用/处置批次编码、出厂时间、容器/包装编码、容器/包装类型、容器/包装数量、危险废物名称、危险废物类别、危险废物代码、委外利用/处置量、计量 单位、利用/处置方式、接收单位类型、利用/处置单位名称、许可证编码/出口核准通知单编号、产生批次编码/出库批次编码等。</w:t>
                  </w:r>
                </w:p>
              </w:tc>
              <w:tc>
                <w:tcPr>
                  <w:tcW w:w="1640" w:type="dxa"/>
                  <w:noWrap w:val="0"/>
                  <w:vAlign w:val="center"/>
                </w:tcPr>
                <w:p w14:paraId="4F2030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危险废物的台账记录频次：产生后盛放至容器和包装物，按每个容器和包装物进行记录；一般情况下，按批次记录。</w:t>
                  </w:r>
                </w:p>
              </w:tc>
              <w:tc>
                <w:tcPr>
                  <w:tcW w:w="894" w:type="dxa"/>
                  <w:noWrap w:val="0"/>
                  <w:vAlign w:val="center"/>
                </w:tcPr>
                <w:p w14:paraId="431662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leftChars="0" w:right="0" w:right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电子台账+纸质</w:t>
                  </w:r>
                </w:p>
              </w:tc>
              <w:tc>
                <w:tcPr>
                  <w:tcW w:w="859" w:type="dxa"/>
                  <w:noWrap w:val="0"/>
                  <w:vAlign w:val="center"/>
                </w:tcPr>
                <w:p w14:paraId="706678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leftChars="0" w:right="0" w:right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保存期限不低于5年</w:t>
                  </w:r>
                </w:p>
              </w:tc>
            </w:tr>
            <w:tr w14:paraId="5C50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noWrap w:val="0"/>
                  <w:vAlign w:val="center"/>
                </w:tcPr>
                <w:p w14:paraId="694947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7</w:t>
                  </w:r>
                </w:p>
              </w:tc>
              <w:tc>
                <w:tcPr>
                  <w:tcW w:w="894" w:type="dxa"/>
                  <w:noWrap w:val="0"/>
                  <w:vAlign w:val="center"/>
                </w:tcPr>
                <w:p w14:paraId="348B06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工</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业噪声环境管理台账</w:t>
                  </w:r>
                </w:p>
              </w:tc>
              <w:tc>
                <w:tcPr>
                  <w:tcW w:w="3186" w:type="dxa"/>
                  <w:noWrap w:val="0"/>
                  <w:vAlign w:val="center"/>
                </w:tcPr>
                <w:p w14:paraId="4DDF6A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对于采用手工监测的工业噪声排污单位，应记录手工监测时段信息、噪声污染防治设施维修和更换情况。手工监测时段信息应记录监测时段内非正常工况情形、事件原因、是否报告、应对措施等；监测时段内工业噪声排放值超标情况，包括超标原因、是否报告、应对措施等。噪声污染防治设施维修和更换情况记录内容包括维修、更换时间，维修、更换内容。</w:t>
                  </w:r>
                </w:p>
              </w:tc>
              <w:tc>
                <w:tcPr>
                  <w:tcW w:w="1640" w:type="dxa"/>
                  <w:noWrap w:val="0"/>
                  <w:vAlign w:val="center"/>
                </w:tcPr>
                <w:p w14:paraId="1DF31F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每发生一次记录1次</w:t>
                  </w:r>
                </w:p>
              </w:tc>
              <w:tc>
                <w:tcPr>
                  <w:tcW w:w="894" w:type="dxa"/>
                  <w:noWrap w:val="0"/>
                  <w:vAlign w:val="center"/>
                </w:tcPr>
                <w:p w14:paraId="110F7E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电子台账+纸质</w:t>
                  </w:r>
                </w:p>
              </w:tc>
              <w:tc>
                <w:tcPr>
                  <w:tcW w:w="859" w:type="dxa"/>
                  <w:noWrap w:val="0"/>
                  <w:vAlign w:val="center"/>
                </w:tcPr>
                <w:p w14:paraId="497BE5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保存期限不低于5年</w:t>
                  </w:r>
                </w:p>
              </w:tc>
            </w:tr>
          </w:tbl>
          <w:p w14:paraId="719F6C36">
            <w:pPr>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jc w:val="both"/>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2）信息公开</w:t>
            </w:r>
          </w:p>
          <w:p w14:paraId="74755062">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根据《建设项目环境影响评价信息公开机制方案</w:t>
            </w:r>
            <w:r>
              <w:rPr>
                <w:rFonts w:hint="default" w:ascii="Times New Roman" w:hAnsi="Times New Roman" w:eastAsia="宋体" w:cs="Times New Roman"/>
                <w:color w:val="000000" w:themeColor="text1"/>
                <w:sz w:val="24"/>
                <w:szCs w:val="24"/>
                <w:lang w:eastAsia="zh-CN"/>
                <w14:textFill>
                  <w14:solidFill>
                    <w14:schemeClr w14:val="tx1"/>
                  </w14:solidFill>
                </w14:textFill>
              </w:rPr>
              <w:t>》和</w:t>
            </w:r>
            <w:r>
              <w:rPr>
                <w:rFonts w:hint="default" w:ascii="Times New Roman" w:hAnsi="Times New Roman" w:eastAsia="宋体" w:cs="Times New Roman"/>
                <w:color w:val="000000" w:themeColor="text1"/>
                <w:sz w:val="24"/>
                <w:szCs w:val="24"/>
                <w14:textFill>
                  <w14:solidFill>
                    <w14:schemeClr w14:val="tx1"/>
                  </w14:solidFill>
                </w14:textFill>
              </w:rPr>
              <w:t>《企业事业单位环境信息公开办法》中的相关规定，本项目建设单位应当向社会公开以下信息：</w:t>
            </w:r>
          </w:p>
          <w:p w14:paraId="5D47CCDA">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①基础信息，包括单位名称、组织机构代码、法定代表人、生产地址、联系方式，以及生产经营和管理服务的主要内容、产品及规模；</w:t>
            </w:r>
          </w:p>
          <w:p w14:paraId="3864A37A">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②排污信息，包括主要污染物及特征污染物的名称、排放方式、排放总量、超标情况，以及执行的污染物排放标准；</w:t>
            </w:r>
          </w:p>
          <w:p w14:paraId="1836D07D">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③防治污染设施的建设和运行情况；</w:t>
            </w:r>
          </w:p>
          <w:p w14:paraId="07D3D993">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④建设项目环境影响评价及其他环境保护行政许可情况。</w:t>
            </w:r>
          </w:p>
          <w:p w14:paraId="6F74455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3.</w:t>
            </w:r>
            <w:r>
              <w:rPr>
                <w:rFonts w:hint="eastAsia" w:cs="Times New Roman"/>
                <w:b/>
                <w:bCs/>
                <w:color w:val="000000" w:themeColor="text1"/>
                <w:sz w:val="24"/>
                <w:szCs w:val="24"/>
                <w:lang w:val="en-US" w:eastAsia="zh-CN"/>
                <w14:textFill>
                  <w14:solidFill>
                    <w14:schemeClr w14:val="tx1"/>
                  </w14:solidFill>
                </w14:textFill>
              </w:rPr>
              <w:t>污染治理设施运行管理要求</w:t>
            </w:r>
          </w:p>
          <w:p w14:paraId="48E5EB8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（1）基本要求</w:t>
            </w:r>
          </w:p>
          <w:p w14:paraId="4F2137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窑炉、原料制备生产线与除尘、脱硫设施同步启停、同步检修。严格按设计参数运行，严禁旁路、直排、稀释排放；污染防治设施不得擅自拆除或者闲置，确保项目废气达标排放，并按照排污许可证台账记录要求记录</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污染防治设施运行信息</w:t>
            </w:r>
            <w:r>
              <w:rPr>
                <w:rFonts w:hint="eastAsia" w:cs="Times New Roman"/>
                <w:b w:val="0"/>
                <w:bCs w:val="0"/>
                <w:color w:val="000000" w:themeColor="text1"/>
                <w:sz w:val="24"/>
                <w:szCs w:val="24"/>
                <w:lang w:val="en-US" w:eastAsia="zh-CN"/>
                <w14:textFill>
                  <w14:solidFill>
                    <w14:schemeClr w14:val="tx1"/>
                  </w14:solidFill>
                </w14:textFill>
              </w:rPr>
              <w:t>。</w:t>
            </w:r>
          </w:p>
          <w:p w14:paraId="7168967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（2）主要设施运行管理要求</w:t>
            </w:r>
          </w:p>
          <w:p w14:paraId="52AEF2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1）袋式除尘器</w:t>
            </w:r>
          </w:p>
          <w:p w14:paraId="3635E70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①袋式除尘系统的运行和维护应由专职机构和人员负责，应配置技术人员与必要的检测仪器。对操作人员应进行培训，合格后上岗。</w:t>
            </w:r>
          </w:p>
          <w:p w14:paraId="037D85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②袋式除尘系统的运行和维护应有操作规程和管理制度。</w:t>
            </w:r>
          </w:p>
          <w:p w14:paraId="27B1F0D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③袋式除尘系统运行记录应按月整理成册作为袋式除尘器运行历史档案备查，运行记录应记录生产设备负荷、处理风量、工作温度、工作压力、出口粉尘浓度等，记录保留时间不少于2年。</w:t>
            </w:r>
          </w:p>
          <w:p w14:paraId="7BFDB74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④应注意并记录袋式除尘系统的温度、压差、压力和电流等关键技术参数，发现异常时应及时采取保护措施。</w:t>
            </w:r>
          </w:p>
          <w:p w14:paraId="0128E2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⑤袋式除尘系统不得在超过设计负荷120%的状况下长期运行。</w:t>
            </w:r>
          </w:p>
          <w:p w14:paraId="103F991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⑥当袋式除尘器运行至滤袋设计寿命前3个月时，企业应着手采购滤袋，防止糊袋、烧袋。</w:t>
            </w:r>
          </w:p>
          <w:p w14:paraId="2F6927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⑦袋式除尘系统重点巡检部位及要求：</w:t>
            </w:r>
          </w:p>
          <w:p w14:paraId="37467AE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a）定时巡检脉冲阀和其他阀门的运行状况，以及人孔门、检查门的密封情况。若发现脉冲阀异常应及时处理；</w:t>
            </w:r>
          </w:p>
          <w:p w14:paraId="0163359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b）定时巡检空气压缩机（罗茨风机）的工作状态，包括油位、排气压力、压力上升时间等；</w:t>
            </w:r>
          </w:p>
          <w:p w14:paraId="3E82B08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c）对于回转脉冲袋式除尘器，定时检查回转机构的运行状况；</w:t>
            </w:r>
          </w:p>
          <w:p w14:paraId="0BA57F2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d）定期对缓冲罐、贮气罐、分气包和油水分离器放水；</w:t>
            </w:r>
          </w:p>
          <w:p w14:paraId="75FE248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e）定时巡检稳压气包压力。当出现压力高于上限或低于下限时，应立即检查空气压缩机和压缩空气系统，及时排除故障；</w:t>
            </w:r>
          </w:p>
          <w:p w14:paraId="12AA707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f）定时巡检压缩气体过滤装置；</w:t>
            </w:r>
          </w:p>
          <w:p w14:paraId="511F877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g）卸灰时应检查卸、输灰装置的运行状况，发现异常及时处理；</w:t>
            </w:r>
          </w:p>
          <w:p w14:paraId="0641A4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h）实时检查风机与电机运行状况、轴承温度、油位和振动，发现异常及时处理；</w:t>
            </w:r>
          </w:p>
          <w:p w14:paraId="71A6104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i）定时检查冷却系统运行状态，发现问题及时处理；</w:t>
            </w:r>
          </w:p>
          <w:p w14:paraId="5892A3C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j）定时检查压力变送器取压管是否通畅。发现堵塞应及时处理；</w:t>
            </w:r>
          </w:p>
          <w:p w14:paraId="425FB05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k）定时检查灰斗料位状况，当高料位信号报警后，应及时卸灰；</w:t>
            </w:r>
          </w:p>
          <w:p w14:paraId="5AA43A6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I）观察排气筒排放状况。若滤袋破损，应及时处理或更换；</w:t>
            </w:r>
          </w:p>
          <w:p w14:paraId="5DF684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m）值班人员每班至少巡检2次。</w:t>
            </w:r>
          </w:p>
          <w:p w14:paraId="1A1792C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⑧生产工艺停运过程中，袋式除尘系统应正常使用。生产设备停运后袋式除尘系统应继续运行5～10min，进行通风清扫。对于短期停运（不超过四天），除尘器可不清灰，再次启动时可不进行预涂灰。长期停运时，应对滤袋彻底清灰，并清输灰斗的存灰。再次启动时宜进行预涂灰。袋式除尘器停运后，宜用空气置换内部烟气。袋式除尘器停运期间应关闭除尘器进/出口阀门、引风机阀门、人孔门和检修门等。</w:t>
            </w:r>
          </w:p>
          <w:p w14:paraId="61753A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2）脱硫塔</w:t>
            </w:r>
          </w:p>
          <w:p w14:paraId="342B74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①企业应保持脱硫设施稳定高效运行，定期维护设施设备，规范处置废渣废水等副产物。运维人员应熟悉脱硫设施工艺运行维护要求、相关参数间逻辑关系。规范记录并保存设施运行关键参数，记录脱硫剂购买和使用情况、设施运行、故障和维修情况、副产物产生及处理情况、定期检修等情况。</w:t>
            </w:r>
          </w:p>
          <w:p w14:paraId="0D6DB4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②脱硫工程不得在超过设计负荷的条件下长期运行。</w:t>
            </w:r>
          </w:p>
          <w:p w14:paraId="40D563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③主体工程启停机时应安排脱硫工程先开后停。</w:t>
            </w:r>
          </w:p>
          <w:p w14:paraId="316F79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④应制定脱硫工程事故应急预案，脱硫工程事故应急内容至少应包括排放超标应急处理、事故停机应急处理、重要设备/系统故障应急处理、火灾事故应急处理、触电事故应急处理、突发停水/停电应急处理、人员伤亡应急救援。事故处理时应做好记录、分析原因，防止同类事故重复发生。</w:t>
            </w:r>
          </w:p>
          <w:p w14:paraId="40179D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⑤禁止将脱硫副产物掺入燃料、原料中燃烧，或不经处理随废水直排。禁止脱硫废液未经处理直排或进行绿化、抑尘、掺烧、冲渣。</w:t>
            </w:r>
          </w:p>
          <w:p w14:paraId="082BB74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2" w:firstLineChars="200"/>
              <w:textAlignment w:val="auto"/>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4.无组织排放控制要求</w:t>
            </w:r>
          </w:p>
          <w:p w14:paraId="4F7C1B0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根据《排污许可证申请与核发技术规范  陶瓷砖瓦工业》（HJ954-2018）</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项目</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无组织排放控制要求</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如下：</w:t>
            </w:r>
          </w:p>
          <w:p w14:paraId="2635210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①粉状物料料场应采用封闭、半封闭料场（仓、库、棚），并采取抑尘措施；有包装袋的物料采取覆盖措施。</w:t>
            </w:r>
          </w:p>
          <w:p w14:paraId="6B722CD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②原料均化应在封闭、半封闭料场（仓、库、棚）中进行。</w:t>
            </w:r>
          </w:p>
          <w:p w14:paraId="11C3B5F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③粉状物料应密闭输送；其他物料输送应在转运点设置集气罩，并配备除尘设施。</w:t>
            </w:r>
          </w:p>
          <w:p w14:paraId="15470E5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④原料的粉碎、筛分、配料、混合搅拌、制备等工序，均应采用封闭式作业，并配备除尘设施。</w:t>
            </w:r>
          </w:p>
          <w:p w14:paraId="1D81525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color w:val="000000" w:themeColor="text1"/>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⑤厂区道路应硬化。道路采取清扫、洒水等措施，保持清洁。</w:t>
            </w:r>
          </w:p>
          <w:p w14:paraId="75A31E6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2" w:firstLineChars="200"/>
              <w:textAlignment w:val="auto"/>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5.固体废物管理要求</w:t>
            </w:r>
          </w:p>
          <w:p w14:paraId="45AA4144">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（1）一般工业固体废物自行利用管理要求</w:t>
            </w:r>
          </w:p>
          <w:p w14:paraId="27C96EC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①采用库房、包装工具（罐、桶、包装袋等）贮存一般工业固体废物的，贮存过程应满足相应防渗漏、防雨淋、防扬尘等环境保护要求</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p>
          <w:p w14:paraId="2989844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②危险废物和生活垃圾不得进入一般工业固体废物贮存场</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p>
          <w:p w14:paraId="75CB3EB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③不相容的一般工业固体废物应设置不同的分区进行贮存</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p>
          <w:p w14:paraId="181CB3B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④贮存场应设置清晰、完整的一般工业固体废物标志牌等。</w:t>
            </w:r>
          </w:p>
          <w:p w14:paraId="026152F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⑤应建立</w:t>
            </w:r>
            <w:r>
              <w:rPr>
                <w:rFonts w:hint="eastAsia" w:cs="Times New Roman" w:eastAsiaTheme="minorEastAsia"/>
                <w:color w:val="000000" w:themeColor="text1"/>
                <w:sz w:val="24"/>
                <w:szCs w:val="24"/>
                <w:lang w:val="en-US" w:eastAsia="zh-CN"/>
                <w14:textFill>
                  <w14:solidFill>
                    <w14:schemeClr w14:val="tx1"/>
                  </w14:solidFill>
                </w14:textFill>
              </w:rPr>
              <w:t>一般工业固体废物</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管理台账，如实记录</w:t>
            </w:r>
            <w:r>
              <w:rPr>
                <w:rFonts w:hint="eastAsia" w:cs="Times New Roman" w:eastAsiaTheme="minorEastAsia"/>
                <w:color w:val="000000" w:themeColor="text1"/>
                <w:sz w:val="24"/>
                <w:szCs w:val="24"/>
                <w:lang w:val="en-US" w:eastAsia="zh-CN"/>
                <w14:textFill>
                  <w14:solidFill>
                    <w14:schemeClr w14:val="tx1"/>
                  </w14:solidFill>
                </w14:textFill>
              </w:rPr>
              <w:t>产生、贮存、利用相关情况</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w:t>
            </w:r>
          </w:p>
          <w:p w14:paraId="791901E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⑥严格执行环境影响评价制度。需要配套建设的</w:t>
            </w:r>
            <w:r>
              <w:rPr>
                <w:rFonts w:hint="eastAsia" w:cs="Times New Roman" w:eastAsiaTheme="minorEastAsia"/>
                <w:color w:val="000000" w:themeColor="text1"/>
                <w:sz w:val="24"/>
                <w:szCs w:val="24"/>
                <w:lang w:val="en-US" w:eastAsia="zh-CN"/>
                <w14:textFill>
                  <w14:solidFill>
                    <w14:schemeClr w14:val="tx1"/>
                  </w14:solidFill>
                </w14:textFill>
              </w:rPr>
              <w:t>一般工业固体废物暂存间</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应当与主体工程同时设计、同时施工、同时投入使用。</w:t>
            </w:r>
          </w:p>
          <w:p w14:paraId="78C9D40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（2）危险废物委托处置、利用管理要求</w:t>
            </w:r>
          </w:p>
          <w:p w14:paraId="2A0F2E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①落实污染环境防治责任制度。建立健全工业危险废物产生、收集、贮存、运输、利用、处置全过程的污染环境防治责任制度。</w:t>
            </w:r>
          </w:p>
          <w:p w14:paraId="1573DC6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②执行危险废物标识制度。对危险废物的容器和包装物以及收集、贮存危险废物的设施、场所，应当按照</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相关</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规定设置危险废物识别标志。</w:t>
            </w:r>
          </w:p>
          <w:p w14:paraId="50D7D3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③执行管理台账及申报制度。应建立危险废物管理台账，如实记录有关信息。</w:t>
            </w:r>
          </w:p>
          <w:p w14:paraId="08D2231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④禁止将危险废物提供或委托给无许可证的单位或者其他生产经营者从事收集、贮存、利用、处置活动。</w:t>
            </w:r>
          </w:p>
          <w:p w14:paraId="0A64429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⑤执行转移联单制度。转移危险废物的，应当按照《危险废物转移联单管理办法》的有关规定填写、运行危险废物电子或者纸质转移联单。</w:t>
            </w:r>
          </w:p>
          <w:p w14:paraId="6D70EA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⑥执行环境保护标准要求。应当按照国家有关规定和环境保护标准要求，贮存危险废物，不得将其擅自倾倒处置；禁止混合收集、贮存性质不相容而未经安全性处置的危险废物。危险废物收集、贮存应当按照其特性分类进行；禁止将危险废物混入非危险废物中贮存。</w:t>
            </w:r>
          </w:p>
          <w:p w14:paraId="7791D4E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⑦严格执行环境影响评价制度。需要配套建设的危险废物贮存设施应当与主体工程同时设计、同时施工、同时投入使用。</w:t>
            </w:r>
          </w:p>
          <w:p w14:paraId="5AAC748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⑧</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废润滑油</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必须装入完好无损的密闭容器内贮存</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容器内必须留足空间</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贮存设施须设置泄漏液体收集装置。</w:t>
            </w:r>
          </w:p>
          <w:p w14:paraId="2CB1D713">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6.燃料</w:t>
            </w:r>
            <w:r>
              <w:rPr>
                <w:rFonts w:hint="eastAsia" w:ascii="Times New Roman" w:hAnsi="Times New Roman" w:cs="Times New Roman" w:eastAsiaTheme="minorEastAsia"/>
                <w:b/>
                <w:bCs/>
                <w:color w:val="000000" w:themeColor="text1"/>
                <w:sz w:val="24"/>
                <w:szCs w:val="24"/>
                <w:lang w:val="en-US" w:eastAsia="zh-CN"/>
                <w14:textFill>
                  <w14:solidFill>
                    <w14:schemeClr w14:val="tx1"/>
                  </w14:solidFill>
                </w14:textFill>
              </w:rPr>
              <w:t>管控</w:t>
            </w: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要求</w:t>
            </w:r>
          </w:p>
          <w:p w14:paraId="6726156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燃料采购管控：选用正规厂家成型生物质颗粒，原料为农林废弃秸秆、木屑、竹屑等生物质废料，</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严禁掺杂</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生活垃圾、废塑料、废油漆桶、工业危废、含硫含油废料；建立</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燃料进货台账，留存供货票据、质检单，记录进货量、来源、质检指标。</w:t>
            </w:r>
          </w:p>
          <w:p w14:paraId="0BB7E3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品质指标管控：严控颗粒热值、灰分、硫分、氯含量，优先选用低硫原料，减少SO₂及烟尘产生。</w:t>
            </w:r>
          </w:p>
          <w:p w14:paraId="17FE02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贮存管控：生物质颗粒存放于密闭防雨原料库房，分区堆放、地面硬化，设置防雨、防渗、通风设施，配备消防器材，防止淋雨受潮自燃、扬尘无组织逸散；库房周边围挡密闭。</w:t>
            </w:r>
          </w:p>
          <w:p w14:paraId="112A0F7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投料与燃烧管控：根据窑炉工况均匀进料，合理调控炉膛温度，保证生物质充分燃烧，减少不完全燃烧烟尘、</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氮氧化物</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产生；</w:t>
            </w: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禁止混烧煤炭、重油等高污染燃料</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w:t>
            </w:r>
          </w:p>
          <w:p w14:paraId="232344E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计量台账管理：建立燃料日消耗量台账，登记采购、入库、领用、耗用量；定期抽检燃料理化指标，留存检测记录。</w:t>
            </w:r>
          </w:p>
          <w:p w14:paraId="36722C4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7.</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其他要求</w:t>
            </w:r>
          </w:p>
          <w:p w14:paraId="610F70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项目的性质、规模、地点、采用的生产工艺或者防治污染的措施发生重大变动的</w:t>
            </w:r>
            <w:r>
              <w:rPr>
                <w:rFonts w:hint="eastAsia" w:cs="宋体"/>
                <w:b w:val="0"/>
                <w:bCs w:val="0"/>
                <w:color w:val="000000" w:themeColor="text1"/>
                <w:kern w:val="0"/>
                <w:sz w:val="24"/>
                <w:szCs w:val="24"/>
                <w:lang w:val="en-US" w:eastAsia="zh-CN"/>
                <w14:textFill>
                  <w14:solidFill>
                    <w14:schemeClr w14:val="tx1"/>
                  </w14:solidFill>
                </w14:textFill>
              </w:rPr>
              <w:t>以及</w:t>
            </w:r>
            <w:r>
              <w:rPr>
                <w:rFonts w:hint="eastAsia" w:ascii="Times New Roman" w:hAnsi="Times New Roman" w:eastAsia="宋体" w:cs="宋体"/>
                <w:b w:val="0"/>
                <w:bCs w:val="0"/>
                <w:color w:val="000000" w:themeColor="text1"/>
                <w:kern w:val="0"/>
                <w:sz w:val="24"/>
                <w:szCs w:val="24"/>
                <w:lang w:val="en-US" w:eastAsia="zh-CN"/>
                <w14:textFill>
                  <w14:solidFill>
                    <w14:schemeClr w14:val="tx1"/>
                  </w14:solidFill>
                </w14:textFill>
              </w:rPr>
              <w:t>实际生产运行过程中若主要原辅材料、燃料变化，导致以下情形之一：①新增排放污染物种类的（毒性、挥发性降低的除外）；②位于环境质量不达标区的建设项目相应污染物排放量增加的；③废水第一类污染物排放量增加的；④其他污染物排放量增加10%及以上的。</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应当重新报批建设项目的环境影响评价文件。</w:t>
            </w:r>
          </w:p>
          <w:p w14:paraId="2F036BB2">
            <w:pPr>
              <w:bidi w:val="0"/>
              <w:rPr>
                <w:rFonts w:hint="default"/>
                <w:color w:val="000000" w:themeColor="text1"/>
                <w:lang w:val="en-US" w:eastAsia="zh-CN"/>
                <w14:textFill>
                  <w14:solidFill>
                    <w14:schemeClr w14:val="tx1"/>
                  </w14:solidFill>
                </w14:textFill>
              </w:rPr>
            </w:pPr>
          </w:p>
          <w:p w14:paraId="173E5AB2">
            <w:pPr>
              <w:bidi w:val="0"/>
              <w:rPr>
                <w:rFonts w:hint="default"/>
                <w:color w:val="000000" w:themeColor="text1"/>
                <w:lang w:val="en-US" w:eastAsia="zh-CN"/>
                <w14:textFill>
                  <w14:solidFill>
                    <w14:schemeClr w14:val="tx1"/>
                  </w14:solidFill>
                </w14:textFill>
              </w:rPr>
            </w:pPr>
          </w:p>
          <w:p w14:paraId="48C1E442">
            <w:pPr>
              <w:bidi w:val="0"/>
              <w:rPr>
                <w:rFonts w:hint="default"/>
                <w:color w:val="000000" w:themeColor="text1"/>
                <w:lang w:val="en-US" w:eastAsia="zh-CN"/>
                <w14:textFill>
                  <w14:solidFill>
                    <w14:schemeClr w14:val="tx1"/>
                  </w14:solidFill>
                </w14:textFill>
              </w:rPr>
            </w:pPr>
          </w:p>
          <w:p w14:paraId="3425739E">
            <w:pPr>
              <w:bidi w:val="0"/>
              <w:rPr>
                <w:rFonts w:hint="default"/>
                <w:color w:val="000000" w:themeColor="text1"/>
                <w:lang w:val="en-US" w:eastAsia="zh-CN"/>
                <w14:textFill>
                  <w14:solidFill>
                    <w14:schemeClr w14:val="tx1"/>
                  </w14:solidFill>
                </w14:textFill>
              </w:rPr>
            </w:pPr>
          </w:p>
          <w:p w14:paraId="0545E673">
            <w:pPr>
              <w:bidi w:val="0"/>
              <w:rPr>
                <w:rFonts w:hint="default"/>
                <w:color w:val="000000" w:themeColor="text1"/>
                <w:lang w:val="en-US" w:eastAsia="zh-CN"/>
                <w14:textFill>
                  <w14:solidFill>
                    <w14:schemeClr w14:val="tx1"/>
                  </w14:solidFill>
                </w14:textFill>
              </w:rPr>
            </w:pPr>
          </w:p>
          <w:p w14:paraId="05E88387">
            <w:pPr>
              <w:bidi w:val="0"/>
              <w:rPr>
                <w:rFonts w:hint="default"/>
                <w:color w:val="000000" w:themeColor="text1"/>
                <w:lang w:val="en-US" w:eastAsia="zh-CN"/>
                <w14:textFill>
                  <w14:solidFill>
                    <w14:schemeClr w14:val="tx1"/>
                  </w14:solidFill>
                </w14:textFill>
              </w:rPr>
            </w:pPr>
          </w:p>
          <w:p w14:paraId="54C34329">
            <w:pPr>
              <w:bidi w:val="0"/>
              <w:rPr>
                <w:rFonts w:hint="default"/>
                <w:color w:val="000000" w:themeColor="text1"/>
                <w:lang w:val="en-US" w:eastAsia="zh-CN"/>
                <w14:textFill>
                  <w14:solidFill>
                    <w14:schemeClr w14:val="tx1"/>
                  </w14:solidFill>
                </w14:textFill>
              </w:rPr>
            </w:pPr>
          </w:p>
          <w:p w14:paraId="253AE9DE">
            <w:pPr>
              <w:bidi w:val="0"/>
              <w:rPr>
                <w:rFonts w:hint="default"/>
                <w:color w:val="000000" w:themeColor="text1"/>
                <w:lang w:val="en-US" w:eastAsia="zh-CN"/>
                <w14:textFill>
                  <w14:solidFill>
                    <w14:schemeClr w14:val="tx1"/>
                  </w14:solidFill>
                </w14:textFill>
              </w:rPr>
            </w:pPr>
          </w:p>
          <w:p w14:paraId="48A357D6">
            <w:pPr>
              <w:bidi w:val="0"/>
              <w:rPr>
                <w:rFonts w:hint="default"/>
                <w:color w:val="000000" w:themeColor="text1"/>
                <w:lang w:val="en-US" w:eastAsia="zh-CN"/>
                <w14:textFill>
                  <w14:solidFill>
                    <w14:schemeClr w14:val="tx1"/>
                  </w14:solidFill>
                </w14:textFill>
              </w:rPr>
            </w:pPr>
          </w:p>
          <w:p w14:paraId="60A4BA88">
            <w:pPr>
              <w:bidi w:val="0"/>
              <w:rPr>
                <w:rFonts w:hint="default"/>
                <w:color w:val="000000" w:themeColor="text1"/>
                <w:lang w:val="en-US" w:eastAsia="zh-CN"/>
                <w14:textFill>
                  <w14:solidFill>
                    <w14:schemeClr w14:val="tx1"/>
                  </w14:solidFill>
                </w14:textFill>
              </w:rPr>
            </w:pPr>
          </w:p>
          <w:p w14:paraId="4D8F1080">
            <w:pPr>
              <w:bidi w:val="0"/>
              <w:rPr>
                <w:rFonts w:hint="default"/>
                <w:color w:val="000000" w:themeColor="text1"/>
                <w:lang w:val="en-US" w:eastAsia="zh-CN"/>
                <w14:textFill>
                  <w14:solidFill>
                    <w14:schemeClr w14:val="tx1"/>
                  </w14:solidFill>
                </w14:textFill>
              </w:rPr>
            </w:pPr>
          </w:p>
          <w:p w14:paraId="290F3832">
            <w:pPr>
              <w:bidi w:val="0"/>
              <w:rPr>
                <w:rFonts w:hint="default"/>
                <w:color w:val="000000" w:themeColor="text1"/>
                <w:lang w:val="en-US" w:eastAsia="zh-CN"/>
                <w14:textFill>
                  <w14:solidFill>
                    <w14:schemeClr w14:val="tx1"/>
                  </w14:solidFill>
                </w14:textFill>
              </w:rPr>
            </w:pPr>
          </w:p>
          <w:p w14:paraId="6B4A5EAD">
            <w:pPr>
              <w:bidi w:val="0"/>
              <w:rPr>
                <w:rFonts w:hint="default"/>
                <w:color w:val="000000" w:themeColor="text1"/>
                <w:lang w:val="en-US" w:eastAsia="zh-CN"/>
                <w14:textFill>
                  <w14:solidFill>
                    <w14:schemeClr w14:val="tx1"/>
                  </w14:solidFill>
                </w14:textFill>
              </w:rPr>
            </w:pPr>
          </w:p>
          <w:p w14:paraId="5C02855B">
            <w:pPr>
              <w:bidi w:val="0"/>
              <w:rPr>
                <w:rFonts w:hint="default"/>
                <w:color w:val="000000" w:themeColor="text1"/>
                <w:lang w:val="en-US" w:eastAsia="zh-CN"/>
                <w14:textFill>
                  <w14:solidFill>
                    <w14:schemeClr w14:val="tx1"/>
                  </w14:solidFill>
                </w14:textFill>
              </w:rPr>
            </w:pPr>
          </w:p>
          <w:p w14:paraId="244D77AD">
            <w:pPr>
              <w:bidi w:val="0"/>
              <w:rPr>
                <w:rFonts w:hint="default"/>
                <w:color w:val="000000" w:themeColor="text1"/>
                <w:lang w:val="en-US" w:eastAsia="zh-CN"/>
                <w14:textFill>
                  <w14:solidFill>
                    <w14:schemeClr w14:val="tx1"/>
                  </w14:solidFill>
                </w14:textFill>
              </w:rPr>
            </w:pPr>
          </w:p>
          <w:p w14:paraId="27C652EE">
            <w:pPr>
              <w:bidi w:val="0"/>
              <w:rPr>
                <w:rFonts w:hint="default"/>
                <w:color w:val="000000" w:themeColor="text1"/>
                <w:lang w:val="en-US" w:eastAsia="zh-CN"/>
                <w14:textFill>
                  <w14:solidFill>
                    <w14:schemeClr w14:val="tx1"/>
                  </w14:solidFill>
                </w14:textFill>
              </w:rPr>
            </w:pPr>
          </w:p>
          <w:p w14:paraId="694A78FA">
            <w:pPr>
              <w:bidi w:val="0"/>
              <w:rPr>
                <w:rFonts w:hint="default"/>
                <w:color w:val="000000" w:themeColor="text1"/>
                <w:lang w:val="en-US" w:eastAsia="zh-CN"/>
                <w14:textFill>
                  <w14:solidFill>
                    <w14:schemeClr w14:val="tx1"/>
                  </w14:solidFill>
                </w14:textFill>
              </w:rPr>
            </w:pPr>
          </w:p>
          <w:p w14:paraId="37465F57">
            <w:pPr>
              <w:bidi w:val="0"/>
              <w:rPr>
                <w:rFonts w:hint="default"/>
                <w:color w:val="000000" w:themeColor="text1"/>
                <w:lang w:val="en-US" w:eastAsia="zh-CN"/>
                <w14:textFill>
                  <w14:solidFill>
                    <w14:schemeClr w14:val="tx1"/>
                  </w14:solidFill>
                </w14:textFill>
              </w:rPr>
            </w:pPr>
          </w:p>
          <w:p w14:paraId="06ACD887">
            <w:pPr>
              <w:bidi w:val="0"/>
              <w:rPr>
                <w:rFonts w:hint="default"/>
                <w:color w:val="000000" w:themeColor="text1"/>
                <w:lang w:val="en-US" w:eastAsia="zh-CN"/>
                <w14:textFill>
                  <w14:solidFill>
                    <w14:schemeClr w14:val="tx1"/>
                  </w14:solidFill>
                </w14:textFill>
              </w:rPr>
            </w:pPr>
          </w:p>
          <w:p w14:paraId="0509FEFB">
            <w:pPr>
              <w:bidi w:val="0"/>
              <w:rPr>
                <w:rFonts w:hint="default"/>
                <w:color w:val="000000" w:themeColor="text1"/>
                <w:lang w:val="en-US" w:eastAsia="zh-CN"/>
                <w14:textFill>
                  <w14:solidFill>
                    <w14:schemeClr w14:val="tx1"/>
                  </w14:solidFill>
                </w14:textFill>
              </w:rPr>
            </w:pPr>
          </w:p>
          <w:p w14:paraId="759BBFBB">
            <w:pPr>
              <w:bidi w:val="0"/>
              <w:rPr>
                <w:rFonts w:hint="default"/>
                <w:color w:val="000000" w:themeColor="text1"/>
                <w:lang w:val="en-US" w:eastAsia="zh-CN"/>
                <w14:textFill>
                  <w14:solidFill>
                    <w14:schemeClr w14:val="tx1"/>
                  </w14:solidFill>
                </w14:textFill>
              </w:rPr>
            </w:pPr>
          </w:p>
          <w:p w14:paraId="1AF563EE">
            <w:pPr>
              <w:bidi w:val="0"/>
              <w:rPr>
                <w:rFonts w:hint="default"/>
                <w:color w:val="000000" w:themeColor="text1"/>
                <w:lang w:val="en-US" w:eastAsia="zh-CN"/>
                <w14:textFill>
                  <w14:solidFill>
                    <w14:schemeClr w14:val="tx1"/>
                  </w14:solidFill>
                </w14:textFill>
              </w:rPr>
            </w:pPr>
          </w:p>
          <w:p w14:paraId="00E7505C">
            <w:pPr>
              <w:bidi w:val="0"/>
              <w:rPr>
                <w:rFonts w:hint="default"/>
                <w:color w:val="000000" w:themeColor="text1"/>
                <w:lang w:val="en-US" w:eastAsia="zh-CN"/>
                <w14:textFill>
                  <w14:solidFill>
                    <w14:schemeClr w14:val="tx1"/>
                  </w14:solidFill>
                </w14:textFill>
              </w:rPr>
            </w:pPr>
          </w:p>
          <w:p w14:paraId="29BDD3F9">
            <w:pPr>
              <w:pStyle w:val="16"/>
              <w:rPr>
                <w:rFonts w:hint="default"/>
                <w:color w:val="000000" w:themeColor="text1"/>
                <w:lang w:val="en-US" w:eastAsia="zh-CN"/>
                <w14:textFill>
                  <w14:solidFill>
                    <w14:schemeClr w14:val="tx1"/>
                  </w14:solidFill>
                </w14:textFill>
              </w:rPr>
            </w:pPr>
          </w:p>
          <w:p w14:paraId="7BFD6535">
            <w:pPr>
              <w:pStyle w:val="16"/>
              <w:rPr>
                <w:rFonts w:hint="default"/>
                <w:color w:val="000000" w:themeColor="text1"/>
                <w:lang w:val="en-US" w:eastAsia="zh-CN"/>
                <w14:textFill>
                  <w14:solidFill>
                    <w14:schemeClr w14:val="tx1"/>
                  </w14:solidFill>
                </w14:textFill>
              </w:rPr>
            </w:pPr>
          </w:p>
          <w:p w14:paraId="1A322DE7">
            <w:pPr>
              <w:pStyle w:val="16"/>
              <w:rPr>
                <w:rFonts w:hint="default"/>
                <w:color w:val="000000" w:themeColor="text1"/>
                <w:lang w:val="en-US" w:eastAsia="zh-CN"/>
                <w14:textFill>
                  <w14:solidFill>
                    <w14:schemeClr w14:val="tx1"/>
                  </w14:solidFill>
                </w14:textFill>
              </w:rPr>
            </w:pPr>
          </w:p>
          <w:p w14:paraId="39BE2E29">
            <w:pPr>
              <w:pStyle w:val="16"/>
              <w:rPr>
                <w:rFonts w:hint="default"/>
                <w:color w:val="000000" w:themeColor="text1"/>
                <w:lang w:val="en-US" w:eastAsia="zh-CN"/>
                <w14:textFill>
                  <w14:solidFill>
                    <w14:schemeClr w14:val="tx1"/>
                  </w14:solidFill>
                </w14:textFill>
              </w:rPr>
            </w:pPr>
          </w:p>
          <w:p w14:paraId="26F326F2">
            <w:pPr>
              <w:pStyle w:val="16"/>
              <w:rPr>
                <w:rFonts w:hint="default"/>
                <w:color w:val="000000" w:themeColor="text1"/>
                <w:lang w:val="en-US" w:eastAsia="zh-CN"/>
                <w14:textFill>
                  <w14:solidFill>
                    <w14:schemeClr w14:val="tx1"/>
                  </w14:solidFill>
                </w14:textFill>
              </w:rPr>
            </w:pPr>
          </w:p>
          <w:p w14:paraId="27DD961D">
            <w:pPr>
              <w:pStyle w:val="7"/>
              <w:rPr>
                <w:rFonts w:hint="default"/>
                <w:color w:val="000000" w:themeColor="text1"/>
                <w:lang w:val="en-US" w:eastAsia="zh-CN"/>
                <w14:textFill>
                  <w14:solidFill>
                    <w14:schemeClr w14:val="tx1"/>
                  </w14:solidFill>
                </w14:textFill>
              </w:rPr>
            </w:pPr>
          </w:p>
        </w:tc>
      </w:tr>
    </w:tbl>
    <w:p w14:paraId="2DEF4389">
      <w:pPr>
        <w:pStyle w:val="2"/>
        <w:keepNext/>
        <w:keepLines w:val="0"/>
        <w:pageBreakBefore w:val="0"/>
        <w:widowControl w:val="0"/>
        <w:kinsoku/>
        <w:wordWrap/>
        <w:overflowPunct w:val="0"/>
        <w:topLinePunct w:val="0"/>
        <w:autoSpaceDE/>
        <w:autoSpaceDN/>
        <w:bidi w:val="0"/>
        <w:adjustRightInd/>
        <w:snapToGrid w:val="0"/>
        <w:spacing w:line="260" w:lineRule="auto"/>
        <w:ind w:left="0" w:firstLine="0"/>
        <w:jc w:val="center"/>
        <w:textAlignment w:val="auto"/>
        <w:rPr>
          <w:rFonts w:hint="eastAsia" w:ascii="Times New Roman" w:hAnsi="Times New Roman" w:eastAsia="宋体" w:cs="Times New Roman"/>
          <w:color w:val="000000" w:themeColor="text1"/>
          <w:lang w:val="en-US" w:eastAsia="zh-CN"/>
          <w14:textFill>
            <w14:solidFill>
              <w14:schemeClr w14:val="tx1"/>
            </w14:solidFill>
          </w14:textFill>
        </w:rPr>
      </w:pPr>
      <w:r>
        <w:rPr>
          <w:snapToGrid w:val="0"/>
          <w:color w:val="000000" w:themeColor="text1"/>
          <w14:textFill>
            <w14:solidFill>
              <w14:schemeClr w14:val="tx1"/>
            </w14:solidFill>
          </w14:textFill>
        </w:rPr>
        <w:br w:type="page"/>
      </w:r>
      <w:bookmarkStart w:id="12" w:name="_Toc25594"/>
      <w:r>
        <w:rPr>
          <w:rFonts w:hint="eastAsia" w:ascii="Times New Roman" w:hAnsi="Times New Roman" w:eastAsia="宋体" w:cs="Times New Roman"/>
          <w:color w:val="000000" w:themeColor="text1"/>
          <w:lang w:val="en-US" w:eastAsia="zh-CN"/>
          <w14:textFill>
            <w14:solidFill>
              <w14:schemeClr w14:val="tx1"/>
            </w14:solidFill>
          </w14:textFill>
        </w:rPr>
        <w:t>六、结论</w:t>
      </w:r>
      <w:bookmarkEnd w:id="12"/>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58A9F8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14:paraId="30B745D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宋体" w:cs="宋体"/>
                <w:color w:val="000000" w:themeColor="text1"/>
                <w:sz w:val="24"/>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本项目为青瓦制造项目，属于《曲靖市人民政府关于公布第六批市级非物质文化遗产代表性项目名录的通知》（2021-374）和《罗平县人民政府关于公布第四批非物质文化遗产项目及传承人的批复》（罗政复〔2021〕62号）中的非物质文化遗产项目，根据《中华人民共和国非物质文化遗产法》，国家对非物质文化遗产予以保护</w:t>
            </w:r>
            <w:r>
              <w:rPr>
                <w:rFonts w:hint="eastAsia" w:cs="Times New Roman"/>
                <w:bCs/>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为了更有</w:t>
            </w:r>
            <w:r>
              <w:rPr>
                <w:rFonts w:hint="eastAsia" w:cs="Times New Roman"/>
                <w:bCs/>
                <w:color w:val="000000" w:themeColor="text1"/>
                <w:sz w:val="24"/>
                <w:szCs w:val="24"/>
                <w:lang w:val="en-US" w:eastAsia="zh-CN"/>
                <w14:textFill>
                  <w14:solidFill>
                    <w14:schemeClr w14:val="tx1"/>
                  </w14:solidFill>
                </w14:textFill>
              </w:rPr>
              <w:t>力地</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支撑非遗文化的传承，在原有项目占地范围内进行改扩建，不新增占地；区域环境功能区质量总体能够满足相应标准要求。项目总体布局合理，项目在落实各项污染防治措施后，废气、废水、噪声等污染物可以做到达标排放，固废可得到妥善处置，对项目区域环境的影响程度和范围均较小。因此，从环境影响角度，项目建设可行。</w:t>
            </w:r>
          </w:p>
        </w:tc>
      </w:tr>
    </w:tbl>
    <w:p w14:paraId="3C1A6E63">
      <w:pPr>
        <w:pStyle w:val="47"/>
        <w:spacing w:before="192" w:beforeLines="80" w:after="24"/>
        <w:jc w:val="left"/>
        <w:rPr>
          <w:color w:val="000000" w:themeColor="text1"/>
          <w14:textFill>
            <w14:solidFill>
              <w14:schemeClr w14:val="tx1"/>
            </w14:solidFill>
          </w14:textFill>
        </w:rPr>
      </w:pPr>
    </w:p>
    <w:sectPr>
      <w:footerReference r:id="rId7"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imesNewRoman">
    <w:altName w:val="Times New Roman"/>
    <w:panose1 w:val="00000000000000000000"/>
    <w:charset w:val="00"/>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Math">
    <w:panose1 w:val="02040503050406030204"/>
    <w:charset w:val="00"/>
    <w:family w:val="auto"/>
    <w:pitch w:val="default"/>
    <w:sig w:usb0="E00006FF" w:usb1="420024FF" w:usb2="02000000" w:usb3="00000000" w:csb0="2000019F"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3119F">
    <w:pPr>
      <w:pStyle w:val="18"/>
      <w:ind w:right="360" w:firstLine="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15EF6">
    <w:pPr>
      <w:pStyle w:val="18"/>
      <w:framePr w:wrap="around" w:vAnchor="text" w:hAnchor="margin" w:xAlign="center" w:y="1"/>
      <w:rPr>
        <w:rStyle w:val="32"/>
      </w:rPr>
    </w:pPr>
    <w:r>
      <w:fldChar w:fldCharType="begin"/>
    </w:r>
    <w:r>
      <w:rPr>
        <w:rStyle w:val="32"/>
      </w:rPr>
      <w:instrText xml:space="preserve">PAGE  </w:instrText>
    </w:r>
    <w:r>
      <w:fldChar w:fldCharType="end"/>
    </w:r>
  </w:p>
  <w:p w14:paraId="71D9E8F6">
    <w:pPr>
      <w:pStyle w:val="1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F1B0B">
    <w:pPr>
      <w:pStyle w:val="18"/>
      <w:ind w:right="360" w:firstLine="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67D03">
    <w:pPr>
      <w:pStyle w:val="18"/>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20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6B1586">
                          <w:pPr>
                            <w:pStyle w:val="18"/>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文本框 204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NnjtdPgAQAAwgMAAA4AAAAA&#10;AAAAAQAgAAAAHgEAAGRycy9lMm9Eb2MueG1sUEsFBgAAAAAGAAYAWQEAAHAFAAAAAA==&#10;">
              <v:fill on="f" focussize="0,0"/>
              <v:stroke on="f"/>
              <v:imagedata o:title=""/>
              <o:lock v:ext="edit" aspectratio="f"/>
              <v:textbox inset="0mm,0mm,0mm,0mm" style="mso-fit-shape-to-text:t;">
                <w:txbxContent>
                  <w:p w14:paraId="7E6B1586">
                    <w:pPr>
                      <w:pStyle w:val="1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4E88E">
    <w:pPr>
      <w:tabs>
        <w:tab w:val="center" w:pos="4153"/>
        <w:tab w:val="right" w:pos="8306"/>
      </w:tabs>
      <w:ind w:right="360" w:firstLine="360"/>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8AC2CB6">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YQerU4AgAAcA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hhB6tTgCAABwBAAADgAAAAAAAAABACAAAAAfAQAAZHJzL2Uyb0RvYy54&#10;bWxQSwUGAAAAAAYABgBZAQAAyQUAAAAA&#10;">
              <v:fill on="f" focussize="0,0"/>
              <v:stroke on="f" weight="0.5pt"/>
              <v:imagedata o:title=""/>
              <o:lock v:ext="edit" aspectratio="f"/>
              <v:textbox inset="0mm,0mm,0mm,0mm" style="mso-fit-shape-to-text:t;">
                <w:txbxContent>
                  <w:p w14:paraId="48AC2CB6">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E34E82"/>
    <w:multiLevelType w:val="singleLevel"/>
    <w:tmpl w:val="E4E34E82"/>
    <w:lvl w:ilvl="0" w:tentative="0">
      <w:start w:val="1"/>
      <w:numFmt w:val="decimal"/>
      <w:pStyle w:val="21"/>
      <w:lvlText w:val="%1."/>
      <w:lvlJc w:val="left"/>
      <w:pPr>
        <w:tabs>
          <w:tab w:val="left" w:pos="2040"/>
        </w:tabs>
        <w:ind w:left="2040" w:hanging="360"/>
      </w:pPr>
    </w:lvl>
  </w:abstractNum>
  <w:abstractNum w:abstractNumId="1">
    <w:nsid w:val="418BB9CB"/>
    <w:multiLevelType w:val="singleLevel"/>
    <w:tmpl w:val="418BB9CB"/>
    <w:lvl w:ilvl="0" w:tentative="0">
      <w:start w:val="1"/>
      <w:numFmt w:val="decimal"/>
      <w:suff w:val="nothing"/>
      <w:lvlText w:val="（%1）"/>
      <w:lvlJc w:val="left"/>
    </w:lvl>
  </w:abstractNum>
  <w:abstractNum w:abstractNumId="2">
    <w:nsid w:val="46668927"/>
    <w:multiLevelType w:val="singleLevel"/>
    <w:tmpl w:val="46668927"/>
    <w:lvl w:ilvl="0" w:tentative="0">
      <w:start w:val="3"/>
      <w:numFmt w:val="decimal"/>
      <w:suff w:val="nothing"/>
      <w:lvlText w:val="（%1）"/>
      <w:lvlJc w:val="left"/>
    </w:lvl>
  </w:abstractNum>
  <w:abstractNum w:abstractNumId="3">
    <w:nsid w:val="522541E7"/>
    <w:multiLevelType w:val="singleLevel"/>
    <w:tmpl w:val="522541E7"/>
    <w:lvl w:ilvl="0" w:tentative="0">
      <w:start w:val="3"/>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iMDhiZDNmOGRiMmE2YWFjMDE2OTZlZjFmZmRlZmMifQ=="/>
  </w:docVars>
  <w:rsids>
    <w:rsidRoot w:val="00A14947"/>
    <w:rsid w:val="000060B3"/>
    <w:rsid w:val="0004364B"/>
    <w:rsid w:val="00061B1F"/>
    <w:rsid w:val="0007021A"/>
    <w:rsid w:val="000733C4"/>
    <w:rsid w:val="00074783"/>
    <w:rsid w:val="0008070B"/>
    <w:rsid w:val="000810AC"/>
    <w:rsid w:val="00081A02"/>
    <w:rsid w:val="00082231"/>
    <w:rsid w:val="0008624A"/>
    <w:rsid w:val="00092D38"/>
    <w:rsid w:val="0009377B"/>
    <w:rsid w:val="000A20C9"/>
    <w:rsid w:val="000B058F"/>
    <w:rsid w:val="000B4467"/>
    <w:rsid w:val="000B4DB9"/>
    <w:rsid w:val="000C09AC"/>
    <w:rsid w:val="000C767F"/>
    <w:rsid w:val="000D5A44"/>
    <w:rsid w:val="000E3ED2"/>
    <w:rsid w:val="000E3F2C"/>
    <w:rsid w:val="00131F42"/>
    <w:rsid w:val="001357F1"/>
    <w:rsid w:val="00140FA8"/>
    <w:rsid w:val="00142FEB"/>
    <w:rsid w:val="00143A2D"/>
    <w:rsid w:val="00145A41"/>
    <w:rsid w:val="00151675"/>
    <w:rsid w:val="00155351"/>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456F"/>
    <w:rsid w:val="002377D1"/>
    <w:rsid w:val="002506BC"/>
    <w:rsid w:val="00254345"/>
    <w:rsid w:val="00264557"/>
    <w:rsid w:val="002805AB"/>
    <w:rsid w:val="00284204"/>
    <w:rsid w:val="00291773"/>
    <w:rsid w:val="002A168C"/>
    <w:rsid w:val="002A3DC7"/>
    <w:rsid w:val="002B49E2"/>
    <w:rsid w:val="002B7B00"/>
    <w:rsid w:val="002B7C44"/>
    <w:rsid w:val="002C2B17"/>
    <w:rsid w:val="002C7866"/>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1711"/>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C283A"/>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470CC"/>
    <w:rsid w:val="0075162E"/>
    <w:rsid w:val="00754034"/>
    <w:rsid w:val="00756556"/>
    <w:rsid w:val="007618C4"/>
    <w:rsid w:val="00767980"/>
    <w:rsid w:val="00770B19"/>
    <w:rsid w:val="0077463F"/>
    <w:rsid w:val="007836EA"/>
    <w:rsid w:val="00784CDA"/>
    <w:rsid w:val="007906C4"/>
    <w:rsid w:val="007940EA"/>
    <w:rsid w:val="007967E8"/>
    <w:rsid w:val="007A1658"/>
    <w:rsid w:val="007A2170"/>
    <w:rsid w:val="007A22BF"/>
    <w:rsid w:val="007A3323"/>
    <w:rsid w:val="007B72B8"/>
    <w:rsid w:val="007B7A58"/>
    <w:rsid w:val="007C21B5"/>
    <w:rsid w:val="007D6A53"/>
    <w:rsid w:val="007E02F7"/>
    <w:rsid w:val="007E4BD2"/>
    <w:rsid w:val="007F7645"/>
    <w:rsid w:val="00801393"/>
    <w:rsid w:val="00802F88"/>
    <w:rsid w:val="0081293E"/>
    <w:rsid w:val="00815465"/>
    <w:rsid w:val="00817E9A"/>
    <w:rsid w:val="008306BD"/>
    <w:rsid w:val="00831A80"/>
    <w:rsid w:val="008322BB"/>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3B3"/>
    <w:rsid w:val="009A1BB4"/>
    <w:rsid w:val="009A2628"/>
    <w:rsid w:val="009A3200"/>
    <w:rsid w:val="009B0897"/>
    <w:rsid w:val="009B7BD9"/>
    <w:rsid w:val="009C7DD5"/>
    <w:rsid w:val="009E227D"/>
    <w:rsid w:val="009E5019"/>
    <w:rsid w:val="00A04F1B"/>
    <w:rsid w:val="00A0501B"/>
    <w:rsid w:val="00A14947"/>
    <w:rsid w:val="00A3295D"/>
    <w:rsid w:val="00A32A83"/>
    <w:rsid w:val="00A368DB"/>
    <w:rsid w:val="00A423AA"/>
    <w:rsid w:val="00A52DC6"/>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6409"/>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E32F3"/>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1231A"/>
    <w:rsid w:val="00D308ED"/>
    <w:rsid w:val="00D36D86"/>
    <w:rsid w:val="00D40BB2"/>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078"/>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2B19"/>
    <w:rsid w:val="00F87AA9"/>
    <w:rsid w:val="00F9212D"/>
    <w:rsid w:val="00F965DA"/>
    <w:rsid w:val="00FA406A"/>
    <w:rsid w:val="00FB503A"/>
    <w:rsid w:val="00FB516C"/>
    <w:rsid w:val="00FD0236"/>
    <w:rsid w:val="00FD18F4"/>
    <w:rsid w:val="00FD54DB"/>
    <w:rsid w:val="00FD619F"/>
    <w:rsid w:val="00FD6583"/>
    <w:rsid w:val="01064C9A"/>
    <w:rsid w:val="010B3014"/>
    <w:rsid w:val="0113106D"/>
    <w:rsid w:val="01290F7E"/>
    <w:rsid w:val="013E6E1F"/>
    <w:rsid w:val="014D4D61"/>
    <w:rsid w:val="015D1E09"/>
    <w:rsid w:val="015F308E"/>
    <w:rsid w:val="017C0AF4"/>
    <w:rsid w:val="017F7BC7"/>
    <w:rsid w:val="0183453D"/>
    <w:rsid w:val="01924065"/>
    <w:rsid w:val="01934780"/>
    <w:rsid w:val="019D55FE"/>
    <w:rsid w:val="01A06F09"/>
    <w:rsid w:val="01B42948"/>
    <w:rsid w:val="01BE338D"/>
    <w:rsid w:val="01CB6416"/>
    <w:rsid w:val="020C008E"/>
    <w:rsid w:val="021A77E1"/>
    <w:rsid w:val="022655F4"/>
    <w:rsid w:val="022C0A18"/>
    <w:rsid w:val="02346604"/>
    <w:rsid w:val="02626F38"/>
    <w:rsid w:val="02697903"/>
    <w:rsid w:val="02780202"/>
    <w:rsid w:val="02786C16"/>
    <w:rsid w:val="02802CCD"/>
    <w:rsid w:val="02820350"/>
    <w:rsid w:val="02860311"/>
    <w:rsid w:val="0289455A"/>
    <w:rsid w:val="02994018"/>
    <w:rsid w:val="02B06FC6"/>
    <w:rsid w:val="02B40E52"/>
    <w:rsid w:val="02C84327"/>
    <w:rsid w:val="02C921C9"/>
    <w:rsid w:val="02CA1C7C"/>
    <w:rsid w:val="02D12789"/>
    <w:rsid w:val="02DA2101"/>
    <w:rsid w:val="02DE5ECF"/>
    <w:rsid w:val="02E1151B"/>
    <w:rsid w:val="02E1776D"/>
    <w:rsid w:val="02EA4873"/>
    <w:rsid w:val="02F54D07"/>
    <w:rsid w:val="02F96569"/>
    <w:rsid w:val="032C04A6"/>
    <w:rsid w:val="033963F4"/>
    <w:rsid w:val="033B1182"/>
    <w:rsid w:val="03526200"/>
    <w:rsid w:val="03600D18"/>
    <w:rsid w:val="03682E13"/>
    <w:rsid w:val="037C7496"/>
    <w:rsid w:val="037D298F"/>
    <w:rsid w:val="037D4DAB"/>
    <w:rsid w:val="038C3B2C"/>
    <w:rsid w:val="038D1B08"/>
    <w:rsid w:val="039514E2"/>
    <w:rsid w:val="03A323C4"/>
    <w:rsid w:val="03AA2ACD"/>
    <w:rsid w:val="03BB22EF"/>
    <w:rsid w:val="03CC21CB"/>
    <w:rsid w:val="03E45CBB"/>
    <w:rsid w:val="03EA7B21"/>
    <w:rsid w:val="04024388"/>
    <w:rsid w:val="041D5F00"/>
    <w:rsid w:val="04247911"/>
    <w:rsid w:val="042B7D2B"/>
    <w:rsid w:val="04431476"/>
    <w:rsid w:val="0443541C"/>
    <w:rsid w:val="046A3671"/>
    <w:rsid w:val="04801084"/>
    <w:rsid w:val="048319D1"/>
    <w:rsid w:val="048B7990"/>
    <w:rsid w:val="049802FF"/>
    <w:rsid w:val="04A07C4B"/>
    <w:rsid w:val="04C410F4"/>
    <w:rsid w:val="04C44C50"/>
    <w:rsid w:val="04CD754D"/>
    <w:rsid w:val="04D94B9F"/>
    <w:rsid w:val="04DF7CDC"/>
    <w:rsid w:val="04F55EF9"/>
    <w:rsid w:val="04FB54B5"/>
    <w:rsid w:val="04FF359B"/>
    <w:rsid w:val="05195543"/>
    <w:rsid w:val="05235AC9"/>
    <w:rsid w:val="05245C72"/>
    <w:rsid w:val="05272E5C"/>
    <w:rsid w:val="053E57EF"/>
    <w:rsid w:val="05465FAD"/>
    <w:rsid w:val="05571F9F"/>
    <w:rsid w:val="056A659B"/>
    <w:rsid w:val="05826BC5"/>
    <w:rsid w:val="05867D32"/>
    <w:rsid w:val="05995DF7"/>
    <w:rsid w:val="05B368CA"/>
    <w:rsid w:val="05B777F8"/>
    <w:rsid w:val="05B877FA"/>
    <w:rsid w:val="05C018BB"/>
    <w:rsid w:val="05DD6E6F"/>
    <w:rsid w:val="05F61CD7"/>
    <w:rsid w:val="05F83EAE"/>
    <w:rsid w:val="060504D2"/>
    <w:rsid w:val="060E6ACB"/>
    <w:rsid w:val="06213C67"/>
    <w:rsid w:val="0624613D"/>
    <w:rsid w:val="06362943"/>
    <w:rsid w:val="063E7D85"/>
    <w:rsid w:val="0649045C"/>
    <w:rsid w:val="064E336B"/>
    <w:rsid w:val="064E39AE"/>
    <w:rsid w:val="0659586C"/>
    <w:rsid w:val="067C5700"/>
    <w:rsid w:val="067E1F60"/>
    <w:rsid w:val="06826B71"/>
    <w:rsid w:val="06913258"/>
    <w:rsid w:val="06A037F1"/>
    <w:rsid w:val="06A85E4E"/>
    <w:rsid w:val="06AB4061"/>
    <w:rsid w:val="06AB74CC"/>
    <w:rsid w:val="06CD10FE"/>
    <w:rsid w:val="06CE28AF"/>
    <w:rsid w:val="06D7523A"/>
    <w:rsid w:val="06EB0BBA"/>
    <w:rsid w:val="06EB463B"/>
    <w:rsid w:val="06FF3DAD"/>
    <w:rsid w:val="070E2AFA"/>
    <w:rsid w:val="07293586"/>
    <w:rsid w:val="07295285"/>
    <w:rsid w:val="07300CC3"/>
    <w:rsid w:val="07351E35"/>
    <w:rsid w:val="073550CE"/>
    <w:rsid w:val="074173E6"/>
    <w:rsid w:val="07453661"/>
    <w:rsid w:val="07570EBF"/>
    <w:rsid w:val="07585AB8"/>
    <w:rsid w:val="075F222C"/>
    <w:rsid w:val="07623FFD"/>
    <w:rsid w:val="07636392"/>
    <w:rsid w:val="07672EC5"/>
    <w:rsid w:val="077310E1"/>
    <w:rsid w:val="07770C56"/>
    <w:rsid w:val="077741FC"/>
    <w:rsid w:val="077E302D"/>
    <w:rsid w:val="077F6215"/>
    <w:rsid w:val="078032A3"/>
    <w:rsid w:val="079F27F2"/>
    <w:rsid w:val="07B23486"/>
    <w:rsid w:val="07B436A2"/>
    <w:rsid w:val="07C76F3A"/>
    <w:rsid w:val="07CD3E58"/>
    <w:rsid w:val="07DC60C5"/>
    <w:rsid w:val="07DF55C6"/>
    <w:rsid w:val="07EC33F3"/>
    <w:rsid w:val="07F10452"/>
    <w:rsid w:val="07F7360C"/>
    <w:rsid w:val="08031F33"/>
    <w:rsid w:val="08065580"/>
    <w:rsid w:val="080A23BF"/>
    <w:rsid w:val="080A769B"/>
    <w:rsid w:val="08176758"/>
    <w:rsid w:val="08326375"/>
    <w:rsid w:val="083D5E40"/>
    <w:rsid w:val="083D7648"/>
    <w:rsid w:val="08487BA6"/>
    <w:rsid w:val="084C388D"/>
    <w:rsid w:val="084E1401"/>
    <w:rsid w:val="085262B3"/>
    <w:rsid w:val="08533C43"/>
    <w:rsid w:val="0854453D"/>
    <w:rsid w:val="08766BA9"/>
    <w:rsid w:val="087B48ED"/>
    <w:rsid w:val="08843074"/>
    <w:rsid w:val="088C017B"/>
    <w:rsid w:val="088D1701"/>
    <w:rsid w:val="088D1FD8"/>
    <w:rsid w:val="08962C9D"/>
    <w:rsid w:val="08986B20"/>
    <w:rsid w:val="089E25B5"/>
    <w:rsid w:val="08A6228C"/>
    <w:rsid w:val="08AE0A12"/>
    <w:rsid w:val="08CE0F89"/>
    <w:rsid w:val="08D12032"/>
    <w:rsid w:val="08D97958"/>
    <w:rsid w:val="08E6744B"/>
    <w:rsid w:val="08E6788B"/>
    <w:rsid w:val="08FA6E92"/>
    <w:rsid w:val="09104908"/>
    <w:rsid w:val="09175855"/>
    <w:rsid w:val="091C46DA"/>
    <w:rsid w:val="092217DD"/>
    <w:rsid w:val="09283676"/>
    <w:rsid w:val="092B1DBC"/>
    <w:rsid w:val="092E4967"/>
    <w:rsid w:val="093A7294"/>
    <w:rsid w:val="096249C6"/>
    <w:rsid w:val="096B4234"/>
    <w:rsid w:val="098E4EDB"/>
    <w:rsid w:val="09A03EDE"/>
    <w:rsid w:val="09B3411F"/>
    <w:rsid w:val="09B434E5"/>
    <w:rsid w:val="09BB58CD"/>
    <w:rsid w:val="09D162BB"/>
    <w:rsid w:val="09D90645"/>
    <w:rsid w:val="09DE40FC"/>
    <w:rsid w:val="09E479D0"/>
    <w:rsid w:val="09E57B43"/>
    <w:rsid w:val="09EF6C13"/>
    <w:rsid w:val="09F428FD"/>
    <w:rsid w:val="09FA0A64"/>
    <w:rsid w:val="09FD729B"/>
    <w:rsid w:val="0A067327"/>
    <w:rsid w:val="0A0D42E1"/>
    <w:rsid w:val="0A22334D"/>
    <w:rsid w:val="0A2409C6"/>
    <w:rsid w:val="0A263993"/>
    <w:rsid w:val="0A2D3AC2"/>
    <w:rsid w:val="0A326B00"/>
    <w:rsid w:val="0A342878"/>
    <w:rsid w:val="0A5A7DC8"/>
    <w:rsid w:val="0A600591"/>
    <w:rsid w:val="0A6F1B02"/>
    <w:rsid w:val="0A783580"/>
    <w:rsid w:val="0A7D4828"/>
    <w:rsid w:val="0A7E18CE"/>
    <w:rsid w:val="0AA65F45"/>
    <w:rsid w:val="0AA755DF"/>
    <w:rsid w:val="0AAB31C1"/>
    <w:rsid w:val="0AB82635"/>
    <w:rsid w:val="0ABA2D7D"/>
    <w:rsid w:val="0ABA7014"/>
    <w:rsid w:val="0AD32091"/>
    <w:rsid w:val="0AD81455"/>
    <w:rsid w:val="0ADE3E7C"/>
    <w:rsid w:val="0AE578F1"/>
    <w:rsid w:val="0AFE13D1"/>
    <w:rsid w:val="0B09160F"/>
    <w:rsid w:val="0B0D5B6E"/>
    <w:rsid w:val="0B104EC8"/>
    <w:rsid w:val="0B120D44"/>
    <w:rsid w:val="0B31432C"/>
    <w:rsid w:val="0B546CC1"/>
    <w:rsid w:val="0B621790"/>
    <w:rsid w:val="0B7D4F27"/>
    <w:rsid w:val="0BC6472A"/>
    <w:rsid w:val="0BD27BF6"/>
    <w:rsid w:val="0BE07789"/>
    <w:rsid w:val="0BE52923"/>
    <w:rsid w:val="0BE81B6C"/>
    <w:rsid w:val="0BEE3B8B"/>
    <w:rsid w:val="0BEF2527"/>
    <w:rsid w:val="0C0E7959"/>
    <w:rsid w:val="0C1404FD"/>
    <w:rsid w:val="0C1E74A0"/>
    <w:rsid w:val="0C221FBD"/>
    <w:rsid w:val="0C3B3C7D"/>
    <w:rsid w:val="0C3C66EE"/>
    <w:rsid w:val="0C413442"/>
    <w:rsid w:val="0C4B18C7"/>
    <w:rsid w:val="0C4D7F90"/>
    <w:rsid w:val="0C501024"/>
    <w:rsid w:val="0C727688"/>
    <w:rsid w:val="0C771E80"/>
    <w:rsid w:val="0C7927C4"/>
    <w:rsid w:val="0C80013A"/>
    <w:rsid w:val="0C843A29"/>
    <w:rsid w:val="0CA11159"/>
    <w:rsid w:val="0CAB2EAE"/>
    <w:rsid w:val="0CC53C5B"/>
    <w:rsid w:val="0CD022A5"/>
    <w:rsid w:val="0CD6285C"/>
    <w:rsid w:val="0CDA22D0"/>
    <w:rsid w:val="0CE47624"/>
    <w:rsid w:val="0CFB142B"/>
    <w:rsid w:val="0D0538A4"/>
    <w:rsid w:val="0D272220"/>
    <w:rsid w:val="0D2952B6"/>
    <w:rsid w:val="0D2C5A88"/>
    <w:rsid w:val="0D322E51"/>
    <w:rsid w:val="0D3F1FAE"/>
    <w:rsid w:val="0D4032E2"/>
    <w:rsid w:val="0D4234FE"/>
    <w:rsid w:val="0D444B80"/>
    <w:rsid w:val="0D486E95"/>
    <w:rsid w:val="0D4F3776"/>
    <w:rsid w:val="0D4F6AEE"/>
    <w:rsid w:val="0D6218C0"/>
    <w:rsid w:val="0D621C7D"/>
    <w:rsid w:val="0D7367B8"/>
    <w:rsid w:val="0D7723C0"/>
    <w:rsid w:val="0D7A2C98"/>
    <w:rsid w:val="0D7C0F46"/>
    <w:rsid w:val="0D8E1D44"/>
    <w:rsid w:val="0D9760BE"/>
    <w:rsid w:val="0DA67DDF"/>
    <w:rsid w:val="0DD24882"/>
    <w:rsid w:val="0DD95C10"/>
    <w:rsid w:val="0DEF2AD4"/>
    <w:rsid w:val="0DEF71E2"/>
    <w:rsid w:val="0DFA16E3"/>
    <w:rsid w:val="0DFA52EA"/>
    <w:rsid w:val="0E082B65"/>
    <w:rsid w:val="0E1409F6"/>
    <w:rsid w:val="0E236E8B"/>
    <w:rsid w:val="0E244EB1"/>
    <w:rsid w:val="0E33083B"/>
    <w:rsid w:val="0E383DA2"/>
    <w:rsid w:val="0E3D5643"/>
    <w:rsid w:val="0E44330D"/>
    <w:rsid w:val="0E4524D1"/>
    <w:rsid w:val="0E4C0890"/>
    <w:rsid w:val="0E660E7D"/>
    <w:rsid w:val="0E73034D"/>
    <w:rsid w:val="0E80608C"/>
    <w:rsid w:val="0E9B1118"/>
    <w:rsid w:val="0EA12EB5"/>
    <w:rsid w:val="0EA37FCC"/>
    <w:rsid w:val="0EA8086E"/>
    <w:rsid w:val="0EB21140"/>
    <w:rsid w:val="0EB832E2"/>
    <w:rsid w:val="0ED140CD"/>
    <w:rsid w:val="0ED47541"/>
    <w:rsid w:val="0ED9579C"/>
    <w:rsid w:val="0EE93A7E"/>
    <w:rsid w:val="0EF45FEF"/>
    <w:rsid w:val="0EFA5458"/>
    <w:rsid w:val="0EFE4B62"/>
    <w:rsid w:val="0F08759B"/>
    <w:rsid w:val="0F0B16DD"/>
    <w:rsid w:val="0F0C315E"/>
    <w:rsid w:val="0F112DF3"/>
    <w:rsid w:val="0F12144F"/>
    <w:rsid w:val="0F13775A"/>
    <w:rsid w:val="0F146418"/>
    <w:rsid w:val="0F2B249C"/>
    <w:rsid w:val="0F3917CE"/>
    <w:rsid w:val="0F4870A8"/>
    <w:rsid w:val="0F5F0397"/>
    <w:rsid w:val="0F5F45FE"/>
    <w:rsid w:val="0F6A61D2"/>
    <w:rsid w:val="0F774563"/>
    <w:rsid w:val="0F7B75FF"/>
    <w:rsid w:val="0F94421F"/>
    <w:rsid w:val="0F9A112B"/>
    <w:rsid w:val="0F9C5147"/>
    <w:rsid w:val="0F9F448E"/>
    <w:rsid w:val="0FA1691F"/>
    <w:rsid w:val="0FA740F0"/>
    <w:rsid w:val="0FB27794"/>
    <w:rsid w:val="0FC30926"/>
    <w:rsid w:val="0FC457C3"/>
    <w:rsid w:val="0FC93A62"/>
    <w:rsid w:val="0FD2175C"/>
    <w:rsid w:val="0FD52407"/>
    <w:rsid w:val="0FE21F9E"/>
    <w:rsid w:val="0FE6324A"/>
    <w:rsid w:val="0FEA27AC"/>
    <w:rsid w:val="0FF80406"/>
    <w:rsid w:val="0FFA7BE8"/>
    <w:rsid w:val="0FFC3E38"/>
    <w:rsid w:val="10022AD1"/>
    <w:rsid w:val="100738A5"/>
    <w:rsid w:val="10194369"/>
    <w:rsid w:val="102313C5"/>
    <w:rsid w:val="102F7A21"/>
    <w:rsid w:val="103145A0"/>
    <w:rsid w:val="104419F0"/>
    <w:rsid w:val="10484987"/>
    <w:rsid w:val="106D2F64"/>
    <w:rsid w:val="107639C0"/>
    <w:rsid w:val="107A6B0B"/>
    <w:rsid w:val="10897C52"/>
    <w:rsid w:val="10932F82"/>
    <w:rsid w:val="10991687"/>
    <w:rsid w:val="10A971AF"/>
    <w:rsid w:val="10AA73F0"/>
    <w:rsid w:val="10B63710"/>
    <w:rsid w:val="10B65D95"/>
    <w:rsid w:val="10BB784F"/>
    <w:rsid w:val="10BE4084"/>
    <w:rsid w:val="10CC16D2"/>
    <w:rsid w:val="10E12E1E"/>
    <w:rsid w:val="10E14599"/>
    <w:rsid w:val="10F10820"/>
    <w:rsid w:val="10F36C3D"/>
    <w:rsid w:val="10F90EBA"/>
    <w:rsid w:val="11065303"/>
    <w:rsid w:val="1111121D"/>
    <w:rsid w:val="11146F5F"/>
    <w:rsid w:val="111C2F7A"/>
    <w:rsid w:val="11254CC9"/>
    <w:rsid w:val="113C2B4D"/>
    <w:rsid w:val="11437BAB"/>
    <w:rsid w:val="11446CF1"/>
    <w:rsid w:val="1148741E"/>
    <w:rsid w:val="114E06C3"/>
    <w:rsid w:val="11541E65"/>
    <w:rsid w:val="11665CA1"/>
    <w:rsid w:val="11686720"/>
    <w:rsid w:val="116E041E"/>
    <w:rsid w:val="116E6670"/>
    <w:rsid w:val="11854342"/>
    <w:rsid w:val="119F3152"/>
    <w:rsid w:val="119F43A3"/>
    <w:rsid w:val="11A71B81"/>
    <w:rsid w:val="11A81CA9"/>
    <w:rsid w:val="11AE6F8F"/>
    <w:rsid w:val="11C72224"/>
    <w:rsid w:val="11D17956"/>
    <w:rsid w:val="11D275A0"/>
    <w:rsid w:val="11D323AF"/>
    <w:rsid w:val="11E253C3"/>
    <w:rsid w:val="11E42119"/>
    <w:rsid w:val="11F63DE2"/>
    <w:rsid w:val="120075FE"/>
    <w:rsid w:val="123455D8"/>
    <w:rsid w:val="12437342"/>
    <w:rsid w:val="126B0108"/>
    <w:rsid w:val="127E6D86"/>
    <w:rsid w:val="12841B05"/>
    <w:rsid w:val="128B14A3"/>
    <w:rsid w:val="128F7F5F"/>
    <w:rsid w:val="12A257E4"/>
    <w:rsid w:val="12AB0849"/>
    <w:rsid w:val="12B66520"/>
    <w:rsid w:val="12B7258B"/>
    <w:rsid w:val="12BB048E"/>
    <w:rsid w:val="12BC4D75"/>
    <w:rsid w:val="12CA1FCB"/>
    <w:rsid w:val="12DA3EAF"/>
    <w:rsid w:val="12DB492E"/>
    <w:rsid w:val="12FB0910"/>
    <w:rsid w:val="13062269"/>
    <w:rsid w:val="13086650"/>
    <w:rsid w:val="130A23C8"/>
    <w:rsid w:val="131E7C21"/>
    <w:rsid w:val="13207E3D"/>
    <w:rsid w:val="1324792E"/>
    <w:rsid w:val="1325300A"/>
    <w:rsid w:val="132A1569"/>
    <w:rsid w:val="1331204B"/>
    <w:rsid w:val="13427DB4"/>
    <w:rsid w:val="13654ED4"/>
    <w:rsid w:val="1374039C"/>
    <w:rsid w:val="1377342C"/>
    <w:rsid w:val="13877EBC"/>
    <w:rsid w:val="13951726"/>
    <w:rsid w:val="139723E8"/>
    <w:rsid w:val="139E346D"/>
    <w:rsid w:val="139F5747"/>
    <w:rsid w:val="13AB6423"/>
    <w:rsid w:val="13B25387"/>
    <w:rsid w:val="13B862C8"/>
    <w:rsid w:val="13BC5B32"/>
    <w:rsid w:val="13C0369D"/>
    <w:rsid w:val="13DB5B12"/>
    <w:rsid w:val="13FA41EA"/>
    <w:rsid w:val="142B0848"/>
    <w:rsid w:val="142B31EF"/>
    <w:rsid w:val="14396509"/>
    <w:rsid w:val="143E6F9E"/>
    <w:rsid w:val="145078EF"/>
    <w:rsid w:val="145C30F7"/>
    <w:rsid w:val="147246C9"/>
    <w:rsid w:val="147E4ABA"/>
    <w:rsid w:val="148060DE"/>
    <w:rsid w:val="14807700"/>
    <w:rsid w:val="149F165C"/>
    <w:rsid w:val="14BA1BCC"/>
    <w:rsid w:val="14C70F48"/>
    <w:rsid w:val="14CA287A"/>
    <w:rsid w:val="14CF1B1B"/>
    <w:rsid w:val="14DD2C3C"/>
    <w:rsid w:val="14E902B0"/>
    <w:rsid w:val="14F4424F"/>
    <w:rsid w:val="15034201"/>
    <w:rsid w:val="15042D97"/>
    <w:rsid w:val="150A37C0"/>
    <w:rsid w:val="150C6F2D"/>
    <w:rsid w:val="152E5239"/>
    <w:rsid w:val="155C4F3F"/>
    <w:rsid w:val="156009C5"/>
    <w:rsid w:val="156131AA"/>
    <w:rsid w:val="156354ED"/>
    <w:rsid w:val="15674768"/>
    <w:rsid w:val="15765E51"/>
    <w:rsid w:val="15912EC9"/>
    <w:rsid w:val="1592680D"/>
    <w:rsid w:val="15A9411A"/>
    <w:rsid w:val="15AD32F0"/>
    <w:rsid w:val="15C5035C"/>
    <w:rsid w:val="15C553EF"/>
    <w:rsid w:val="15DA2B94"/>
    <w:rsid w:val="15E05662"/>
    <w:rsid w:val="15E154F1"/>
    <w:rsid w:val="15E64381"/>
    <w:rsid w:val="15F85DE4"/>
    <w:rsid w:val="15FB473D"/>
    <w:rsid w:val="15FF6908"/>
    <w:rsid w:val="16087E1D"/>
    <w:rsid w:val="161C2600"/>
    <w:rsid w:val="161E4267"/>
    <w:rsid w:val="16287735"/>
    <w:rsid w:val="16391252"/>
    <w:rsid w:val="163F4A7E"/>
    <w:rsid w:val="16490E5A"/>
    <w:rsid w:val="165C4D47"/>
    <w:rsid w:val="165E5D6B"/>
    <w:rsid w:val="16664632"/>
    <w:rsid w:val="166F6D46"/>
    <w:rsid w:val="168618EE"/>
    <w:rsid w:val="1686445B"/>
    <w:rsid w:val="16916A90"/>
    <w:rsid w:val="16953457"/>
    <w:rsid w:val="16976668"/>
    <w:rsid w:val="16C84B88"/>
    <w:rsid w:val="16EB0762"/>
    <w:rsid w:val="16EC432E"/>
    <w:rsid w:val="16F76877"/>
    <w:rsid w:val="16F77F45"/>
    <w:rsid w:val="16FE4428"/>
    <w:rsid w:val="17072E1B"/>
    <w:rsid w:val="17145D71"/>
    <w:rsid w:val="17152963"/>
    <w:rsid w:val="171C6B6E"/>
    <w:rsid w:val="173114BF"/>
    <w:rsid w:val="17326391"/>
    <w:rsid w:val="17352CAE"/>
    <w:rsid w:val="17375480"/>
    <w:rsid w:val="17670505"/>
    <w:rsid w:val="17676502"/>
    <w:rsid w:val="17701D14"/>
    <w:rsid w:val="17735226"/>
    <w:rsid w:val="177366E8"/>
    <w:rsid w:val="17785CFA"/>
    <w:rsid w:val="1788526F"/>
    <w:rsid w:val="178D44BB"/>
    <w:rsid w:val="1796304C"/>
    <w:rsid w:val="179A5CE4"/>
    <w:rsid w:val="179D5560"/>
    <w:rsid w:val="17A6044E"/>
    <w:rsid w:val="17AB72E5"/>
    <w:rsid w:val="17B671F1"/>
    <w:rsid w:val="17BD693C"/>
    <w:rsid w:val="17C31582"/>
    <w:rsid w:val="17E44DF6"/>
    <w:rsid w:val="17E56F60"/>
    <w:rsid w:val="17E72359"/>
    <w:rsid w:val="17F13B56"/>
    <w:rsid w:val="17FF700A"/>
    <w:rsid w:val="18137F71"/>
    <w:rsid w:val="181D2B9D"/>
    <w:rsid w:val="1821268E"/>
    <w:rsid w:val="182445B5"/>
    <w:rsid w:val="182A5940"/>
    <w:rsid w:val="182E10D9"/>
    <w:rsid w:val="183A374F"/>
    <w:rsid w:val="183C1F29"/>
    <w:rsid w:val="184A3439"/>
    <w:rsid w:val="18544528"/>
    <w:rsid w:val="185D3751"/>
    <w:rsid w:val="18730A0F"/>
    <w:rsid w:val="187327BD"/>
    <w:rsid w:val="187877D9"/>
    <w:rsid w:val="18826EA4"/>
    <w:rsid w:val="18850BC6"/>
    <w:rsid w:val="18941C7C"/>
    <w:rsid w:val="189F624C"/>
    <w:rsid w:val="189F7A56"/>
    <w:rsid w:val="18B6442B"/>
    <w:rsid w:val="18BB0B7E"/>
    <w:rsid w:val="18C42848"/>
    <w:rsid w:val="18C8758A"/>
    <w:rsid w:val="18CA4A28"/>
    <w:rsid w:val="18D26EDA"/>
    <w:rsid w:val="18DE53EF"/>
    <w:rsid w:val="18E92A80"/>
    <w:rsid w:val="18F27B86"/>
    <w:rsid w:val="18F8438D"/>
    <w:rsid w:val="18F84753"/>
    <w:rsid w:val="18F86D13"/>
    <w:rsid w:val="19004F20"/>
    <w:rsid w:val="1902674C"/>
    <w:rsid w:val="19094ED0"/>
    <w:rsid w:val="190B42C1"/>
    <w:rsid w:val="192A2B44"/>
    <w:rsid w:val="19342E7B"/>
    <w:rsid w:val="194C0484"/>
    <w:rsid w:val="194D47E4"/>
    <w:rsid w:val="19562A66"/>
    <w:rsid w:val="196A1E12"/>
    <w:rsid w:val="196A76A5"/>
    <w:rsid w:val="19847BBD"/>
    <w:rsid w:val="198A4263"/>
    <w:rsid w:val="1998697F"/>
    <w:rsid w:val="199F5E9C"/>
    <w:rsid w:val="19BA1D5B"/>
    <w:rsid w:val="19BB08C0"/>
    <w:rsid w:val="19BF6A6A"/>
    <w:rsid w:val="19CA3552"/>
    <w:rsid w:val="19CD1DB5"/>
    <w:rsid w:val="19ED0A34"/>
    <w:rsid w:val="19F26472"/>
    <w:rsid w:val="19F47F44"/>
    <w:rsid w:val="19FD2C86"/>
    <w:rsid w:val="1A135B85"/>
    <w:rsid w:val="1A1C66C0"/>
    <w:rsid w:val="1A1F7CF5"/>
    <w:rsid w:val="1A2D6DB0"/>
    <w:rsid w:val="1A33295A"/>
    <w:rsid w:val="1A42393B"/>
    <w:rsid w:val="1A622AE9"/>
    <w:rsid w:val="1A7423D2"/>
    <w:rsid w:val="1A8A0981"/>
    <w:rsid w:val="1A8E4726"/>
    <w:rsid w:val="1A9528D8"/>
    <w:rsid w:val="1AA4438B"/>
    <w:rsid w:val="1AAD45DE"/>
    <w:rsid w:val="1AB629B2"/>
    <w:rsid w:val="1ABA0E02"/>
    <w:rsid w:val="1ABD146E"/>
    <w:rsid w:val="1ACC4A6B"/>
    <w:rsid w:val="1AE437E3"/>
    <w:rsid w:val="1AEA2F40"/>
    <w:rsid w:val="1AF1445A"/>
    <w:rsid w:val="1AF26360"/>
    <w:rsid w:val="1B046F80"/>
    <w:rsid w:val="1B0D465A"/>
    <w:rsid w:val="1B184A2B"/>
    <w:rsid w:val="1B1C538E"/>
    <w:rsid w:val="1B245FF1"/>
    <w:rsid w:val="1B265622"/>
    <w:rsid w:val="1B2E6E70"/>
    <w:rsid w:val="1B3267B5"/>
    <w:rsid w:val="1B326DAE"/>
    <w:rsid w:val="1B380F03"/>
    <w:rsid w:val="1B3B0659"/>
    <w:rsid w:val="1B40161D"/>
    <w:rsid w:val="1B441859"/>
    <w:rsid w:val="1B6606B1"/>
    <w:rsid w:val="1B7024D5"/>
    <w:rsid w:val="1B752E97"/>
    <w:rsid w:val="1B7928CB"/>
    <w:rsid w:val="1B9620C9"/>
    <w:rsid w:val="1B99409D"/>
    <w:rsid w:val="1B9964E4"/>
    <w:rsid w:val="1BA03226"/>
    <w:rsid w:val="1BC63FA1"/>
    <w:rsid w:val="1BD15518"/>
    <w:rsid w:val="1BDE167F"/>
    <w:rsid w:val="1BE063BC"/>
    <w:rsid w:val="1BEF2AA3"/>
    <w:rsid w:val="1BF00CB0"/>
    <w:rsid w:val="1BF313CC"/>
    <w:rsid w:val="1BF603FD"/>
    <w:rsid w:val="1C0563DE"/>
    <w:rsid w:val="1C2126D5"/>
    <w:rsid w:val="1C246FE5"/>
    <w:rsid w:val="1C362480"/>
    <w:rsid w:val="1C3A0744"/>
    <w:rsid w:val="1C4F6932"/>
    <w:rsid w:val="1C5E7925"/>
    <w:rsid w:val="1C705992"/>
    <w:rsid w:val="1C7F3050"/>
    <w:rsid w:val="1C7F7174"/>
    <w:rsid w:val="1C8036FB"/>
    <w:rsid w:val="1C886F1E"/>
    <w:rsid w:val="1C95540E"/>
    <w:rsid w:val="1C9B08A4"/>
    <w:rsid w:val="1CA96AD2"/>
    <w:rsid w:val="1CAF255E"/>
    <w:rsid w:val="1CB46CE0"/>
    <w:rsid w:val="1CB9731F"/>
    <w:rsid w:val="1CD77D00"/>
    <w:rsid w:val="1CFA226B"/>
    <w:rsid w:val="1CFA7196"/>
    <w:rsid w:val="1CFB0CC2"/>
    <w:rsid w:val="1CFD070F"/>
    <w:rsid w:val="1D17603B"/>
    <w:rsid w:val="1D1F47DF"/>
    <w:rsid w:val="1D2E5325"/>
    <w:rsid w:val="1D352737"/>
    <w:rsid w:val="1D434E2A"/>
    <w:rsid w:val="1D465DAF"/>
    <w:rsid w:val="1D46746A"/>
    <w:rsid w:val="1D5C4168"/>
    <w:rsid w:val="1D5D4317"/>
    <w:rsid w:val="1D5F6196"/>
    <w:rsid w:val="1D6132A5"/>
    <w:rsid w:val="1D682B0D"/>
    <w:rsid w:val="1D7274E7"/>
    <w:rsid w:val="1D733B41"/>
    <w:rsid w:val="1D773815"/>
    <w:rsid w:val="1D8611E5"/>
    <w:rsid w:val="1D8833B3"/>
    <w:rsid w:val="1D8E56D5"/>
    <w:rsid w:val="1D903E12"/>
    <w:rsid w:val="1D9B621D"/>
    <w:rsid w:val="1DA60EEB"/>
    <w:rsid w:val="1DAD49C3"/>
    <w:rsid w:val="1DBC3CB2"/>
    <w:rsid w:val="1DC51D0D"/>
    <w:rsid w:val="1DC557A0"/>
    <w:rsid w:val="1DD947E6"/>
    <w:rsid w:val="1DDD721A"/>
    <w:rsid w:val="1DF970BD"/>
    <w:rsid w:val="1E074486"/>
    <w:rsid w:val="1E157818"/>
    <w:rsid w:val="1E1666A8"/>
    <w:rsid w:val="1E1C3D76"/>
    <w:rsid w:val="1E215981"/>
    <w:rsid w:val="1E23519B"/>
    <w:rsid w:val="1E2932D9"/>
    <w:rsid w:val="1E2E06C3"/>
    <w:rsid w:val="1E3A44F0"/>
    <w:rsid w:val="1E4241B7"/>
    <w:rsid w:val="1E456FB2"/>
    <w:rsid w:val="1E4E7B7E"/>
    <w:rsid w:val="1E573FB2"/>
    <w:rsid w:val="1E605592"/>
    <w:rsid w:val="1E6F3D89"/>
    <w:rsid w:val="1E7A43DA"/>
    <w:rsid w:val="1E7C136A"/>
    <w:rsid w:val="1E8A0B5C"/>
    <w:rsid w:val="1E915E5E"/>
    <w:rsid w:val="1EB06519"/>
    <w:rsid w:val="1EB6249A"/>
    <w:rsid w:val="1EBA7398"/>
    <w:rsid w:val="1ECB5101"/>
    <w:rsid w:val="1ECE5285"/>
    <w:rsid w:val="1EE8631D"/>
    <w:rsid w:val="1EEB093B"/>
    <w:rsid w:val="1EF232C8"/>
    <w:rsid w:val="1F00466F"/>
    <w:rsid w:val="1F05089E"/>
    <w:rsid w:val="1F073C5F"/>
    <w:rsid w:val="1F1818CA"/>
    <w:rsid w:val="1F1D7927"/>
    <w:rsid w:val="1F1E7EED"/>
    <w:rsid w:val="1F1F4723"/>
    <w:rsid w:val="1F247119"/>
    <w:rsid w:val="1F2629A0"/>
    <w:rsid w:val="1F307F51"/>
    <w:rsid w:val="1F3233B1"/>
    <w:rsid w:val="1F335A00"/>
    <w:rsid w:val="1F374545"/>
    <w:rsid w:val="1F3C3314"/>
    <w:rsid w:val="1F4A7AE5"/>
    <w:rsid w:val="1F575082"/>
    <w:rsid w:val="1F615A66"/>
    <w:rsid w:val="1F680BA2"/>
    <w:rsid w:val="1F89131B"/>
    <w:rsid w:val="1F901EA7"/>
    <w:rsid w:val="1F971487"/>
    <w:rsid w:val="1F974FE3"/>
    <w:rsid w:val="1F9F5B8A"/>
    <w:rsid w:val="1FB5156C"/>
    <w:rsid w:val="1FB90D87"/>
    <w:rsid w:val="1FBB5B48"/>
    <w:rsid w:val="1FC7643D"/>
    <w:rsid w:val="1FCA360B"/>
    <w:rsid w:val="1FCD30FB"/>
    <w:rsid w:val="1FD955FC"/>
    <w:rsid w:val="1FE50445"/>
    <w:rsid w:val="1FE7539E"/>
    <w:rsid w:val="1FE96C0D"/>
    <w:rsid w:val="1FF57F5C"/>
    <w:rsid w:val="1FFB3E81"/>
    <w:rsid w:val="2007660D"/>
    <w:rsid w:val="20084133"/>
    <w:rsid w:val="20116038"/>
    <w:rsid w:val="20163A5E"/>
    <w:rsid w:val="202334B1"/>
    <w:rsid w:val="20283BC3"/>
    <w:rsid w:val="20407429"/>
    <w:rsid w:val="20542ED4"/>
    <w:rsid w:val="206409D8"/>
    <w:rsid w:val="20671BE0"/>
    <w:rsid w:val="20896DC2"/>
    <w:rsid w:val="20963CB8"/>
    <w:rsid w:val="209D0D1F"/>
    <w:rsid w:val="20A81A1B"/>
    <w:rsid w:val="20B07FB6"/>
    <w:rsid w:val="20B646FB"/>
    <w:rsid w:val="20E50D7C"/>
    <w:rsid w:val="20FD2D5C"/>
    <w:rsid w:val="20FD341B"/>
    <w:rsid w:val="210F4B11"/>
    <w:rsid w:val="21122620"/>
    <w:rsid w:val="211B39F2"/>
    <w:rsid w:val="21301E56"/>
    <w:rsid w:val="213B74B1"/>
    <w:rsid w:val="213F3D14"/>
    <w:rsid w:val="214B0026"/>
    <w:rsid w:val="215A2310"/>
    <w:rsid w:val="216058A9"/>
    <w:rsid w:val="216327D4"/>
    <w:rsid w:val="21673703"/>
    <w:rsid w:val="216774F0"/>
    <w:rsid w:val="21950B4A"/>
    <w:rsid w:val="21BC1B4B"/>
    <w:rsid w:val="21BC44D1"/>
    <w:rsid w:val="21CF4F08"/>
    <w:rsid w:val="21D267A7"/>
    <w:rsid w:val="21DA5491"/>
    <w:rsid w:val="21DE318A"/>
    <w:rsid w:val="21E0149C"/>
    <w:rsid w:val="21E65A00"/>
    <w:rsid w:val="21E81919"/>
    <w:rsid w:val="21E843CC"/>
    <w:rsid w:val="21EF5B80"/>
    <w:rsid w:val="220D771E"/>
    <w:rsid w:val="22144C17"/>
    <w:rsid w:val="22146DBF"/>
    <w:rsid w:val="221D3ECF"/>
    <w:rsid w:val="22394706"/>
    <w:rsid w:val="224D22D1"/>
    <w:rsid w:val="224F429B"/>
    <w:rsid w:val="225278E7"/>
    <w:rsid w:val="22576990"/>
    <w:rsid w:val="225A0C09"/>
    <w:rsid w:val="22694951"/>
    <w:rsid w:val="226C7AF3"/>
    <w:rsid w:val="22762B90"/>
    <w:rsid w:val="227D1213"/>
    <w:rsid w:val="227F4065"/>
    <w:rsid w:val="22821F7B"/>
    <w:rsid w:val="228876C4"/>
    <w:rsid w:val="228C4BA7"/>
    <w:rsid w:val="228D26CE"/>
    <w:rsid w:val="22937748"/>
    <w:rsid w:val="22A37DD5"/>
    <w:rsid w:val="22A925B9"/>
    <w:rsid w:val="22B44F6F"/>
    <w:rsid w:val="22B868F5"/>
    <w:rsid w:val="22E5250A"/>
    <w:rsid w:val="22EB6686"/>
    <w:rsid w:val="22F32E79"/>
    <w:rsid w:val="22F47480"/>
    <w:rsid w:val="22FF35CB"/>
    <w:rsid w:val="23052BAC"/>
    <w:rsid w:val="23096088"/>
    <w:rsid w:val="231574AA"/>
    <w:rsid w:val="23166B67"/>
    <w:rsid w:val="231E7043"/>
    <w:rsid w:val="231F3C6E"/>
    <w:rsid w:val="232B64CF"/>
    <w:rsid w:val="234E0C74"/>
    <w:rsid w:val="234F2452"/>
    <w:rsid w:val="235E312C"/>
    <w:rsid w:val="23605D71"/>
    <w:rsid w:val="237B68CE"/>
    <w:rsid w:val="23830663"/>
    <w:rsid w:val="238B4E5F"/>
    <w:rsid w:val="23A60814"/>
    <w:rsid w:val="23B0130C"/>
    <w:rsid w:val="23CF5084"/>
    <w:rsid w:val="23D078DE"/>
    <w:rsid w:val="23D86951"/>
    <w:rsid w:val="23DE1C48"/>
    <w:rsid w:val="23DF51AB"/>
    <w:rsid w:val="23ED1676"/>
    <w:rsid w:val="23EE3640"/>
    <w:rsid w:val="23F32A04"/>
    <w:rsid w:val="23F92711"/>
    <w:rsid w:val="23F960AC"/>
    <w:rsid w:val="23FC7B0B"/>
    <w:rsid w:val="240210CD"/>
    <w:rsid w:val="240864B0"/>
    <w:rsid w:val="241035B6"/>
    <w:rsid w:val="241537E2"/>
    <w:rsid w:val="24217571"/>
    <w:rsid w:val="24286D7C"/>
    <w:rsid w:val="242B71EB"/>
    <w:rsid w:val="242D3707"/>
    <w:rsid w:val="243C1D2A"/>
    <w:rsid w:val="243C25FD"/>
    <w:rsid w:val="243C7629"/>
    <w:rsid w:val="243F6FBD"/>
    <w:rsid w:val="244326B7"/>
    <w:rsid w:val="244A4D1A"/>
    <w:rsid w:val="244E023E"/>
    <w:rsid w:val="246444F3"/>
    <w:rsid w:val="24771743"/>
    <w:rsid w:val="247E4462"/>
    <w:rsid w:val="248B01F1"/>
    <w:rsid w:val="24A25BF1"/>
    <w:rsid w:val="24BE1264"/>
    <w:rsid w:val="24BF09F7"/>
    <w:rsid w:val="24C50E97"/>
    <w:rsid w:val="24CC0649"/>
    <w:rsid w:val="24CC1755"/>
    <w:rsid w:val="24E24F53"/>
    <w:rsid w:val="24E30DC7"/>
    <w:rsid w:val="25046987"/>
    <w:rsid w:val="251E438C"/>
    <w:rsid w:val="252D53FE"/>
    <w:rsid w:val="25331C52"/>
    <w:rsid w:val="2546765E"/>
    <w:rsid w:val="2565471A"/>
    <w:rsid w:val="256C6B71"/>
    <w:rsid w:val="25753B62"/>
    <w:rsid w:val="257A518B"/>
    <w:rsid w:val="25882416"/>
    <w:rsid w:val="25897AC4"/>
    <w:rsid w:val="258A30B8"/>
    <w:rsid w:val="258D030F"/>
    <w:rsid w:val="258E15B7"/>
    <w:rsid w:val="259D3570"/>
    <w:rsid w:val="25BD00FE"/>
    <w:rsid w:val="25C068E1"/>
    <w:rsid w:val="25C63C19"/>
    <w:rsid w:val="25CB5276"/>
    <w:rsid w:val="25CD5C03"/>
    <w:rsid w:val="25D17D82"/>
    <w:rsid w:val="25E34BB8"/>
    <w:rsid w:val="25EC2D81"/>
    <w:rsid w:val="25F969F8"/>
    <w:rsid w:val="260919DB"/>
    <w:rsid w:val="26282786"/>
    <w:rsid w:val="263264AD"/>
    <w:rsid w:val="26392B76"/>
    <w:rsid w:val="263C68E5"/>
    <w:rsid w:val="26404627"/>
    <w:rsid w:val="2644571B"/>
    <w:rsid w:val="26571086"/>
    <w:rsid w:val="26576E38"/>
    <w:rsid w:val="265E10A5"/>
    <w:rsid w:val="2662211E"/>
    <w:rsid w:val="266F12A8"/>
    <w:rsid w:val="26766BB7"/>
    <w:rsid w:val="268F3365"/>
    <w:rsid w:val="268F7589"/>
    <w:rsid w:val="26A115D6"/>
    <w:rsid w:val="26A50B69"/>
    <w:rsid w:val="26B968F7"/>
    <w:rsid w:val="26BB4805"/>
    <w:rsid w:val="26BF1567"/>
    <w:rsid w:val="26C44E44"/>
    <w:rsid w:val="26D4425B"/>
    <w:rsid w:val="26D7077D"/>
    <w:rsid w:val="26E33204"/>
    <w:rsid w:val="27062BD1"/>
    <w:rsid w:val="270C275B"/>
    <w:rsid w:val="27133AE9"/>
    <w:rsid w:val="271400AF"/>
    <w:rsid w:val="27147861"/>
    <w:rsid w:val="27176C6B"/>
    <w:rsid w:val="271D592F"/>
    <w:rsid w:val="27270858"/>
    <w:rsid w:val="27276147"/>
    <w:rsid w:val="273151B4"/>
    <w:rsid w:val="27355340"/>
    <w:rsid w:val="2744521E"/>
    <w:rsid w:val="274461FB"/>
    <w:rsid w:val="274C6FFB"/>
    <w:rsid w:val="277057A2"/>
    <w:rsid w:val="27962024"/>
    <w:rsid w:val="27A04C51"/>
    <w:rsid w:val="27A22320"/>
    <w:rsid w:val="27B444C2"/>
    <w:rsid w:val="27D2602C"/>
    <w:rsid w:val="27DA4607"/>
    <w:rsid w:val="27E128CA"/>
    <w:rsid w:val="27E7180C"/>
    <w:rsid w:val="27EB411E"/>
    <w:rsid w:val="27F03E2A"/>
    <w:rsid w:val="27F30A36"/>
    <w:rsid w:val="27FF6A4F"/>
    <w:rsid w:val="28072F22"/>
    <w:rsid w:val="28080834"/>
    <w:rsid w:val="283D06F2"/>
    <w:rsid w:val="283E4ED3"/>
    <w:rsid w:val="28414686"/>
    <w:rsid w:val="28497232"/>
    <w:rsid w:val="284C22E0"/>
    <w:rsid w:val="28500425"/>
    <w:rsid w:val="285E15BE"/>
    <w:rsid w:val="285E3F01"/>
    <w:rsid w:val="28804FD2"/>
    <w:rsid w:val="288411AA"/>
    <w:rsid w:val="288A3232"/>
    <w:rsid w:val="28950A97"/>
    <w:rsid w:val="28A66C3A"/>
    <w:rsid w:val="28AF15F0"/>
    <w:rsid w:val="28B5297E"/>
    <w:rsid w:val="28B90D22"/>
    <w:rsid w:val="28C905BB"/>
    <w:rsid w:val="28CC006A"/>
    <w:rsid w:val="28CD7CC8"/>
    <w:rsid w:val="28D6123E"/>
    <w:rsid w:val="28E514B5"/>
    <w:rsid w:val="28EF5E90"/>
    <w:rsid w:val="28F31788"/>
    <w:rsid w:val="28FE4D38"/>
    <w:rsid w:val="29070F26"/>
    <w:rsid w:val="290D08BD"/>
    <w:rsid w:val="29154048"/>
    <w:rsid w:val="29206EB8"/>
    <w:rsid w:val="29274976"/>
    <w:rsid w:val="293143F3"/>
    <w:rsid w:val="293B198F"/>
    <w:rsid w:val="29565D67"/>
    <w:rsid w:val="29595666"/>
    <w:rsid w:val="29726CB2"/>
    <w:rsid w:val="29874881"/>
    <w:rsid w:val="298D2E7A"/>
    <w:rsid w:val="299C36AD"/>
    <w:rsid w:val="29B731D9"/>
    <w:rsid w:val="29B82726"/>
    <w:rsid w:val="29C90426"/>
    <w:rsid w:val="29E325E0"/>
    <w:rsid w:val="29E866DB"/>
    <w:rsid w:val="2A0864BA"/>
    <w:rsid w:val="2A22233D"/>
    <w:rsid w:val="2A314286"/>
    <w:rsid w:val="2A452503"/>
    <w:rsid w:val="2A4E4760"/>
    <w:rsid w:val="2A4E6B7A"/>
    <w:rsid w:val="2A4F0978"/>
    <w:rsid w:val="2A59507D"/>
    <w:rsid w:val="2A5B72BA"/>
    <w:rsid w:val="2A6820AC"/>
    <w:rsid w:val="2A6B463B"/>
    <w:rsid w:val="2A832B5A"/>
    <w:rsid w:val="2A8624EF"/>
    <w:rsid w:val="2A97058D"/>
    <w:rsid w:val="2A9860B3"/>
    <w:rsid w:val="2AA2378B"/>
    <w:rsid w:val="2AAA54EC"/>
    <w:rsid w:val="2AAB2DC7"/>
    <w:rsid w:val="2AC375D4"/>
    <w:rsid w:val="2AC47E86"/>
    <w:rsid w:val="2ACD3FAF"/>
    <w:rsid w:val="2AD44455"/>
    <w:rsid w:val="2AD622EF"/>
    <w:rsid w:val="2ADD7E79"/>
    <w:rsid w:val="2AEC1BC5"/>
    <w:rsid w:val="2AEE353C"/>
    <w:rsid w:val="2AEE5540"/>
    <w:rsid w:val="2AF666D8"/>
    <w:rsid w:val="2AFB70E8"/>
    <w:rsid w:val="2B0A3E13"/>
    <w:rsid w:val="2B1716CE"/>
    <w:rsid w:val="2B313EF4"/>
    <w:rsid w:val="2B3C7641"/>
    <w:rsid w:val="2B4C572C"/>
    <w:rsid w:val="2B5A4362"/>
    <w:rsid w:val="2B607E88"/>
    <w:rsid w:val="2B650EC0"/>
    <w:rsid w:val="2B651B37"/>
    <w:rsid w:val="2B7064F8"/>
    <w:rsid w:val="2B717941"/>
    <w:rsid w:val="2B770A87"/>
    <w:rsid w:val="2B800266"/>
    <w:rsid w:val="2B822FEC"/>
    <w:rsid w:val="2BA936A8"/>
    <w:rsid w:val="2BBD2940"/>
    <w:rsid w:val="2BDD3B36"/>
    <w:rsid w:val="2BF437BD"/>
    <w:rsid w:val="2C18675B"/>
    <w:rsid w:val="2C194BD9"/>
    <w:rsid w:val="2C315A5A"/>
    <w:rsid w:val="2C3D5991"/>
    <w:rsid w:val="2C42277B"/>
    <w:rsid w:val="2C4A2915"/>
    <w:rsid w:val="2C4B1C25"/>
    <w:rsid w:val="2C5556C5"/>
    <w:rsid w:val="2C584F53"/>
    <w:rsid w:val="2C6676CA"/>
    <w:rsid w:val="2C711506"/>
    <w:rsid w:val="2C7B7A77"/>
    <w:rsid w:val="2C7D37B3"/>
    <w:rsid w:val="2C805DA3"/>
    <w:rsid w:val="2C88743B"/>
    <w:rsid w:val="2C9265AB"/>
    <w:rsid w:val="2C931796"/>
    <w:rsid w:val="2C933B29"/>
    <w:rsid w:val="2C972AC7"/>
    <w:rsid w:val="2CAA58EF"/>
    <w:rsid w:val="2CB04C5F"/>
    <w:rsid w:val="2CB229C8"/>
    <w:rsid w:val="2CB43679"/>
    <w:rsid w:val="2CD11262"/>
    <w:rsid w:val="2CD61EB8"/>
    <w:rsid w:val="2CDC08C3"/>
    <w:rsid w:val="2CEB0DDE"/>
    <w:rsid w:val="2CF871C7"/>
    <w:rsid w:val="2CFC5020"/>
    <w:rsid w:val="2D002EFD"/>
    <w:rsid w:val="2D022756"/>
    <w:rsid w:val="2D0619FA"/>
    <w:rsid w:val="2D144117"/>
    <w:rsid w:val="2D1F35A6"/>
    <w:rsid w:val="2D2F0F51"/>
    <w:rsid w:val="2D2F1C12"/>
    <w:rsid w:val="2D4348FD"/>
    <w:rsid w:val="2D4538B2"/>
    <w:rsid w:val="2D4C3A3F"/>
    <w:rsid w:val="2D5E7113"/>
    <w:rsid w:val="2D7651BC"/>
    <w:rsid w:val="2D7921CC"/>
    <w:rsid w:val="2D7E24ED"/>
    <w:rsid w:val="2D83093A"/>
    <w:rsid w:val="2D83304B"/>
    <w:rsid w:val="2D8B7A0C"/>
    <w:rsid w:val="2D93157F"/>
    <w:rsid w:val="2D9C1BCC"/>
    <w:rsid w:val="2D9E56F5"/>
    <w:rsid w:val="2DA41503"/>
    <w:rsid w:val="2DA4362E"/>
    <w:rsid w:val="2DB909B5"/>
    <w:rsid w:val="2DBA1751"/>
    <w:rsid w:val="2DE03FF9"/>
    <w:rsid w:val="2DEE2CFE"/>
    <w:rsid w:val="2E1017BF"/>
    <w:rsid w:val="2E1D2032"/>
    <w:rsid w:val="2E224612"/>
    <w:rsid w:val="2E385BE3"/>
    <w:rsid w:val="2E3C6770"/>
    <w:rsid w:val="2E4822E7"/>
    <w:rsid w:val="2E4E6B77"/>
    <w:rsid w:val="2E667F96"/>
    <w:rsid w:val="2E691885"/>
    <w:rsid w:val="2E712CA1"/>
    <w:rsid w:val="2E767FDA"/>
    <w:rsid w:val="2E7F3822"/>
    <w:rsid w:val="2E7F5D94"/>
    <w:rsid w:val="2E8226AB"/>
    <w:rsid w:val="2E9D1EEA"/>
    <w:rsid w:val="2EA76C94"/>
    <w:rsid w:val="2EAA4211"/>
    <w:rsid w:val="2EAB0AAB"/>
    <w:rsid w:val="2EBB6E1C"/>
    <w:rsid w:val="2EDE5274"/>
    <w:rsid w:val="2EDF2503"/>
    <w:rsid w:val="2EE13983"/>
    <w:rsid w:val="2EE2676D"/>
    <w:rsid w:val="2EF35D7B"/>
    <w:rsid w:val="2F0A218C"/>
    <w:rsid w:val="2F137C73"/>
    <w:rsid w:val="2F2579B9"/>
    <w:rsid w:val="2F317585"/>
    <w:rsid w:val="2F3C7955"/>
    <w:rsid w:val="2F47747B"/>
    <w:rsid w:val="2F4D22CE"/>
    <w:rsid w:val="2F5A23FA"/>
    <w:rsid w:val="2F68699C"/>
    <w:rsid w:val="2F6A7E32"/>
    <w:rsid w:val="2F7C1F03"/>
    <w:rsid w:val="2F86747C"/>
    <w:rsid w:val="2FA71CFE"/>
    <w:rsid w:val="2FB3043F"/>
    <w:rsid w:val="2FB46457"/>
    <w:rsid w:val="2FC02334"/>
    <w:rsid w:val="2FC42736"/>
    <w:rsid w:val="2FD065E6"/>
    <w:rsid w:val="2FD96870"/>
    <w:rsid w:val="2FF65D56"/>
    <w:rsid w:val="30096E24"/>
    <w:rsid w:val="301663F8"/>
    <w:rsid w:val="301A5539"/>
    <w:rsid w:val="301D32E3"/>
    <w:rsid w:val="302757FF"/>
    <w:rsid w:val="30300D01"/>
    <w:rsid w:val="30311167"/>
    <w:rsid w:val="30410B5A"/>
    <w:rsid w:val="30454F7C"/>
    <w:rsid w:val="30580BC9"/>
    <w:rsid w:val="30726386"/>
    <w:rsid w:val="307B1E51"/>
    <w:rsid w:val="307B6C2D"/>
    <w:rsid w:val="30874C00"/>
    <w:rsid w:val="3093684E"/>
    <w:rsid w:val="30A92F83"/>
    <w:rsid w:val="30AD223A"/>
    <w:rsid w:val="30B56759"/>
    <w:rsid w:val="30B87F28"/>
    <w:rsid w:val="30CB6B5B"/>
    <w:rsid w:val="30D82727"/>
    <w:rsid w:val="30E73C30"/>
    <w:rsid w:val="30E867B1"/>
    <w:rsid w:val="30EC388A"/>
    <w:rsid w:val="30F459EB"/>
    <w:rsid w:val="30F7431C"/>
    <w:rsid w:val="31003887"/>
    <w:rsid w:val="310E5321"/>
    <w:rsid w:val="311A6DF9"/>
    <w:rsid w:val="311E2ED7"/>
    <w:rsid w:val="312468F3"/>
    <w:rsid w:val="313034EA"/>
    <w:rsid w:val="31496052"/>
    <w:rsid w:val="314A3B06"/>
    <w:rsid w:val="315619EE"/>
    <w:rsid w:val="315C449C"/>
    <w:rsid w:val="3171222A"/>
    <w:rsid w:val="31725590"/>
    <w:rsid w:val="3172734B"/>
    <w:rsid w:val="31770F12"/>
    <w:rsid w:val="317A4765"/>
    <w:rsid w:val="319A3436"/>
    <w:rsid w:val="31AA504A"/>
    <w:rsid w:val="31AB491E"/>
    <w:rsid w:val="31AE4AB3"/>
    <w:rsid w:val="31B15E56"/>
    <w:rsid w:val="31B82709"/>
    <w:rsid w:val="31C072D3"/>
    <w:rsid w:val="31C51E12"/>
    <w:rsid w:val="31CD7DE9"/>
    <w:rsid w:val="31D05482"/>
    <w:rsid w:val="31E7188E"/>
    <w:rsid w:val="31E87BE1"/>
    <w:rsid w:val="31F6203D"/>
    <w:rsid w:val="320E4CD1"/>
    <w:rsid w:val="32140715"/>
    <w:rsid w:val="322A1CE7"/>
    <w:rsid w:val="32301DFB"/>
    <w:rsid w:val="32400B34"/>
    <w:rsid w:val="32432DA9"/>
    <w:rsid w:val="324A49B4"/>
    <w:rsid w:val="3254170D"/>
    <w:rsid w:val="326D26F8"/>
    <w:rsid w:val="32710B4B"/>
    <w:rsid w:val="32763D2B"/>
    <w:rsid w:val="329C1561"/>
    <w:rsid w:val="329E6876"/>
    <w:rsid w:val="329F4483"/>
    <w:rsid w:val="32A53E44"/>
    <w:rsid w:val="32AE24D9"/>
    <w:rsid w:val="32B84FD0"/>
    <w:rsid w:val="32C043F9"/>
    <w:rsid w:val="32C245FB"/>
    <w:rsid w:val="32C3084E"/>
    <w:rsid w:val="32D33A39"/>
    <w:rsid w:val="32EE0F67"/>
    <w:rsid w:val="32EE7345"/>
    <w:rsid w:val="32EF0327"/>
    <w:rsid w:val="32F466AD"/>
    <w:rsid w:val="32FC64ED"/>
    <w:rsid w:val="32FE389F"/>
    <w:rsid w:val="330467C3"/>
    <w:rsid w:val="330A3B0F"/>
    <w:rsid w:val="331703EF"/>
    <w:rsid w:val="332039FA"/>
    <w:rsid w:val="333015F2"/>
    <w:rsid w:val="333170A5"/>
    <w:rsid w:val="33323133"/>
    <w:rsid w:val="33331C87"/>
    <w:rsid w:val="334B6320"/>
    <w:rsid w:val="337D1F97"/>
    <w:rsid w:val="338F7FBE"/>
    <w:rsid w:val="33966533"/>
    <w:rsid w:val="339F208D"/>
    <w:rsid w:val="33AB6E58"/>
    <w:rsid w:val="33BB353F"/>
    <w:rsid w:val="33CF6782"/>
    <w:rsid w:val="33D934D4"/>
    <w:rsid w:val="33EC16B5"/>
    <w:rsid w:val="33F44FBF"/>
    <w:rsid w:val="33FA0149"/>
    <w:rsid w:val="33FE2F6A"/>
    <w:rsid w:val="34043FF8"/>
    <w:rsid w:val="340C6BD2"/>
    <w:rsid w:val="340E07E5"/>
    <w:rsid w:val="341B217A"/>
    <w:rsid w:val="34235BF7"/>
    <w:rsid w:val="34236F13"/>
    <w:rsid w:val="34241CDE"/>
    <w:rsid w:val="34363C66"/>
    <w:rsid w:val="34391442"/>
    <w:rsid w:val="34391D02"/>
    <w:rsid w:val="344A20FE"/>
    <w:rsid w:val="344D6E11"/>
    <w:rsid w:val="34515C51"/>
    <w:rsid w:val="346054E9"/>
    <w:rsid w:val="34605F17"/>
    <w:rsid w:val="346C366B"/>
    <w:rsid w:val="346C4839"/>
    <w:rsid w:val="34883399"/>
    <w:rsid w:val="34993154"/>
    <w:rsid w:val="349B14DC"/>
    <w:rsid w:val="34AA2D9C"/>
    <w:rsid w:val="34B747C5"/>
    <w:rsid w:val="34BB21B8"/>
    <w:rsid w:val="34C25BCC"/>
    <w:rsid w:val="34C56129"/>
    <w:rsid w:val="34DA5E0E"/>
    <w:rsid w:val="34EA220B"/>
    <w:rsid w:val="34F565DC"/>
    <w:rsid w:val="35134CB4"/>
    <w:rsid w:val="351D286D"/>
    <w:rsid w:val="353B53D3"/>
    <w:rsid w:val="353D01BF"/>
    <w:rsid w:val="353E49CF"/>
    <w:rsid w:val="354D30E3"/>
    <w:rsid w:val="355F71BA"/>
    <w:rsid w:val="355F7EFA"/>
    <w:rsid w:val="35685B45"/>
    <w:rsid w:val="356A4AAD"/>
    <w:rsid w:val="356D6ABA"/>
    <w:rsid w:val="35765617"/>
    <w:rsid w:val="357A2FAC"/>
    <w:rsid w:val="358C5FA8"/>
    <w:rsid w:val="35C15DF1"/>
    <w:rsid w:val="35C90986"/>
    <w:rsid w:val="35D00A77"/>
    <w:rsid w:val="35D6319F"/>
    <w:rsid w:val="35DC59EE"/>
    <w:rsid w:val="35E12841"/>
    <w:rsid w:val="35E93C67"/>
    <w:rsid w:val="35F2731C"/>
    <w:rsid w:val="35F663F9"/>
    <w:rsid w:val="36074A7F"/>
    <w:rsid w:val="36083AF4"/>
    <w:rsid w:val="361502A0"/>
    <w:rsid w:val="361E6007"/>
    <w:rsid w:val="36313B83"/>
    <w:rsid w:val="364753E2"/>
    <w:rsid w:val="36476122"/>
    <w:rsid w:val="365070D2"/>
    <w:rsid w:val="36721EAF"/>
    <w:rsid w:val="36726738"/>
    <w:rsid w:val="36745C27"/>
    <w:rsid w:val="36767D98"/>
    <w:rsid w:val="36797935"/>
    <w:rsid w:val="36923549"/>
    <w:rsid w:val="369260AD"/>
    <w:rsid w:val="36963DEF"/>
    <w:rsid w:val="36A00240"/>
    <w:rsid w:val="36B75FBF"/>
    <w:rsid w:val="36BD0C45"/>
    <w:rsid w:val="36CA3A99"/>
    <w:rsid w:val="36CE01E2"/>
    <w:rsid w:val="36E20776"/>
    <w:rsid w:val="36EC3A0F"/>
    <w:rsid w:val="36EC4FDD"/>
    <w:rsid w:val="36EF18FF"/>
    <w:rsid w:val="36F07E80"/>
    <w:rsid w:val="3722385C"/>
    <w:rsid w:val="37271359"/>
    <w:rsid w:val="372B0F03"/>
    <w:rsid w:val="374A7CFC"/>
    <w:rsid w:val="376B104F"/>
    <w:rsid w:val="377F2AD5"/>
    <w:rsid w:val="3781684D"/>
    <w:rsid w:val="379522F8"/>
    <w:rsid w:val="37B07132"/>
    <w:rsid w:val="37B4648D"/>
    <w:rsid w:val="37C10485"/>
    <w:rsid w:val="37C97989"/>
    <w:rsid w:val="37D526F5"/>
    <w:rsid w:val="37DA41AF"/>
    <w:rsid w:val="37E00298"/>
    <w:rsid w:val="37F06375"/>
    <w:rsid w:val="37FC58DA"/>
    <w:rsid w:val="381274A5"/>
    <w:rsid w:val="381C3EB3"/>
    <w:rsid w:val="381C56D9"/>
    <w:rsid w:val="382D0783"/>
    <w:rsid w:val="382D0DB0"/>
    <w:rsid w:val="38327B47"/>
    <w:rsid w:val="3841530E"/>
    <w:rsid w:val="38454DA7"/>
    <w:rsid w:val="384C6E5B"/>
    <w:rsid w:val="38521F98"/>
    <w:rsid w:val="38545D10"/>
    <w:rsid w:val="3862667F"/>
    <w:rsid w:val="3885401C"/>
    <w:rsid w:val="389D5812"/>
    <w:rsid w:val="38A72935"/>
    <w:rsid w:val="38B302F9"/>
    <w:rsid w:val="38B467AE"/>
    <w:rsid w:val="38B978C7"/>
    <w:rsid w:val="38C36DAE"/>
    <w:rsid w:val="38D66725"/>
    <w:rsid w:val="38D97FC3"/>
    <w:rsid w:val="38E54C49"/>
    <w:rsid w:val="38E66069"/>
    <w:rsid w:val="38E70932"/>
    <w:rsid w:val="38F12CD3"/>
    <w:rsid w:val="38F94775"/>
    <w:rsid w:val="390B4F04"/>
    <w:rsid w:val="391536F1"/>
    <w:rsid w:val="391B123B"/>
    <w:rsid w:val="39220C43"/>
    <w:rsid w:val="39261FCD"/>
    <w:rsid w:val="392971ED"/>
    <w:rsid w:val="39325651"/>
    <w:rsid w:val="39385822"/>
    <w:rsid w:val="39392957"/>
    <w:rsid w:val="396146A7"/>
    <w:rsid w:val="398D772B"/>
    <w:rsid w:val="39900B00"/>
    <w:rsid w:val="39AA6A8D"/>
    <w:rsid w:val="39AB3333"/>
    <w:rsid w:val="39BD646B"/>
    <w:rsid w:val="39C3314D"/>
    <w:rsid w:val="39CE4CF3"/>
    <w:rsid w:val="39DD61C5"/>
    <w:rsid w:val="39E15F32"/>
    <w:rsid w:val="39E3734B"/>
    <w:rsid w:val="39E76D94"/>
    <w:rsid w:val="39F8681F"/>
    <w:rsid w:val="3A122EB2"/>
    <w:rsid w:val="3A1309C2"/>
    <w:rsid w:val="3A184B1B"/>
    <w:rsid w:val="3A331955"/>
    <w:rsid w:val="3A35120E"/>
    <w:rsid w:val="3A430601"/>
    <w:rsid w:val="3A541FF7"/>
    <w:rsid w:val="3A5A51DD"/>
    <w:rsid w:val="3A5E4C24"/>
    <w:rsid w:val="3A617662"/>
    <w:rsid w:val="3A663AD8"/>
    <w:rsid w:val="3A6A7A6C"/>
    <w:rsid w:val="3A6E18DE"/>
    <w:rsid w:val="3A795D31"/>
    <w:rsid w:val="3A872856"/>
    <w:rsid w:val="3A8E7672"/>
    <w:rsid w:val="3A8F0BD0"/>
    <w:rsid w:val="3AA0523C"/>
    <w:rsid w:val="3AB52CF2"/>
    <w:rsid w:val="3AB55417"/>
    <w:rsid w:val="3AC0143A"/>
    <w:rsid w:val="3ACD28FC"/>
    <w:rsid w:val="3AD42B23"/>
    <w:rsid w:val="3ADB2718"/>
    <w:rsid w:val="3ADF0D1D"/>
    <w:rsid w:val="3AF5749A"/>
    <w:rsid w:val="3B034AE3"/>
    <w:rsid w:val="3B154B5E"/>
    <w:rsid w:val="3B23782F"/>
    <w:rsid w:val="3B3763D1"/>
    <w:rsid w:val="3B4A2F98"/>
    <w:rsid w:val="3B4F51C5"/>
    <w:rsid w:val="3B5841D5"/>
    <w:rsid w:val="3B654169"/>
    <w:rsid w:val="3B693880"/>
    <w:rsid w:val="3B6C15C2"/>
    <w:rsid w:val="3B8A37F6"/>
    <w:rsid w:val="3B8D45DF"/>
    <w:rsid w:val="3B907C81"/>
    <w:rsid w:val="3BA675B5"/>
    <w:rsid w:val="3BAA4747"/>
    <w:rsid w:val="3BAF74D3"/>
    <w:rsid w:val="3BB44E7D"/>
    <w:rsid w:val="3BD61609"/>
    <w:rsid w:val="3BE13D5E"/>
    <w:rsid w:val="3BE912E7"/>
    <w:rsid w:val="3BF9748A"/>
    <w:rsid w:val="3C0641FA"/>
    <w:rsid w:val="3C1516B6"/>
    <w:rsid w:val="3C22613E"/>
    <w:rsid w:val="3C2F513F"/>
    <w:rsid w:val="3C2F6E1E"/>
    <w:rsid w:val="3C30439E"/>
    <w:rsid w:val="3C4D13F4"/>
    <w:rsid w:val="3C4F64BA"/>
    <w:rsid w:val="3C582258"/>
    <w:rsid w:val="3C6127A9"/>
    <w:rsid w:val="3C6A7F67"/>
    <w:rsid w:val="3C6F3118"/>
    <w:rsid w:val="3C7C1ADA"/>
    <w:rsid w:val="3C7D7E14"/>
    <w:rsid w:val="3C7E335B"/>
    <w:rsid w:val="3C7E77FF"/>
    <w:rsid w:val="3C7F7351"/>
    <w:rsid w:val="3C813E9C"/>
    <w:rsid w:val="3C9E6BD8"/>
    <w:rsid w:val="3CA43C97"/>
    <w:rsid w:val="3CB16F5D"/>
    <w:rsid w:val="3CC80D86"/>
    <w:rsid w:val="3CD97263"/>
    <w:rsid w:val="3CDA245A"/>
    <w:rsid w:val="3CDB5E2B"/>
    <w:rsid w:val="3CF10C99"/>
    <w:rsid w:val="3CF54B15"/>
    <w:rsid w:val="3D0A5D46"/>
    <w:rsid w:val="3D1C6A04"/>
    <w:rsid w:val="3D1E06B7"/>
    <w:rsid w:val="3D22462E"/>
    <w:rsid w:val="3D23467C"/>
    <w:rsid w:val="3D3D6D72"/>
    <w:rsid w:val="3D4C3453"/>
    <w:rsid w:val="3D594F2A"/>
    <w:rsid w:val="3D5E72E1"/>
    <w:rsid w:val="3D617264"/>
    <w:rsid w:val="3DA14139"/>
    <w:rsid w:val="3DA212CB"/>
    <w:rsid w:val="3DA74B34"/>
    <w:rsid w:val="3DCA5BEA"/>
    <w:rsid w:val="3DCC459A"/>
    <w:rsid w:val="3DD41B73"/>
    <w:rsid w:val="3DD5344F"/>
    <w:rsid w:val="3DEC0F56"/>
    <w:rsid w:val="3DF65C15"/>
    <w:rsid w:val="3E0C2BE9"/>
    <w:rsid w:val="3E1C0879"/>
    <w:rsid w:val="3E287A22"/>
    <w:rsid w:val="3E2E2BDE"/>
    <w:rsid w:val="3E35392A"/>
    <w:rsid w:val="3E454216"/>
    <w:rsid w:val="3E497999"/>
    <w:rsid w:val="3E5A7DF8"/>
    <w:rsid w:val="3E6622F9"/>
    <w:rsid w:val="3E6D7B2B"/>
    <w:rsid w:val="3E7222CF"/>
    <w:rsid w:val="3E81089F"/>
    <w:rsid w:val="3E933A76"/>
    <w:rsid w:val="3E945146"/>
    <w:rsid w:val="3EA0270E"/>
    <w:rsid w:val="3EAD4AE4"/>
    <w:rsid w:val="3EAD76A8"/>
    <w:rsid w:val="3EAE7ECA"/>
    <w:rsid w:val="3EC92302"/>
    <w:rsid w:val="3ECC49D2"/>
    <w:rsid w:val="3ED2499B"/>
    <w:rsid w:val="3ED56AF7"/>
    <w:rsid w:val="3EDA0523"/>
    <w:rsid w:val="3EF0061E"/>
    <w:rsid w:val="3EFB6EE5"/>
    <w:rsid w:val="3F094B14"/>
    <w:rsid w:val="3F1355AC"/>
    <w:rsid w:val="3F1C5008"/>
    <w:rsid w:val="3F246472"/>
    <w:rsid w:val="3F444DB4"/>
    <w:rsid w:val="3F4563B2"/>
    <w:rsid w:val="3F4755D4"/>
    <w:rsid w:val="3F4A7E6C"/>
    <w:rsid w:val="3F511A4A"/>
    <w:rsid w:val="3F60143E"/>
    <w:rsid w:val="3F665430"/>
    <w:rsid w:val="3F682D95"/>
    <w:rsid w:val="3F973087"/>
    <w:rsid w:val="3F994C8C"/>
    <w:rsid w:val="3F9F3D14"/>
    <w:rsid w:val="3FB528EC"/>
    <w:rsid w:val="3FC27A03"/>
    <w:rsid w:val="3FCB3229"/>
    <w:rsid w:val="3FD00372"/>
    <w:rsid w:val="3FF54D86"/>
    <w:rsid w:val="40025D9D"/>
    <w:rsid w:val="400B3158"/>
    <w:rsid w:val="4014504E"/>
    <w:rsid w:val="402C4979"/>
    <w:rsid w:val="40316936"/>
    <w:rsid w:val="403410B5"/>
    <w:rsid w:val="403411E4"/>
    <w:rsid w:val="403501D5"/>
    <w:rsid w:val="4042339C"/>
    <w:rsid w:val="40490124"/>
    <w:rsid w:val="40580367"/>
    <w:rsid w:val="40585637"/>
    <w:rsid w:val="40585E69"/>
    <w:rsid w:val="40646A95"/>
    <w:rsid w:val="406C7D6D"/>
    <w:rsid w:val="407A6407"/>
    <w:rsid w:val="408460B7"/>
    <w:rsid w:val="408F64E5"/>
    <w:rsid w:val="40954141"/>
    <w:rsid w:val="40994C08"/>
    <w:rsid w:val="409B43BF"/>
    <w:rsid w:val="40A43745"/>
    <w:rsid w:val="40A818F2"/>
    <w:rsid w:val="40AA5894"/>
    <w:rsid w:val="40B43B69"/>
    <w:rsid w:val="40B762A4"/>
    <w:rsid w:val="40C41559"/>
    <w:rsid w:val="40CD4B6B"/>
    <w:rsid w:val="40CE3577"/>
    <w:rsid w:val="40D52E3E"/>
    <w:rsid w:val="40DC40BD"/>
    <w:rsid w:val="40EE4064"/>
    <w:rsid w:val="40F6129E"/>
    <w:rsid w:val="40FB141E"/>
    <w:rsid w:val="4105404B"/>
    <w:rsid w:val="41106712"/>
    <w:rsid w:val="411078CD"/>
    <w:rsid w:val="41116E6C"/>
    <w:rsid w:val="412169AB"/>
    <w:rsid w:val="415154E2"/>
    <w:rsid w:val="415B1EBD"/>
    <w:rsid w:val="416D1FB5"/>
    <w:rsid w:val="417E2F73"/>
    <w:rsid w:val="41813EC3"/>
    <w:rsid w:val="41910366"/>
    <w:rsid w:val="41983BE4"/>
    <w:rsid w:val="419B675D"/>
    <w:rsid w:val="41AD706D"/>
    <w:rsid w:val="41B859EE"/>
    <w:rsid w:val="41BD0482"/>
    <w:rsid w:val="41C55588"/>
    <w:rsid w:val="41C627ED"/>
    <w:rsid w:val="41C95125"/>
    <w:rsid w:val="41D03C48"/>
    <w:rsid w:val="41D54B21"/>
    <w:rsid w:val="41E2613A"/>
    <w:rsid w:val="41E87961"/>
    <w:rsid w:val="41E9047B"/>
    <w:rsid w:val="41ED47FB"/>
    <w:rsid w:val="41F9158F"/>
    <w:rsid w:val="4200449D"/>
    <w:rsid w:val="420936C7"/>
    <w:rsid w:val="421739EA"/>
    <w:rsid w:val="42224789"/>
    <w:rsid w:val="422870CA"/>
    <w:rsid w:val="4228737D"/>
    <w:rsid w:val="423011D6"/>
    <w:rsid w:val="423A3BCC"/>
    <w:rsid w:val="424E57D2"/>
    <w:rsid w:val="425B4DDD"/>
    <w:rsid w:val="427C2691"/>
    <w:rsid w:val="4283159E"/>
    <w:rsid w:val="42932482"/>
    <w:rsid w:val="42AC04F6"/>
    <w:rsid w:val="42B149C4"/>
    <w:rsid w:val="42B26C49"/>
    <w:rsid w:val="42B74155"/>
    <w:rsid w:val="42CC3B2C"/>
    <w:rsid w:val="42DA286A"/>
    <w:rsid w:val="42DC7AE8"/>
    <w:rsid w:val="42DF5FDB"/>
    <w:rsid w:val="42ED0B20"/>
    <w:rsid w:val="42F4796D"/>
    <w:rsid w:val="42F94AE0"/>
    <w:rsid w:val="43060940"/>
    <w:rsid w:val="43107D57"/>
    <w:rsid w:val="431B4178"/>
    <w:rsid w:val="43284021"/>
    <w:rsid w:val="432B1D63"/>
    <w:rsid w:val="432D54C9"/>
    <w:rsid w:val="433A6FE6"/>
    <w:rsid w:val="43471CAB"/>
    <w:rsid w:val="43480868"/>
    <w:rsid w:val="4350713C"/>
    <w:rsid w:val="43514336"/>
    <w:rsid w:val="43521650"/>
    <w:rsid w:val="436112E1"/>
    <w:rsid w:val="43627D01"/>
    <w:rsid w:val="436653E0"/>
    <w:rsid w:val="436A0EC4"/>
    <w:rsid w:val="436B215F"/>
    <w:rsid w:val="437814B9"/>
    <w:rsid w:val="43860D47"/>
    <w:rsid w:val="4387343D"/>
    <w:rsid w:val="43885248"/>
    <w:rsid w:val="43917E18"/>
    <w:rsid w:val="43A02F8A"/>
    <w:rsid w:val="43A7045A"/>
    <w:rsid w:val="43A7763B"/>
    <w:rsid w:val="43A817B1"/>
    <w:rsid w:val="43AA4920"/>
    <w:rsid w:val="43B1111A"/>
    <w:rsid w:val="43B43B06"/>
    <w:rsid w:val="43B85F84"/>
    <w:rsid w:val="43BD6E5F"/>
    <w:rsid w:val="43BF3EBB"/>
    <w:rsid w:val="43C4431A"/>
    <w:rsid w:val="43C44AC1"/>
    <w:rsid w:val="43D91144"/>
    <w:rsid w:val="43DE0B83"/>
    <w:rsid w:val="43E15EC3"/>
    <w:rsid w:val="43F93E87"/>
    <w:rsid w:val="440B236E"/>
    <w:rsid w:val="441F7083"/>
    <w:rsid w:val="4435250A"/>
    <w:rsid w:val="4438016D"/>
    <w:rsid w:val="443B60E6"/>
    <w:rsid w:val="44444301"/>
    <w:rsid w:val="44653F39"/>
    <w:rsid w:val="44695721"/>
    <w:rsid w:val="447A0492"/>
    <w:rsid w:val="44830C5B"/>
    <w:rsid w:val="449B5114"/>
    <w:rsid w:val="44A27E03"/>
    <w:rsid w:val="44AD4BFB"/>
    <w:rsid w:val="44B951CC"/>
    <w:rsid w:val="44CD14E0"/>
    <w:rsid w:val="44CE2DA8"/>
    <w:rsid w:val="44DC1567"/>
    <w:rsid w:val="44F20B0B"/>
    <w:rsid w:val="44FC4765"/>
    <w:rsid w:val="45067F68"/>
    <w:rsid w:val="450A77D9"/>
    <w:rsid w:val="45120AE5"/>
    <w:rsid w:val="452D241D"/>
    <w:rsid w:val="452E5F4C"/>
    <w:rsid w:val="45312167"/>
    <w:rsid w:val="45322F35"/>
    <w:rsid w:val="45322FB1"/>
    <w:rsid w:val="453E18DA"/>
    <w:rsid w:val="454163AE"/>
    <w:rsid w:val="45432070"/>
    <w:rsid w:val="45521829"/>
    <w:rsid w:val="45612018"/>
    <w:rsid w:val="45625C51"/>
    <w:rsid w:val="45723C79"/>
    <w:rsid w:val="45763769"/>
    <w:rsid w:val="45796DB6"/>
    <w:rsid w:val="4580164A"/>
    <w:rsid w:val="458946E9"/>
    <w:rsid w:val="45895A72"/>
    <w:rsid w:val="45921175"/>
    <w:rsid w:val="45980FBB"/>
    <w:rsid w:val="45A47C0E"/>
    <w:rsid w:val="45A51959"/>
    <w:rsid w:val="45AB064E"/>
    <w:rsid w:val="45CD277B"/>
    <w:rsid w:val="45FE540F"/>
    <w:rsid w:val="460106F7"/>
    <w:rsid w:val="4609638B"/>
    <w:rsid w:val="46122A25"/>
    <w:rsid w:val="46130FB8"/>
    <w:rsid w:val="461D1E37"/>
    <w:rsid w:val="461F45F4"/>
    <w:rsid w:val="4621733A"/>
    <w:rsid w:val="462C452A"/>
    <w:rsid w:val="46380953"/>
    <w:rsid w:val="46464E0E"/>
    <w:rsid w:val="46577FD6"/>
    <w:rsid w:val="465A14A9"/>
    <w:rsid w:val="465A2620"/>
    <w:rsid w:val="46625A9C"/>
    <w:rsid w:val="46652C11"/>
    <w:rsid w:val="466965F4"/>
    <w:rsid w:val="466E61EE"/>
    <w:rsid w:val="467D0B27"/>
    <w:rsid w:val="467F21AA"/>
    <w:rsid w:val="46805F22"/>
    <w:rsid w:val="468758C3"/>
    <w:rsid w:val="46A33737"/>
    <w:rsid w:val="46B522AF"/>
    <w:rsid w:val="46B61944"/>
    <w:rsid w:val="46D955A7"/>
    <w:rsid w:val="46DB343F"/>
    <w:rsid w:val="46DD2EAC"/>
    <w:rsid w:val="46E22556"/>
    <w:rsid w:val="46FA0696"/>
    <w:rsid w:val="46FA3F26"/>
    <w:rsid w:val="46FB137F"/>
    <w:rsid w:val="46FB541D"/>
    <w:rsid w:val="46FE76DA"/>
    <w:rsid w:val="471274C2"/>
    <w:rsid w:val="47132B0A"/>
    <w:rsid w:val="47133957"/>
    <w:rsid w:val="471C20EE"/>
    <w:rsid w:val="47264693"/>
    <w:rsid w:val="472B2331"/>
    <w:rsid w:val="47376F28"/>
    <w:rsid w:val="473E34D0"/>
    <w:rsid w:val="4745233F"/>
    <w:rsid w:val="47455208"/>
    <w:rsid w:val="47487D3C"/>
    <w:rsid w:val="476E0DE5"/>
    <w:rsid w:val="477C3AE3"/>
    <w:rsid w:val="477E50A4"/>
    <w:rsid w:val="47855EE6"/>
    <w:rsid w:val="47887784"/>
    <w:rsid w:val="479A3013"/>
    <w:rsid w:val="47A07E0C"/>
    <w:rsid w:val="47A13520"/>
    <w:rsid w:val="47AB79AD"/>
    <w:rsid w:val="47C562E2"/>
    <w:rsid w:val="47D74267"/>
    <w:rsid w:val="47E50732"/>
    <w:rsid w:val="47F20B1D"/>
    <w:rsid w:val="480037BE"/>
    <w:rsid w:val="480171CC"/>
    <w:rsid w:val="480E2717"/>
    <w:rsid w:val="48194AC1"/>
    <w:rsid w:val="48201674"/>
    <w:rsid w:val="48223734"/>
    <w:rsid w:val="48287D89"/>
    <w:rsid w:val="483454B8"/>
    <w:rsid w:val="483E42C6"/>
    <w:rsid w:val="48643713"/>
    <w:rsid w:val="4867096B"/>
    <w:rsid w:val="486E5DC3"/>
    <w:rsid w:val="4870272E"/>
    <w:rsid w:val="488732A2"/>
    <w:rsid w:val="488E0ECE"/>
    <w:rsid w:val="489406DF"/>
    <w:rsid w:val="489F2FD7"/>
    <w:rsid w:val="48A67538"/>
    <w:rsid w:val="48B431A9"/>
    <w:rsid w:val="48D821C0"/>
    <w:rsid w:val="48DD58AD"/>
    <w:rsid w:val="48E409EA"/>
    <w:rsid w:val="48EA7E09"/>
    <w:rsid w:val="48FA7B4E"/>
    <w:rsid w:val="490B5F77"/>
    <w:rsid w:val="49150BC9"/>
    <w:rsid w:val="49184B37"/>
    <w:rsid w:val="49230E61"/>
    <w:rsid w:val="49325BF9"/>
    <w:rsid w:val="493C71A0"/>
    <w:rsid w:val="494003BA"/>
    <w:rsid w:val="49425710"/>
    <w:rsid w:val="49442A54"/>
    <w:rsid w:val="494732CE"/>
    <w:rsid w:val="494B6CBB"/>
    <w:rsid w:val="494F0C4A"/>
    <w:rsid w:val="49570A61"/>
    <w:rsid w:val="49572554"/>
    <w:rsid w:val="49576F53"/>
    <w:rsid w:val="49677DCD"/>
    <w:rsid w:val="49837585"/>
    <w:rsid w:val="49871994"/>
    <w:rsid w:val="4998130F"/>
    <w:rsid w:val="499C6445"/>
    <w:rsid w:val="49AB5AC3"/>
    <w:rsid w:val="49BC37CB"/>
    <w:rsid w:val="49C20111"/>
    <w:rsid w:val="49CC500E"/>
    <w:rsid w:val="49D767A1"/>
    <w:rsid w:val="49DC7715"/>
    <w:rsid w:val="49E1317B"/>
    <w:rsid w:val="49E25B6F"/>
    <w:rsid w:val="49E669E4"/>
    <w:rsid w:val="49F7299F"/>
    <w:rsid w:val="4A007CCB"/>
    <w:rsid w:val="4A023139"/>
    <w:rsid w:val="4A0462BA"/>
    <w:rsid w:val="4A1A5D92"/>
    <w:rsid w:val="4A2175B7"/>
    <w:rsid w:val="4A253068"/>
    <w:rsid w:val="4A29517A"/>
    <w:rsid w:val="4A3164E7"/>
    <w:rsid w:val="4A4970AD"/>
    <w:rsid w:val="4A497A90"/>
    <w:rsid w:val="4A4A2ACF"/>
    <w:rsid w:val="4A5E2A1E"/>
    <w:rsid w:val="4A617FDE"/>
    <w:rsid w:val="4A6A0C3A"/>
    <w:rsid w:val="4A74119A"/>
    <w:rsid w:val="4A7B576F"/>
    <w:rsid w:val="4A82472E"/>
    <w:rsid w:val="4A8829DB"/>
    <w:rsid w:val="4A926C6F"/>
    <w:rsid w:val="4A967DC8"/>
    <w:rsid w:val="4A9D38B9"/>
    <w:rsid w:val="4AA56CC1"/>
    <w:rsid w:val="4AA813B6"/>
    <w:rsid w:val="4AB14214"/>
    <w:rsid w:val="4AB40D4F"/>
    <w:rsid w:val="4ABD7744"/>
    <w:rsid w:val="4AD66C61"/>
    <w:rsid w:val="4AD856DA"/>
    <w:rsid w:val="4AEC1066"/>
    <w:rsid w:val="4AEF3483"/>
    <w:rsid w:val="4AF3760A"/>
    <w:rsid w:val="4AF561A9"/>
    <w:rsid w:val="4B040AD8"/>
    <w:rsid w:val="4B1331CA"/>
    <w:rsid w:val="4B235B82"/>
    <w:rsid w:val="4B2A304B"/>
    <w:rsid w:val="4B301BE4"/>
    <w:rsid w:val="4B3B61D9"/>
    <w:rsid w:val="4B44704F"/>
    <w:rsid w:val="4B6D75C2"/>
    <w:rsid w:val="4B763ADA"/>
    <w:rsid w:val="4B775674"/>
    <w:rsid w:val="4B8A27A1"/>
    <w:rsid w:val="4B92518B"/>
    <w:rsid w:val="4B9701A6"/>
    <w:rsid w:val="4B983D0E"/>
    <w:rsid w:val="4B9A499D"/>
    <w:rsid w:val="4BC43A42"/>
    <w:rsid w:val="4BD108DE"/>
    <w:rsid w:val="4BE40D01"/>
    <w:rsid w:val="4C015B19"/>
    <w:rsid w:val="4C0373D9"/>
    <w:rsid w:val="4C4507B6"/>
    <w:rsid w:val="4C4A0649"/>
    <w:rsid w:val="4C5758EE"/>
    <w:rsid w:val="4C5E7A6C"/>
    <w:rsid w:val="4C6C402A"/>
    <w:rsid w:val="4C7E5ECA"/>
    <w:rsid w:val="4C7F0234"/>
    <w:rsid w:val="4C7F08F0"/>
    <w:rsid w:val="4C876AA5"/>
    <w:rsid w:val="4C906665"/>
    <w:rsid w:val="4C972D61"/>
    <w:rsid w:val="4CA23096"/>
    <w:rsid w:val="4CAE1A3B"/>
    <w:rsid w:val="4CBC0009"/>
    <w:rsid w:val="4CC0351C"/>
    <w:rsid w:val="4CC065F7"/>
    <w:rsid w:val="4CC4300C"/>
    <w:rsid w:val="4CC96874"/>
    <w:rsid w:val="4CD5642A"/>
    <w:rsid w:val="4CD700C2"/>
    <w:rsid w:val="4CE55BEF"/>
    <w:rsid w:val="4CEF5BAF"/>
    <w:rsid w:val="4CF45A96"/>
    <w:rsid w:val="4CF80F08"/>
    <w:rsid w:val="4D0034B6"/>
    <w:rsid w:val="4D0E00FB"/>
    <w:rsid w:val="4D176606"/>
    <w:rsid w:val="4D197E75"/>
    <w:rsid w:val="4D2E0486"/>
    <w:rsid w:val="4D3006A2"/>
    <w:rsid w:val="4D3A219A"/>
    <w:rsid w:val="4D3F6B37"/>
    <w:rsid w:val="4D4B3259"/>
    <w:rsid w:val="4D6A4237"/>
    <w:rsid w:val="4D73233C"/>
    <w:rsid w:val="4D8863CB"/>
    <w:rsid w:val="4D927681"/>
    <w:rsid w:val="4D9C1E42"/>
    <w:rsid w:val="4D9E73D2"/>
    <w:rsid w:val="4DA4699A"/>
    <w:rsid w:val="4DC43538"/>
    <w:rsid w:val="4DC86B2C"/>
    <w:rsid w:val="4DC9162E"/>
    <w:rsid w:val="4DCB03CA"/>
    <w:rsid w:val="4DEC4FB0"/>
    <w:rsid w:val="4DF55447"/>
    <w:rsid w:val="4E075D8A"/>
    <w:rsid w:val="4E214334"/>
    <w:rsid w:val="4E260E87"/>
    <w:rsid w:val="4E380649"/>
    <w:rsid w:val="4E395334"/>
    <w:rsid w:val="4E55097D"/>
    <w:rsid w:val="4E577EB0"/>
    <w:rsid w:val="4E600B13"/>
    <w:rsid w:val="4E610266"/>
    <w:rsid w:val="4E6525CD"/>
    <w:rsid w:val="4E7321E5"/>
    <w:rsid w:val="4E7A01FB"/>
    <w:rsid w:val="4E89774D"/>
    <w:rsid w:val="4EA2737D"/>
    <w:rsid w:val="4EA3322B"/>
    <w:rsid w:val="4EB230B3"/>
    <w:rsid w:val="4EB47832"/>
    <w:rsid w:val="4EC00FAD"/>
    <w:rsid w:val="4ECB4773"/>
    <w:rsid w:val="4ED1099E"/>
    <w:rsid w:val="4EFA17F5"/>
    <w:rsid w:val="4F000A04"/>
    <w:rsid w:val="4F00166D"/>
    <w:rsid w:val="4F005E52"/>
    <w:rsid w:val="4F0911AA"/>
    <w:rsid w:val="4F1B0EDE"/>
    <w:rsid w:val="4F2D0A28"/>
    <w:rsid w:val="4F2D6E91"/>
    <w:rsid w:val="4F306FED"/>
    <w:rsid w:val="4F3124AF"/>
    <w:rsid w:val="4F350835"/>
    <w:rsid w:val="4F473A81"/>
    <w:rsid w:val="4F5B74ED"/>
    <w:rsid w:val="4F795774"/>
    <w:rsid w:val="4F8B53F5"/>
    <w:rsid w:val="4F9843DC"/>
    <w:rsid w:val="4FA009B1"/>
    <w:rsid w:val="4FB05ACA"/>
    <w:rsid w:val="4FC62A8C"/>
    <w:rsid w:val="4FCC3F86"/>
    <w:rsid w:val="4FD5531F"/>
    <w:rsid w:val="4FE20F0D"/>
    <w:rsid w:val="4FE51552"/>
    <w:rsid w:val="4FEB7FA3"/>
    <w:rsid w:val="4FF927CB"/>
    <w:rsid w:val="500C0633"/>
    <w:rsid w:val="500E02FF"/>
    <w:rsid w:val="501E7B8B"/>
    <w:rsid w:val="50243BB7"/>
    <w:rsid w:val="503037B8"/>
    <w:rsid w:val="503158BD"/>
    <w:rsid w:val="50341130"/>
    <w:rsid w:val="503A1D5A"/>
    <w:rsid w:val="504A1A7A"/>
    <w:rsid w:val="50504C4B"/>
    <w:rsid w:val="505A3A41"/>
    <w:rsid w:val="505A4E4D"/>
    <w:rsid w:val="505B149D"/>
    <w:rsid w:val="506214F6"/>
    <w:rsid w:val="506971E0"/>
    <w:rsid w:val="507E4A0D"/>
    <w:rsid w:val="5089202F"/>
    <w:rsid w:val="508A77E2"/>
    <w:rsid w:val="509A0CF9"/>
    <w:rsid w:val="509C6E7C"/>
    <w:rsid w:val="50B153DD"/>
    <w:rsid w:val="50B52C6C"/>
    <w:rsid w:val="50C431DE"/>
    <w:rsid w:val="50D262E8"/>
    <w:rsid w:val="50DB6B76"/>
    <w:rsid w:val="50DE1EA9"/>
    <w:rsid w:val="50F2620C"/>
    <w:rsid w:val="510964DF"/>
    <w:rsid w:val="5121561D"/>
    <w:rsid w:val="512247A5"/>
    <w:rsid w:val="513045D1"/>
    <w:rsid w:val="51440C1F"/>
    <w:rsid w:val="51445967"/>
    <w:rsid w:val="514E10F6"/>
    <w:rsid w:val="51553B53"/>
    <w:rsid w:val="515A2531"/>
    <w:rsid w:val="5162104E"/>
    <w:rsid w:val="51791EEB"/>
    <w:rsid w:val="518C7E71"/>
    <w:rsid w:val="51981C88"/>
    <w:rsid w:val="519A5E9F"/>
    <w:rsid w:val="51AD26DC"/>
    <w:rsid w:val="51B65CE0"/>
    <w:rsid w:val="51C413B8"/>
    <w:rsid w:val="51C4760A"/>
    <w:rsid w:val="51D35110"/>
    <w:rsid w:val="51D35A9F"/>
    <w:rsid w:val="51D5415B"/>
    <w:rsid w:val="51DD0AE1"/>
    <w:rsid w:val="51E15758"/>
    <w:rsid w:val="51E503AF"/>
    <w:rsid w:val="51E71C2F"/>
    <w:rsid w:val="51EE0B2B"/>
    <w:rsid w:val="52043EAB"/>
    <w:rsid w:val="52067CC1"/>
    <w:rsid w:val="52162958"/>
    <w:rsid w:val="52180D42"/>
    <w:rsid w:val="521B6B6B"/>
    <w:rsid w:val="52241ACF"/>
    <w:rsid w:val="52244A65"/>
    <w:rsid w:val="523909A8"/>
    <w:rsid w:val="523C1897"/>
    <w:rsid w:val="524A3079"/>
    <w:rsid w:val="52723F76"/>
    <w:rsid w:val="527B757B"/>
    <w:rsid w:val="5283316D"/>
    <w:rsid w:val="528E4A6A"/>
    <w:rsid w:val="528F09A9"/>
    <w:rsid w:val="5294522F"/>
    <w:rsid w:val="52946A91"/>
    <w:rsid w:val="52AD009F"/>
    <w:rsid w:val="52BE04FE"/>
    <w:rsid w:val="52C00478"/>
    <w:rsid w:val="52C1796F"/>
    <w:rsid w:val="52DE5644"/>
    <w:rsid w:val="52E07211"/>
    <w:rsid w:val="52F40552"/>
    <w:rsid w:val="52F605E5"/>
    <w:rsid w:val="533452A2"/>
    <w:rsid w:val="5335518F"/>
    <w:rsid w:val="534053B7"/>
    <w:rsid w:val="535A53CF"/>
    <w:rsid w:val="536015B5"/>
    <w:rsid w:val="536F06A4"/>
    <w:rsid w:val="536F1245"/>
    <w:rsid w:val="5371731E"/>
    <w:rsid w:val="53737879"/>
    <w:rsid w:val="53746E0E"/>
    <w:rsid w:val="538F4842"/>
    <w:rsid w:val="53920FCE"/>
    <w:rsid w:val="539B083F"/>
    <w:rsid w:val="53A039CC"/>
    <w:rsid w:val="53A1505A"/>
    <w:rsid w:val="53A92F5C"/>
    <w:rsid w:val="53A960E1"/>
    <w:rsid w:val="53AA6E9D"/>
    <w:rsid w:val="53B20E84"/>
    <w:rsid w:val="53BD2563"/>
    <w:rsid w:val="53C25DCC"/>
    <w:rsid w:val="53C77503"/>
    <w:rsid w:val="53D376BB"/>
    <w:rsid w:val="53DD2E74"/>
    <w:rsid w:val="53E7304A"/>
    <w:rsid w:val="53F03344"/>
    <w:rsid w:val="53F03D77"/>
    <w:rsid w:val="53F1220D"/>
    <w:rsid w:val="540223DD"/>
    <w:rsid w:val="54063E08"/>
    <w:rsid w:val="540F5A81"/>
    <w:rsid w:val="5417233D"/>
    <w:rsid w:val="54255EA1"/>
    <w:rsid w:val="543437E8"/>
    <w:rsid w:val="543F699E"/>
    <w:rsid w:val="54935350"/>
    <w:rsid w:val="54965A90"/>
    <w:rsid w:val="54994D7E"/>
    <w:rsid w:val="54AB4EA2"/>
    <w:rsid w:val="54AC0AFF"/>
    <w:rsid w:val="54AE1E8E"/>
    <w:rsid w:val="54B330BB"/>
    <w:rsid w:val="54D06E1A"/>
    <w:rsid w:val="54E029AD"/>
    <w:rsid w:val="54F0519B"/>
    <w:rsid w:val="54F73313"/>
    <w:rsid w:val="54F80955"/>
    <w:rsid w:val="55082A9D"/>
    <w:rsid w:val="550B7EDD"/>
    <w:rsid w:val="550E5016"/>
    <w:rsid w:val="5517028D"/>
    <w:rsid w:val="551E7032"/>
    <w:rsid w:val="552B4635"/>
    <w:rsid w:val="552D57D1"/>
    <w:rsid w:val="553C2EE2"/>
    <w:rsid w:val="55437ACD"/>
    <w:rsid w:val="554C56B7"/>
    <w:rsid w:val="555170A7"/>
    <w:rsid w:val="55612CDD"/>
    <w:rsid w:val="55717AA9"/>
    <w:rsid w:val="55732C45"/>
    <w:rsid w:val="557A2CDB"/>
    <w:rsid w:val="5587536D"/>
    <w:rsid w:val="558F7F2F"/>
    <w:rsid w:val="55951E1E"/>
    <w:rsid w:val="559A7839"/>
    <w:rsid w:val="559B174B"/>
    <w:rsid w:val="55A46A35"/>
    <w:rsid w:val="55C66BE5"/>
    <w:rsid w:val="55CE0CF4"/>
    <w:rsid w:val="55D236F7"/>
    <w:rsid w:val="55E46DAF"/>
    <w:rsid w:val="55F14746"/>
    <w:rsid w:val="56017456"/>
    <w:rsid w:val="561B6D41"/>
    <w:rsid w:val="56382375"/>
    <w:rsid w:val="563B3BA0"/>
    <w:rsid w:val="564D4072"/>
    <w:rsid w:val="564D42E4"/>
    <w:rsid w:val="565151E5"/>
    <w:rsid w:val="56585A6C"/>
    <w:rsid w:val="56666EE2"/>
    <w:rsid w:val="56861332"/>
    <w:rsid w:val="569F71F7"/>
    <w:rsid w:val="56A24D4C"/>
    <w:rsid w:val="56AD58DD"/>
    <w:rsid w:val="56B22A9C"/>
    <w:rsid w:val="56FA587C"/>
    <w:rsid w:val="570606C5"/>
    <w:rsid w:val="571915F2"/>
    <w:rsid w:val="57250B4B"/>
    <w:rsid w:val="5729580E"/>
    <w:rsid w:val="572E1339"/>
    <w:rsid w:val="574230B2"/>
    <w:rsid w:val="57540A05"/>
    <w:rsid w:val="57820390"/>
    <w:rsid w:val="57853398"/>
    <w:rsid w:val="578A2508"/>
    <w:rsid w:val="578E252E"/>
    <w:rsid w:val="5796002D"/>
    <w:rsid w:val="579F5094"/>
    <w:rsid w:val="57A26F28"/>
    <w:rsid w:val="57A811C2"/>
    <w:rsid w:val="57AC301B"/>
    <w:rsid w:val="57B00BF5"/>
    <w:rsid w:val="57B72A76"/>
    <w:rsid w:val="57C3426C"/>
    <w:rsid w:val="57CE1F93"/>
    <w:rsid w:val="57DB28FB"/>
    <w:rsid w:val="57EE5052"/>
    <w:rsid w:val="57EF53F0"/>
    <w:rsid w:val="57F02934"/>
    <w:rsid w:val="57F30C49"/>
    <w:rsid w:val="57FF5D0F"/>
    <w:rsid w:val="580C520A"/>
    <w:rsid w:val="581314C9"/>
    <w:rsid w:val="58226A99"/>
    <w:rsid w:val="58344213"/>
    <w:rsid w:val="58417C07"/>
    <w:rsid w:val="58507E4A"/>
    <w:rsid w:val="58717625"/>
    <w:rsid w:val="587478D8"/>
    <w:rsid w:val="588743D1"/>
    <w:rsid w:val="5887701A"/>
    <w:rsid w:val="58953AAF"/>
    <w:rsid w:val="58996011"/>
    <w:rsid w:val="589F330E"/>
    <w:rsid w:val="58C12AF6"/>
    <w:rsid w:val="58CC5E32"/>
    <w:rsid w:val="58D36385"/>
    <w:rsid w:val="58F9524E"/>
    <w:rsid w:val="590760D8"/>
    <w:rsid w:val="5915074C"/>
    <w:rsid w:val="592F7A5F"/>
    <w:rsid w:val="59327FF5"/>
    <w:rsid w:val="5936416E"/>
    <w:rsid w:val="594D25DB"/>
    <w:rsid w:val="594F0990"/>
    <w:rsid w:val="595217F1"/>
    <w:rsid w:val="5954056B"/>
    <w:rsid w:val="596B015D"/>
    <w:rsid w:val="59822246"/>
    <w:rsid w:val="59832349"/>
    <w:rsid w:val="59914276"/>
    <w:rsid w:val="59AA1E25"/>
    <w:rsid w:val="59C0439F"/>
    <w:rsid w:val="59CA0A2B"/>
    <w:rsid w:val="59CB0896"/>
    <w:rsid w:val="59D04A94"/>
    <w:rsid w:val="59D16D68"/>
    <w:rsid w:val="59D63EF3"/>
    <w:rsid w:val="59D86A0C"/>
    <w:rsid w:val="59DF76D7"/>
    <w:rsid w:val="59F22A06"/>
    <w:rsid w:val="59F74535"/>
    <w:rsid w:val="59FF3E1A"/>
    <w:rsid w:val="5A032C9A"/>
    <w:rsid w:val="5A0C2A3B"/>
    <w:rsid w:val="5A103531"/>
    <w:rsid w:val="5A1D1FAE"/>
    <w:rsid w:val="5A20384C"/>
    <w:rsid w:val="5A227D52"/>
    <w:rsid w:val="5A2C38D9"/>
    <w:rsid w:val="5A30249C"/>
    <w:rsid w:val="5A3207EE"/>
    <w:rsid w:val="5A382944"/>
    <w:rsid w:val="5A3F2082"/>
    <w:rsid w:val="5A434A7B"/>
    <w:rsid w:val="5A455061"/>
    <w:rsid w:val="5A501178"/>
    <w:rsid w:val="5A551748"/>
    <w:rsid w:val="5A640949"/>
    <w:rsid w:val="5A673229"/>
    <w:rsid w:val="5A6F70EB"/>
    <w:rsid w:val="5AA2776C"/>
    <w:rsid w:val="5AA91A93"/>
    <w:rsid w:val="5AB6152D"/>
    <w:rsid w:val="5AB870E6"/>
    <w:rsid w:val="5ABE2233"/>
    <w:rsid w:val="5AD9162C"/>
    <w:rsid w:val="5AD92379"/>
    <w:rsid w:val="5AE968DE"/>
    <w:rsid w:val="5AEE74A6"/>
    <w:rsid w:val="5AF319E8"/>
    <w:rsid w:val="5B0214B8"/>
    <w:rsid w:val="5B37709F"/>
    <w:rsid w:val="5B3C2788"/>
    <w:rsid w:val="5B47552E"/>
    <w:rsid w:val="5B4B48F9"/>
    <w:rsid w:val="5B587054"/>
    <w:rsid w:val="5B6107AA"/>
    <w:rsid w:val="5B6F1663"/>
    <w:rsid w:val="5B8C60FC"/>
    <w:rsid w:val="5B8D1B4F"/>
    <w:rsid w:val="5B9718EC"/>
    <w:rsid w:val="5BC54B31"/>
    <w:rsid w:val="5BC9743E"/>
    <w:rsid w:val="5BD96062"/>
    <w:rsid w:val="5BDB6C3E"/>
    <w:rsid w:val="5BDD492E"/>
    <w:rsid w:val="5BDE751B"/>
    <w:rsid w:val="5BDE77D0"/>
    <w:rsid w:val="5BDF5D95"/>
    <w:rsid w:val="5BE403FB"/>
    <w:rsid w:val="5BFE7528"/>
    <w:rsid w:val="5C2F009D"/>
    <w:rsid w:val="5C3071B0"/>
    <w:rsid w:val="5C381B1C"/>
    <w:rsid w:val="5C3D63A0"/>
    <w:rsid w:val="5C44613A"/>
    <w:rsid w:val="5C475B3F"/>
    <w:rsid w:val="5C4A724C"/>
    <w:rsid w:val="5C537F09"/>
    <w:rsid w:val="5C5507A3"/>
    <w:rsid w:val="5C5872CD"/>
    <w:rsid w:val="5C657CB7"/>
    <w:rsid w:val="5C7C0C62"/>
    <w:rsid w:val="5C946EE9"/>
    <w:rsid w:val="5C9C18B0"/>
    <w:rsid w:val="5CA44FB3"/>
    <w:rsid w:val="5CB12E81"/>
    <w:rsid w:val="5CC04E72"/>
    <w:rsid w:val="5CD016D8"/>
    <w:rsid w:val="5CDA5F34"/>
    <w:rsid w:val="5CF07506"/>
    <w:rsid w:val="5CFD5EAA"/>
    <w:rsid w:val="5D05640D"/>
    <w:rsid w:val="5D0E7FEF"/>
    <w:rsid w:val="5D183ECA"/>
    <w:rsid w:val="5D276C9F"/>
    <w:rsid w:val="5D400B09"/>
    <w:rsid w:val="5D407654"/>
    <w:rsid w:val="5D4A4212"/>
    <w:rsid w:val="5D4B0BDE"/>
    <w:rsid w:val="5D595DE3"/>
    <w:rsid w:val="5D5F468B"/>
    <w:rsid w:val="5D63288E"/>
    <w:rsid w:val="5D6772F9"/>
    <w:rsid w:val="5D71537D"/>
    <w:rsid w:val="5D753EAF"/>
    <w:rsid w:val="5D83094D"/>
    <w:rsid w:val="5D832FF6"/>
    <w:rsid w:val="5D9B663A"/>
    <w:rsid w:val="5DAA1DAA"/>
    <w:rsid w:val="5DC5394F"/>
    <w:rsid w:val="5DD07337"/>
    <w:rsid w:val="5DE14A08"/>
    <w:rsid w:val="5DE402C9"/>
    <w:rsid w:val="5DF272AD"/>
    <w:rsid w:val="5DFB69B0"/>
    <w:rsid w:val="5E053485"/>
    <w:rsid w:val="5E125839"/>
    <w:rsid w:val="5E186BEC"/>
    <w:rsid w:val="5E2048BA"/>
    <w:rsid w:val="5E2141ED"/>
    <w:rsid w:val="5E2467F1"/>
    <w:rsid w:val="5E2E1A62"/>
    <w:rsid w:val="5E372983"/>
    <w:rsid w:val="5E622685"/>
    <w:rsid w:val="5E6F4B1D"/>
    <w:rsid w:val="5E794D06"/>
    <w:rsid w:val="5EA179AA"/>
    <w:rsid w:val="5EBE45EB"/>
    <w:rsid w:val="5EE14BB2"/>
    <w:rsid w:val="5EE70DDC"/>
    <w:rsid w:val="5EF939D7"/>
    <w:rsid w:val="5F1871E8"/>
    <w:rsid w:val="5F1A2B43"/>
    <w:rsid w:val="5F2862ED"/>
    <w:rsid w:val="5F2920F0"/>
    <w:rsid w:val="5F31409D"/>
    <w:rsid w:val="5F3627F0"/>
    <w:rsid w:val="5F506981"/>
    <w:rsid w:val="5F5D60FF"/>
    <w:rsid w:val="5F662C88"/>
    <w:rsid w:val="5F732C80"/>
    <w:rsid w:val="5F8F2444"/>
    <w:rsid w:val="5F920D48"/>
    <w:rsid w:val="5FA32F55"/>
    <w:rsid w:val="5FA3796D"/>
    <w:rsid w:val="5FA651BB"/>
    <w:rsid w:val="5FB837BB"/>
    <w:rsid w:val="5FD431FA"/>
    <w:rsid w:val="5FDC78E1"/>
    <w:rsid w:val="5FDF20A5"/>
    <w:rsid w:val="60015240"/>
    <w:rsid w:val="60161979"/>
    <w:rsid w:val="602013DE"/>
    <w:rsid w:val="602D7D9F"/>
    <w:rsid w:val="60363DC9"/>
    <w:rsid w:val="60395667"/>
    <w:rsid w:val="604A2CED"/>
    <w:rsid w:val="60593D70"/>
    <w:rsid w:val="605D078A"/>
    <w:rsid w:val="606B03AA"/>
    <w:rsid w:val="608A7C71"/>
    <w:rsid w:val="608D704F"/>
    <w:rsid w:val="608E58F5"/>
    <w:rsid w:val="609138C3"/>
    <w:rsid w:val="60981D49"/>
    <w:rsid w:val="609A1818"/>
    <w:rsid w:val="60A6142B"/>
    <w:rsid w:val="60A6190E"/>
    <w:rsid w:val="60B62264"/>
    <w:rsid w:val="60B74C28"/>
    <w:rsid w:val="60C50417"/>
    <w:rsid w:val="60CC405A"/>
    <w:rsid w:val="60CF6695"/>
    <w:rsid w:val="60CF67D2"/>
    <w:rsid w:val="60E51892"/>
    <w:rsid w:val="60E651D4"/>
    <w:rsid w:val="60EB3657"/>
    <w:rsid w:val="6101112F"/>
    <w:rsid w:val="61047A23"/>
    <w:rsid w:val="610A6166"/>
    <w:rsid w:val="610E2F0C"/>
    <w:rsid w:val="610F7CBA"/>
    <w:rsid w:val="61112140"/>
    <w:rsid w:val="612F62AF"/>
    <w:rsid w:val="61340545"/>
    <w:rsid w:val="614B7400"/>
    <w:rsid w:val="615435B1"/>
    <w:rsid w:val="619012B7"/>
    <w:rsid w:val="61A11716"/>
    <w:rsid w:val="61BC489F"/>
    <w:rsid w:val="61C3168D"/>
    <w:rsid w:val="61C62F2B"/>
    <w:rsid w:val="61CF0F5A"/>
    <w:rsid w:val="61D70C94"/>
    <w:rsid w:val="61E1027D"/>
    <w:rsid w:val="61E215D8"/>
    <w:rsid w:val="61E33ADD"/>
    <w:rsid w:val="61F335F4"/>
    <w:rsid w:val="61FB0C00"/>
    <w:rsid w:val="62045801"/>
    <w:rsid w:val="621B3775"/>
    <w:rsid w:val="62364782"/>
    <w:rsid w:val="624F2F20"/>
    <w:rsid w:val="6262548B"/>
    <w:rsid w:val="627F514E"/>
    <w:rsid w:val="62890310"/>
    <w:rsid w:val="628A6029"/>
    <w:rsid w:val="62993564"/>
    <w:rsid w:val="629951FD"/>
    <w:rsid w:val="629D0130"/>
    <w:rsid w:val="62B032E8"/>
    <w:rsid w:val="62D24FA8"/>
    <w:rsid w:val="62E844C4"/>
    <w:rsid w:val="62FE5F5C"/>
    <w:rsid w:val="630F445E"/>
    <w:rsid w:val="63101FC1"/>
    <w:rsid w:val="6315416A"/>
    <w:rsid w:val="63193F43"/>
    <w:rsid w:val="631E1529"/>
    <w:rsid w:val="63207CC8"/>
    <w:rsid w:val="63351E60"/>
    <w:rsid w:val="633C1AC4"/>
    <w:rsid w:val="63497970"/>
    <w:rsid w:val="635C70F7"/>
    <w:rsid w:val="6366032F"/>
    <w:rsid w:val="638B387F"/>
    <w:rsid w:val="6394356A"/>
    <w:rsid w:val="639933A0"/>
    <w:rsid w:val="639F3A33"/>
    <w:rsid w:val="639F74ED"/>
    <w:rsid w:val="63A334AD"/>
    <w:rsid w:val="63A65755"/>
    <w:rsid w:val="63A66A5D"/>
    <w:rsid w:val="63AC5238"/>
    <w:rsid w:val="63B51E4D"/>
    <w:rsid w:val="63BC6919"/>
    <w:rsid w:val="63C61B2C"/>
    <w:rsid w:val="63D40BE9"/>
    <w:rsid w:val="63DB12E6"/>
    <w:rsid w:val="63E86227"/>
    <w:rsid w:val="63F75058"/>
    <w:rsid w:val="63FE0704"/>
    <w:rsid w:val="63FE58EC"/>
    <w:rsid w:val="640250E3"/>
    <w:rsid w:val="64041D28"/>
    <w:rsid w:val="64102431"/>
    <w:rsid w:val="641A761C"/>
    <w:rsid w:val="64223F8E"/>
    <w:rsid w:val="642503DD"/>
    <w:rsid w:val="643D34B0"/>
    <w:rsid w:val="64412AB8"/>
    <w:rsid w:val="64520AA6"/>
    <w:rsid w:val="64616F3B"/>
    <w:rsid w:val="6468651B"/>
    <w:rsid w:val="64742EBF"/>
    <w:rsid w:val="648570CD"/>
    <w:rsid w:val="64875500"/>
    <w:rsid w:val="64905E14"/>
    <w:rsid w:val="64975DBB"/>
    <w:rsid w:val="64A076EC"/>
    <w:rsid w:val="64A3787E"/>
    <w:rsid w:val="64A5243A"/>
    <w:rsid w:val="64AC465A"/>
    <w:rsid w:val="64AD4A35"/>
    <w:rsid w:val="64B06801"/>
    <w:rsid w:val="64B82FFF"/>
    <w:rsid w:val="64BA3FA8"/>
    <w:rsid w:val="64BC3F71"/>
    <w:rsid w:val="64CE0807"/>
    <w:rsid w:val="64D468AD"/>
    <w:rsid w:val="64D771FD"/>
    <w:rsid w:val="64DB5C0E"/>
    <w:rsid w:val="64ED3472"/>
    <w:rsid w:val="64F531DE"/>
    <w:rsid w:val="64FD3662"/>
    <w:rsid w:val="65005919"/>
    <w:rsid w:val="650877CF"/>
    <w:rsid w:val="652A472F"/>
    <w:rsid w:val="652B723C"/>
    <w:rsid w:val="652F5621"/>
    <w:rsid w:val="65373578"/>
    <w:rsid w:val="653D20F4"/>
    <w:rsid w:val="655C29BA"/>
    <w:rsid w:val="655C6080"/>
    <w:rsid w:val="65647193"/>
    <w:rsid w:val="65660CAD"/>
    <w:rsid w:val="65670581"/>
    <w:rsid w:val="65764C68"/>
    <w:rsid w:val="65A45331"/>
    <w:rsid w:val="65C634F9"/>
    <w:rsid w:val="65CC1269"/>
    <w:rsid w:val="65D06126"/>
    <w:rsid w:val="65E211AE"/>
    <w:rsid w:val="65F86668"/>
    <w:rsid w:val="65FD3D8F"/>
    <w:rsid w:val="66032B15"/>
    <w:rsid w:val="660C21F0"/>
    <w:rsid w:val="661D16CA"/>
    <w:rsid w:val="662B1179"/>
    <w:rsid w:val="662E4FAE"/>
    <w:rsid w:val="66353DF9"/>
    <w:rsid w:val="6639016F"/>
    <w:rsid w:val="664107D0"/>
    <w:rsid w:val="664408C2"/>
    <w:rsid w:val="66466D76"/>
    <w:rsid w:val="665B5E69"/>
    <w:rsid w:val="665E09E7"/>
    <w:rsid w:val="66611474"/>
    <w:rsid w:val="667B2536"/>
    <w:rsid w:val="668D04BB"/>
    <w:rsid w:val="669E6224"/>
    <w:rsid w:val="66A94523"/>
    <w:rsid w:val="66AB0941"/>
    <w:rsid w:val="66B141AA"/>
    <w:rsid w:val="66B725C0"/>
    <w:rsid w:val="66BF06DF"/>
    <w:rsid w:val="66C23AA0"/>
    <w:rsid w:val="66D36C2B"/>
    <w:rsid w:val="66D734E4"/>
    <w:rsid w:val="66DB7C2E"/>
    <w:rsid w:val="66DF32CF"/>
    <w:rsid w:val="66E00027"/>
    <w:rsid w:val="66F527F8"/>
    <w:rsid w:val="66FA21BA"/>
    <w:rsid w:val="66FF3350"/>
    <w:rsid w:val="67024FEE"/>
    <w:rsid w:val="67112E9A"/>
    <w:rsid w:val="671F124A"/>
    <w:rsid w:val="67230125"/>
    <w:rsid w:val="672A3A5D"/>
    <w:rsid w:val="672D1356"/>
    <w:rsid w:val="67447222"/>
    <w:rsid w:val="67457710"/>
    <w:rsid w:val="67513297"/>
    <w:rsid w:val="6753700F"/>
    <w:rsid w:val="67541A84"/>
    <w:rsid w:val="675F3C11"/>
    <w:rsid w:val="676426E1"/>
    <w:rsid w:val="676B7218"/>
    <w:rsid w:val="67724ACC"/>
    <w:rsid w:val="677671A1"/>
    <w:rsid w:val="677A33C6"/>
    <w:rsid w:val="67896ED4"/>
    <w:rsid w:val="679445D1"/>
    <w:rsid w:val="67A52932"/>
    <w:rsid w:val="67B55127"/>
    <w:rsid w:val="67C26553"/>
    <w:rsid w:val="67C34E88"/>
    <w:rsid w:val="67CF4CCE"/>
    <w:rsid w:val="67D33E68"/>
    <w:rsid w:val="67DC5256"/>
    <w:rsid w:val="67E549DC"/>
    <w:rsid w:val="67F72090"/>
    <w:rsid w:val="68013BB0"/>
    <w:rsid w:val="6803651E"/>
    <w:rsid w:val="680B5B3B"/>
    <w:rsid w:val="6817003C"/>
    <w:rsid w:val="681B7F8F"/>
    <w:rsid w:val="681E4032"/>
    <w:rsid w:val="681F6961"/>
    <w:rsid w:val="682A5E25"/>
    <w:rsid w:val="68332A2C"/>
    <w:rsid w:val="683B2DBA"/>
    <w:rsid w:val="683F7C78"/>
    <w:rsid w:val="68424C4B"/>
    <w:rsid w:val="68443284"/>
    <w:rsid w:val="6847118B"/>
    <w:rsid w:val="685E1B96"/>
    <w:rsid w:val="68610A2F"/>
    <w:rsid w:val="686122C8"/>
    <w:rsid w:val="6861575B"/>
    <w:rsid w:val="68632C80"/>
    <w:rsid w:val="686A44A5"/>
    <w:rsid w:val="68790CF7"/>
    <w:rsid w:val="687D5911"/>
    <w:rsid w:val="687E15DE"/>
    <w:rsid w:val="68805514"/>
    <w:rsid w:val="688901D8"/>
    <w:rsid w:val="689B153F"/>
    <w:rsid w:val="68A35D74"/>
    <w:rsid w:val="68AD3894"/>
    <w:rsid w:val="68B54672"/>
    <w:rsid w:val="68E54AEC"/>
    <w:rsid w:val="68F13263"/>
    <w:rsid w:val="690D143F"/>
    <w:rsid w:val="690E2FA5"/>
    <w:rsid w:val="692D185E"/>
    <w:rsid w:val="69316E2F"/>
    <w:rsid w:val="693343A6"/>
    <w:rsid w:val="69450BD9"/>
    <w:rsid w:val="69497549"/>
    <w:rsid w:val="694E0C56"/>
    <w:rsid w:val="694E2071"/>
    <w:rsid w:val="695452C0"/>
    <w:rsid w:val="695E14E4"/>
    <w:rsid w:val="696B2594"/>
    <w:rsid w:val="69766163"/>
    <w:rsid w:val="697A3B33"/>
    <w:rsid w:val="697D1A85"/>
    <w:rsid w:val="69891E9B"/>
    <w:rsid w:val="698F6943"/>
    <w:rsid w:val="699149A1"/>
    <w:rsid w:val="69A11CFC"/>
    <w:rsid w:val="69AD3F92"/>
    <w:rsid w:val="69B43E5C"/>
    <w:rsid w:val="69B83ADE"/>
    <w:rsid w:val="69D44760"/>
    <w:rsid w:val="69E54F5A"/>
    <w:rsid w:val="69F65A5F"/>
    <w:rsid w:val="69FB3DEF"/>
    <w:rsid w:val="6A0F0EFA"/>
    <w:rsid w:val="6A243740"/>
    <w:rsid w:val="6A2904FB"/>
    <w:rsid w:val="6A2B7DCF"/>
    <w:rsid w:val="6A350C4E"/>
    <w:rsid w:val="6A386DB4"/>
    <w:rsid w:val="6A435B12"/>
    <w:rsid w:val="6A4F3C09"/>
    <w:rsid w:val="6A520EC7"/>
    <w:rsid w:val="6A544924"/>
    <w:rsid w:val="6A55256E"/>
    <w:rsid w:val="6A633A0D"/>
    <w:rsid w:val="6A6C0858"/>
    <w:rsid w:val="6A712E10"/>
    <w:rsid w:val="6A787145"/>
    <w:rsid w:val="6A887470"/>
    <w:rsid w:val="6A9242F2"/>
    <w:rsid w:val="6AB2229E"/>
    <w:rsid w:val="6ABC10F0"/>
    <w:rsid w:val="6ACA0D0A"/>
    <w:rsid w:val="6AF12F2B"/>
    <w:rsid w:val="6AF34153"/>
    <w:rsid w:val="6AF87E20"/>
    <w:rsid w:val="6B1B7644"/>
    <w:rsid w:val="6B2018FE"/>
    <w:rsid w:val="6B2C7415"/>
    <w:rsid w:val="6B30764E"/>
    <w:rsid w:val="6B322639"/>
    <w:rsid w:val="6B3812C6"/>
    <w:rsid w:val="6B4214C7"/>
    <w:rsid w:val="6B441807"/>
    <w:rsid w:val="6B7112E0"/>
    <w:rsid w:val="6B72229B"/>
    <w:rsid w:val="6B7936D9"/>
    <w:rsid w:val="6B7C2C80"/>
    <w:rsid w:val="6B8537F8"/>
    <w:rsid w:val="6B9145AA"/>
    <w:rsid w:val="6B970DF8"/>
    <w:rsid w:val="6B9F7769"/>
    <w:rsid w:val="6BAA7381"/>
    <w:rsid w:val="6BB44037"/>
    <w:rsid w:val="6BB81B36"/>
    <w:rsid w:val="6BBD714D"/>
    <w:rsid w:val="6BCC3EB3"/>
    <w:rsid w:val="6BD1786D"/>
    <w:rsid w:val="6BEA6A81"/>
    <w:rsid w:val="6BEE5558"/>
    <w:rsid w:val="6BF05E52"/>
    <w:rsid w:val="6BF120AB"/>
    <w:rsid w:val="6C042FCD"/>
    <w:rsid w:val="6C0B7154"/>
    <w:rsid w:val="6C1E2C9D"/>
    <w:rsid w:val="6C5161CF"/>
    <w:rsid w:val="6C5920E3"/>
    <w:rsid w:val="6C5B5AE9"/>
    <w:rsid w:val="6C623C33"/>
    <w:rsid w:val="6C635F46"/>
    <w:rsid w:val="6C636C38"/>
    <w:rsid w:val="6C647510"/>
    <w:rsid w:val="6C776E84"/>
    <w:rsid w:val="6C783074"/>
    <w:rsid w:val="6C787517"/>
    <w:rsid w:val="6C7D38A7"/>
    <w:rsid w:val="6C7D4B2E"/>
    <w:rsid w:val="6C830396"/>
    <w:rsid w:val="6C831969"/>
    <w:rsid w:val="6C9D43C3"/>
    <w:rsid w:val="6CB54335"/>
    <w:rsid w:val="6CB62553"/>
    <w:rsid w:val="6CBF6EF4"/>
    <w:rsid w:val="6CC14382"/>
    <w:rsid w:val="6CC24A07"/>
    <w:rsid w:val="6CDB3727"/>
    <w:rsid w:val="6CDF7678"/>
    <w:rsid w:val="6CFC5EDE"/>
    <w:rsid w:val="6D091F08"/>
    <w:rsid w:val="6D0A63C2"/>
    <w:rsid w:val="6D154D66"/>
    <w:rsid w:val="6D3A6752"/>
    <w:rsid w:val="6D3F267F"/>
    <w:rsid w:val="6D536141"/>
    <w:rsid w:val="6D5A00B2"/>
    <w:rsid w:val="6D605FE2"/>
    <w:rsid w:val="6D6C0E2A"/>
    <w:rsid w:val="6D6D6950"/>
    <w:rsid w:val="6D6E2516"/>
    <w:rsid w:val="6D761CA9"/>
    <w:rsid w:val="6D8179B0"/>
    <w:rsid w:val="6D8A12B0"/>
    <w:rsid w:val="6D8A7502"/>
    <w:rsid w:val="6DA13AE1"/>
    <w:rsid w:val="6DA3133D"/>
    <w:rsid w:val="6DB201FD"/>
    <w:rsid w:val="6DB34098"/>
    <w:rsid w:val="6DB53B93"/>
    <w:rsid w:val="6DB545B6"/>
    <w:rsid w:val="6DD20AEB"/>
    <w:rsid w:val="6DD9192B"/>
    <w:rsid w:val="6DE02FB4"/>
    <w:rsid w:val="6E096076"/>
    <w:rsid w:val="6E132071"/>
    <w:rsid w:val="6E257A03"/>
    <w:rsid w:val="6E287464"/>
    <w:rsid w:val="6E2E0D10"/>
    <w:rsid w:val="6E421B69"/>
    <w:rsid w:val="6E514CED"/>
    <w:rsid w:val="6E64171B"/>
    <w:rsid w:val="6E754D9C"/>
    <w:rsid w:val="6E79547C"/>
    <w:rsid w:val="6E847B1B"/>
    <w:rsid w:val="6E95001C"/>
    <w:rsid w:val="6E997680"/>
    <w:rsid w:val="6EAD62A3"/>
    <w:rsid w:val="6EB563D5"/>
    <w:rsid w:val="6EBE508E"/>
    <w:rsid w:val="6ECA07BE"/>
    <w:rsid w:val="6ECE01AD"/>
    <w:rsid w:val="6ECE1ADF"/>
    <w:rsid w:val="6ED92677"/>
    <w:rsid w:val="6EEE4B8C"/>
    <w:rsid w:val="6EF73D2B"/>
    <w:rsid w:val="6EFB4AF6"/>
    <w:rsid w:val="6F011A46"/>
    <w:rsid w:val="6F0523AA"/>
    <w:rsid w:val="6F0E2CA7"/>
    <w:rsid w:val="6F225983"/>
    <w:rsid w:val="6F2A6D3D"/>
    <w:rsid w:val="6F3867D5"/>
    <w:rsid w:val="6F4C4D16"/>
    <w:rsid w:val="6F536F32"/>
    <w:rsid w:val="6F5A2F04"/>
    <w:rsid w:val="6F5E49B3"/>
    <w:rsid w:val="6F60051B"/>
    <w:rsid w:val="6F6E67C7"/>
    <w:rsid w:val="6F7D4D12"/>
    <w:rsid w:val="6F865AA7"/>
    <w:rsid w:val="6F8741DD"/>
    <w:rsid w:val="6F8C57B4"/>
    <w:rsid w:val="6F8D6048"/>
    <w:rsid w:val="6F8E1568"/>
    <w:rsid w:val="6FA077A9"/>
    <w:rsid w:val="6FA10C39"/>
    <w:rsid w:val="6FA87A27"/>
    <w:rsid w:val="6FAB646E"/>
    <w:rsid w:val="6FAC1340"/>
    <w:rsid w:val="6FB20621"/>
    <w:rsid w:val="6FBC2C28"/>
    <w:rsid w:val="6FCB0868"/>
    <w:rsid w:val="6FDC02DF"/>
    <w:rsid w:val="6FF0650C"/>
    <w:rsid w:val="6FF173C5"/>
    <w:rsid w:val="6FFB4822"/>
    <w:rsid w:val="6FFC5590"/>
    <w:rsid w:val="701C37DC"/>
    <w:rsid w:val="701C5C8F"/>
    <w:rsid w:val="702700A5"/>
    <w:rsid w:val="70350EED"/>
    <w:rsid w:val="703D6AAE"/>
    <w:rsid w:val="7040532B"/>
    <w:rsid w:val="70551AFC"/>
    <w:rsid w:val="70694748"/>
    <w:rsid w:val="706D1DD0"/>
    <w:rsid w:val="7074506B"/>
    <w:rsid w:val="707C7014"/>
    <w:rsid w:val="70856B87"/>
    <w:rsid w:val="709365DA"/>
    <w:rsid w:val="709B37D5"/>
    <w:rsid w:val="70B05AE4"/>
    <w:rsid w:val="70B53BBD"/>
    <w:rsid w:val="70B556D8"/>
    <w:rsid w:val="70B63C78"/>
    <w:rsid w:val="70BA3C5B"/>
    <w:rsid w:val="70C57267"/>
    <w:rsid w:val="70D527EE"/>
    <w:rsid w:val="70F21EAC"/>
    <w:rsid w:val="70FA499F"/>
    <w:rsid w:val="71032B5C"/>
    <w:rsid w:val="71051E29"/>
    <w:rsid w:val="711453A9"/>
    <w:rsid w:val="7118602B"/>
    <w:rsid w:val="712437CA"/>
    <w:rsid w:val="7130650E"/>
    <w:rsid w:val="713A7934"/>
    <w:rsid w:val="71427BAA"/>
    <w:rsid w:val="714A338F"/>
    <w:rsid w:val="714B75DE"/>
    <w:rsid w:val="71542F34"/>
    <w:rsid w:val="71554A0A"/>
    <w:rsid w:val="715B5300"/>
    <w:rsid w:val="715D7341"/>
    <w:rsid w:val="71815626"/>
    <w:rsid w:val="71846319"/>
    <w:rsid w:val="7185505B"/>
    <w:rsid w:val="71B17ADF"/>
    <w:rsid w:val="71CB12E6"/>
    <w:rsid w:val="71D27F8A"/>
    <w:rsid w:val="71EC4642"/>
    <w:rsid w:val="71EF5396"/>
    <w:rsid w:val="71F17B50"/>
    <w:rsid w:val="71FF0179"/>
    <w:rsid w:val="72005FE5"/>
    <w:rsid w:val="720A29C0"/>
    <w:rsid w:val="72367C59"/>
    <w:rsid w:val="723F116D"/>
    <w:rsid w:val="724347ED"/>
    <w:rsid w:val="72484C20"/>
    <w:rsid w:val="72541E8D"/>
    <w:rsid w:val="72553024"/>
    <w:rsid w:val="725E4ABA"/>
    <w:rsid w:val="726447C6"/>
    <w:rsid w:val="72666BEB"/>
    <w:rsid w:val="726E1F12"/>
    <w:rsid w:val="72707DAC"/>
    <w:rsid w:val="72776B1C"/>
    <w:rsid w:val="727C3957"/>
    <w:rsid w:val="727F16C2"/>
    <w:rsid w:val="728C5ACB"/>
    <w:rsid w:val="728C7879"/>
    <w:rsid w:val="72931273"/>
    <w:rsid w:val="7294672D"/>
    <w:rsid w:val="729C4D73"/>
    <w:rsid w:val="72AA1402"/>
    <w:rsid w:val="72AC3A77"/>
    <w:rsid w:val="72B95EC7"/>
    <w:rsid w:val="72C27654"/>
    <w:rsid w:val="72C2773E"/>
    <w:rsid w:val="72CE7E91"/>
    <w:rsid w:val="72D10564"/>
    <w:rsid w:val="72EC4D52"/>
    <w:rsid w:val="72EE2773"/>
    <w:rsid w:val="72EE2D75"/>
    <w:rsid w:val="73030A8A"/>
    <w:rsid w:val="73030DAE"/>
    <w:rsid w:val="731141F7"/>
    <w:rsid w:val="7311497B"/>
    <w:rsid w:val="73122968"/>
    <w:rsid w:val="73133AF6"/>
    <w:rsid w:val="731E73B8"/>
    <w:rsid w:val="731F5D5E"/>
    <w:rsid w:val="7320571C"/>
    <w:rsid w:val="73265D8E"/>
    <w:rsid w:val="73326672"/>
    <w:rsid w:val="73487B64"/>
    <w:rsid w:val="73510696"/>
    <w:rsid w:val="73580AA8"/>
    <w:rsid w:val="735B7C4E"/>
    <w:rsid w:val="735C549D"/>
    <w:rsid w:val="735E7872"/>
    <w:rsid w:val="73644352"/>
    <w:rsid w:val="737F2F3A"/>
    <w:rsid w:val="73925A1F"/>
    <w:rsid w:val="739E1612"/>
    <w:rsid w:val="73B26ECF"/>
    <w:rsid w:val="73B62263"/>
    <w:rsid w:val="73C51AD5"/>
    <w:rsid w:val="73D026F0"/>
    <w:rsid w:val="73D93DA0"/>
    <w:rsid w:val="740B2036"/>
    <w:rsid w:val="740D6797"/>
    <w:rsid w:val="740F250F"/>
    <w:rsid w:val="7413369A"/>
    <w:rsid w:val="741B0EB4"/>
    <w:rsid w:val="741E793C"/>
    <w:rsid w:val="74212243"/>
    <w:rsid w:val="742C4367"/>
    <w:rsid w:val="743F6737"/>
    <w:rsid w:val="743F6CEE"/>
    <w:rsid w:val="743F7CBB"/>
    <w:rsid w:val="74433593"/>
    <w:rsid w:val="745E3944"/>
    <w:rsid w:val="74822CE1"/>
    <w:rsid w:val="74844CAB"/>
    <w:rsid w:val="748862C1"/>
    <w:rsid w:val="74942A15"/>
    <w:rsid w:val="749C274C"/>
    <w:rsid w:val="74A2126A"/>
    <w:rsid w:val="74A81AF5"/>
    <w:rsid w:val="74AD02DF"/>
    <w:rsid w:val="74BA68D1"/>
    <w:rsid w:val="74BB2B9B"/>
    <w:rsid w:val="74C4154C"/>
    <w:rsid w:val="74C7507A"/>
    <w:rsid w:val="74CA66A9"/>
    <w:rsid w:val="74CF0AF0"/>
    <w:rsid w:val="74E56360"/>
    <w:rsid w:val="74EB4358"/>
    <w:rsid w:val="74FB2A94"/>
    <w:rsid w:val="74FE2C8E"/>
    <w:rsid w:val="74FE3512"/>
    <w:rsid w:val="7502425F"/>
    <w:rsid w:val="750F31F8"/>
    <w:rsid w:val="753366D1"/>
    <w:rsid w:val="7539099C"/>
    <w:rsid w:val="753A35BC"/>
    <w:rsid w:val="753A4802"/>
    <w:rsid w:val="753A4D76"/>
    <w:rsid w:val="7549724B"/>
    <w:rsid w:val="754A7ABC"/>
    <w:rsid w:val="754C64DF"/>
    <w:rsid w:val="755469EE"/>
    <w:rsid w:val="755C1784"/>
    <w:rsid w:val="75640F00"/>
    <w:rsid w:val="75693905"/>
    <w:rsid w:val="756E285F"/>
    <w:rsid w:val="75744FCF"/>
    <w:rsid w:val="757A1783"/>
    <w:rsid w:val="759178AE"/>
    <w:rsid w:val="75BA294F"/>
    <w:rsid w:val="75BB6732"/>
    <w:rsid w:val="75BE2556"/>
    <w:rsid w:val="75C80BC8"/>
    <w:rsid w:val="75CE2708"/>
    <w:rsid w:val="75DD4DDB"/>
    <w:rsid w:val="75EB48B6"/>
    <w:rsid w:val="75FB0946"/>
    <w:rsid w:val="75FB46C5"/>
    <w:rsid w:val="76026EDD"/>
    <w:rsid w:val="760836BA"/>
    <w:rsid w:val="760865B3"/>
    <w:rsid w:val="76163255"/>
    <w:rsid w:val="76276370"/>
    <w:rsid w:val="762F3B18"/>
    <w:rsid w:val="7635099D"/>
    <w:rsid w:val="765E547A"/>
    <w:rsid w:val="76624A04"/>
    <w:rsid w:val="76732BC1"/>
    <w:rsid w:val="7685104F"/>
    <w:rsid w:val="768E0063"/>
    <w:rsid w:val="769316CD"/>
    <w:rsid w:val="769431A0"/>
    <w:rsid w:val="76A03E6F"/>
    <w:rsid w:val="76A125EF"/>
    <w:rsid w:val="76A50F09"/>
    <w:rsid w:val="76AB6E17"/>
    <w:rsid w:val="76AF25A9"/>
    <w:rsid w:val="76B522C1"/>
    <w:rsid w:val="76B67F48"/>
    <w:rsid w:val="76CA4E14"/>
    <w:rsid w:val="76E2215D"/>
    <w:rsid w:val="76F0487A"/>
    <w:rsid w:val="77112E87"/>
    <w:rsid w:val="771173B8"/>
    <w:rsid w:val="77163935"/>
    <w:rsid w:val="772E7150"/>
    <w:rsid w:val="77551C95"/>
    <w:rsid w:val="775547B2"/>
    <w:rsid w:val="77632536"/>
    <w:rsid w:val="77707769"/>
    <w:rsid w:val="777234E1"/>
    <w:rsid w:val="77762421"/>
    <w:rsid w:val="778C12A1"/>
    <w:rsid w:val="77A343BD"/>
    <w:rsid w:val="77AE1F7E"/>
    <w:rsid w:val="77B56B1F"/>
    <w:rsid w:val="77B85422"/>
    <w:rsid w:val="77D61EDF"/>
    <w:rsid w:val="780F09F4"/>
    <w:rsid w:val="781A12D7"/>
    <w:rsid w:val="7827493C"/>
    <w:rsid w:val="78370287"/>
    <w:rsid w:val="78450BF6"/>
    <w:rsid w:val="785B2B54"/>
    <w:rsid w:val="7868794C"/>
    <w:rsid w:val="78811502"/>
    <w:rsid w:val="78815C89"/>
    <w:rsid w:val="7896547C"/>
    <w:rsid w:val="78A83025"/>
    <w:rsid w:val="78A90480"/>
    <w:rsid w:val="78A97D39"/>
    <w:rsid w:val="78AC4FA6"/>
    <w:rsid w:val="78C7160B"/>
    <w:rsid w:val="78D64084"/>
    <w:rsid w:val="78F10436"/>
    <w:rsid w:val="78F85B04"/>
    <w:rsid w:val="79387363"/>
    <w:rsid w:val="7943124E"/>
    <w:rsid w:val="7943161D"/>
    <w:rsid w:val="79492020"/>
    <w:rsid w:val="79626335"/>
    <w:rsid w:val="797B7E9D"/>
    <w:rsid w:val="797C1F9F"/>
    <w:rsid w:val="79892B43"/>
    <w:rsid w:val="798A4DE3"/>
    <w:rsid w:val="79B600BB"/>
    <w:rsid w:val="79B61A13"/>
    <w:rsid w:val="79DC2DC5"/>
    <w:rsid w:val="79E1494E"/>
    <w:rsid w:val="7A08208E"/>
    <w:rsid w:val="7A097444"/>
    <w:rsid w:val="7A187C44"/>
    <w:rsid w:val="7A364017"/>
    <w:rsid w:val="7A3727C0"/>
    <w:rsid w:val="7A3902E6"/>
    <w:rsid w:val="7A3E4F19"/>
    <w:rsid w:val="7A551666"/>
    <w:rsid w:val="7A552C46"/>
    <w:rsid w:val="7A732487"/>
    <w:rsid w:val="7A7C7771"/>
    <w:rsid w:val="7A8265E1"/>
    <w:rsid w:val="7A96064B"/>
    <w:rsid w:val="7A9814B1"/>
    <w:rsid w:val="7A985513"/>
    <w:rsid w:val="7AB541DD"/>
    <w:rsid w:val="7AC21FD9"/>
    <w:rsid w:val="7AD418B6"/>
    <w:rsid w:val="7AD7007D"/>
    <w:rsid w:val="7AE04C06"/>
    <w:rsid w:val="7AE7143A"/>
    <w:rsid w:val="7AE85868"/>
    <w:rsid w:val="7B0133B9"/>
    <w:rsid w:val="7B031D44"/>
    <w:rsid w:val="7B1112A8"/>
    <w:rsid w:val="7B2859C0"/>
    <w:rsid w:val="7B3B25D2"/>
    <w:rsid w:val="7B4E32B1"/>
    <w:rsid w:val="7B686D42"/>
    <w:rsid w:val="7B6A2721"/>
    <w:rsid w:val="7B841746"/>
    <w:rsid w:val="7B844BCE"/>
    <w:rsid w:val="7B851309"/>
    <w:rsid w:val="7B937ECA"/>
    <w:rsid w:val="7BA9149B"/>
    <w:rsid w:val="7BAB0D70"/>
    <w:rsid w:val="7BB664D0"/>
    <w:rsid w:val="7BBF56DE"/>
    <w:rsid w:val="7BC6221D"/>
    <w:rsid w:val="7BCD09AD"/>
    <w:rsid w:val="7BD227A0"/>
    <w:rsid w:val="7BDE43FB"/>
    <w:rsid w:val="7BF87D2D"/>
    <w:rsid w:val="7BFF730D"/>
    <w:rsid w:val="7C000DFC"/>
    <w:rsid w:val="7C06069C"/>
    <w:rsid w:val="7C18217D"/>
    <w:rsid w:val="7C1D4669"/>
    <w:rsid w:val="7C235C41"/>
    <w:rsid w:val="7C280623"/>
    <w:rsid w:val="7C2869C4"/>
    <w:rsid w:val="7C39779D"/>
    <w:rsid w:val="7C435E09"/>
    <w:rsid w:val="7C4371FA"/>
    <w:rsid w:val="7C466CEA"/>
    <w:rsid w:val="7C474DF4"/>
    <w:rsid w:val="7C5E424F"/>
    <w:rsid w:val="7C6C5AC7"/>
    <w:rsid w:val="7C861DFA"/>
    <w:rsid w:val="7C88105E"/>
    <w:rsid w:val="7C956BEC"/>
    <w:rsid w:val="7C9E7D0F"/>
    <w:rsid w:val="7CA249D1"/>
    <w:rsid w:val="7CA51C63"/>
    <w:rsid w:val="7CB9278C"/>
    <w:rsid w:val="7CBE4AD3"/>
    <w:rsid w:val="7CC6544B"/>
    <w:rsid w:val="7CD00CF6"/>
    <w:rsid w:val="7CDE6F23"/>
    <w:rsid w:val="7CF577D7"/>
    <w:rsid w:val="7D000592"/>
    <w:rsid w:val="7D022412"/>
    <w:rsid w:val="7D0239FF"/>
    <w:rsid w:val="7D167552"/>
    <w:rsid w:val="7D20578D"/>
    <w:rsid w:val="7D2D2010"/>
    <w:rsid w:val="7D2D58D3"/>
    <w:rsid w:val="7D316A1D"/>
    <w:rsid w:val="7D31799A"/>
    <w:rsid w:val="7D3229F8"/>
    <w:rsid w:val="7D354C4C"/>
    <w:rsid w:val="7D5E40CD"/>
    <w:rsid w:val="7D6438CC"/>
    <w:rsid w:val="7D825E31"/>
    <w:rsid w:val="7D8B54CA"/>
    <w:rsid w:val="7D9B2FBE"/>
    <w:rsid w:val="7DA07FF7"/>
    <w:rsid w:val="7DAA1770"/>
    <w:rsid w:val="7DBE5814"/>
    <w:rsid w:val="7DCC0EB3"/>
    <w:rsid w:val="7DCD56F2"/>
    <w:rsid w:val="7DCF4ABD"/>
    <w:rsid w:val="7DD90684"/>
    <w:rsid w:val="7DEE3196"/>
    <w:rsid w:val="7DF75EC7"/>
    <w:rsid w:val="7DFC1342"/>
    <w:rsid w:val="7E025B70"/>
    <w:rsid w:val="7E0C291D"/>
    <w:rsid w:val="7E2766A8"/>
    <w:rsid w:val="7E423CCF"/>
    <w:rsid w:val="7E584F14"/>
    <w:rsid w:val="7E863CBB"/>
    <w:rsid w:val="7EBE6A28"/>
    <w:rsid w:val="7ECD02A4"/>
    <w:rsid w:val="7ECD341B"/>
    <w:rsid w:val="7ED44EE3"/>
    <w:rsid w:val="7ED917CB"/>
    <w:rsid w:val="7ED92109"/>
    <w:rsid w:val="7EDB4DAD"/>
    <w:rsid w:val="7F001CE7"/>
    <w:rsid w:val="7F0C291C"/>
    <w:rsid w:val="7F0D2005"/>
    <w:rsid w:val="7F0E1779"/>
    <w:rsid w:val="7F1621AB"/>
    <w:rsid w:val="7F1B4D03"/>
    <w:rsid w:val="7F2916DA"/>
    <w:rsid w:val="7F2C5A85"/>
    <w:rsid w:val="7F370B6C"/>
    <w:rsid w:val="7F3948E4"/>
    <w:rsid w:val="7F4702B4"/>
    <w:rsid w:val="7F482D79"/>
    <w:rsid w:val="7F54574D"/>
    <w:rsid w:val="7F55741C"/>
    <w:rsid w:val="7F5D4A77"/>
    <w:rsid w:val="7F613823"/>
    <w:rsid w:val="7F73429A"/>
    <w:rsid w:val="7F791185"/>
    <w:rsid w:val="7F7B415F"/>
    <w:rsid w:val="7F8D1710"/>
    <w:rsid w:val="7F925B5E"/>
    <w:rsid w:val="7F9453DA"/>
    <w:rsid w:val="7FA176B6"/>
    <w:rsid w:val="7FA54A43"/>
    <w:rsid w:val="7FA968FB"/>
    <w:rsid w:val="7FAB27C4"/>
    <w:rsid w:val="7FB977D3"/>
    <w:rsid w:val="7FC90E51"/>
    <w:rsid w:val="7FC92632"/>
    <w:rsid w:val="7FDD5032"/>
    <w:rsid w:val="7FDF454A"/>
    <w:rsid w:val="7FE47E50"/>
    <w:rsid w:val="7FE95F8D"/>
    <w:rsid w:val="7FF01D7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3"/>
    <w:basedOn w:val="4"/>
    <w:next w:val="5"/>
    <w:unhideWhenUsed/>
    <w:qFormat/>
    <w:uiPriority w:val="9"/>
    <w:pPr>
      <w:spacing w:after="50" w:afterLines="50" w:line="500" w:lineRule="exact"/>
      <w:outlineLvl w:val="2"/>
    </w:pPr>
    <w:rPr>
      <w:szCs w:val="32"/>
    </w:rPr>
  </w:style>
  <w:style w:type="paragraph" w:styleId="4">
    <w:name w:val="heading 4"/>
    <w:basedOn w:val="1"/>
    <w:next w:val="1"/>
    <w:qFormat/>
    <w:uiPriority w:val="0"/>
    <w:pPr>
      <w:keepNext/>
      <w:keepLines/>
      <w:spacing w:line="376" w:lineRule="auto"/>
      <w:outlineLvl w:val="3"/>
    </w:pPr>
    <w:rPr>
      <w:rFonts w:ascii="Cambria" w:hAnsi="Cambria"/>
      <w:b/>
      <w:bCs/>
      <w:sz w:val="28"/>
      <w:szCs w:val="28"/>
    </w:rPr>
  </w:style>
  <w:style w:type="character" w:default="1" w:styleId="30">
    <w:name w:val="Default Paragraph Font"/>
    <w:semiHidden/>
    <w:qFormat/>
    <w:uiPriority w:val="0"/>
  </w:style>
  <w:style w:type="table" w:default="1" w:styleId="28">
    <w:name w:val="Normal Table"/>
    <w:semiHidden/>
    <w:qFormat/>
    <w:uiPriority w:val="0"/>
    <w:tblPr>
      <w:tblCellMar>
        <w:top w:w="0" w:type="dxa"/>
        <w:left w:w="108" w:type="dxa"/>
        <w:bottom w:w="0" w:type="dxa"/>
        <w:right w:w="108" w:type="dxa"/>
      </w:tblCellMar>
    </w:tblPr>
  </w:style>
  <w:style w:type="paragraph" w:customStyle="1" w:styleId="5">
    <w:name w:val="正文小四"/>
    <w:basedOn w:val="1"/>
    <w:qFormat/>
    <w:uiPriority w:val="0"/>
    <w:pPr>
      <w:autoSpaceDE w:val="0"/>
      <w:autoSpaceDN w:val="0"/>
    </w:pPr>
    <w:rPr>
      <w:rFonts w:cs="Calibri"/>
      <w:szCs w:val="21"/>
    </w:rPr>
  </w:style>
  <w:style w:type="paragraph" w:styleId="6">
    <w:name w:val="Normal Indent"/>
    <w:basedOn w:val="1"/>
    <w:next w:val="1"/>
    <w:qFormat/>
    <w:uiPriority w:val="99"/>
    <w:pPr>
      <w:ind w:firstLine="420"/>
    </w:pPr>
    <w:rPr>
      <w:sz w:val="28"/>
      <w:szCs w:val="20"/>
    </w:rPr>
  </w:style>
  <w:style w:type="paragraph" w:styleId="7">
    <w:name w:val="caption"/>
    <w:basedOn w:val="1"/>
    <w:next w:val="1"/>
    <w:qFormat/>
    <w:uiPriority w:val="0"/>
    <w:pPr>
      <w:widowControl w:val="0"/>
      <w:jc w:val="both"/>
    </w:pPr>
    <w:rPr>
      <w:rFonts w:ascii="Cambria" w:hAnsi="Cambria" w:eastAsia="黑体" w:cs="Times New Roman"/>
      <w:kern w:val="2"/>
      <w:sz w:val="20"/>
      <w:szCs w:val="21"/>
    </w:rPr>
  </w:style>
  <w:style w:type="paragraph" w:styleId="8">
    <w:name w:val="annotation text"/>
    <w:basedOn w:val="1"/>
    <w:link w:val="34"/>
    <w:semiHidden/>
    <w:qFormat/>
    <w:uiPriority w:val="0"/>
    <w:pPr>
      <w:jc w:val="left"/>
    </w:pPr>
    <w:rPr>
      <w:kern w:val="0"/>
      <w:sz w:val="24"/>
      <w:szCs w:val="20"/>
    </w:rPr>
  </w:style>
  <w:style w:type="paragraph" w:styleId="9">
    <w:name w:val="Body Text"/>
    <w:basedOn w:val="1"/>
    <w:link w:val="35"/>
    <w:qFormat/>
    <w:uiPriority w:val="0"/>
    <w:pPr>
      <w:widowControl/>
      <w:snapToGrid w:val="0"/>
      <w:spacing w:before="60" w:after="160" w:line="259" w:lineRule="auto"/>
      <w:ind w:right="113"/>
    </w:pPr>
    <w:rPr>
      <w:kern w:val="0"/>
      <w:sz w:val="18"/>
      <w:szCs w:val="20"/>
    </w:rPr>
  </w:style>
  <w:style w:type="paragraph" w:styleId="10">
    <w:name w:val="Body Text Indent"/>
    <w:basedOn w:val="1"/>
    <w:next w:val="1"/>
    <w:link w:val="36"/>
    <w:qFormat/>
    <w:uiPriority w:val="0"/>
    <w:pPr>
      <w:spacing w:after="120"/>
      <w:ind w:left="420" w:leftChars="200"/>
    </w:pPr>
    <w:rPr>
      <w:kern w:val="0"/>
      <w:sz w:val="24"/>
      <w:szCs w:val="20"/>
    </w:rPr>
  </w:style>
  <w:style w:type="paragraph" w:styleId="11">
    <w:name w:val="toc 5"/>
    <w:basedOn w:val="1"/>
    <w:next w:val="1"/>
    <w:unhideWhenUsed/>
    <w:qFormat/>
    <w:uiPriority w:val="39"/>
    <w:pPr>
      <w:ind w:left="1680" w:leftChars="800"/>
    </w:pPr>
  </w:style>
  <w:style w:type="paragraph" w:styleId="12">
    <w:name w:val="Plain Text"/>
    <w:basedOn w:val="1"/>
    <w:next w:val="13"/>
    <w:qFormat/>
    <w:uiPriority w:val="99"/>
    <w:pPr>
      <w:adjustRightInd/>
      <w:spacing w:line="240" w:lineRule="auto"/>
      <w:jc w:val="both"/>
      <w:textAlignment w:val="auto"/>
    </w:pPr>
    <w:rPr>
      <w:rFonts w:hAnsi="Courier New"/>
      <w:kern w:val="2"/>
      <w:sz w:val="21"/>
      <w:szCs w:val="21"/>
    </w:rPr>
  </w:style>
  <w:style w:type="paragraph" w:customStyle="1" w:styleId="13">
    <w:name w:val="Default"/>
    <w:basedOn w:val="14"/>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14">
    <w:name w:val="纯文本1"/>
    <w:basedOn w:val="1"/>
    <w:qFormat/>
    <w:uiPriority w:val="0"/>
    <w:pPr>
      <w:adjustRightInd w:val="0"/>
    </w:pPr>
    <w:rPr>
      <w:rFonts w:ascii="宋体" w:hAnsi="Courier New"/>
      <w:szCs w:val="20"/>
    </w:rPr>
  </w:style>
  <w:style w:type="paragraph" w:styleId="15">
    <w:name w:val="Date"/>
    <w:basedOn w:val="1"/>
    <w:next w:val="1"/>
    <w:link w:val="37"/>
    <w:qFormat/>
    <w:uiPriority w:val="0"/>
    <w:pPr>
      <w:ind w:left="100" w:leftChars="2500"/>
    </w:pPr>
    <w:rPr>
      <w:kern w:val="0"/>
      <w:sz w:val="24"/>
      <w:szCs w:val="20"/>
    </w:rPr>
  </w:style>
  <w:style w:type="paragraph" w:styleId="16">
    <w:name w:val="Body Text Indent 2"/>
    <w:basedOn w:val="1"/>
    <w:qFormat/>
    <w:uiPriority w:val="0"/>
    <w:pPr>
      <w:spacing w:after="120" w:line="480" w:lineRule="auto"/>
      <w:ind w:left="420" w:leftChars="200" w:firstLine="420"/>
    </w:pPr>
    <w:rPr>
      <w:sz w:val="24"/>
      <w:lang w:val="zh-CN"/>
    </w:rPr>
  </w:style>
  <w:style w:type="paragraph" w:styleId="17">
    <w:name w:val="Balloon Text"/>
    <w:basedOn w:val="1"/>
    <w:link w:val="38"/>
    <w:semiHidden/>
    <w:qFormat/>
    <w:uiPriority w:val="0"/>
    <w:rPr>
      <w:kern w:val="0"/>
      <w:sz w:val="18"/>
      <w:szCs w:val="20"/>
    </w:rPr>
  </w:style>
  <w:style w:type="paragraph" w:styleId="18">
    <w:name w:val="footer"/>
    <w:basedOn w:val="1"/>
    <w:link w:val="39"/>
    <w:qFormat/>
    <w:uiPriority w:val="99"/>
    <w:pPr>
      <w:tabs>
        <w:tab w:val="center" w:pos="4153"/>
        <w:tab w:val="right" w:pos="8306"/>
      </w:tabs>
      <w:snapToGrid w:val="0"/>
      <w:jc w:val="left"/>
    </w:pPr>
    <w:rPr>
      <w:kern w:val="0"/>
      <w:sz w:val="18"/>
      <w:szCs w:val="20"/>
    </w:rPr>
  </w:style>
  <w:style w:type="paragraph" w:styleId="19">
    <w:name w:val="header"/>
    <w:basedOn w:val="1"/>
    <w:next w:val="7"/>
    <w:link w:val="40"/>
    <w:qFormat/>
    <w:uiPriority w:val="0"/>
    <w:pPr>
      <w:pBdr>
        <w:bottom w:val="single" w:color="auto" w:sz="6" w:space="1"/>
      </w:pBdr>
      <w:tabs>
        <w:tab w:val="center" w:pos="4153"/>
        <w:tab w:val="right" w:pos="8306"/>
      </w:tabs>
      <w:snapToGrid w:val="0"/>
      <w:jc w:val="center"/>
    </w:pPr>
    <w:rPr>
      <w:kern w:val="0"/>
      <w:sz w:val="18"/>
      <w:szCs w:val="20"/>
    </w:rPr>
  </w:style>
  <w:style w:type="paragraph" w:styleId="20">
    <w:name w:val="toc 1"/>
    <w:basedOn w:val="1"/>
    <w:next w:val="1"/>
    <w:qFormat/>
    <w:uiPriority w:val="0"/>
  </w:style>
  <w:style w:type="paragraph" w:styleId="21">
    <w:name w:val="List Number 5"/>
    <w:basedOn w:val="1"/>
    <w:qFormat/>
    <w:uiPriority w:val="0"/>
    <w:pPr>
      <w:numPr>
        <w:ilvl w:val="0"/>
        <w:numId w:val="1"/>
      </w:numPr>
    </w:pPr>
  </w:style>
  <w:style w:type="paragraph" w:styleId="22">
    <w:name w:val="List"/>
    <w:basedOn w:val="1"/>
    <w:qFormat/>
    <w:uiPriority w:val="0"/>
    <w:pPr>
      <w:spacing w:line="240" w:lineRule="auto"/>
      <w:ind w:left="0" w:firstLine="0" w:firstLineChars="0"/>
      <w:jc w:val="center"/>
    </w:pPr>
    <w:rPr>
      <w:sz w:val="21"/>
      <w:szCs w:val="21"/>
    </w:rPr>
  </w:style>
  <w:style w:type="paragraph" w:styleId="23">
    <w:name w:val="Body Text 2"/>
    <w:basedOn w:val="1"/>
    <w:qFormat/>
    <w:uiPriority w:val="0"/>
    <w:pPr>
      <w:spacing w:after="120" w:line="480" w:lineRule="auto"/>
    </w:pPr>
  </w:style>
  <w:style w:type="paragraph" w:styleId="24">
    <w:name w:val="Normal (Web)"/>
    <w:basedOn w:val="1"/>
    <w:link w:val="41"/>
    <w:qFormat/>
    <w:uiPriority w:val="0"/>
    <w:pPr>
      <w:widowControl/>
      <w:spacing w:before="100" w:beforeAutospacing="1" w:after="100" w:afterAutospacing="1"/>
      <w:jc w:val="left"/>
    </w:pPr>
    <w:rPr>
      <w:rFonts w:ascii="宋体" w:hAnsi="宋体"/>
      <w:kern w:val="0"/>
      <w:sz w:val="24"/>
      <w:szCs w:val="20"/>
    </w:rPr>
  </w:style>
  <w:style w:type="paragraph" w:styleId="25">
    <w:name w:val="annotation subject"/>
    <w:basedOn w:val="8"/>
    <w:next w:val="8"/>
    <w:link w:val="42"/>
    <w:semiHidden/>
    <w:qFormat/>
    <w:uiPriority w:val="0"/>
    <w:rPr>
      <w:b/>
      <w:sz w:val="24"/>
      <w:szCs w:val="20"/>
    </w:rPr>
  </w:style>
  <w:style w:type="paragraph" w:styleId="26">
    <w:name w:val="Body Text First Indent"/>
    <w:basedOn w:val="9"/>
    <w:next w:val="1"/>
    <w:unhideWhenUsed/>
    <w:qFormat/>
    <w:uiPriority w:val="0"/>
    <w:pPr>
      <w:spacing w:after="120"/>
      <w:ind w:firstLine="420" w:firstLineChars="100"/>
    </w:pPr>
    <w:rPr>
      <w:rFonts w:hint="eastAsia" w:ascii="宋体" w:hAnsi="宋体"/>
      <w:szCs w:val="22"/>
    </w:rPr>
  </w:style>
  <w:style w:type="paragraph" w:styleId="27">
    <w:name w:val="Body Text First Indent 2"/>
    <w:basedOn w:val="10"/>
    <w:next w:val="12"/>
    <w:qFormat/>
    <w:uiPriority w:val="0"/>
    <w:pPr>
      <w:spacing w:after="120"/>
      <w:ind w:left="420" w:firstLine="210"/>
    </w:pPr>
    <w:rPr>
      <w:rFonts w:eastAsia="楷体_GB2312"/>
      <w:sz w:val="30"/>
    </w:rPr>
  </w:style>
  <w:style w:type="table" w:styleId="29">
    <w:name w:val="Table Grid"/>
    <w:basedOn w:val="28"/>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22"/>
    <w:rPr>
      <w:b/>
      <w:bCs/>
    </w:rPr>
  </w:style>
  <w:style w:type="character" w:styleId="32">
    <w:name w:val="page number"/>
    <w:basedOn w:val="30"/>
    <w:qFormat/>
    <w:uiPriority w:val="0"/>
  </w:style>
  <w:style w:type="character" w:styleId="33">
    <w:name w:val="annotation reference"/>
    <w:semiHidden/>
    <w:qFormat/>
    <w:uiPriority w:val="0"/>
    <w:rPr>
      <w:sz w:val="21"/>
    </w:rPr>
  </w:style>
  <w:style w:type="character" w:customStyle="1" w:styleId="34">
    <w:name w:val="批注文字 Char"/>
    <w:link w:val="8"/>
    <w:qFormat/>
    <w:uiPriority w:val="0"/>
    <w:rPr>
      <w:rFonts w:ascii="Times New Roman" w:hAnsi="Times New Roman" w:eastAsia="宋体"/>
      <w:sz w:val="24"/>
    </w:rPr>
  </w:style>
  <w:style w:type="character" w:customStyle="1" w:styleId="35">
    <w:name w:val="正文文本 Char"/>
    <w:link w:val="9"/>
    <w:qFormat/>
    <w:uiPriority w:val="0"/>
    <w:rPr>
      <w:sz w:val="18"/>
    </w:rPr>
  </w:style>
  <w:style w:type="character" w:customStyle="1" w:styleId="36">
    <w:name w:val="正文文本缩进 Char"/>
    <w:link w:val="10"/>
    <w:semiHidden/>
    <w:qFormat/>
    <w:uiPriority w:val="0"/>
    <w:rPr>
      <w:rFonts w:ascii="Times New Roman" w:hAnsi="Times New Roman" w:eastAsia="宋体"/>
      <w:sz w:val="24"/>
    </w:rPr>
  </w:style>
  <w:style w:type="character" w:customStyle="1" w:styleId="37">
    <w:name w:val="日期 Char"/>
    <w:link w:val="15"/>
    <w:qFormat/>
    <w:uiPriority w:val="0"/>
    <w:rPr>
      <w:rFonts w:ascii="Times New Roman" w:hAnsi="Times New Roman" w:eastAsia="宋体"/>
      <w:sz w:val="24"/>
    </w:rPr>
  </w:style>
  <w:style w:type="character" w:customStyle="1" w:styleId="38">
    <w:name w:val="批注框文本 Char"/>
    <w:link w:val="17"/>
    <w:semiHidden/>
    <w:qFormat/>
    <w:uiPriority w:val="0"/>
    <w:rPr>
      <w:rFonts w:ascii="Times New Roman" w:hAnsi="Times New Roman" w:eastAsia="宋体"/>
      <w:sz w:val="18"/>
    </w:rPr>
  </w:style>
  <w:style w:type="character" w:customStyle="1" w:styleId="39">
    <w:name w:val="页脚 Char"/>
    <w:link w:val="18"/>
    <w:qFormat/>
    <w:uiPriority w:val="99"/>
    <w:rPr>
      <w:sz w:val="18"/>
    </w:rPr>
  </w:style>
  <w:style w:type="character" w:customStyle="1" w:styleId="40">
    <w:name w:val="页眉 Char"/>
    <w:link w:val="19"/>
    <w:qFormat/>
    <w:uiPriority w:val="0"/>
    <w:rPr>
      <w:sz w:val="18"/>
    </w:rPr>
  </w:style>
  <w:style w:type="character" w:customStyle="1" w:styleId="41">
    <w:name w:val="普通(网站) Char"/>
    <w:link w:val="24"/>
    <w:qFormat/>
    <w:uiPriority w:val="0"/>
    <w:rPr>
      <w:rFonts w:ascii="宋体" w:hAnsi="宋体" w:eastAsia="宋体"/>
      <w:sz w:val="24"/>
    </w:rPr>
  </w:style>
  <w:style w:type="character" w:customStyle="1" w:styleId="42">
    <w:name w:val="批注主题 Char"/>
    <w:link w:val="25"/>
    <w:semiHidden/>
    <w:qFormat/>
    <w:uiPriority w:val="0"/>
    <w:rPr>
      <w:rFonts w:ascii="Times New Roman" w:hAnsi="Times New Roman" w:eastAsia="宋体"/>
      <w:b/>
      <w:kern w:val="2"/>
      <w:sz w:val="24"/>
    </w:rPr>
  </w:style>
  <w:style w:type="paragraph" w:customStyle="1" w:styleId="43">
    <w:name w:val="标题 段落4级"/>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character" w:customStyle="1" w:styleId="44">
    <w:name w:val="日期 字符"/>
    <w:semiHidden/>
    <w:qFormat/>
    <w:uiPriority w:val="0"/>
    <w:rPr>
      <w:rFonts w:ascii="Times New Roman" w:hAnsi="Times New Roman" w:eastAsia="宋体"/>
      <w:sz w:val="24"/>
    </w:rPr>
  </w:style>
  <w:style w:type="character" w:customStyle="1" w:styleId="45">
    <w:name w:val="页脚 字符"/>
    <w:basedOn w:val="30"/>
    <w:qFormat/>
    <w:uiPriority w:val="99"/>
  </w:style>
  <w:style w:type="character" w:customStyle="1" w:styleId="46">
    <w:name w:val="表格 Char"/>
    <w:link w:val="47"/>
    <w:qFormat/>
    <w:uiPriority w:val="0"/>
    <w:rPr>
      <w:rFonts w:ascii="宋体"/>
      <w:sz w:val="21"/>
    </w:rPr>
  </w:style>
  <w:style w:type="paragraph" w:customStyle="1" w:styleId="47">
    <w:name w:val="表格"/>
    <w:basedOn w:val="9"/>
    <w:next w:val="1"/>
    <w:link w:val="46"/>
    <w:qFormat/>
    <w:uiPriority w:val="0"/>
    <w:pPr>
      <w:adjustRightInd w:val="0"/>
      <w:snapToGrid w:val="0"/>
      <w:spacing w:beforeLines="10" w:afterLines="10" w:line="259" w:lineRule="auto"/>
      <w:jc w:val="center"/>
    </w:pPr>
    <w:rPr>
      <w:rFonts w:ascii="宋体"/>
      <w:kern w:val="0"/>
      <w:szCs w:val="20"/>
    </w:rPr>
  </w:style>
  <w:style w:type="character" w:customStyle="1" w:styleId="48">
    <w:name w:val="fontstyle01"/>
    <w:basedOn w:val="30"/>
    <w:qFormat/>
    <w:uiPriority w:val="0"/>
    <w:rPr>
      <w:rFonts w:hint="eastAsia" w:ascii="宋体" w:hAnsi="宋体" w:eastAsia="宋体"/>
      <w:color w:val="000000"/>
      <w:sz w:val="28"/>
      <w:szCs w:val="28"/>
    </w:rPr>
  </w:style>
  <w:style w:type="character" w:customStyle="1" w:styleId="49">
    <w:name w:val="批注文字 字符1"/>
    <w:semiHidden/>
    <w:qFormat/>
    <w:uiPriority w:val="0"/>
    <w:rPr>
      <w:rFonts w:ascii="Times New Roman" w:hAnsi="Times New Roman" w:eastAsia="宋体"/>
      <w:sz w:val="24"/>
    </w:rPr>
  </w:style>
  <w:style w:type="character" w:customStyle="1" w:styleId="50">
    <w:name w:val="正文文本 字符1"/>
    <w:semiHidden/>
    <w:qFormat/>
    <w:uiPriority w:val="0"/>
    <w:rPr>
      <w:rFonts w:ascii="Times New Roman" w:hAnsi="Times New Roman" w:eastAsia="宋体"/>
      <w:sz w:val="24"/>
    </w:rPr>
  </w:style>
  <w:style w:type="paragraph" w:customStyle="1" w:styleId="51">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52">
    <w:name w:val="List Paragraph"/>
    <w:basedOn w:val="1"/>
    <w:qFormat/>
    <w:uiPriority w:val="34"/>
    <w:pPr>
      <w:ind w:firstLine="420" w:firstLineChars="200"/>
    </w:pPr>
  </w:style>
  <w:style w:type="paragraph" w:customStyle="1" w:styleId="53">
    <w:name w:val="Table Paragraph"/>
    <w:basedOn w:val="1"/>
    <w:qFormat/>
    <w:uiPriority w:val="1"/>
  </w:style>
  <w:style w:type="paragraph" w:customStyle="1" w:styleId="54">
    <w:name w:val="B表格文字"/>
    <w:qFormat/>
    <w:uiPriority w:val="0"/>
    <w:pPr>
      <w:jc w:val="center"/>
    </w:pPr>
    <w:rPr>
      <w:rFonts w:ascii="Times New Roman" w:hAnsi="Times New Roman" w:eastAsia="宋体" w:cs="Times New Roman"/>
      <w:kern w:val="2"/>
      <w:sz w:val="21"/>
      <w:szCs w:val="24"/>
      <w:lang w:val="en-US" w:eastAsia="zh-CN" w:bidi="ar-SA"/>
    </w:rPr>
  </w:style>
  <w:style w:type="paragraph" w:customStyle="1" w:styleId="55">
    <w:name w:val="B表头"/>
    <w:qFormat/>
    <w:uiPriority w:val="0"/>
    <w:pPr>
      <w:jc w:val="center"/>
    </w:pPr>
    <w:rPr>
      <w:rFonts w:ascii="Times New Roman" w:hAnsi="Times New Roman" w:eastAsia="黑体" w:cs="Times New Roman"/>
      <w:kern w:val="2"/>
      <w:sz w:val="24"/>
      <w:szCs w:val="24"/>
      <w:lang w:val="en-US" w:eastAsia="zh-CN" w:bidi="ar-SA"/>
    </w:rPr>
  </w:style>
  <w:style w:type="paragraph" w:customStyle="1" w:styleId="56">
    <w:name w:val="表格文字"/>
    <w:basedOn w:val="9"/>
    <w:next w:val="9"/>
    <w:qFormat/>
    <w:uiPriority w:val="0"/>
    <w:pPr>
      <w:spacing w:line="240" w:lineRule="auto"/>
      <w:jc w:val="center"/>
    </w:pPr>
    <w:rPr>
      <w:rFonts w:ascii="Times New Roman" w:hAnsi="Times New Roman" w:eastAsia="宋体" w:cs="Times New Roman"/>
      <w:snapToGrid w:val="0"/>
      <w:sz w:val="21"/>
      <w:szCs w:val="21"/>
      <w:lang w:val="en-US" w:eastAsia="zh-CN" w:bidi="ar-SA"/>
    </w:rPr>
  </w:style>
  <w:style w:type="paragraph" w:customStyle="1" w:styleId="57">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58">
    <w:name w:val="0正文"/>
    <w:basedOn w:val="1"/>
    <w:unhideWhenUsed/>
    <w:qFormat/>
    <w:uiPriority w:val="0"/>
    <w:pPr>
      <w:spacing w:line="360" w:lineRule="auto"/>
      <w:ind w:firstLine="720" w:firstLineChars="200"/>
    </w:pPr>
    <w:rPr>
      <w:sz w:val="24"/>
      <w:szCs w:val="22"/>
    </w:rPr>
  </w:style>
  <w:style w:type="paragraph" w:customStyle="1" w:styleId="59">
    <w:name w:val="报告"/>
    <w:basedOn w:val="1"/>
    <w:qFormat/>
    <w:uiPriority w:val="0"/>
    <w:pPr>
      <w:adjustRightInd w:val="0"/>
      <w:spacing w:line="360" w:lineRule="auto"/>
      <w:ind w:firstLine="505"/>
      <w:textAlignment w:val="center"/>
    </w:pPr>
    <w:rPr>
      <w:rFonts w:ascii="TimesNewRoman" w:hAnsi="TimesNewRoman"/>
      <w:kern w:val="0"/>
      <w:sz w:val="24"/>
      <w:szCs w:val="20"/>
    </w:rPr>
  </w:style>
  <w:style w:type="paragraph" w:customStyle="1" w:styleId="60">
    <w:name w:val="表格正文"/>
    <w:basedOn w:val="1"/>
    <w:qFormat/>
    <w:uiPriority w:val="0"/>
    <w:pPr>
      <w:spacing w:line="360" w:lineRule="exact"/>
      <w:jc w:val="center"/>
    </w:pPr>
    <w:rPr>
      <w:rFonts w:ascii="Arial" w:hAnsi="Arial"/>
      <w:color w:val="000000"/>
    </w:rPr>
  </w:style>
  <w:style w:type="paragraph" w:customStyle="1" w:styleId="61">
    <w:name w:val="正文01"/>
    <w:basedOn w:val="1"/>
    <w:qFormat/>
    <w:uiPriority w:val="0"/>
    <w:pPr>
      <w:spacing w:before="60" w:line="460" w:lineRule="exact"/>
      <w:ind w:firstLine="200" w:firstLineChars="200"/>
    </w:pPr>
    <w:rPr>
      <w:rFonts w:ascii="Arial" w:hAnsi="Arial"/>
    </w:rPr>
  </w:style>
  <w:style w:type="paragraph" w:customStyle="1" w:styleId="62">
    <w:name w:val="+正文"/>
    <w:basedOn w:val="1"/>
    <w:qFormat/>
    <w:uiPriority w:val="0"/>
    <w:pPr>
      <w:spacing w:line="360" w:lineRule="auto"/>
      <w:ind w:firstLine="200" w:firstLineChars="200"/>
    </w:pPr>
  </w:style>
  <w:style w:type="paragraph" w:customStyle="1" w:styleId="63">
    <w:name w:val="制表格"/>
    <w:basedOn w:val="1"/>
    <w:qFormat/>
    <w:uiPriority w:val="0"/>
    <w:pPr>
      <w:jc w:val="center"/>
    </w:pPr>
    <w:rPr>
      <w:rFonts w:ascii="Times New Roman" w:hAnsi="Times New Roman"/>
      <w:snapToGrid w:val="0"/>
      <w:kern w:val="0"/>
      <w:szCs w:val="28"/>
    </w:rPr>
  </w:style>
  <w:style w:type="paragraph" w:customStyle="1" w:styleId="64">
    <w:name w:val="国寰表格"/>
    <w:basedOn w:val="1"/>
    <w:qFormat/>
    <w:uiPriority w:val="0"/>
    <w:pPr>
      <w:spacing w:line="280" w:lineRule="exact"/>
      <w:jc w:val="center"/>
    </w:pPr>
    <w:rPr>
      <w:rFonts w:ascii="黑体" w:hAnsi="宋体" w:eastAsia="黑体"/>
      <w:sz w:val="18"/>
    </w:rPr>
  </w:style>
  <w:style w:type="character" w:customStyle="1" w:styleId="65">
    <w:name w:val="国寰表头"/>
    <w:qFormat/>
    <w:uiPriority w:val="0"/>
    <w:rPr>
      <w:rFonts w:hint="eastAsia" w:ascii="黑体" w:hAnsi="黑体" w:eastAsia="黑体" w:cs="黑体"/>
      <w:kern w:val="2"/>
      <w:sz w:val="21"/>
      <w:szCs w:val="32"/>
    </w:rPr>
  </w:style>
  <w:style w:type="paragraph" w:customStyle="1" w:styleId="66">
    <w:name w:val="报告表正文"/>
    <w:basedOn w:val="1"/>
    <w:qFormat/>
    <w:uiPriority w:val="0"/>
    <w:pPr>
      <w:adjustRightInd w:val="0"/>
      <w:spacing w:line="312" w:lineRule="auto"/>
      <w:ind w:left="113" w:right="113" w:firstLine="482"/>
      <w:jc w:val="left"/>
      <w:textAlignment w:val="baseline"/>
    </w:pPr>
    <w:rPr>
      <w:kern w:val="0"/>
      <w:sz w:val="24"/>
      <w:szCs w:val="20"/>
    </w:rPr>
  </w:style>
  <w:style w:type="paragraph" w:customStyle="1" w:styleId="67">
    <w:name w:val="WPSOffice手动目录 1"/>
    <w:qFormat/>
    <w:uiPriority w:val="0"/>
    <w:pPr>
      <w:ind w:leftChars="0"/>
    </w:pPr>
    <w:rPr>
      <w:rFonts w:ascii="Times New Roman" w:hAnsi="Times New Roman" w:eastAsia="宋体" w:cs="Times New Roman"/>
      <w:sz w:val="20"/>
      <w:szCs w:val="20"/>
    </w:rPr>
  </w:style>
  <w:style w:type="paragraph" w:customStyle="1" w:styleId="68">
    <w:name w:val="正文1"/>
    <w:basedOn w:val="1"/>
    <w:qFormat/>
    <w:uiPriority w:val="0"/>
    <w:pPr>
      <w:spacing w:line="360" w:lineRule="auto"/>
      <w:ind w:firstLine="200" w:firstLineChars="200"/>
      <w:jc w:val="left"/>
    </w:pPr>
    <w:rPr>
      <w:rFonts w:ascii="Times New Roman" w:hAnsi="Times New Roman" w:eastAsia="宋体" w:cs="Times New Roman"/>
      <w:sz w:val="24"/>
      <w:szCs w:val="24"/>
    </w:rPr>
  </w:style>
  <w:style w:type="paragraph" w:customStyle="1" w:styleId="69">
    <w:name w:val="赵"/>
    <w:basedOn w:val="1"/>
    <w:qFormat/>
    <w:uiPriority w:val="0"/>
    <w:pPr>
      <w:widowControl/>
      <w:tabs>
        <w:tab w:val="left" w:pos="540"/>
        <w:tab w:val="left" w:pos="851"/>
        <w:tab w:val="left" w:pos="994"/>
        <w:tab w:val="left" w:pos="1260"/>
        <w:tab w:val="left" w:pos="3108"/>
        <w:tab w:val="left" w:pos="3150"/>
      </w:tabs>
      <w:adjustRightInd w:val="0"/>
      <w:spacing w:line="360" w:lineRule="auto"/>
      <w:ind w:firstLine="200" w:firstLineChars="200"/>
    </w:pPr>
    <w:rPr>
      <w:snapToGrid w:val="0"/>
      <w:color w:val="000000"/>
      <w:kern w:val="32"/>
      <w:sz w:val="24"/>
      <w:szCs w:val="28"/>
    </w:rPr>
  </w:style>
  <w:style w:type="paragraph" w:customStyle="1" w:styleId="70">
    <w:name w:val="样式 正文缩进正文缩进2正文缩进 Char Char正文缩进 Char Char Char Char正文缩进 Char ..."/>
    <w:basedOn w:val="6"/>
    <w:qFormat/>
    <w:uiPriority w:val="0"/>
    <w:pPr>
      <w:spacing w:line="360" w:lineRule="auto"/>
      <w:ind w:firstLine="200" w:firstLineChars="200"/>
    </w:pPr>
    <w:rPr>
      <w:rFonts w:cs="宋体"/>
      <w:sz w:val="24"/>
      <w:szCs w:val="24"/>
    </w:rPr>
  </w:style>
  <w:style w:type="paragraph" w:customStyle="1" w:styleId="71">
    <w:name w:val="表头"/>
    <w:basedOn w:val="1"/>
    <w:next w:val="1"/>
    <w:qFormat/>
    <w:uiPriority w:val="0"/>
    <w:pPr>
      <w:spacing w:line="360" w:lineRule="auto"/>
      <w:jc w:val="center"/>
    </w:pPr>
    <w:rPr>
      <w:rFonts w:hAnsi="宋体"/>
      <w:b/>
      <w:bCs/>
      <w:kern w:val="0"/>
      <w:sz w:val="24"/>
    </w:rPr>
  </w:style>
  <w:style w:type="paragraph" w:customStyle="1" w:styleId="72">
    <w:name w:val="正文首行缩进2"/>
    <w:basedOn w:val="9"/>
    <w:qFormat/>
    <w:uiPriority w:val="99"/>
    <w:pPr>
      <w:spacing w:line="500" w:lineRule="atLeast"/>
      <w:ind w:firstLine="560"/>
    </w:pPr>
  </w:style>
  <w:style w:type="paragraph" w:customStyle="1" w:styleId="73">
    <w:name w:val="表格文字1"/>
    <w:basedOn w:val="1"/>
    <w:qFormat/>
    <w:uiPriority w:val="0"/>
    <w:pPr>
      <w:adjustRightInd w:val="0"/>
      <w:snapToGrid w:val="0"/>
      <w:spacing w:before="120" w:line="300" w:lineRule="atLeast"/>
      <w:jc w:val="center"/>
    </w:pPr>
    <w:rPr>
      <w:rFonts w:ascii="宋体" w:hAnsi="宋体"/>
      <w:sz w:val="22"/>
      <w:szCs w:val="22"/>
    </w:rPr>
  </w:style>
  <w:style w:type="paragraph" w:customStyle="1" w:styleId="74">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75">
    <w:name w:val="表格内容"/>
    <w:basedOn w:val="1"/>
    <w:next w:val="1"/>
    <w:qFormat/>
    <w:uiPriority w:val="0"/>
    <w:pPr>
      <w:adjustRightInd w:val="0"/>
      <w:snapToGrid w:val="0"/>
      <w:spacing w:line="240" w:lineRule="auto"/>
      <w:ind w:firstLine="0" w:firstLineChars="0"/>
      <w:jc w:val="center"/>
    </w:pPr>
    <w:rPr>
      <w:rFonts w:cs="宋体"/>
      <w:szCs w:val="21"/>
    </w:rPr>
  </w:style>
  <w:style w:type="paragraph" w:customStyle="1" w:styleId="76">
    <w:name w:val="图表标题"/>
    <w:basedOn w:val="77"/>
    <w:qFormat/>
    <w:uiPriority w:val="0"/>
    <w:pPr>
      <w:spacing w:line="240" w:lineRule="auto"/>
      <w:ind w:firstLine="0" w:firstLineChars="0"/>
      <w:jc w:val="center"/>
    </w:pPr>
    <w:rPr>
      <w:sz w:val="21"/>
    </w:rPr>
  </w:style>
  <w:style w:type="paragraph" w:customStyle="1" w:styleId="77">
    <w:name w:val="加黑文字"/>
    <w:basedOn w:val="1"/>
    <w:qFormat/>
    <w:uiPriority w:val="0"/>
    <w:pPr>
      <w:ind w:firstLine="480"/>
    </w:pPr>
    <w:rPr>
      <w:b/>
    </w:rPr>
  </w:style>
  <w:style w:type="paragraph" w:customStyle="1" w:styleId="78">
    <w:name w:val="报告表格"/>
    <w:basedOn w:val="1"/>
    <w:qFormat/>
    <w:uiPriority w:val="0"/>
    <w:pPr>
      <w:topLinePunct/>
      <w:autoSpaceDE w:val="0"/>
      <w:adjustRightInd w:val="0"/>
      <w:spacing w:line="240" w:lineRule="auto"/>
      <w:ind w:firstLine="0" w:firstLineChars="0"/>
      <w:jc w:val="center"/>
      <w:textAlignment w:val="baseline"/>
    </w:pPr>
    <w:rPr>
      <w:kern w:val="0"/>
      <w:sz w:val="21"/>
      <w:szCs w:val="20"/>
      <w:lang w:val="zh-CN"/>
    </w:rPr>
  </w:style>
  <w:style w:type="paragraph" w:customStyle="1" w:styleId="79">
    <w:name w:val="111正文"/>
    <w:basedOn w:val="1"/>
    <w:qFormat/>
    <w:uiPriority w:val="0"/>
    <w:pPr>
      <w:widowControl w:val="0"/>
      <w:jc w:val="both"/>
    </w:pPr>
    <w:rPr>
      <w:rFonts w:ascii="Calibri" w:hAnsi="Calibri" w:cs="Times New Roman"/>
      <w:kern w:val="2"/>
      <w:sz w:val="21"/>
      <w:szCs w:val="21"/>
    </w:rPr>
  </w:style>
  <w:style w:type="paragraph" w:customStyle="1" w:styleId="80">
    <w:name w:val="表格标题"/>
    <w:basedOn w:val="1"/>
    <w:next w:val="1"/>
    <w:qFormat/>
    <w:uiPriority w:val="0"/>
    <w:pPr>
      <w:wordWrap/>
      <w:autoSpaceDN/>
      <w:ind w:firstLine="720"/>
      <w:jc w:val="center"/>
    </w:pPr>
    <w:rPr>
      <w:b/>
    </w:rPr>
  </w:style>
  <w:style w:type="paragraph" w:customStyle="1" w:styleId="81">
    <w:name w:val="加黑正文"/>
    <w:basedOn w:val="1"/>
    <w:qFormat/>
    <w:uiPriority w:val="0"/>
    <w:pPr>
      <w:topLinePunct/>
      <w:autoSpaceDE w:val="0"/>
      <w:autoSpaceDN/>
      <w:adjustRightInd w:val="0"/>
      <w:textAlignment w:val="baseline"/>
    </w:pPr>
    <w:rPr>
      <w:b/>
      <w:kern w:val="0"/>
      <w:szCs w:val="20"/>
    </w:rPr>
  </w:style>
  <w:style w:type="paragraph" w:customStyle="1" w:styleId="82">
    <w:name w:val="样式1"/>
    <w:basedOn w:val="1"/>
    <w:qFormat/>
    <w:uiPriority w:val="0"/>
    <w:pPr>
      <w:spacing w:line="360" w:lineRule="auto"/>
      <w:ind w:firstLine="510"/>
    </w:pPr>
    <w:rPr>
      <w:sz w:val="24"/>
      <w:szCs w:val="20"/>
    </w:rPr>
  </w:style>
  <w:style w:type="table" w:customStyle="1" w:styleId="83">
    <w:name w:val="Table Normal"/>
    <w:unhideWhenUsed/>
    <w:qFormat/>
    <w:uiPriority w:val="0"/>
    <w:tblPr>
      <w:tblCellMar>
        <w:top w:w="0" w:type="dxa"/>
        <w:left w:w="0" w:type="dxa"/>
        <w:bottom w:w="0" w:type="dxa"/>
        <w:right w:w="0" w:type="dxa"/>
      </w:tblCellMar>
    </w:tblPr>
  </w:style>
  <w:style w:type="character" w:customStyle="1" w:styleId="84">
    <w:name w:val="font11"/>
    <w:basedOn w:val="30"/>
    <w:qFormat/>
    <w:uiPriority w:val="0"/>
    <w:rPr>
      <w:rFonts w:hint="eastAsia" w:ascii="宋体" w:hAnsi="宋体" w:eastAsia="宋体" w:cs="宋体"/>
      <w:color w:val="000000"/>
      <w:sz w:val="21"/>
      <w:szCs w:val="21"/>
      <w:u w:val="none"/>
    </w:rPr>
  </w:style>
  <w:style w:type="paragraph" w:customStyle="1" w:styleId="85">
    <w:name w:val="表题"/>
    <w:basedOn w:val="1"/>
    <w:qFormat/>
    <w:uiPriority w:val="0"/>
    <w:pPr>
      <w:wordWrap/>
      <w:autoSpaceDN/>
      <w:spacing w:line="240" w:lineRule="auto"/>
      <w:ind w:firstLine="0" w:firstLineChars="0"/>
      <w:jc w:val="center"/>
    </w:pPr>
    <w:rPr>
      <w:rFonts w:ascii="等线" w:hAnsi="等线" w:eastAsia="黑体"/>
      <w:sz w:val="21"/>
      <w:szCs w:val="20"/>
    </w:rPr>
  </w:style>
  <w:style w:type="paragraph" w:customStyle="1" w:styleId="86">
    <w:name w:val="01正文"/>
    <w:basedOn w:val="1"/>
    <w:qFormat/>
    <w:uiPriority w:val="0"/>
    <w:pPr>
      <w:adjustRightInd w:val="0"/>
      <w:snapToGrid w:val="0"/>
      <w:spacing w:line="360" w:lineRule="auto"/>
      <w:ind w:left="0" w:firstLine="720" w:firstLineChars="200"/>
      <w:jc w:val="left"/>
    </w:pPr>
    <w:rPr>
      <w:rFonts w:ascii="Times New Roman" w:hAnsi="Times New Roman"/>
      <w:szCs w:val="36"/>
    </w:rPr>
  </w:style>
  <w:style w:type="paragraph" w:customStyle="1" w:styleId="87">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88">
    <w:name w:val="02表格"/>
    <w:basedOn w:val="86"/>
    <w:qFormat/>
    <w:uiPriority w:val="0"/>
    <w:pPr>
      <w:autoSpaceDE w:val="0"/>
      <w:autoSpaceDN w:val="0"/>
      <w:adjustRightInd w:val="0"/>
      <w:snapToGrid w:val="0"/>
      <w:spacing w:line="240" w:lineRule="auto"/>
      <w:ind w:firstLine="0" w:firstLineChars="0"/>
      <w:jc w:val="center"/>
    </w:pPr>
    <w:rPr>
      <w:rFonts w:ascii="Times New Roman" w:hAnsi="Times New Roman" w:eastAsia="宋体"/>
      <w:szCs w:val="21"/>
    </w:rPr>
  </w:style>
  <w:style w:type="paragraph" w:customStyle="1" w:styleId="89">
    <w:name w:val="Default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0">
    <w:name w:val="Body text|1"/>
    <w:link w:val="91"/>
    <w:qFormat/>
    <w:uiPriority w:val="0"/>
    <w:pPr>
      <w:widowControl w:val="0"/>
      <w:shd w:val="clear" w:color="auto" w:fill="auto"/>
      <w:spacing w:line="415" w:lineRule="auto"/>
      <w:ind w:firstLine="400"/>
    </w:pPr>
    <w:rPr>
      <w:rFonts w:ascii="MingLiU" w:hAnsi="MingLiU" w:eastAsia="MingLiU" w:cs="MingLiU"/>
      <w:sz w:val="19"/>
      <w:szCs w:val="19"/>
      <w:u w:val="none"/>
      <w:lang w:val="ko-KR" w:eastAsia="ko-KR" w:bidi="ko-KR"/>
    </w:rPr>
  </w:style>
  <w:style w:type="character" w:customStyle="1" w:styleId="91">
    <w:name w:val="Body text|1_"/>
    <w:basedOn w:val="30"/>
    <w:link w:val="90"/>
    <w:qFormat/>
    <w:uiPriority w:val="0"/>
    <w:rPr>
      <w:rFonts w:ascii="MingLiU" w:hAnsi="MingLiU" w:eastAsia="MingLiU" w:cs="MingLiU"/>
      <w:sz w:val="19"/>
      <w:szCs w:val="19"/>
      <w:u w:val="none"/>
      <w:lang w:val="ko-KR" w:eastAsia="ko-KR" w:bidi="ko-KR"/>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5" Type="http://schemas.openxmlformats.org/officeDocument/2006/relationships/fontTable" Target="fontTable.xml"/><Relationship Id="rId44" Type="http://schemas.openxmlformats.org/officeDocument/2006/relationships/customXml" Target="../customXml/item2.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image" Target="media/image22.png"/><Relationship Id="rId40" Type="http://schemas.openxmlformats.org/officeDocument/2006/relationships/image" Target="media/image21.png"/><Relationship Id="rId4" Type="http://schemas.openxmlformats.org/officeDocument/2006/relationships/footer" Target="footer2.xml"/><Relationship Id="rId39" Type="http://schemas.openxmlformats.org/officeDocument/2006/relationships/image" Target="media/image20.jpeg"/><Relationship Id="rId38" Type="http://schemas.openxmlformats.org/officeDocument/2006/relationships/image" Target="media/image19.png"/><Relationship Id="rId37" Type="http://schemas.openxmlformats.org/officeDocument/2006/relationships/image" Target="media/image18.png"/><Relationship Id="rId36" Type="http://schemas.openxmlformats.org/officeDocument/2006/relationships/image" Target="media/image17.png"/><Relationship Id="rId35" Type="http://schemas.openxmlformats.org/officeDocument/2006/relationships/image" Target="media/image16.png"/><Relationship Id="rId34" Type="http://schemas.openxmlformats.org/officeDocument/2006/relationships/image" Target="media/image15.png"/><Relationship Id="rId33" Type="http://schemas.openxmlformats.org/officeDocument/2006/relationships/image" Target="media/image14.png"/><Relationship Id="rId32" Type="http://schemas.openxmlformats.org/officeDocument/2006/relationships/image" Target="media/image13.wmf"/><Relationship Id="rId31" Type="http://schemas.openxmlformats.org/officeDocument/2006/relationships/oleObject" Target="embeddings/oleObject11.bin"/><Relationship Id="rId30" Type="http://schemas.openxmlformats.org/officeDocument/2006/relationships/image" Target="media/image12.jpeg"/><Relationship Id="rId3" Type="http://schemas.openxmlformats.org/officeDocument/2006/relationships/footer" Target="footer1.xml"/><Relationship Id="rId29" Type="http://schemas.openxmlformats.org/officeDocument/2006/relationships/image" Target="media/image11.png"/><Relationship Id="rId28" Type="http://schemas.openxmlformats.org/officeDocument/2006/relationships/oleObject" Target="embeddings/oleObject10.bin"/><Relationship Id="rId27" Type="http://schemas.openxmlformats.org/officeDocument/2006/relationships/oleObject" Target="embeddings/oleObject9.bin"/><Relationship Id="rId26" Type="http://schemas.openxmlformats.org/officeDocument/2006/relationships/oleObject" Target="embeddings/oleObject8.bin"/><Relationship Id="rId25" Type="http://schemas.openxmlformats.org/officeDocument/2006/relationships/image" Target="media/image10.wmf"/><Relationship Id="rId24" Type="http://schemas.openxmlformats.org/officeDocument/2006/relationships/oleObject" Target="embeddings/oleObject7.bin"/><Relationship Id="rId23" Type="http://schemas.openxmlformats.org/officeDocument/2006/relationships/image" Target="media/image9.emf"/><Relationship Id="rId22" Type="http://schemas.openxmlformats.org/officeDocument/2006/relationships/oleObject" Target="embeddings/oleObject6.bin"/><Relationship Id="rId21" Type="http://schemas.openxmlformats.org/officeDocument/2006/relationships/image" Target="media/image8.e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4.bin"/><Relationship Id="rId17" Type="http://schemas.openxmlformats.org/officeDocument/2006/relationships/image" Target="media/image6.emf"/><Relationship Id="rId16" Type="http://schemas.openxmlformats.org/officeDocument/2006/relationships/oleObject" Target="embeddings/oleObject3.bin"/><Relationship Id="rId15" Type="http://schemas.openxmlformats.org/officeDocument/2006/relationships/image" Target="media/image5.wmf"/><Relationship Id="rId14" Type="http://schemas.openxmlformats.org/officeDocument/2006/relationships/oleObject" Target="embeddings/oleObject2.bin"/><Relationship Id="rId13" Type="http://schemas.openxmlformats.org/officeDocument/2006/relationships/image" Target="media/image4.wmf"/><Relationship Id="rId12" Type="http://schemas.openxmlformats.org/officeDocument/2006/relationships/oleObject" Target="embeddings/oleObject1.bin"/><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cfdf2229-bfca-43e4-a7f9-7085882e68b5</errorID>
      <errorWord>》（试行）</errorWord>
      <group>L1_Word</group>
      <groupName>字词问题</groupName>
      <ability>L2_Typo</ability>
      <abilityName>字词错误</abilityName>
      <candidateList>
        <item>（试行）》</item>
      </candidateList>
      <explain/>
      <paraID>5223CEBB</paraID>
      <start>27</start>
      <end>32</end>
      <status>unmodified</status>
      <modifiedWord/>
      <trackRevisions>false</trackRevisions>
    </reviewItem>
    <reviewItem>
      <errorID>8dab3077-4567-4381-bb22-71e70f631273</errorID>
      <errorWord>中华民族优秀传统文化</errorWord>
      <group>L1_Word</group>
      <groupName>字词问题</groupName>
      <ability>L2_Typo</ability>
      <abilityName>字词错误</abilityName>
      <candidateList>
        <item>中华优秀传统文化</item>
      </candidateList>
      <explain/>
      <paraID>3F1726C7</paraID>
      <start>36</start>
      <end>46</end>
      <status>unmodified</status>
      <modifiedWord/>
      <trackRevisions>false</trackRevisions>
    </reviewItem>
    <reviewItem>
      <errorID>f219bb6a-40a9-4d9e-9fe7-795db4e9907a</errorID>
      <errorWord>文化部</errorWord>
      <group>L1_Knowledge</group>
      <groupName>知识性问题</groupName>
      <ability>L2_Organization</ability>
      <abilityName>机构检查</abilityName>
      <candidateList>
        <item>文化和旅游部</item>
      </candidateList>
      <explain>2018年3月，中共中央印发了《深化党和国家机构改革方案》，组建文化和旅游部。将文化部、国家旅游局的职责整合，组建文化和旅游部。不再保留文化部。</explain>
      <paraID>437E7F5C</paraID>
      <start>10</start>
      <end>13</end>
      <status>unmodified</status>
      <modifiedWord/>
      <trackRevisions>false</trackRevisions>
    </reviewItem>
    <reviewItem>
      <errorID>7a772a68-8650-495e-b388-28f59749bbfa</errorID>
      <errorWord>文旅部</errorWord>
      <group>L1_Word</group>
      <groupName>字词问题</groupName>
      <ability>L2_Typo</ability>
      <abilityName>字词错误</abilityName>
      <candidateList>
        <item>文化和旅游部</item>
      </candidateList>
      <explain/>
      <paraID>2FA8CC8F</paraID>
      <start>0</start>
      <end>3</end>
      <status>unmodified</status>
      <modifiedWord/>
      <trackRevisions>false</trackRevisions>
    </reviewItem>
    <reviewItem>
      <errorID>f2c42ebc-621c-445c-b330-5ef0fb61d529</errorID>
      <errorWord>中共中央办公厅 国务院办公厅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 国务院办公厅”是否存在不当。</explain>
      <paraID>2407B9A1</paraID>
      <start>136</start>
      <end>150</end>
      <status>unmodified</status>
      <modifiedWord/>
      <trackRevisions>false</trackRevisions>
    </reviewItem>
    <reviewItem>
      <errorID>50809868-8612-4dd5-8531-fee9d50f0e6e</errorID>
      <errorWord>文化部</errorWord>
      <group>L1_Knowledge</group>
      <groupName>知识性问题</groupName>
      <ability>L2_Organization</ability>
      <abilityName>机构检查</abilityName>
      <candidateList>
        <item>文化和旅游部</item>
      </candidateList>
      <explain>2018年3月，中共中央印发了《深化党和国家机构改革方案》，组建文化和旅游部。将文化部、国家旅游局的职责整合，组建文化和旅游部。不再保留文化部。</explain>
      <paraID>2407B9A1</paraID>
      <start>185</start>
      <end>188</end>
      <status>unmodified</status>
      <modifiedWord/>
      <trackRevisions>false</trackRevisions>
    </reviewItem>
    <reviewItem>
      <errorID>b0db7d88-bcb3-4532-b2e7-76fd87fd1d8c</errorID>
      <errorWord>文旅部</errorWord>
      <group>L1_Word</group>
      <groupName>字词问题</groupName>
      <ability>L2_Typo</ability>
      <abilityName>字词错误</abilityName>
      <candidateList>
        <item>文化和旅游部</item>
      </candidateList>
      <explain/>
      <paraID>2407B9A1</paraID>
      <start>219</start>
      <end>222</end>
      <status>unmodified</status>
      <modifiedWord/>
      <trackRevisions>false</trackRevisions>
    </reviewItem>
    <reviewItem>
      <errorID>e545e6b3-6523-42d1-898f-c3a91fef9af0</errorID>
      <errorWord>外逸</errorWord>
      <group>L1_Word</group>
      <groupName>字词问题</groupName>
      <ability>L2_Typo</ability>
      <abilityName>字词错误</abilityName>
      <candidateList>
        <item>外溢</item>
      </candidateList>
      <explain/>
      <paraID>4C77D5D3</paraID>
      <start>99</start>
      <end>101</end>
      <status>unmodified</status>
      <modifiedWord/>
      <trackRevisions>false</trackRevisions>
    </reviewItem>
    <reviewItem>
      <errorID>d8fff681-a328-4e01-8b3f-9787d5631594</errorID>
      <errorWord>受纳</errorWord>
      <group>L1_Word</group>
      <groupName>字词问题</groupName>
      <ability>L2_Typo</ability>
      <abilityName>字词错误</abilityName>
      <candidateList>
        <item>收纳</item>
      </candidateList>
      <explain/>
      <paraID>  CD0148</paraID>
      <start>70</start>
      <end>72</end>
      <status>unmodified</status>
      <modifiedWord/>
      <trackRevisions>false</trackRevisions>
    </reviewItem>
    <reviewItem>
      <errorID>c90ef1a9-9b5c-403f-a71c-c763a919554e</errorID>
      <errorWord>中共中央办公厅 国务院办公厅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 国务院办公厅”是否存在不当。</explain>
      <paraID>1DA13D51</paraID>
      <start>137</start>
      <end>151</end>
      <status>unmodified</status>
      <modifiedWord/>
      <trackRevisions>false</trackRevisions>
    </reviewItem>
    <reviewItem>
      <errorID>01b6b8c3-e8a3-4728-9513-773c6ff8a13e</errorID>
      <errorWord>文化部</errorWord>
      <group>L1_Knowledge</group>
      <groupName>知识性问题</groupName>
      <ability>L2_Organization</ability>
      <abilityName>机构检查</abilityName>
      <candidateList>
        <item>文化和旅游部</item>
      </candidateList>
      <explain>2018年3月，中共中央印发了《深化党和国家机构改革方案》，组建文化和旅游部。将文化部、国家旅游局的职责整合，组建文化和旅游部。不再保留文化部。</explain>
      <paraID>1DA13D51</paraID>
      <start>186</start>
      <end>189</end>
      <status>unmodified</status>
      <modifiedWord/>
      <trackRevisions>false</trackRevisions>
    </reviewItem>
    <reviewItem>
      <errorID>8ff7e88c-7204-42ec-aede-4d9676e3cb95</errorID>
      <errorWord>文旅部</errorWord>
      <group>L1_Word</group>
      <groupName>字词问题</groupName>
      <ability>L2_Typo</ability>
      <abilityName>字词错误</abilityName>
      <candidateList>
        <item>文化和旅游部</item>
      </candidateList>
      <explain/>
      <paraID>1DA13D51</paraID>
      <start>220</start>
      <end>223</end>
      <status>unmodified</status>
      <modifiedWord/>
      <trackRevisions>false</trackRevisions>
    </reviewItem>
    <reviewItem>
      <errorID>f3cb79bc-3eb2-4d4f-850f-ca5ec8c34277</errorID>
      <errorWord>》</errorWord>
      <group>L1_Word</group>
      <groupName>字词问题</groupName>
      <ability>L2_Typo</ability>
      <abilityName>字词错误</abilityName>
      <candidateList>
        <item>》和</item>
      </candidateList>
      <explain/>
      <paraID>41E889AB</paraID>
      <start>15</start>
      <end>16</end>
      <status>unmodified</status>
      <modifiedWord/>
      <trackRevisions>false</trackRevisions>
    </reviewItem>
    <reviewItem>
      <errorID>d13bb49d-e349-4066-9937-40aa44968a60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41E889AB</paraID>
      <start>133</start>
      <end>134</end>
      <status>unmodified</status>
      <modifiedWord/>
      <trackRevisions>false</trackRevisions>
    </reviewItem>
    <reviewItem>
      <errorID>dcf6fce4-760d-40fb-9178-90c13a4d4c1d</errorID>
      <errorWord>建</errorWord>
      <group>L1_Word</group>
      <groupName>字词问题</groupName>
      <ability>L2_Typo</ability>
      <abilityName>字词错误</abilityName>
      <candidateList>
        <item>建成</item>
      </candidateList>
      <explain/>
      <paraID>2EEBAC1B</paraID>
      <start>5</start>
      <end>6</end>
      <status>unmodified</status>
      <modifiedWord/>
      <trackRevisions>false</trackRevisions>
    </reviewItem>
    <reviewItem>
      <errorID>102df3f0-6917-42b3-8419-86c20f44ec98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47B9EACB</paraID>
      <start>75</start>
      <end>76</end>
      <status>unmodified</status>
      <modifiedWord/>
      <trackRevisions>false</trackRevisions>
    </reviewItem>
    <reviewItem>
      <errorID>890c26b0-0167-47c0-97c5-0ff2ef33cb7b</errorID>
      <errorWord>:</errorWord>
      <group>L1_Format</group>
      <groupName>格式问题</groupName>
      <ability>L2_HalfPunc_CN</ability>
      <abilityName>全半角问题</abilityName>
      <candidateList>
        <item>：</item>
      </candidateList>
      <explain>文本全半角错误。</explain>
      <paraID>7960C928</paraID>
      <start>2</start>
      <end>3</end>
      <status>unmodified</status>
      <modifiedWord/>
      <trackRevisions>false</trackRevisions>
    </reviewItem>
    <reviewItem>
      <errorID>7a3af7b1-3318-44bf-afb5-b60a97bc0ffb</errorID>
      <errorWord>:</errorWord>
      <group>L1_Format</group>
      <groupName>格式问题</groupName>
      <ability>L2_HalfPunc_CN</ability>
      <abilityName>全半角问题</abilityName>
      <candidateList>
        <item>：</item>
      </candidateList>
      <explain>文本全半角错误。</explain>
      <paraID>59774ECB</paraID>
      <start>2</start>
      <end>3</end>
      <status>unmodified</status>
      <modifiedWord/>
      <trackRevisions>false</trackRevisions>
    </reviewItem>
    <reviewItem>
      <errorID>0c13e0a1-562c-4e2b-98cf-f99bf471dbbe</errorID>
      <errorWord>:</errorWord>
      <group>L1_Format</group>
      <groupName>格式问题</groupName>
      <ability>L2_HalfPunc_CN</ability>
      <abilityName>全半角问题</abilityName>
      <candidateList>
        <item>：</item>
      </candidateList>
      <explain>文本全半角错误。</explain>
      <paraID>23208701</paraID>
      <start>2</start>
      <end>3</end>
      <status>unmodified</status>
      <modifiedWord/>
      <trackRevisions>false</trackRevisions>
    </reviewItem>
    <reviewItem>
      <errorID>631a543b-26ac-46bc-8221-98aac433ae59</errorID>
      <errorWord>粘土</errorWord>
      <group>L1_Word</group>
      <groupName>字词问题</groupName>
      <ability>L2_Typo</ability>
      <abilityName>字词错误</abilityName>
      <candidateList>
        <item>黏土</item>
      </candidateList>
      <explain>存在发音相同字词的误用。</explain>
      <paraID> B063A94</paraID>
      <start>0</start>
      <end>2</end>
      <status>unmodified</status>
      <modifiedWord/>
      <trackRevisions>false</trackRevisions>
    </reviewItem>
    <reviewItem>
      <errorID>24a687bb-fcda-4e79-84d7-152f495f20db</errorID>
      <errorWord>粘土</errorWord>
      <group>L1_Word</group>
      <groupName>字词问题</groupName>
      <ability>L2_Typo</ability>
      <abilityName>字词错误</abilityName>
      <candidateList>
        <item>黏土</item>
      </candidateList>
      <explain>存在发音相同字词的误用。</explain>
      <paraID>1A846A8D</paraID>
      <start>0</start>
      <end>2</end>
      <status>unmodified</status>
      <modifiedWord/>
      <trackRevisions>false</trackRevisions>
    </reviewItem>
    <reviewItem>
      <errorID>a17238cd-0679-427c-ac3b-6ba4d581a43e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50880B2A</paraID>
      <start>75</start>
      <end>76</end>
      <status>unmodified</status>
      <modifiedWord/>
      <trackRevisions>false</trackRevisions>
    </reviewItem>
    <reviewItem>
      <errorID>b8018e84-64e1-4b9a-b103-133e275b0ec3</errorID>
      <errorWord>粉磨</errorWord>
      <group>L1_Word</group>
      <groupName>字词问题</groupName>
      <ability>L2_Typo</ability>
      <abilityName>字词错误</abilityName>
      <candidateList>
        <item>粉末</item>
      </candidateList>
      <explain/>
      <paraID>4E822DE2</paraID>
      <start>11</start>
      <end>13</end>
      <status>unmodified</status>
      <modifiedWord/>
      <trackRevisions>false</trackRevisions>
    </reviewItem>
    <reviewItem>
      <errorID>ca1b2d4f-78ba-43e2-9f5c-77ede0ab853f</errorID>
      <errorWord>至2025年12</errorWord>
      <group>L1_Word</group>
      <groupName>字词问题</groupName>
      <ability>L2_Typo</ability>
      <abilityName>字词错误</abilityName>
      <candidateList>
        <item>截至2025年12</item>
      </candidateList>
      <explain/>
      <paraID>4B547F13</paraID>
      <start>13</start>
      <end>21</end>
      <status>unmodified</status>
      <modifiedWord/>
      <trackRevisions>false</trackRevisions>
    </reviewItem>
    <reviewItem>
      <errorID>9c6d455b-df63-4399-9fc1-e505a2804c65</errorID>
      <errorWord>:</errorWord>
      <group>L1_Format</group>
      <groupName>格式问题</groupName>
      <ability>L2_HalfPunc_CN</ability>
      <abilityName>全半角问题</abilityName>
      <candidateList>
        <item>：</item>
      </candidateList>
      <explain>文本全半角错误。</explain>
      <paraID>438AD9DA</paraID>
      <start>2</start>
      <end>3</end>
      <status>unmodified</status>
      <modifiedWord/>
      <trackRevisions>false</trackRevisions>
    </reviewItem>
    <reviewItem>
      <errorID>c26839d5-da2c-4f46-9b6d-b183da9c8501</errorID>
      <errorWord>:</errorWord>
      <group>L1_Format</group>
      <groupName>格式问题</groupName>
      <ability>L2_HalfPunc_CN</ability>
      <abilityName>全半角问题</abilityName>
      <candidateList>
        <item>：</item>
      </candidateList>
      <explain>文本全半角错误。</explain>
      <paraID>421AC313</paraID>
      <start>2</start>
      <end>3</end>
      <status>unmodified</status>
      <modifiedWord/>
      <trackRevisions>false</trackRevisions>
    </reviewItem>
    <reviewItem>
      <errorID>d512cb42-03fd-4a48-91f8-a551387e00f5</errorID>
      <errorWord>:</errorWord>
      <group>L1_Format</group>
      <groupName>格式问题</groupName>
      <ability>L2_HalfPunc_CN</ability>
      <abilityName>全半角问题</abilityName>
      <candidateList>
        <item>：</item>
      </candidateList>
      <explain>文本全半角错误。</explain>
      <paraID>65D9E327</paraID>
      <start>2</start>
      <end>3</end>
      <status>unmodified</status>
      <modifiedWord/>
      <trackRevisions>false</trackRevisions>
    </reviewItem>
    <reviewItem>
      <errorID>597202ba-6a9e-4ebf-b74d-455ec08018e5</errorID>
      <errorWord>:</errorWord>
      <group>L1_Format</group>
      <groupName>格式问题</groupName>
      <ability>L2_HalfPunc_CN</ability>
      <abilityName>全半角问题</abilityName>
      <candidateList>
        <item>：</item>
      </candidateList>
      <explain>文本全半角错误。</explain>
      <paraID>6853D871</paraID>
      <start>2</start>
      <end>3</end>
      <status>unmodified</status>
      <modifiedWord/>
      <trackRevisions>false</trackRevisions>
    </reviewItem>
    <reviewItem>
      <errorID>2a8a1b56-c71c-45c9-91db-473587b52395</errorID>
      <errorWord>:</errorWord>
      <group>L1_Format</group>
      <groupName>格式问题</groupName>
      <ability>L2_HalfPunc_CN</ability>
      <abilityName>全半角问题</abilityName>
      <candidateList>
        <item>：</item>
      </candidateList>
      <explain>文本全半角错误。</explain>
      <paraID>48CAD0FA</paraID>
      <start>2</start>
      <end>3</end>
      <status>unmodified</status>
      <modifiedWord/>
      <trackRevisions>false</trackRevisions>
    </reviewItem>
    <reviewItem>
      <errorID>9c6e7b4c-c434-45e6-9dbe-9e1b13290c93</errorID>
      <errorWord>:</errorWord>
      <group>L1_Format</group>
      <groupName>格式问题</groupName>
      <ability>L2_HalfPunc_CN</ability>
      <abilityName>全半角问题</abilityName>
      <candidateList>
        <item>：</item>
      </candidateList>
      <explain>文本全半角错误。</explain>
      <paraID>4A14BEA1</paraID>
      <start>2</start>
      <end>3</end>
      <status>unmodified</status>
      <modifiedWord/>
      <trackRevisions>false</trackRevisions>
    </reviewItem>
    <reviewItem>
      <errorID>143227a0-bc8e-4feb-aa2a-ef91eb47c24c</errorID>
      <errorWord>（</errorWord>
      <group>L1_Punc</group>
      <groupName>标点问题</groupName>
      <ability>L2_Punc_CN</ability>
      <abilityName>标点符号问题</abilityName>
      <candidateList/>
      <explain>同一形式括号套用。</explain>
      <paraID> A8E9FCD</paraID>
      <start>85</start>
      <end>86</end>
      <status>unmodified</status>
      <modifiedWord/>
      <trackRevisions>false</trackRevisions>
    </reviewItem>
    <reviewItem>
      <errorID>c15ee9d4-e047-41e9-84f7-e61c1a11dbf7</errorID>
      <errorWord>）</errorWord>
      <group>L1_Punc</group>
      <groupName>标点问题</groupName>
      <ability>L2_Punc_CN</ability>
      <abilityName>标点符号问题</abilityName>
      <candidateList/>
      <explain>同一形式括号套用。</explain>
      <paraID> A8E9FCD</paraID>
      <start>87</start>
      <end>88</end>
      <status>unmodified</status>
      <modifiedWord/>
      <trackRevisions>false</trackRevisions>
    </reviewItem>
    <reviewItem>
      <errorID>ac506e34-d073-45dc-b2b3-2a5dfb991c6f</errorID>
      <errorWord>（</errorWord>
      <group>L1_Punc</group>
      <groupName>标点问题</groupName>
      <ability>L2_Punc_CN</ability>
      <abilityName>标点符号问题</abilityName>
      <candidateList/>
      <explain>同一形式括号套用。</explain>
      <paraID> A8E9FCD</paraID>
      <start>95</start>
      <end>96</end>
      <status>unmodified</status>
      <modifiedWord/>
      <trackRevisions>false</trackRevisions>
    </reviewItem>
    <reviewItem>
      <errorID>9e00f2a9-1196-49e3-8c0f-2096069f6b9d</errorID>
      <errorWord>）</errorWord>
      <group>L1_Punc</group>
      <groupName>标点问题</groupName>
      <ability>L2_Punc_CN</ability>
      <abilityName>标点符号问题</abilityName>
      <candidateList/>
      <explain>同一形式括号套用。</explain>
      <paraID> A8E9FCD</paraID>
      <start>97</start>
      <end>98</end>
      <status>unmodified</status>
      <modifiedWord/>
      <trackRevisions>false</trackRevisions>
    </reviewItem>
    <reviewItem>
      <errorID>0a1c5e57-6f3e-415f-b6d2-7070f1f97045</errorID>
      <errorWord>粉磨</errorWord>
      <group>L1_Word</group>
      <groupName>字词问题</groupName>
      <ability>L2_Typo</ability>
      <abilityName>字词错误</abilityName>
      <candidateList>
        <item>粉末</item>
      </candidateList>
      <explain/>
      <paraID>6D153323</paraID>
      <start>23</start>
      <end>25</end>
      <status>unmodified</status>
      <modifiedWord/>
      <trackRevisions>false</trackRevisions>
    </reviewItem>
    <reviewItem>
      <errorID>1bfb7173-b866-4fe8-8e30-24b60f2216d3</errorID>
      <errorWord>文化部</errorWord>
      <group>L1_Knowledge</group>
      <groupName>知识性问题</groupName>
      <ability>L2_Organization</ability>
      <abilityName>机构检查</abilityName>
      <candidateList>
        <item>文化和旅游部</item>
      </candidateList>
      <explain>2018年3月，中共中央印发了《深化党和国家机构改革方案》，组建文化和旅游部。将文化部、国家旅游局的职责整合，组建文化和旅游部。不再保留文化部。</explain>
      <paraID>1F6C76C0</paraID>
      <start>343</start>
      <end>346</end>
      <status>unmodified</status>
      <modifiedWord/>
      <trackRevisions>false</trackRevisions>
    </reviewItem>
    <reviewItem>
      <errorID>2170fd0e-3391-4862-a54f-264209347402</errorID>
      <errorWord>固体废物填</errorWord>
      <group>L1_Word</group>
      <groupName>字词问题</groupName>
      <ability>L2_Typo</ability>
      <abilityName>字词错误</abilityName>
      <candidateList>
        <item>固体废物</item>
      </candidateList>
      <explain/>
      <paraID>3D57D592</paraID>
      <start>6</start>
      <end>11</end>
      <status>unmodified</status>
      <modifiedWord/>
      <trackRevisions>false</trackRevisions>
    </reviewItem>
    <reviewItem>
      <errorID>c4df7312-e16b-4229-bc8b-108639251354</errorID>
      <errorWord>》（试行）</errorWord>
      <group>L1_Word</group>
      <groupName>字词问题</groupName>
      <ability>L2_Typo</ability>
      <abilityName>字词错误</abilityName>
      <candidateList>
        <item>（试行）》</item>
      </candidateList>
      <explain/>
      <paraID>73C93253</paraID>
      <start>27</start>
      <end>32</end>
      <status>unmodified</status>
      <modifiedWord/>
      <trackRevisions>false</trackRevisions>
    </reviewItem>
    <reviewItem>
      <errorID>d9acfab5-ab04-47c6-8c3a-e5de67c67337</errorID>
      <errorWord>》（试行）</errorWord>
      <group>L1_Word</group>
      <groupName>字词问题</groupName>
      <ability>L2_Typo</ability>
      <abilityName>字词错误</abilityName>
      <candidateList>
        <item>（试行）》</item>
      </candidateList>
      <explain/>
      <paraID>2F4A87C2</paraID>
      <start>26</start>
      <end>31</end>
      <status>unmodified</status>
      <modifiedWord/>
      <trackRevisions>false</trackRevisions>
    </reviewItem>
    <reviewItem>
      <errorID>e2e2720a-c28a-49cc-af02-307e9d4cd5e1</errorID>
      <errorWord>:</errorWord>
      <group>L1_Format</group>
      <groupName>格式问题</groupName>
      <ability>L2_HalfPunc_CN</ability>
      <abilityName>全半角问题</abilityName>
      <candidateList>
        <item>：</item>
      </candidateList>
      <explain>文本全半角错误。</explain>
      <paraID>6C2B81BB</paraID>
      <start>2</start>
      <end>3</end>
      <status>unmodified</status>
      <modifiedWord/>
      <trackRevisions>false</trackRevisions>
    </reviewItem>
    <reviewItem>
      <errorID>8ab7e435-b948-445e-b1d7-3124b22617cb</errorID>
      <errorWord>:</errorWord>
      <group>L1_Format</group>
      <groupName>格式问题</groupName>
      <ability>L2_HalfPunc_CN</ability>
      <abilityName>全半角问题</abilityName>
      <candidateList>
        <item>：</item>
      </candidateList>
      <explain>文本全半角错误。</explain>
      <paraID>7712441E</paraID>
      <start>2</start>
      <end>3</end>
      <status>unmodified</status>
      <modifiedWord/>
      <trackRevisions>false</trackRevisions>
    </reviewItem>
    <reviewItem>
      <errorID>654d991f-49bf-4e30-9be1-904c1a5499ac</errorID>
      <errorWord>:</errorWord>
      <group>L1_Format</group>
      <groupName>格式问题</groupName>
      <ability>L2_HalfPunc_CN</ability>
      <abilityName>全半角问题</abilityName>
      <candidateList>
        <item>：</item>
      </candidateList>
      <explain>文本全半角错误。</explain>
      <paraID>609D52F9</paraID>
      <start>2</start>
      <end>3</end>
      <status>unmodified</status>
      <modifiedWord/>
      <trackRevisions>false</trackRevisions>
    </reviewItem>
    <reviewItem>
      <errorID>93dbe726-a1cc-4577-a625-068fb579f782</errorID>
      <errorWord>:</errorWord>
      <group>L1_Format</group>
      <groupName>格式问题</groupName>
      <ability>L2_HalfPunc_CN</ability>
      <abilityName>全半角问题</abilityName>
      <candidateList>
        <item>：</item>
      </candidateList>
      <explain>文本全半角错误。</explain>
      <paraID> D363287</paraID>
      <start>2</start>
      <end>3</end>
      <status>unmodified</status>
      <modifiedWord/>
      <trackRevisions>false</trackRevisions>
    </reviewItem>
    <reviewItem>
      <errorID>9bd4e7d4-043a-4d36-afae-7a544437f0d3</errorID>
      <errorWord>》（试行）</errorWord>
      <group>L1_Word</group>
      <groupName>字词问题</groupName>
      <ability>L2_Typo</ability>
      <abilityName>字词错误</abilityName>
      <candidateList>
        <item>（试行）》</item>
      </candidateList>
      <explain/>
      <paraID> F033A2B</paraID>
      <start>27</start>
      <end>32</end>
      <status>unmodified</status>
      <modifiedWord/>
      <trackRevisions>false</trackRevisions>
    </reviewItem>
    <reviewItem>
      <errorID>12354b36-033f-4603-a608-49950d32b013</errorID>
      <errorWord>》（试行）</errorWord>
      <group>L1_Word</group>
      <groupName>字词问题</groupName>
      <ability>L2_Typo</ability>
      <abilityName>字词错误</abilityName>
      <candidateList>
        <item>（试行）》</item>
      </candidateList>
      <explain/>
      <paraID>144A7933</paraID>
      <start>27</start>
      <end>32</end>
      <status>unmodified</status>
      <modifiedWord/>
      <trackRevisions>false</trackRevisions>
    </reviewItem>
    <reviewItem>
      <errorID>98a96a9e-b081-445c-a64d-23b46678deca</errorID>
      <errorWord>》（试行）</errorWord>
      <group>L1_Word</group>
      <groupName>字词问题</groupName>
      <ability>L2_Typo</ability>
      <abilityName>字词错误</abilityName>
      <candidateList>
        <item>（试行）》</item>
      </candidateList>
      <explain/>
      <paraID> 4DAD57F</paraID>
      <start>27</start>
      <end>32</end>
      <status>unmodified</status>
      <modifiedWord/>
      <trackRevisions>false</trackRevisions>
    </reviewItem>
    <reviewItem>
      <errorID>61598a55-323a-4bad-8062-6a1b80b2ac4b</errorID>
      <errorWord>》（试行）</errorWord>
      <group>L1_Word</group>
      <groupName>字词问题</groupName>
      <ability>L2_Typo</ability>
      <abilityName>字词错误</abilityName>
      <candidateList>
        <item>（试行）》</item>
      </candidateList>
      <explain/>
      <paraID>60FD3BFC</paraID>
      <start>27</start>
      <end>32</end>
      <status>unmodified</status>
      <modifiedWord/>
      <trackRevisions>false</trackRevisions>
    </reviewItem>
    <reviewItem>
      <errorID>d085766e-6e72-4435-b828-a500df9ee887</errorID>
      <errorWord>（</errorWord>
      <group>L1_Format</group>
      <groupName>格式问题</groupName>
      <ability>L2_HalfPunc_CN</ability>
      <abilityName>全半角问题</abilityName>
      <candidateList>
        <item>(</item>
      </candidateList>
      <explain>文本全半角错误。</explain>
      <paraID>1F81DDF0</paraID>
      <start>5</start>
      <end>6</end>
      <status>unmodified</status>
      <modifiedWord/>
      <trackRevisions>false</trackRevisions>
    </reviewItem>
    <reviewItem>
      <errorID>f3149a6b-c4cb-4e96-b90a-549fd55fddcd</errorID>
      <errorWord>）</errorWord>
      <group>L1_Format</group>
      <groupName>格式问题</groupName>
      <ability>L2_HalfPunc_CN</ability>
      <abilityName>全半角问题</abilityName>
      <candidateList>
        <item>)</item>
      </candidateList>
      <explain>文本全半角错误。</explain>
      <paraID>1F81DDF0</paraID>
      <start>7</start>
      <end>8</end>
      <status>unmodified</status>
      <modifiedWord/>
      <trackRevisions>false</trackRevisions>
    </reviewItem>
    <reviewItem>
      <errorID>5b3b6aac-0d59-4a22-94cc-12fec664508d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7DB0D134</paraID>
      <start>388</start>
      <end>389</end>
      <status>unmodified</status>
      <modifiedWord/>
      <trackRevisions>false</trackRevisions>
    </reviewItem>
    <reviewItem>
      <errorID>96f9392b-ef7e-4e28-bd8a-3327d254c690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7DB0D134</paraID>
      <start>427</start>
      <end>428</end>
      <status>unmodified</status>
      <modifiedWord/>
      <trackRevisions>false</trackRevisions>
    </reviewItem>
    <reviewItem>
      <errorID>11c44e6e-3020-4827-8535-af37bac7a05f</errorID>
      <errorWord>，</errorWord>
      <group>L1_Format</group>
      <groupName>格式问题</groupName>
      <ability>L2_HalfPunc_CN</ability>
      <abilityName>全半角问题</abilityName>
      <candidateList>
        <item>, </item>
      </candidateList>
      <explain>文本全半角错误。</explain>
      <paraID>492BFF87</paraID>
      <start>1</start>
      <end>2</end>
      <status>unmodified</status>
      <modifiedWord/>
      <trackRevisions>false</trackRevisions>
    </reviewItem>
    <reviewItem>
      <errorID>1716d86f-2159-43d5-822f-a78fb3a8544a</errorID>
      <errorWord>容</errorWord>
      <group>L1_Word</group>
      <groupName>字词问题</groupName>
      <ability>L2_Typo</ability>
      <abilityName>字词错误</abilityName>
      <candidateList>
        <item>容的</item>
      </candidateList>
      <explain/>
      <paraID>3EBFEA9C</paraID>
      <start>97</start>
      <end>98</end>
      <status>unmodified</status>
      <modifiedWord/>
      <trackRevisions>false</trackRevisions>
    </reviewItem>
    <reviewItem>
      <errorID>7cc58039-d233-44fa-bf7c-5088d2ff72e8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5C5DE054</paraID>
      <start>31</start>
      <end>32</end>
      <status>unmodified</status>
      <modifiedWord/>
      <trackRevisions>false</trackRevisions>
    </reviewItem>
    <reviewItem>
      <errorID>c6b5e6e4-a25c-4fb0-b633-e2b4913f096d</errorID>
      <errorWord>，…，</errorWord>
      <group>L1_Punc</group>
      <groupName>标点问题</groupName>
      <ability>L2_Punc_CN</ability>
      <abilityName>标点符号问题</abilityName>
      <candidateList>
        <item>，</item>
      </candidateList>
      <explain/>
      <paraID>796BE20E</paraID>
      <start>8</start>
      <end>11</end>
      <status>unmodified</status>
      <modifiedWord/>
      <trackRevisions>false</trackRevisions>
    </reviewItem>
    <reviewItem>
      <errorID>49f7c6d2-c08d-4230-a98f-8a090c76021b</errorID>
      <errorWord>，…，</errorWord>
      <group>L1_Punc</group>
      <groupName>标点问题</groupName>
      <ability>L2_Punc_CN</ability>
      <abilityName>标点符号问题</abilityName>
      <candidateList>
        <item>，</item>
      </candidateList>
      <explain/>
      <paraID>1E567566</paraID>
      <start>5</start>
      <end>8</end>
      <status>unmodified</status>
      <modifiedWord/>
      <trackRevisions>false</trackRevisions>
    </reviewItem>
    <reviewItem>
      <errorID>819c1f86-0651-4d4b-9148-346df18fa62a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1B045E3C</paraID>
      <start>116</start>
      <end>117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25f272-2402-4e4f-9521-688872fbabfd}">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111</Pages>
  <Words>11329</Words>
  <Characters>11718</Characters>
  <Lines>13</Lines>
  <Paragraphs>3</Paragraphs>
  <TotalTime>47</TotalTime>
  <ScaleCrop>false</ScaleCrop>
  <LinksUpToDate>false</LinksUpToDate>
  <CharactersWithSpaces>11793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Administrator</cp:lastModifiedBy>
  <cp:lastPrinted>2023-11-29T09:07:00Z</cp:lastPrinted>
  <dcterms:modified xsi:type="dcterms:W3CDTF">2026-07-30T09:32:35Z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406FF1984A544363A6D75EB341FBFD0A_13</vt:lpwstr>
  </property>
  <property fmtid="{D5CDD505-2E9C-101B-9397-08002B2CF9AE}" pid="4" name="KSOTemplateDocerSaveRecord">
    <vt:lpwstr>eyJoZGlkIjoiYzA3NThkYWEwMzNiNTczMmUxZmQzOWEyMjI4NWJlMzMiLCJ1c2VySWQiOiIzNzMyMDUyODEifQ==</vt:lpwstr>
  </property>
</Properties>
</file>