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E45E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附件</w:t>
      </w:r>
    </w:p>
    <w:p w14:paraId="29B3B615">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方正小标宋_GBK" w:cs="Times New Roman"/>
          <w:color w:val="auto"/>
          <w:spacing w:val="0"/>
          <w:sz w:val="44"/>
          <w:szCs w:val="44"/>
          <w:lang w:eastAsia="zh-CN"/>
        </w:rPr>
      </w:pPr>
      <w:r>
        <w:rPr>
          <w:rFonts w:hint="eastAsia" w:ascii="Times New Roman" w:hAnsi="Times New Roman" w:eastAsia="方正小标宋_GBK" w:cs="Times New Roman"/>
          <w:color w:val="auto"/>
          <w:spacing w:val="0"/>
          <w:sz w:val="44"/>
          <w:szCs w:val="44"/>
          <w:lang w:val="en-US" w:eastAsia="zh-CN"/>
        </w:rPr>
        <w:t>验收销号公示表</w:t>
      </w:r>
    </w:p>
    <w:tbl>
      <w:tblPr>
        <w:tblStyle w:val="6"/>
        <w:tblW w:w="15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145"/>
        <w:gridCol w:w="1177"/>
        <w:gridCol w:w="3698"/>
        <w:gridCol w:w="1041"/>
        <w:gridCol w:w="4280"/>
        <w:gridCol w:w="1174"/>
        <w:gridCol w:w="1457"/>
      </w:tblGrid>
      <w:tr w14:paraId="52DB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92" w:type="dxa"/>
            <w:noWrap w:val="0"/>
            <w:vAlign w:val="center"/>
          </w:tcPr>
          <w:p w14:paraId="4E49E530">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lang w:eastAsia="zh-CN"/>
              </w:rPr>
            </w:pPr>
            <w:r>
              <w:rPr>
                <w:rFonts w:hint="default" w:ascii="Times New Roman" w:hAnsi="Times New Roman" w:eastAsia="方正楷体_GBK" w:cs="Times New Roman"/>
                <w:bCs/>
                <w:color w:val="auto"/>
                <w:spacing w:val="0"/>
                <w:sz w:val="21"/>
                <w:szCs w:val="21"/>
                <w:lang w:eastAsia="zh-CN"/>
              </w:rPr>
              <w:t>问题编号</w:t>
            </w:r>
          </w:p>
        </w:tc>
        <w:tc>
          <w:tcPr>
            <w:tcW w:w="2145" w:type="dxa"/>
            <w:noWrap w:val="0"/>
            <w:vAlign w:val="center"/>
          </w:tcPr>
          <w:p w14:paraId="69376424">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rPr>
            </w:pPr>
            <w:r>
              <w:rPr>
                <w:rFonts w:hint="default" w:ascii="Times New Roman" w:hAnsi="Times New Roman" w:eastAsia="方正楷体_GBK" w:cs="Times New Roman"/>
                <w:bCs/>
                <w:color w:val="auto"/>
                <w:spacing w:val="0"/>
                <w:sz w:val="21"/>
                <w:szCs w:val="21"/>
                <w:lang w:eastAsia="zh-CN"/>
              </w:rPr>
              <w:t>问题</w:t>
            </w:r>
            <w:r>
              <w:rPr>
                <w:rFonts w:hint="default" w:ascii="Times New Roman" w:hAnsi="Times New Roman" w:eastAsia="方正楷体_GBK" w:cs="Times New Roman"/>
                <w:bCs/>
                <w:color w:val="auto"/>
                <w:spacing w:val="0"/>
                <w:sz w:val="21"/>
                <w:szCs w:val="21"/>
              </w:rPr>
              <w:t>名称</w:t>
            </w:r>
          </w:p>
          <w:p w14:paraId="52DF529E">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eastAsia" w:ascii="Times New Roman" w:hAnsi="Times New Roman" w:eastAsia="方正楷体_GBK" w:cs="Times New Roman"/>
                <w:bCs/>
                <w:color w:val="auto"/>
                <w:spacing w:val="0"/>
                <w:sz w:val="21"/>
                <w:szCs w:val="21"/>
                <w:lang w:val="en-US" w:eastAsia="zh-CN"/>
              </w:rPr>
            </w:pPr>
            <w:r>
              <w:rPr>
                <w:rFonts w:hint="eastAsia" w:ascii="Times New Roman" w:hAnsi="Times New Roman" w:eastAsia="方正楷体_GBK" w:cs="Times New Roman"/>
                <w:bCs/>
                <w:color w:val="auto"/>
                <w:spacing w:val="0"/>
                <w:sz w:val="21"/>
                <w:szCs w:val="21"/>
                <w:lang w:val="en-US" w:eastAsia="zh-CN"/>
              </w:rPr>
              <w:t>及表述</w:t>
            </w:r>
          </w:p>
        </w:tc>
        <w:tc>
          <w:tcPr>
            <w:tcW w:w="1177" w:type="dxa"/>
            <w:noWrap w:val="0"/>
            <w:vAlign w:val="center"/>
          </w:tcPr>
          <w:p w14:paraId="6EA2AD1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lang w:val="en-US" w:eastAsia="zh-CN"/>
              </w:rPr>
            </w:pPr>
            <w:r>
              <w:rPr>
                <w:rFonts w:hint="eastAsia" w:ascii="Times New Roman" w:hAnsi="Times New Roman" w:eastAsia="方正楷体_GBK" w:cs="Times New Roman"/>
                <w:bCs/>
                <w:color w:val="auto"/>
                <w:spacing w:val="0"/>
                <w:sz w:val="21"/>
                <w:szCs w:val="21"/>
                <w:lang w:val="en-US" w:eastAsia="zh-CN"/>
              </w:rPr>
              <w:t>整改目标</w:t>
            </w:r>
          </w:p>
        </w:tc>
        <w:tc>
          <w:tcPr>
            <w:tcW w:w="3698" w:type="dxa"/>
            <w:noWrap w:val="0"/>
            <w:vAlign w:val="center"/>
          </w:tcPr>
          <w:p w14:paraId="56BE64D5">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rPr>
            </w:pPr>
            <w:r>
              <w:rPr>
                <w:rFonts w:hint="default" w:ascii="Times New Roman" w:hAnsi="Times New Roman" w:eastAsia="方正楷体_GBK" w:cs="Times New Roman"/>
                <w:bCs/>
                <w:color w:val="auto"/>
                <w:spacing w:val="0"/>
                <w:sz w:val="21"/>
                <w:szCs w:val="21"/>
              </w:rPr>
              <w:t>整改措施</w:t>
            </w:r>
          </w:p>
        </w:tc>
        <w:tc>
          <w:tcPr>
            <w:tcW w:w="1041" w:type="dxa"/>
            <w:noWrap w:val="0"/>
            <w:vAlign w:val="center"/>
          </w:tcPr>
          <w:p w14:paraId="10FE5373">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rPr>
            </w:pPr>
            <w:r>
              <w:rPr>
                <w:rFonts w:hint="eastAsia" w:eastAsia="方正楷体_GBK" w:cs="Times New Roman"/>
                <w:bCs/>
                <w:color w:val="auto"/>
                <w:spacing w:val="0"/>
                <w:sz w:val="21"/>
                <w:szCs w:val="21"/>
                <w:lang w:eastAsia="zh-CN"/>
              </w:rPr>
              <w:t>整改</w:t>
            </w:r>
            <w:r>
              <w:rPr>
                <w:rFonts w:hint="default" w:ascii="Times New Roman" w:hAnsi="Times New Roman" w:eastAsia="方正楷体_GBK" w:cs="Times New Roman"/>
                <w:bCs/>
                <w:color w:val="auto"/>
                <w:spacing w:val="0"/>
                <w:sz w:val="21"/>
                <w:szCs w:val="21"/>
              </w:rPr>
              <w:t>时限</w:t>
            </w:r>
          </w:p>
        </w:tc>
        <w:tc>
          <w:tcPr>
            <w:tcW w:w="4280" w:type="dxa"/>
            <w:noWrap w:val="0"/>
            <w:vAlign w:val="center"/>
          </w:tcPr>
          <w:p w14:paraId="056427A8">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rPr>
            </w:pPr>
            <w:r>
              <w:rPr>
                <w:rFonts w:hint="default" w:ascii="Times New Roman" w:hAnsi="Times New Roman" w:eastAsia="方正楷体_GBK" w:cs="Times New Roman"/>
                <w:bCs/>
                <w:color w:val="auto"/>
                <w:spacing w:val="0"/>
                <w:sz w:val="21"/>
                <w:szCs w:val="21"/>
              </w:rPr>
              <w:t>进展情况</w:t>
            </w:r>
          </w:p>
        </w:tc>
        <w:tc>
          <w:tcPr>
            <w:tcW w:w="2631" w:type="dxa"/>
            <w:gridSpan w:val="2"/>
            <w:noWrap w:val="0"/>
            <w:vAlign w:val="center"/>
          </w:tcPr>
          <w:p w14:paraId="395AA93F">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楷体_GBK" w:cs="Times New Roman"/>
                <w:bCs/>
                <w:color w:val="auto"/>
                <w:spacing w:val="0"/>
                <w:sz w:val="21"/>
                <w:szCs w:val="21"/>
                <w:lang w:val="en-US" w:eastAsia="zh-CN"/>
              </w:rPr>
            </w:pPr>
            <w:r>
              <w:rPr>
                <w:rFonts w:hint="default" w:ascii="Times New Roman" w:hAnsi="Times New Roman" w:eastAsia="方正楷体_GBK" w:cs="Times New Roman"/>
                <w:bCs/>
                <w:color w:val="auto"/>
                <w:spacing w:val="0"/>
                <w:sz w:val="21"/>
                <w:szCs w:val="21"/>
                <w:lang w:eastAsia="zh-CN"/>
              </w:rPr>
              <w:t>完成</w:t>
            </w:r>
            <w:r>
              <w:rPr>
                <w:rFonts w:hint="eastAsia" w:ascii="Times New Roman" w:hAnsi="Times New Roman" w:eastAsia="方正楷体_GBK" w:cs="Times New Roman"/>
                <w:bCs/>
                <w:color w:val="auto"/>
                <w:spacing w:val="0"/>
                <w:sz w:val="21"/>
                <w:szCs w:val="21"/>
                <w:lang w:val="en-US" w:eastAsia="zh-CN"/>
              </w:rPr>
              <w:t>情况</w:t>
            </w:r>
          </w:p>
        </w:tc>
      </w:tr>
      <w:tr w14:paraId="6252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792" w:type="dxa"/>
            <w:vMerge w:val="restart"/>
            <w:noWrap w:val="0"/>
            <w:vAlign w:val="center"/>
          </w:tcPr>
          <w:p w14:paraId="2CF4FD69">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color w:val="auto"/>
                <w:spacing w:val="0"/>
                <w:sz w:val="18"/>
                <w:szCs w:val="18"/>
                <w:lang w:val="en-US"/>
              </w:rPr>
            </w:pPr>
            <w:r>
              <w:rPr>
                <w:rFonts w:hint="eastAsia" w:ascii="Times New Roman" w:hAnsi="Times New Roman" w:eastAsia="方正仿宋_GBK" w:cs="Times New Roman"/>
                <w:color w:val="auto"/>
                <w:spacing w:val="0"/>
                <w:sz w:val="18"/>
                <w:szCs w:val="18"/>
                <w:lang w:val="en-US" w:eastAsia="zh-CN"/>
              </w:rPr>
              <w:t>50-8</w:t>
            </w:r>
          </w:p>
        </w:tc>
        <w:tc>
          <w:tcPr>
            <w:tcW w:w="2145" w:type="dxa"/>
            <w:vMerge w:val="restart"/>
            <w:noWrap w:val="0"/>
            <w:vAlign w:val="center"/>
          </w:tcPr>
          <w:p w14:paraId="3F8A45D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仿宋_GBK" w:cs="Times New Roman"/>
                <w:bCs/>
                <w:color w:val="auto"/>
                <w:spacing w:val="0"/>
                <w:sz w:val="18"/>
                <w:szCs w:val="18"/>
                <w:lang w:eastAsia="zh-CN"/>
              </w:rPr>
            </w:pPr>
            <w:r>
              <w:rPr>
                <w:rFonts w:hint="eastAsia" w:ascii="方正楷体_GBK" w:hAnsi="方正楷体_GBK" w:eastAsia="方正楷体_GBK" w:cs="方正楷体_GBK"/>
                <w:color w:val="auto"/>
                <w:kern w:val="2"/>
                <w:sz w:val="18"/>
                <w:szCs w:val="18"/>
                <w:lang w:val="en-US" w:eastAsia="zh-CN" w:bidi="ar-SA"/>
              </w:rPr>
              <w:t>全省城镇污水收集率目标值设置严重偏低，资金投入不足，整体进展滞后。</w:t>
            </w:r>
            <w:r>
              <w:rPr>
                <w:rFonts w:hint="default" w:ascii="Times New Roman" w:hAnsi="Times New Roman" w:eastAsia="方正仿宋_GBK" w:cs="Times New Roman"/>
                <w:b/>
                <w:bCs/>
                <w:color w:val="auto"/>
                <w:sz w:val="18"/>
                <w:szCs w:val="18"/>
                <w:highlight w:val="none"/>
                <w:u w:val="none"/>
                <w:lang w:val="en-US" w:eastAsia="zh-CN"/>
              </w:rPr>
              <w:t>督察报告指出：</w:t>
            </w:r>
            <w:r>
              <w:rPr>
                <w:rFonts w:hint="default" w:ascii="Times New Roman" w:hAnsi="Times New Roman" w:eastAsia="方正仿宋_GBK" w:cs="Times New Roman"/>
                <w:b w:val="0"/>
                <w:bCs w:val="0"/>
                <w:color w:val="auto"/>
                <w:sz w:val="18"/>
                <w:szCs w:val="18"/>
                <w:highlight w:val="none"/>
                <w:u w:val="none"/>
                <w:lang w:val="en-US" w:eastAsia="zh-CN"/>
              </w:rPr>
              <w:t>《云南省城镇污水处理提质增效三年行动实施方案</w:t>
            </w:r>
            <w:r>
              <w:rPr>
                <w:rFonts w:hint="eastAsia" w:ascii="Times New Roman" w:hAnsi="Times New Roman" w:eastAsia="方正仿宋_GBK" w:cs="Times New Roman"/>
                <w:b w:val="0"/>
                <w:bCs w:val="0"/>
                <w:color w:val="auto"/>
                <w:sz w:val="18"/>
                <w:szCs w:val="18"/>
                <w:highlight w:val="none"/>
                <w:u w:val="none"/>
                <w:lang w:val="en-US" w:eastAsia="zh-CN"/>
              </w:rPr>
              <w:t>（</w:t>
            </w:r>
            <w:r>
              <w:rPr>
                <w:rFonts w:hint="default" w:ascii="Times New Roman" w:hAnsi="Times New Roman" w:eastAsia="方正仿宋_GBK" w:cs="Times New Roman"/>
                <w:b w:val="0"/>
                <w:bCs w:val="0"/>
                <w:color w:val="auto"/>
                <w:sz w:val="18"/>
                <w:szCs w:val="18"/>
                <w:highlight w:val="none"/>
                <w:u w:val="none"/>
                <w:lang w:val="en-US" w:eastAsia="zh-CN"/>
              </w:rPr>
              <w:t>2019—2021年）》对城镇污水收集率目标值设置严重偏低，24个县级以上城市中有17个目标值低于50%</w:t>
            </w:r>
            <w:r>
              <w:rPr>
                <w:rFonts w:hint="default" w:ascii="Times New Roman" w:hAnsi="Times New Roman" w:eastAsia="方正仿宋_GBK" w:cs="Times New Roman"/>
                <w:b w:val="0"/>
                <w:bCs w:val="0"/>
                <w:color w:val="auto"/>
                <w:sz w:val="18"/>
                <w:szCs w:val="18"/>
                <w:highlight w:val="none"/>
                <w:u w:val="none"/>
                <w:lang w:eastAsia="zh-CN"/>
              </w:rPr>
              <w:t>，最低的怒江州泸水市仅为19.8%</w:t>
            </w:r>
            <w:r>
              <w:rPr>
                <w:rFonts w:hint="default" w:ascii="Times New Roman" w:hAnsi="Times New Roman" w:eastAsia="方正仿宋_GBK" w:cs="Times New Roman"/>
                <w:b w:val="0"/>
                <w:bCs w:val="0"/>
                <w:color w:val="auto"/>
                <w:sz w:val="18"/>
                <w:szCs w:val="18"/>
                <w:highlight w:val="none"/>
                <w:u w:val="none"/>
                <w:lang w:val="en-US" w:eastAsia="zh-CN"/>
              </w:rPr>
              <w:t>。2019年以来，全省污水收集处理提质增效工作投入资金仅8.93亿元，占计划总投资的25.3%，导致全省城镇污水提质增效整体进展滞后。《方案》要求到2020年年底消除70%的生活污水</w:t>
            </w:r>
            <w:r>
              <w:rPr>
                <w:rFonts w:hint="default" w:ascii="Times New Roman" w:hAnsi="Times New Roman" w:eastAsia="方正仿宋_GBK" w:cs="Times New Roman"/>
                <w:b w:val="0"/>
                <w:bCs w:val="0"/>
                <w:color w:val="auto"/>
                <w:sz w:val="18"/>
                <w:szCs w:val="18"/>
                <w:highlight w:val="none"/>
                <w:u w:val="none"/>
                <w:lang w:eastAsia="zh-CN"/>
              </w:rPr>
              <w:t>集中</w:t>
            </w:r>
            <w:r>
              <w:rPr>
                <w:rFonts w:hint="default" w:ascii="Times New Roman" w:hAnsi="Times New Roman" w:eastAsia="方正仿宋_GBK" w:cs="Times New Roman"/>
                <w:b w:val="0"/>
                <w:bCs w:val="0"/>
                <w:color w:val="auto"/>
                <w:sz w:val="18"/>
                <w:szCs w:val="18"/>
                <w:highlight w:val="none"/>
                <w:u w:val="none"/>
                <w:lang w:val="en-US" w:eastAsia="zh-CN"/>
              </w:rPr>
              <w:t>收集处理设施空白区，实际仅完成37%。</w:t>
            </w:r>
          </w:p>
        </w:tc>
        <w:tc>
          <w:tcPr>
            <w:tcW w:w="1177" w:type="dxa"/>
            <w:vMerge w:val="restart"/>
            <w:noWrap w:val="0"/>
            <w:vAlign w:val="center"/>
          </w:tcPr>
          <w:p w14:paraId="61C35DBB">
            <w:pPr>
              <w:keepNext w:val="0"/>
              <w:keepLines w:val="0"/>
              <w:pageBreakBefore w:val="0"/>
              <w:widowControl w:val="0"/>
              <w:kinsoku/>
              <w:wordWrap/>
              <w:overflowPunct/>
              <w:topLinePunct w:val="0"/>
              <w:autoSpaceDE/>
              <w:autoSpaceDN/>
              <w:bidi w:val="0"/>
              <w:adjustRightInd/>
              <w:snapToGrid/>
              <w:spacing w:after="0" w:line="200" w:lineRule="exact"/>
              <w:jc w:val="center"/>
              <w:textAlignment w:val="auto"/>
              <w:rPr>
                <w:rFonts w:hint="default" w:ascii="Times New Roman" w:hAnsi="Times New Roman" w:eastAsia="方正仿宋_GBK" w:cs="Times New Roman"/>
                <w:bCs/>
                <w:color w:val="auto"/>
                <w:spacing w:val="0"/>
                <w:sz w:val="18"/>
                <w:szCs w:val="18"/>
              </w:rPr>
            </w:pPr>
            <w:r>
              <w:rPr>
                <w:rFonts w:hint="default" w:ascii="Times New Roman" w:hAnsi="Times New Roman" w:eastAsia="方正仿宋_GBK" w:cs="Times New Roman"/>
                <w:b w:val="0"/>
                <w:bCs w:val="0"/>
                <w:color w:val="auto"/>
                <w:sz w:val="18"/>
                <w:szCs w:val="18"/>
                <w:highlight w:val="none"/>
                <w:u w:val="none"/>
                <w:lang w:val="en-US" w:eastAsia="zh-CN"/>
              </w:rPr>
              <w:t>按照《“十四五”城镇污水处理及资源化利用</w:t>
            </w:r>
            <w:r>
              <w:rPr>
                <w:rFonts w:hint="eastAsia" w:ascii="Times New Roman" w:hAnsi="Times New Roman" w:eastAsia="方正仿宋_GBK" w:cs="Times New Roman"/>
                <w:b w:val="0"/>
                <w:bCs w:val="0"/>
                <w:color w:val="auto"/>
                <w:sz w:val="18"/>
                <w:szCs w:val="18"/>
                <w:highlight w:val="none"/>
                <w:u w:val="none"/>
                <w:lang w:val="en-US" w:eastAsia="zh-CN"/>
              </w:rPr>
              <w:t>发展规划》，科学确定城镇污水收集率目标值。加大资金投入，压实城市政府主体责任，推动县级以上城市生活污水收集率高效提升，到 2025 年年底全市城市生活污水集中收集率达 70％。</w:t>
            </w:r>
          </w:p>
        </w:tc>
        <w:tc>
          <w:tcPr>
            <w:tcW w:w="3698" w:type="dxa"/>
            <w:noWrap w:val="0"/>
            <w:vAlign w:val="center"/>
          </w:tcPr>
          <w:p w14:paraId="0E3D599C">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line="200" w:lineRule="exact"/>
              <w:jc w:val="left"/>
              <w:textAlignment w:val="auto"/>
              <w:rPr>
                <w:rFonts w:hint="default" w:ascii="Times New Roman" w:hAnsi="Times New Roman" w:eastAsia="方正仿宋_GBK" w:cs="Times New Roman"/>
                <w:b w:val="0"/>
                <w:bCs w:val="0"/>
                <w:color w:val="auto"/>
                <w:sz w:val="18"/>
                <w:szCs w:val="18"/>
                <w:highlight w:val="none"/>
                <w:u w:val="none"/>
                <w:lang w:val="en-US" w:eastAsia="zh-CN"/>
              </w:rPr>
            </w:pPr>
            <w:r>
              <w:rPr>
                <w:rFonts w:hint="default" w:ascii="Times New Roman" w:hAnsi="Times New Roman" w:eastAsia="方正仿宋_GBK" w:cs="Times New Roman"/>
                <w:b w:val="0"/>
                <w:bCs w:val="0"/>
                <w:color w:val="auto"/>
                <w:sz w:val="18"/>
                <w:szCs w:val="18"/>
                <w:highlight w:val="none"/>
                <w:u w:val="none"/>
                <w:lang w:val="en-US" w:eastAsia="zh-CN"/>
              </w:rPr>
              <w:t>1.加大资金投入，压实城市政府主体责任，分年度明确目</w:t>
            </w:r>
            <w:r>
              <w:rPr>
                <w:rFonts w:hint="eastAsia" w:ascii="Times New Roman" w:hAnsi="Times New Roman" w:eastAsia="方正仿宋_GBK" w:cs="Times New Roman"/>
                <w:b w:val="0"/>
                <w:bCs w:val="0"/>
                <w:color w:val="auto"/>
                <w:sz w:val="18"/>
                <w:szCs w:val="18"/>
                <w:highlight w:val="none"/>
                <w:u w:val="none"/>
                <w:lang w:val="en-US" w:eastAsia="zh-CN"/>
              </w:rPr>
              <w:t>标任务，加快污水管网改造建设，推进城市生活污水收集管网全覆盖，按照《云南省城镇污水处理提质增效三年行动计划实施方案》任务，消除曲靖市污水收集处理空白区 2.53 平方公里（麒麟区小坡片区 1.41 平方公里、沾益区 0.64 平方公里、宣威市 0.48 平方公里），基本消除曲靖中心城市截污管网空白区、污水直排口和黑臭水体。</w:t>
            </w:r>
          </w:p>
          <w:p w14:paraId="236107E4">
            <w:pPr>
              <w:keepNext w:val="0"/>
              <w:keepLines w:val="0"/>
              <w:pageBreakBefore w:val="0"/>
              <w:widowControl w:val="0"/>
              <w:numPr>
                <w:ilvl w:val="0"/>
                <w:numId w:val="0"/>
              </w:numPr>
              <w:kinsoku/>
              <w:wordWrap/>
              <w:overflowPunct/>
              <w:topLinePunct w:val="0"/>
              <w:autoSpaceDE/>
              <w:autoSpaceDN/>
              <w:bidi w:val="0"/>
              <w:adjustRightInd/>
              <w:snapToGrid/>
              <w:spacing w:after="0" w:line="200" w:lineRule="exact"/>
              <w:jc w:val="left"/>
              <w:textAlignment w:val="auto"/>
              <w:rPr>
                <w:rFonts w:hint="default" w:ascii="Times New Roman" w:hAnsi="Times New Roman" w:eastAsia="方正仿宋_GBK" w:cs="Times New Roman"/>
                <w:bCs/>
                <w:color w:val="auto"/>
                <w:spacing w:val="0"/>
                <w:sz w:val="18"/>
                <w:szCs w:val="18"/>
                <w:lang w:val="en-US" w:eastAsia="zh-CN"/>
              </w:rPr>
            </w:pPr>
          </w:p>
        </w:tc>
        <w:tc>
          <w:tcPr>
            <w:tcW w:w="1041" w:type="dxa"/>
            <w:vMerge w:val="restart"/>
            <w:noWrap w:val="0"/>
            <w:vAlign w:val="center"/>
          </w:tcPr>
          <w:p w14:paraId="0B301BA1">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pP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2025年12月底</w:t>
            </w:r>
          </w:p>
          <w:p w14:paraId="1CA36057">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4280" w:type="dxa"/>
            <w:noWrap w:val="0"/>
            <w:vAlign w:val="center"/>
          </w:tcPr>
          <w:p w14:paraId="75FAD90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left"/>
              <w:textAlignment w:val="auto"/>
              <w:rPr>
                <w:rFonts w:hint="default" w:ascii="Times New Roman" w:hAnsi="Times New Roman" w:eastAsia="方正仿宋_GBK" w:cs="Times New Roman"/>
                <w:bCs/>
                <w:color w:val="auto"/>
                <w:spacing w:val="0"/>
                <w:sz w:val="18"/>
                <w:szCs w:val="18"/>
                <w:lang w:val="en-US" w:eastAsia="zh-CN"/>
              </w:rPr>
            </w:pPr>
            <w:r>
              <w:rPr>
                <w:rFonts w:hint="default" w:ascii="Times New Roman" w:hAnsi="Times New Roman" w:eastAsia="方正仿宋_GBK" w:cs="Times New Roman"/>
                <w:b/>
                <w:bCs/>
                <w:i w:val="0"/>
                <w:strike w:val="0"/>
                <w:dstrike w:val="0"/>
                <w:snapToGrid/>
                <w:color w:val="auto"/>
                <w:spacing w:val="0"/>
                <w:w w:val="100"/>
                <w:kern w:val="0"/>
                <w:position w:val="0"/>
                <w:sz w:val="18"/>
                <w:szCs w:val="18"/>
                <w:u w:val="none"/>
                <w:lang w:val="en-US" w:eastAsia="zh-CN" w:bidi="ar-SA"/>
              </w:rPr>
              <w:t>一是</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科学调整全市城镇污水收集率目标值。确定“到2025年底曲靖市中心城区城市生活污水集中收集率达70%、县级城区达60%”。</w:t>
            </w:r>
            <w:r>
              <w:rPr>
                <w:rFonts w:hint="eastAsia" w:ascii="Times New Roman" w:hAnsi="Times New Roman" w:cs="Times New Roman"/>
                <w:b w:val="0"/>
                <w:i w:val="0"/>
                <w:strike w:val="0"/>
                <w:dstrike w:val="0"/>
                <w:snapToGrid/>
                <w:color w:val="auto"/>
                <w:spacing w:val="0"/>
                <w:w w:val="100"/>
                <w:kern w:val="0"/>
                <w:position w:val="0"/>
                <w:sz w:val="18"/>
                <w:szCs w:val="18"/>
                <w:u w:val="none"/>
                <w:lang w:val="en-US" w:eastAsia="zh-CN" w:bidi="ar-SA"/>
              </w:rPr>
              <w:t>2025年1-6月</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试统计曲靖市城市</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（中心城区）</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生活污水集中收集率为73.1%</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（较2021年提升19.35个百分点），已</w:t>
            </w:r>
            <w:r>
              <w:rPr>
                <w:rFonts w:hint="eastAsia" w:ascii="Times New Roman" w:hAnsi="Times New Roman" w:eastAsia="方正仿宋_GBK" w:cs="Times New Roman"/>
                <w:b w:val="0"/>
                <w:bCs w:val="0"/>
                <w:color w:val="auto"/>
                <w:sz w:val="18"/>
                <w:szCs w:val="18"/>
                <w:highlight w:val="none"/>
                <w:u w:val="none"/>
                <w:lang w:val="en-US" w:eastAsia="zh-CN"/>
              </w:rPr>
              <w:t>消除</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曲靖市中心城区的2.53平方公里污水收集处理管网空白区（麒麟区小坡片区1.41平方公里、沾益区庄家湾片区0.64平方公里、宣威市西河及沿岸0.48平方公里）</w:t>
            </w:r>
            <w:r>
              <w:rPr>
                <w:rFonts w:hint="eastAsia" w:ascii="Times New Roman" w:hAnsi="Times New Roman" w:eastAsia="方正仿宋_GBK" w:cs="Times New Roman"/>
                <w:b w:val="0"/>
                <w:bCs w:val="0"/>
                <w:color w:val="auto"/>
                <w:sz w:val="18"/>
                <w:szCs w:val="18"/>
                <w:highlight w:val="none"/>
                <w:u w:val="none"/>
                <w:lang w:val="en-US" w:eastAsia="zh-CN"/>
              </w:rPr>
              <w:t>，22个污水直排口和13条城市黑臭水体</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w:t>
            </w:r>
          </w:p>
        </w:tc>
        <w:tc>
          <w:tcPr>
            <w:tcW w:w="1174" w:type="dxa"/>
            <w:noWrap w:val="0"/>
            <w:vAlign w:val="center"/>
          </w:tcPr>
          <w:p w14:paraId="5BBE3A94">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default" w:ascii="Times New Roman" w:hAnsi="Times New Roman" w:eastAsia="方正仿宋_GBK" w:cs="Times New Roman"/>
                <w:bCs/>
                <w:color w:val="auto"/>
                <w:spacing w:val="0"/>
                <w:sz w:val="18"/>
                <w:szCs w:val="18"/>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restart"/>
            <w:noWrap w:val="0"/>
            <w:vAlign w:val="center"/>
          </w:tcPr>
          <w:p w14:paraId="482D30F6">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imes New Roman" w:hAnsi="Times New Roman" w:eastAsia="方正仿宋_GBK" w:cs="Times New Roman"/>
                <w:bCs/>
                <w:color w:val="auto"/>
                <w:spacing w:val="0"/>
                <w:sz w:val="18"/>
                <w:szCs w:val="18"/>
                <w:u w:val="none"/>
                <w:lang w:val="en-US"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w:t>
            </w:r>
            <w:r>
              <w:rPr>
                <w:rFonts w:hint="eastAsia" w:ascii="Times New Roman" w:hAnsi="Times New Roman" w:eastAsia="方正仿宋_GBK" w:cs="Times New Roman"/>
                <w:bCs/>
                <w:color w:val="auto"/>
                <w:spacing w:val="0"/>
                <w:sz w:val="18"/>
                <w:szCs w:val="18"/>
                <w:u w:val="none"/>
                <w:lang w:val="en-US" w:eastAsia="zh-CN"/>
              </w:rPr>
              <w:t>验收销号</w:t>
            </w:r>
          </w:p>
          <w:p w14:paraId="570883EB">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方正仿宋_GBK" w:cs="Times New Roman"/>
                <w:bCs/>
                <w:color w:val="auto"/>
                <w:spacing w:val="0"/>
                <w:sz w:val="18"/>
                <w:szCs w:val="18"/>
                <w:u w:val="none"/>
                <w:lang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w:t>
            </w:r>
            <w:r>
              <w:rPr>
                <w:rFonts w:hint="eastAsia" w:ascii="Times New Roman" w:hAnsi="Times New Roman" w:eastAsia="方正仿宋_GBK" w:cs="Times New Roman"/>
                <w:bCs/>
                <w:color w:val="auto"/>
                <w:spacing w:val="0"/>
                <w:sz w:val="18"/>
                <w:szCs w:val="18"/>
                <w:u w:val="none"/>
                <w:lang w:val="en-US" w:eastAsia="zh-CN"/>
              </w:rPr>
              <w:t>申请省级验收</w:t>
            </w:r>
          </w:p>
          <w:p w14:paraId="1D080984">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方正仿宋_GBK" w:cs="Times New Roman"/>
                <w:bCs/>
                <w:color w:val="auto"/>
                <w:spacing w:val="0"/>
                <w:sz w:val="18"/>
                <w:szCs w:val="18"/>
                <w:u w:val="none"/>
                <w:lang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完成</w:t>
            </w:r>
            <w:r>
              <w:rPr>
                <w:rFonts w:hint="eastAsia" w:ascii="Times New Roman" w:hAnsi="Times New Roman" w:eastAsia="方正仿宋_GBK" w:cs="Times New Roman"/>
                <w:bCs/>
                <w:color w:val="auto"/>
                <w:spacing w:val="0"/>
                <w:sz w:val="18"/>
                <w:szCs w:val="18"/>
                <w:u w:val="none"/>
                <w:lang w:val="en-US" w:eastAsia="zh-CN"/>
              </w:rPr>
              <w:t>市级验收</w:t>
            </w:r>
          </w:p>
          <w:p w14:paraId="4A25823B">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eastAsia="方正仿宋_GBK"/>
                <w:color w:val="auto"/>
                <w:sz w:val="18"/>
                <w:szCs w:val="18"/>
                <w:lang w:val="en-US"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完成</w:t>
            </w:r>
            <w:r>
              <w:rPr>
                <w:rFonts w:hint="eastAsia" w:ascii="Times New Roman" w:hAnsi="Times New Roman" w:eastAsia="方正仿宋_GBK" w:cs="Times New Roman"/>
                <w:bCs/>
                <w:color w:val="auto"/>
                <w:spacing w:val="0"/>
                <w:sz w:val="18"/>
                <w:szCs w:val="18"/>
                <w:u w:val="none"/>
                <w:lang w:val="en-US" w:eastAsia="zh-CN"/>
              </w:rPr>
              <w:t>县级验收</w:t>
            </w:r>
          </w:p>
          <w:p w14:paraId="7C6726F4">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18"/>
                <w:szCs w:val="18"/>
                <w:u w:val="none"/>
                <w:lang w:eastAsia="zh-CN"/>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eastAsia" w:ascii="Times New Roman" w:hAnsi="Times New Roman" w:eastAsia="方正仿宋_GBK" w:cs="Times New Roman"/>
                <w:bCs/>
                <w:color w:val="auto"/>
                <w:spacing w:val="0"/>
                <w:sz w:val="18"/>
                <w:szCs w:val="18"/>
                <w:u w:val="none"/>
                <w:lang w:val="en-US" w:eastAsia="zh-CN"/>
              </w:rPr>
              <w:t>整改</w:t>
            </w:r>
            <w:r>
              <w:rPr>
                <w:rFonts w:hint="default" w:ascii="Times New Roman" w:hAnsi="Times New Roman" w:eastAsia="方正仿宋_GBK" w:cs="Times New Roman"/>
                <w:bCs/>
                <w:color w:val="auto"/>
                <w:spacing w:val="0"/>
                <w:sz w:val="18"/>
                <w:szCs w:val="18"/>
                <w:u w:val="none"/>
              </w:rPr>
              <w:br w:type="textWrapping"/>
            </w: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r>
      <w:tr w14:paraId="1026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792" w:type="dxa"/>
            <w:vMerge w:val="continue"/>
            <w:noWrap w:val="0"/>
            <w:vAlign w:val="center"/>
          </w:tcPr>
          <w:p w14:paraId="7897BE8F">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color w:val="auto"/>
                <w:spacing w:val="0"/>
                <w:sz w:val="18"/>
                <w:szCs w:val="18"/>
                <w:lang w:val="en-US" w:eastAsia="zh-CN"/>
              </w:rPr>
            </w:pPr>
          </w:p>
        </w:tc>
        <w:tc>
          <w:tcPr>
            <w:tcW w:w="2145" w:type="dxa"/>
            <w:vMerge w:val="continue"/>
            <w:noWrap w:val="0"/>
            <w:vAlign w:val="center"/>
          </w:tcPr>
          <w:p w14:paraId="6547906F">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1177" w:type="dxa"/>
            <w:vMerge w:val="continue"/>
            <w:noWrap w:val="0"/>
            <w:vAlign w:val="center"/>
          </w:tcPr>
          <w:p w14:paraId="523E0D90">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3698" w:type="dxa"/>
            <w:noWrap w:val="0"/>
            <w:vAlign w:val="center"/>
          </w:tcPr>
          <w:p w14:paraId="7D2A7F1A">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line="200" w:lineRule="exact"/>
              <w:jc w:val="left"/>
              <w:textAlignment w:val="auto"/>
              <w:rPr>
                <w:rFonts w:hint="default" w:ascii="Times New Roman" w:hAnsi="Times New Roman" w:eastAsia="方正仿宋_GBK" w:cs="Times New Roman"/>
                <w:bCs/>
                <w:color w:val="auto"/>
                <w:spacing w:val="0"/>
                <w:sz w:val="18"/>
                <w:szCs w:val="18"/>
                <w:lang w:val="en-US" w:eastAsia="zh-CN"/>
              </w:rPr>
            </w:pPr>
            <w:r>
              <w:rPr>
                <w:rFonts w:hint="eastAsia" w:ascii="Times New Roman" w:hAnsi="Times New Roman" w:eastAsia="方正仿宋_GBK" w:cs="Times New Roman"/>
                <w:b w:val="0"/>
                <w:bCs w:val="0"/>
                <w:color w:val="auto"/>
                <w:sz w:val="18"/>
                <w:szCs w:val="18"/>
                <w:highlight w:val="none"/>
                <w:u w:val="none"/>
                <w:lang w:val="en-US" w:eastAsia="zh-CN"/>
              </w:rPr>
              <w:t>2.按照“实事求是，既量力而行又尽力而为”的原则，拓宽资金筹措渠道，各县把城市内涝治理、污染源治理、水系周边环境治理、老旧小区改造地下管网完善和黑臭水体治理五项工作统筹同步实施，因地制宜积极推进县级城市和县城污水处理提质增效工作。</w:t>
            </w:r>
          </w:p>
        </w:tc>
        <w:tc>
          <w:tcPr>
            <w:tcW w:w="1041" w:type="dxa"/>
            <w:vMerge w:val="continue"/>
            <w:noWrap w:val="0"/>
            <w:vAlign w:val="center"/>
          </w:tcPr>
          <w:p w14:paraId="6FB399A9">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4280" w:type="dxa"/>
            <w:noWrap w:val="0"/>
            <w:vAlign w:val="center"/>
          </w:tcPr>
          <w:p w14:paraId="5A7B0F7D">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default" w:ascii="Times New Roman" w:hAnsi="Times New Roman" w:eastAsia="方正仿宋_GBK" w:cs="Times New Roman"/>
                <w:bCs/>
                <w:color w:val="auto"/>
                <w:spacing w:val="0"/>
                <w:sz w:val="18"/>
                <w:szCs w:val="18"/>
                <w:lang w:val="en-US" w:eastAsia="zh-CN"/>
              </w:rPr>
            </w:pPr>
            <w:r>
              <w:rPr>
                <w:rFonts w:hint="eastAsia" w:ascii="Times New Roman" w:hAnsi="Times New Roman" w:eastAsia="方正仿宋_GBK" w:cs="Times New Roman"/>
                <w:b/>
                <w:bCs/>
                <w:i w:val="0"/>
                <w:strike w:val="0"/>
                <w:dstrike w:val="0"/>
                <w:snapToGrid/>
                <w:color w:val="auto"/>
                <w:spacing w:val="0"/>
                <w:w w:val="100"/>
                <w:kern w:val="0"/>
                <w:position w:val="0"/>
                <w:sz w:val="18"/>
                <w:szCs w:val="18"/>
                <w:u w:val="none"/>
                <w:lang w:val="en-US" w:eastAsia="zh-CN" w:bidi="ar-SA"/>
              </w:rPr>
              <w:t>二是</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通过2023年-2024年全市各县（市、区）地下管网排查整治工作，梳理存在问题困点、难点形成问题清单，并结合“十四五”相关规划及污水处理提质增效工作任务，对老旧小区、城中村、棚户区、市政道路的庭院管道等排水管道进行新建改造。“十四五”期间，曲靖市谋划项目，</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加大资金投入，推进城市排水管网建设改造</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自2021年起累计投入79.355亿元，完成污水提质增效建设等项目99个</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，“十四五”期间曲靖市累计完成新建排水管网445公里、改造老旧小区管网225公里、改造雨污分流管网294公里，已完成</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十四五</w:t>
            </w: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w:t>
            </w: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期间新建污水管网395公里、改造老旧污水管网132公里、改造雨污分流管网231公里任务。</w:t>
            </w:r>
          </w:p>
        </w:tc>
        <w:tc>
          <w:tcPr>
            <w:tcW w:w="1174" w:type="dxa"/>
            <w:noWrap w:val="0"/>
            <w:vAlign w:val="center"/>
          </w:tcPr>
          <w:p w14:paraId="3D15C5EE">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kern w:val="2"/>
                <w:sz w:val="18"/>
                <w:szCs w:val="18"/>
                <w:lang w:val="en-US" w:eastAsia="zh-CN" w:bidi="ar-SA"/>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continue"/>
            <w:noWrap w:val="0"/>
            <w:vAlign w:val="center"/>
          </w:tcPr>
          <w:p w14:paraId="3C449103">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18"/>
                <w:szCs w:val="18"/>
                <w:u w:val="none"/>
                <w:lang w:eastAsia="zh-CN"/>
              </w:rPr>
            </w:pPr>
          </w:p>
        </w:tc>
      </w:tr>
      <w:tr w14:paraId="524B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792" w:type="dxa"/>
            <w:vMerge w:val="continue"/>
            <w:noWrap w:val="0"/>
            <w:vAlign w:val="center"/>
          </w:tcPr>
          <w:p w14:paraId="2870D489">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color w:val="auto"/>
                <w:spacing w:val="0"/>
                <w:sz w:val="18"/>
                <w:szCs w:val="18"/>
                <w:lang w:val="en-US" w:eastAsia="zh-CN"/>
              </w:rPr>
            </w:pPr>
          </w:p>
        </w:tc>
        <w:tc>
          <w:tcPr>
            <w:tcW w:w="2145" w:type="dxa"/>
            <w:vMerge w:val="continue"/>
            <w:noWrap w:val="0"/>
            <w:vAlign w:val="center"/>
          </w:tcPr>
          <w:p w14:paraId="10E334C2">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1177" w:type="dxa"/>
            <w:vMerge w:val="continue"/>
            <w:noWrap w:val="0"/>
            <w:vAlign w:val="center"/>
          </w:tcPr>
          <w:p w14:paraId="5D8656EB">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3698" w:type="dxa"/>
            <w:noWrap w:val="0"/>
            <w:vAlign w:val="center"/>
          </w:tcPr>
          <w:p w14:paraId="09CBE58A">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eastAsia" w:ascii="Times New Roman" w:hAnsi="Times New Roman" w:eastAsia="方正仿宋_GBK" w:cs="Times New Roman"/>
                <w:bCs/>
                <w:color w:val="auto"/>
                <w:spacing w:val="0"/>
                <w:sz w:val="18"/>
                <w:szCs w:val="18"/>
                <w:lang w:eastAsia="zh-CN"/>
              </w:rPr>
            </w:pPr>
            <w:r>
              <w:rPr>
                <w:rFonts w:hint="eastAsia" w:ascii="Times New Roman" w:hAnsi="Times New Roman" w:eastAsia="方正仿宋_GBK" w:cs="Times New Roman"/>
                <w:b w:val="0"/>
                <w:bCs w:val="0"/>
                <w:color w:val="auto"/>
                <w:sz w:val="18"/>
                <w:szCs w:val="18"/>
                <w:highlight w:val="none"/>
                <w:u w:val="none"/>
                <w:lang w:val="en-US" w:eastAsia="zh-CN"/>
              </w:rPr>
              <w:t>3.督促各地建立健全城镇污水提质增效资金投入机制，落实资金配套承诺。建立分析调度、督查通报、约谈预警等工作机制，确保全市城镇污水提质增效工作取得实效。</w:t>
            </w:r>
          </w:p>
        </w:tc>
        <w:tc>
          <w:tcPr>
            <w:tcW w:w="1041" w:type="dxa"/>
            <w:vMerge w:val="continue"/>
            <w:noWrap w:val="0"/>
            <w:vAlign w:val="center"/>
          </w:tcPr>
          <w:p w14:paraId="1D79663C">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4280" w:type="dxa"/>
            <w:noWrap w:val="0"/>
            <w:vAlign w:val="center"/>
          </w:tcPr>
          <w:p w14:paraId="0DE77F2F">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default" w:ascii="Times New Roman" w:hAnsi="Times New Roman" w:eastAsia="方正仿宋_GBK" w:cs="Times New Roman"/>
                <w:bCs/>
                <w:color w:val="auto"/>
                <w:spacing w:val="0"/>
                <w:sz w:val="18"/>
                <w:szCs w:val="18"/>
                <w:lang w:eastAsia="zh-CN"/>
              </w:rPr>
            </w:pP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三是印发《曲靖市住房和城乡建设局关于成立第二轮中央生态环境保护督察问题反馈指导督办领导小组的通知》（曲建字〔2021〕28号），细化工作监督指导职责，建立行业系统调度、督导、通报、预警等工作机制，强化责任落实，加快整改工作进度，定期对整改工作进行调度，党组会议进行研究；根据问题整改进展和城市污水治理提质增效工作，对整改进展滞后和存在问题的进行督促提醒和指导，积极推动问题整改，确保按时按质完成整改。</w:t>
            </w:r>
          </w:p>
        </w:tc>
        <w:tc>
          <w:tcPr>
            <w:tcW w:w="1174" w:type="dxa"/>
            <w:noWrap w:val="0"/>
            <w:vAlign w:val="center"/>
          </w:tcPr>
          <w:p w14:paraId="18BD160C">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kern w:val="2"/>
                <w:sz w:val="18"/>
                <w:szCs w:val="18"/>
                <w:lang w:val="en-US" w:eastAsia="zh-CN" w:bidi="ar-SA"/>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continue"/>
            <w:noWrap w:val="0"/>
            <w:vAlign w:val="center"/>
          </w:tcPr>
          <w:p w14:paraId="17DC3685">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18"/>
                <w:szCs w:val="18"/>
                <w:u w:val="none"/>
                <w:lang w:eastAsia="zh-CN"/>
              </w:rPr>
            </w:pPr>
          </w:p>
        </w:tc>
      </w:tr>
      <w:tr w14:paraId="3A85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792" w:type="dxa"/>
            <w:vMerge w:val="continue"/>
            <w:noWrap w:val="0"/>
            <w:vAlign w:val="center"/>
          </w:tcPr>
          <w:p w14:paraId="65E68DC8">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color w:val="auto"/>
                <w:spacing w:val="0"/>
                <w:sz w:val="18"/>
                <w:szCs w:val="18"/>
                <w:lang w:val="en-US" w:eastAsia="zh-CN"/>
              </w:rPr>
            </w:pPr>
          </w:p>
        </w:tc>
        <w:tc>
          <w:tcPr>
            <w:tcW w:w="2145" w:type="dxa"/>
            <w:vMerge w:val="continue"/>
            <w:noWrap w:val="0"/>
            <w:vAlign w:val="center"/>
          </w:tcPr>
          <w:p w14:paraId="777E8CD3">
            <w:pPr>
              <w:keepNext w:val="0"/>
              <w:keepLines w:val="0"/>
              <w:pageBreakBefore w:val="0"/>
              <w:kinsoku/>
              <w:wordWrap/>
              <w:overflowPunct/>
              <w:topLinePunct w:val="0"/>
              <w:autoSpaceDE/>
              <w:autoSpaceDN/>
              <w:bidi w:val="0"/>
              <w:spacing w:after="0" w:line="200" w:lineRule="exact"/>
              <w:jc w:val="center"/>
              <w:textAlignment w:val="auto"/>
              <w:rPr>
                <w:rFonts w:hint="eastAsia" w:ascii="Times New Roman" w:hAnsi="Times New Roman" w:eastAsia="方正仿宋_GBK" w:cs="Times New Roman"/>
                <w:bCs/>
                <w:color w:val="auto"/>
                <w:spacing w:val="0"/>
                <w:sz w:val="18"/>
                <w:szCs w:val="18"/>
                <w:lang w:eastAsia="zh-CN"/>
              </w:rPr>
            </w:pPr>
          </w:p>
        </w:tc>
        <w:tc>
          <w:tcPr>
            <w:tcW w:w="1177" w:type="dxa"/>
            <w:vMerge w:val="continue"/>
            <w:noWrap w:val="0"/>
            <w:vAlign w:val="center"/>
          </w:tcPr>
          <w:p w14:paraId="2C9F8F61">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3698" w:type="dxa"/>
            <w:noWrap w:val="0"/>
            <w:vAlign w:val="center"/>
          </w:tcPr>
          <w:p w14:paraId="5D127259">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eastAsia" w:ascii="Times New Roman" w:hAnsi="Times New Roman" w:eastAsia="方正仿宋_GBK" w:cs="Times New Roman"/>
                <w:bCs/>
                <w:color w:val="auto"/>
                <w:spacing w:val="0"/>
                <w:sz w:val="18"/>
                <w:szCs w:val="18"/>
                <w:lang w:eastAsia="zh-CN"/>
              </w:rPr>
            </w:pPr>
            <w:r>
              <w:rPr>
                <w:rFonts w:hint="eastAsia" w:ascii="Times New Roman" w:hAnsi="Times New Roman" w:eastAsia="方正仿宋_GBK" w:cs="Times New Roman"/>
                <w:b w:val="0"/>
                <w:bCs w:val="0"/>
                <w:color w:val="auto"/>
                <w:kern w:val="2"/>
                <w:sz w:val="18"/>
                <w:szCs w:val="18"/>
                <w:highlight w:val="none"/>
                <w:u w:val="none"/>
                <w:lang w:val="en-US" w:eastAsia="zh-CN" w:bidi="ar-SA"/>
              </w:rPr>
              <w:t>2.对城市污水处理能力</w:t>
            </w:r>
            <w:bookmarkStart w:id="0" w:name="_GoBack"/>
            <w:bookmarkEnd w:id="0"/>
            <w:r>
              <w:rPr>
                <w:rFonts w:hint="eastAsia" w:ascii="Times New Roman" w:hAnsi="Times New Roman" w:eastAsia="方正仿宋_GBK" w:cs="Times New Roman"/>
                <w:b w:val="0"/>
                <w:bCs w:val="0"/>
                <w:color w:val="auto"/>
                <w:kern w:val="2"/>
                <w:sz w:val="18"/>
                <w:szCs w:val="18"/>
                <w:highlight w:val="none"/>
                <w:u w:val="none"/>
                <w:lang w:val="en-US" w:eastAsia="zh-CN" w:bidi="ar-SA"/>
              </w:rPr>
              <w:t>进行全面分析，结合发展目标，科学规划新建污水处理厂。</w:t>
            </w:r>
          </w:p>
        </w:tc>
        <w:tc>
          <w:tcPr>
            <w:tcW w:w="1041" w:type="dxa"/>
            <w:vMerge w:val="continue"/>
            <w:noWrap w:val="0"/>
            <w:vAlign w:val="center"/>
          </w:tcPr>
          <w:p w14:paraId="01E4B6E9">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rPr>
            </w:pPr>
          </w:p>
        </w:tc>
        <w:tc>
          <w:tcPr>
            <w:tcW w:w="4280" w:type="dxa"/>
            <w:noWrap w:val="0"/>
            <w:vAlign w:val="center"/>
          </w:tcPr>
          <w:p w14:paraId="39E901EE">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default" w:ascii="Times New Roman" w:hAnsi="Times New Roman" w:eastAsia="方正仿宋_GBK" w:cs="Times New Roman"/>
                <w:bCs/>
                <w:color w:val="auto"/>
                <w:spacing w:val="0"/>
                <w:sz w:val="18"/>
                <w:szCs w:val="18"/>
                <w:lang w:eastAsia="zh-CN"/>
              </w:rPr>
            </w:pPr>
            <w:r>
              <w:rPr>
                <w:rFonts w:hint="default" w:ascii="Times New Roman" w:hAnsi="Times New Roman" w:eastAsia="方正仿宋_GBK" w:cs="Times New Roman"/>
                <w:b w:val="0"/>
                <w:bCs w:val="0"/>
                <w:color w:val="auto"/>
                <w:kern w:val="2"/>
                <w:sz w:val="18"/>
                <w:szCs w:val="18"/>
                <w:highlight w:val="none"/>
                <w:u w:val="none"/>
                <w:lang w:val="en-US" w:eastAsia="zh-CN" w:bidi="ar-SA"/>
              </w:rPr>
              <w:t>“</w:t>
            </w:r>
            <w:r>
              <w:rPr>
                <w:rFonts w:hint="eastAsia" w:ascii="Times New Roman" w:hAnsi="Times New Roman" w:eastAsia="方正仿宋_GBK" w:cs="Times New Roman"/>
                <w:b w:val="0"/>
                <w:bCs w:val="0"/>
                <w:color w:val="auto"/>
                <w:kern w:val="2"/>
                <w:sz w:val="18"/>
                <w:szCs w:val="18"/>
                <w:highlight w:val="none"/>
                <w:u w:val="none"/>
                <w:lang w:val="en-US" w:eastAsia="zh-CN" w:bidi="ar-SA"/>
              </w:rPr>
              <w:t>“十三五”</w:t>
            </w:r>
            <w:r>
              <w:rPr>
                <w:rFonts w:hint="default" w:ascii="Times New Roman" w:hAnsi="Times New Roman" w:eastAsia="方正仿宋_GBK" w:cs="Times New Roman"/>
                <w:b w:val="0"/>
                <w:bCs w:val="0"/>
                <w:color w:val="auto"/>
                <w:kern w:val="2"/>
                <w:sz w:val="18"/>
                <w:szCs w:val="18"/>
                <w:highlight w:val="none"/>
                <w:u w:val="none"/>
                <w:lang w:val="en-US" w:eastAsia="zh-CN" w:bidi="ar-SA"/>
              </w:rPr>
              <w:t>”期间曲靖市新增污水处理能力10.5万吨/日，分别为：麒麟区新增4万吨/日，沾益区新增3万吨/日，陆良县新增1.5万吨/日，会泽县新增2万吨/日</w:t>
            </w:r>
            <w:r>
              <w:rPr>
                <w:rFonts w:hint="eastAsia" w:ascii="Times New Roman" w:hAnsi="Times New Roman" w:eastAsia="方正仿宋_GBK" w:cs="Times New Roman"/>
                <w:b w:val="0"/>
                <w:bCs w:val="0"/>
                <w:color w:val="auto"/>
                <w:kern w:val="2"/>
                <w:sz w:val="18"/>
                <w:szCs w:val="18"/>
                <w:highlight w:val="none"/>
                <w:u w:val="none"/>
                <w:lang w:val="en-US" w:eastAsia="zh-CN" w:bidi="ar-SA"/>
              </w:rPr>
              <w:t>。</w:t>
            </w:r>
            <w:r>
              <w:rPr>
                <w:rFonts w:hint="default" w:ascii="Times New Roman" w:hAnsi="Times New Roman" w:eastAsia="方正仿宋_GBK" w:cs="Times New Roman"/>
                <w:b w:val="0"/>
                <w:bCs w:val="0"/>
                <w:color w:val="auto"/>
                <w:kern w:val="2"/>
                <w:sz w:val="18"/>
                <w:szCs w:val="18"/>
                <w:highlight w:val="none"/>
                <w:u w:val="none"/>
                <w:lang w:val="en-US" w:eastAsia="zh-CN" w:bidi="ar-SA"/>
              </w:rPr>
              <w:t>2020年</w:t>
            </w:r>
            <w:r>
              <w:rPr>
                <w:rFonts w:hint="eastAsia" w:ascii="Times New Roman" w:hAnsi="Times New Roman" w:eastAsia="方正仿宋_GBK" w:cs="Times New Roman"/>
                <w:b w:val="0"/>
                <w:bCs w:val="0"/>
                <w:color w:val="auto"/>
                <w:kern w:val="2"/>
                <w:sz w:val="18"/>
                <w:szCs w:val="18"/>
                <w:highlight w:val="none"/>
                <w:u w:val="none"/>
                <w:lang w:val="en-US" w:eastAsia="zh-CN" w:bidi="ar-SA"/>
              </w:rPr>
              <w:t>10月</w:t>
            </w:r>
            <w:r>
              <w:rPr>
                <w:rFonts w:hint="default" w:ascii="Times New Roman" w:hAnsi="Times New Roman" w:eastAsia="方正仿宋_GBK" w:cs="Times New Roman"/>
                <w:b w:val="0"/>
                <w:bCs w:val="0"/>
                <w:color w:val="auto"/>
                <w:kern w:val="2"/>
                <w:sz w:val="18"/>
                <w:szCs w:val="18"/>
                <w:highlight w:val="none"/>
                <w:u w:val="none"/>
                <w:lang w:val="en-US" w:eastAsia="zh-CN" w:bidi="ar-SA"/>
              </w:rPr>
              <w:t>云南省审计厅“曲靖市</w:t>
            </w:r>
            <w:r>
              <w:rPr>
                <w:rFonts w:hint="eastAsia" w:ascii="Times New Roman" w:hAnsi="Times New Roman" w:eastAsia="方正仿宋_GBK" w:cs="Times New Roman"/>
                <w:b w:val="0"/>
                <w:bCs w:val="0"/>
                <w:color w:val="auto"/>
                <w:kern w:val="2"/>
                <w:sz w:val="18"/>
                <w:szCs w:val="18"/>
                <w:highlight w:val="none"/>
                <w:u w:val="none"/>
                <w:lang w:val="en-US" w:eastAsia="zh-CN" w:bidi="ar-SA"/>
              </w:rPr>
              <w:t>“十三五”</w:t>
            </w:r>
            <w:r>
              <w:rPr>
                <w:rFonts w:hint="default" w:ascii="Times New Roman" w:hAnsi="Times New Roman" w:eastAsia="方正仿宋_GBK" w:cs="Times New Roman"/>
                <w:b w:val="0"/>
                <w:bCs w:val="0"/>
                <w:color w:val="auto"/>
                <w:kern w:val="2"/>
                <w:sz w:val="18"/>
                <w:szCs w:val="18"/>
                <w:highlight w:val="none"/>
                <w:u w:val="none"/>
                <w:lang w:val="en-US" w:eastAsia="zh-CN" w:bidi="ar-SA"/>
              </w:rPr>
              <w:t>城镇污水及生活垃圾处理设施建设运情况审计”</w:t>
            </w:r>
            <w:r>
              <w:rPr>
                <w:rFonts w:hint="eastAsia" w:eastAsia="方正仿宋_GBK" w:cs="Times New Roman"/>
                <w:b w:val="0"/>
                <w:bCs w:val="0"/>
                <w:color w:val="auto"/>
                <w:kern w:val="2"/>
                <w:sz w:val="18"/>
                <w:szCs w:val="18"/>
                <w:highlight w:val="none"/>
                <w:u w:val="none"/>
                <w:lang w:val="en-US" w:eastAsia="zh-CN" w:bidi="ar-SA"/>
              </w:rPr>
              <w:t>反馈，</w:t>
            </w:r>
            <w:r>
              <w:rPr>
                <w:rFonts w:hint="default" w:ascii="Times New Roman" w:hAnsi="Times New Roman" w:eastAsia="方正仿宋_GBK" w:cs="Times New Roman"/>
                <w:b w:val="0"/>
                <w:bCs w:val="0"/>
                <w:color w:val="auto"/>
                <w:kern w:val="2"/>
                <w:sz w:val="18"/>
                <w:szCs w:val="18"/>
                <w:highlight w:val="none"/>
                <w:u w:val="none"/>
                <w:lang w:val="en-US" w:eastAsia="zh-CN" w:bidi="ar-SA"/>
              </w:rPr>
              <w:t>曲靖市已经完成省级下达8万吨/日的目标任务。</w:t>
            </w:r>
          </w:p>
        </w:tc>
        <w:tc>
          <w:tcPr>
            <w:tcW w:w="1174" w:type="dxa"/>
            <w:noWrap w:val="0"/>
            <w:vAlign w:val="center"/>
          </w:tcPr>
          <w:p w14:paraId="63536568">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default" w:ascii="Times New Roman" w:hAnsi="Times New Roman" w:eastAsia="方正仿宋_GBK" w:cs="Times New Roman"/>
                <w:bCs/>
                <w:color w:val="auto"/>
                <w:spacing w:val="0"/>
                <w:sz w:val="18"/>
                <w:szCs w:val="18"/>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continue"/>
            <w:noWrap w:val="0"/>
            <w:vAlign w:val="center"/>
          </w:tcPr>
          <w:p w14:paraId="2F260EC2">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18"/>
                <w:szCs w:val="18"/>
                <w:u w:val="none"/>
                <w:lang w:eastAsia="zh-CN"/>
              </w:rPr>
            </w:pPr>
          </w:p>
        </w:tc>
      </w:tr>
      <w:tr w14:paraId="7A13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2" w:type="dxa"/>
            <w:vMerge w:val="restart"/>
            <w:noWrap w:val="0"/>
            <w:vAlign w:val="center"/>
          </w:tcPr>
          <w:p w14:paraId="78566C79">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val="en-US" w:eastAsia="zh-CN"/>
              </w:rPr>
            </w:pPr>
            <w:r>
              <w:rPr>
                <w:rFonts w:hint="eastAsia" w:ascii="Times New Roman" w:hAnsi="Times New Roman" w:eastAsia="方正仿宋_GBK" w:cs="Times New Roman"/>
                <w:bCs/>
                <w:color w:val="auto"/>
                <w:spacing w:val="0"/>
                <w:sz w:val="18"/>
                <w:szCs w:val="18"/>
                <w:lang w:val="en-US" w:eastAsia="zh-CN"/>
              </w:rPr>
              <w:t>50-27</w:t>
            </w:r>
          </w:p>
        </w:tc>
        <w:tc>
          <w:tcPr>
            <w:tcW w:w="2145" w:type="dxa"/>
            <w:vMerge w:val="restart"/>
            <w:noWrap w:val="0"/>
            <w:vAlign w:val="center"/>
          </w:tcPr>
          <w:p w14:paraId="6850A164">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line="200" w:lineRule="exact"/>
              <w:jc w:val="center"/>
              <w:textAlignment w:val="auto"/>
              <w:rPr>
                <w:rFonts w:hint="default" w:ascii="Times New Roman" w:hAnsi="Times New Roman" w:eastAsia="方正仿宋_GBK" w:cs="Times New Roman"/>
                <w:bCs/>
                <w:color w:val="auto"/>
                <w:spacing w:val="0"/>
                <w:sz w:val="18"/>
                <w:szCs w:val="18"/>
                <w:lang w:eastAsia="zh-CN"/>
              </w:rPr>
            </w:pPr>
            <w:r>
              <w:rPr>
                <w:rFonts w:hint="default" w:ascii="Times New Roman" w:hAnsi="Times New Roman" w:eastAsia="方正仿宋_GBK" w:cs="Times New Roman"/>
                <w:b w:val="0"/>
                <w:bCs w:val="0"/>
                <w:color w:val="auto"/>
                <w:kern w:val="2"/>
                <w:sz w:val="18"/>
                <w:szCs w:val="18"/>
                <w:highlight w:val="none"/>
                <w:u w:val="none"/>
                <w:lang w:val="en-US" w:eastAsia="zh-CN" w:bidi="ar-SA"/>
              </w:rPr>
              <w:t>城市生活污水集中收集率普遍偏低。</w:t>
            </w:r>
            <w:r>
              <w:rPr>
                <w:rFonts w:hint="default" w:ascii="Times New Roman" w:hAnsi="Times New Roman" w:eastAsia="方正仿宋_GBK" w:cs="Times New Roman"/>
                <w:b/>
                <w:bCs/>
                <w:color w:val="auto"/>
                <w:sz w:val="18"/>
                <w:szCs w:val="18"/>
                <w:highlight w:val="none"/>
                <w:u w:val="none"/>
                <w:lang w:val="en-US" w:eastAsia="zh-CN"/>
              </w:rPr>
              <w:t>督察报告指出：</w:t>
            </w:r>
            <w:r>
              <w:rPr>
                <w:rFonts w:hint="default" w:ascii="Times New Roman" w:hAnsi="Times New Roman" w:eastAsia="方正仿宋_GBK" w:cs="Times New Roman"/>
                <w:color w:val="auto"/>
                <w:sz w:val="18"/>
                <w:szCs w:val="18"/>
                <w:highlight w:val="none"/>
                <w:u w:val="none"/>
                <w:lang w:eastAsia="zh-CN"/>
              </w:rPr>
              <w:t>云南省24个明确了污水集中收集率目标的重点城市中，2020年有18个污水集中收集率低于50%，蒙自、临沧、香格里拉、泸水、宣威等5个城市不足20%，泸水市仅9.9%。</w:t>
            </w:r>
          </w:p>
        </w:tc>
        <w:tc>
          <w:tcPr>
            <w:tcW w:w="1177" w:type="dxa"/>
            <w:vMerge w:val="restart"/>
            <w:noWrap w:val="0"/>
            <w:vAlign w:val="center"/>
          </w:tcPr>
          <w:p w14:paraId="65D4BFF1">
            <w:pPr>
              <w:keepNext w:val="0"/>
              <w:keepLines w:val="0"/>
              <w:pageBreakBefore w:val="0"/>
              <w:widowControl/>
              <w:suppressLineNumbers w:val="0"/>
              <w:kinsoku/>
              <w:wordWrap/>
              <w:overflowPunct/>
              <w:topLinePunct w:val="0"/>
              <w:autoSpaceDE/>
              <w:autoSpaceDN/>
              <w:bidi w:val="0"/>
              <w:spacing w:line="200" w:lineRule="exact"/>
              <w:jc w:val="center"/>
              <w:textAlignment w:val="auto"/>
              <w:rPr>
                <w:rFonts w:hint="default" w:ascii="Times New Roman" w:hAnsi="Times New Roman" w:eastAsia="方正仿宋_GBK" w:cs="Times New Roman"/>
                <w:sz w:val="18"/>
                <w:szCs w:val="18"/>
              </w:rPr>
            </w:pPr>
            <w:r>
              <w:rPr>
                <w:rFonts w:hint="default" w:ascii="Times New Roman" w:hAnsi="Times New Roman" w:eastAsia="方正仿宋_GBK" w:cs="Times New Roman"/>
                <w:color w:val="000000"/>
                <w:kern w:val="0"/>
                <w:sz w:val="18"/>
                <w:szCs w:val="18"/>
                <w:lang w:val="en-US" w:eastAsia="zh-CN" w:bidi="ar"/>
              </w:rPr>
              <w:t>加快实施城镇污水处理提质增效，统筹城市更 新、老旧小区、城中村、棚户区改造；2022 年年底前全市新建完善污水管网 100 公里以上，实现“三个基本消除”，污水收集处理率年增长 3 个百分点以上。力争 2025 年污水集中收</w:t>
            </w:r>
          </w:p>
          <w:p w14:paraId="24A0BDF7">
            <w:pPr>
              <w:keepNext w:val="0"/>
              <w:keepLines w:val="0"/>
              <w:pageBreakBefore w:val="0"/>
              <w:widowControl/>
              <w:suppressLineNumbers w:val="0"/>
              <w:kinsoku/>
              <w:wordWrap/>
              <w:overflowPunct/>
              <w:topLinePunct w:val="0"/>
              <w:autoSpaceDE/>
              <w:autoSpaceDN/>
              <w:bidi w:val="0"/>
              <w:spacing w:line="200" w:lineRule="exact"/>
              <w:jc w:val="center"/>
              <w:textAlignment w:val="auto"/>
              <w:rPr>
                <w:rFonts w:hint="default" w:ascii="Times New Roman" w:hAnsi="Times New Roman" w:eastAsia="方正仿宋_GBK" w:cs="Times New Roman"/>
                <w:sz w:val="18"/>
                <w:szCs w:val="18"/>
              </w:rPr>
            </w:pPr>
            <w:r>
              <w:rPr>
                <w:rFonts w:hint="default" w:ascii="Times New Roman" w:hAnsi="Times New Roman" w:eastAsia="方正仿宋_GBK" w:cs="Times New Roman"/>
                <w:color w:val="000000"/>
                <w:kern w:val="0"/>
                <w:sz w:val="18"/>
                <w:szCs w:val="18"/>
                <w:lang w:val="en-US" w:eastAsia="zh-CN" w:bidi="ar"/>
              </w:rPr>
              <w:t>集率中心城区达到 60％—70％、县级城区达到 50％—60％。</w:t>
            </w:r>
          </w:p>
          <w:p w14:paraId="07F3D280">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3698" w:type="dxa"/>
            <w:noWrap w:val="0"/>
            <w:vAlign w:val="center"/>
          </w:tcPr>
          <w:p w14:paraId="06C674BB">
            <w:pPr>
              <w:keepNext w:val="0"/>
              <w:keepLines w:val="0"/>
              <w:pageBreakBefore w:val="0"/>
              <w:widowControl/>
              <w:suppressLineNumbers w:val="0"/>
              <w:kinsoku/>
              <w:wordWrap/>
              <w:overflowPunct/>
              <w:topLinePunct w:val="0"/>
              <w:autoSpaceDE/>
              <w:autoSpaceDN/>
              <w:bidi w:val="0"/>
              <w:spacing w:line="200" w:lineRule="exact"/>
              <w:jc w:val="left"/>
              <w:textAlignment w:val="auto"/>
              <w:rPr>
                <w:rFonts w:hint="default" w:ascii="Times New Roman" w:hAnsi="Times New Roman" w:eastAsia="方正仿宋_GBK" w:cs="Times New Roman"/>
                <w:sz w:val="18"/>
                <w:szCs w:val="18"/>
              </w:rPr>
            </w:pPr>
            <w:r>
              <w:rPr>
                <w:rFonts w:hint="default" w:ascii="Times New Roman" w:hAnsi="Times New Roman" w:eastAsia="方正仿宋_GBK" w:cs="Times New Roman"/>
                <w:color w:val="000000"/>
                <w:kern w:val="0"/>
                <w:sz w:val="18"/>
                <w:szCs w:val="18"/>
                <w:lang w:val="en-US" w:eastAsia="zh-CN" w:bidi="ar"/>
              </w:rPr>
              <w:t>1.压实城市政府污水处理提质增效的主体责任，优化“一 厂一策”系统化整治方案，进一步落实政府配套资金，加快推 进满负荷运行污水处理厂扩容项目建设，全力推动城市生活污 水管网全覆盖、污水全收集全处理。宣威市202</w:t>
            </w:r>
            <w:r>
              <w:rPr>
                <w:rFonts w:hint="eastAsia" w:cs="Times New Roman"/>
                <w:color w:val="000000"/>
                <w:kern w:val="0"/>
                <w:sz w:val="18"/>
                <w:szCs w:val="18"/>
                <w:lang w:val="en-US" w:eastAsia="zh-CN" w:bidi="ar"/>
              </w:rPr>
              <w:t>1</w:t>
            </w:r>
            <w:r>
              <w:rPr>
                <w:rFonts w:hint="default" w:ascii="Times New Roman" w:hAnsi="Times New Roman" w:eastAsia="方正仿宋_GBK" w:cs="Times New Roman"/>
                <w:color w:val="000000"/>
                <w:kern w:val="0"/>
                <w:sz w:val="18"/>
                <w:szCs w:val="18"/>
                <w:lang w:val="en-US" w:eastAsia="zh-CN" w:bidi="ar"/>
              </w:rPr>
              <w:t>年完成费家 冲小河治理，新建污水管网10.5公里，改造老旧污水管网7</w:t>
            </w:r>
          </w:p>
          <w:p w14:paraId="78EA9F9F">
            <w:pPr>
              <w:keepNext w:val="0"/>
              <w:keepLines w:val="0"/>
              <w:pageBreakBefore w:val="0"/>
              <w:widowControl/>
              <w:suppressLineNumbers w:val="0"/>
              <w:kinsoku/>
              <w:wordWrap/>
              <w:overflowPunct/>
              <w:topLinePunct w:val="0"/>
              <w:autoSpaceDE/>
              <w:autoSpaceDN/>
              <w:bidi w:val="0"/>
              <w:spacing w:line="200" w:lineRule="exact"/>
              <w:jc w:val="left"/>
              <w:textAlignment w:val="auto"/>
              <w:rPr>
                <w:rFonts w:hint="default" w:ascii="Times New Roman" w:hAnsi="Times New Roman" w:eastAsia="方正仿宋_GBK" w:cs="Times New Roman"/>
                <w:bCs/>
                <w:color w:val="auto"/>
                <w:spacing w:val="0"/>
                <w:sz w:val="18"/>
                <w:szCs w:val="18"/>
                <w:lang w:eastAsia="zh-CN"/>
              </w:rPr>
            </w:pPr>
            <w:r>
              <w:rPr>
                <w:rFonts w:hint="default" w:ascii="Times New Roman" w:hAnsi="Times New Roman" w:eastAsia="方正仿宋_GBK" w:cs="Times New Roman"/>
                <w:color w:val="000000"/>
                <w:kern w:val="0"/>
                <w:sz w:val="18"/>
                <w:szCs w:val="18"/>
                <w:lang w:val="en-US" w:eastAsia="zh-CN" w:bidi="ar"/>
              </w:rPr>
              <w:t>公里，改造雨污分流管网 5 公里，年底城市生活污水集中收集 率达28％；2022 年新增污水管网20公里，老旧管网改造10公里，改造雨污分流管网 30 公里，城市生活污水集中收集率达 40％（2023 年年底达 50％以上）。</w:t>
            </w:r>
          </w:p>
        </w:tc>
        <w:tc>
          <w:tcPr>
            <w:tcW w:w="1041" w:type="dxa"/>
            <w:vMerge w:val="restart"/>
            <w:noWrap w:val="0"/>
            <w:vAlign w:val="center"/>
          </w:tcPr>
          <w:p w14:paraId="288CC942">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kern w:val="2"/>
                <w:sz w:val="18"/>
                <w:szCs w:val="18"/>
                <w:lang w:val="en-US" w:eastAsia="zh-CN" w:bidi="ar-SA"/>
              </w:rPr>
            </w:pPr>
            <w:r>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2025年12月底</w:t>
            </w:r>
          </w:p>
        </w:tc>
        <w:tc>
          <w:tcPr>
            <w:tcW w:w="4280" w:type="dxa"/>
            <w:noWrap w:val="0"/>
            <w:vAlign w:val="center"/>
          </w:tcPr>
          <w:p w14:paraId="6A10C22A">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pP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一是为做好城市生活污水处理提质增效工作，在运行的城市生活污水处理厂均建立“一 厂一策”方案，进一步提高污水处理厂污水处理能力，提升城市生活污水收集治理水平。2021年宣威市实施宣威市城市污水处理提质增效建设项目，在下关冲、费家冲、广坝河等片区完成新建截污管道10.5公里、改造老旧污水管网7公里、改造雨污分流管网5公里；2022年完成新建污水管网38公里，改造雨污分流管网30公里，老旧管网雨污分流改造11公里；2023年宣威市城市生活污水集中收集率达51.7%。</w:t>
            </w:r>
          </w:p>
        </w:tc>
        <w:tc>
          <w:tcPr>
            <w:tcW w:w="1174" w:type="dxa"/>
            <w:noWrap w:val="0"/>
            <w:vAlign w:val="center"/>
          </w:tcPr>
          <w:p w14:paraId="210A6B93">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21"/>
                <w:szCs w:val="21"/>
                <w:lang w:eastAsia="zh-CN"/>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restart"/>
            <w:noWrap w:val="0"/>
            <w:vAlign w:val="center"/>
          </w:tcPr>
          <w:p w14:paraId="1710CB71">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imes New Roman" w:hAnsi="Times New Roman" w:eastAsia="方正仿宋_GBK" w:cs="Times New Roman"/>
                <w:bCs/>
                <w:color w:val="auto"/>
                <w:spacing w:val="0"/>
                <w:sz w:val="18"/>
                <w:szCs w:val="18"/>
                <w:u w:val="none"/>
                <w:lang w:val="en-US"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w:t>
            </w:r>
            <w:r>
              <w:rPr>
                <w:rFonts w:hint="eastAsia" w:ascii="Times New Roman" w:hAnsi="Times New Roman" w:eastAsia="方正仿宋_GBK" w:cs="Times New Roman"/>
                <w:bCs/>
                <w:color w:val="auto"/>
                <w:spacing w:val="0"/>
                <w:sz w:val="18"/>
                <w:szCs w:val="18"/>
                <w:u w:val="none"/>
                <w:lang w:val="en-US" w:eastAsia="zh-CN"/>
              </w:rPr>
              <w:t>验收销号</w:t>
            </w:r>
          </w:p>
          <w:p w14:paraId="312DE256">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方正仿宋_GBK" w:cs="Times New Roman"/>
                <w:bCs/>
                <w:color w:val="auto"/>
                <w:spacing w:val="0"/>
                <w:sz w:val="18"/>
                <w:szCs w:val="18"/>
                <w:u w:val="none"/>
                <w:lang w:eastAsia="zh-CN"/>
              </w:rPr>
            </w:pPr>
            <w:r>
              <w:rPr>
                <w:rFonts w:hint="eastAsia" w:ascii="Times New Roman" w:hAnsi="Times New Roman"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w:t>
            </w:r>
            <w:r>
              <w:rPr>
                <w:rFonts w:hint="eastAsia" w:ascii="Times New Roman" w:hAnsi="Times New Roman" w:eastAsia="方正仿宋_GBK" w:cs="Times New Roman"/>
                <w:bCs/>
                <w:color w:val="auto"/>
                <w:spacing w:val="0"/>
                <w:sz w:val="18"/>
                <w:szCs w:val="18"/>
                <w:u w:val="none"/>
                <w:lang w:val="en-US" w:eastAsia="zh-CN"/>
              </w:rPr>
              <w:t>申请省级验收</w:t>
            </w:r>
          </w:p>
          <w:p w14:paraId="3016F3DA">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方正仿宋_GBK" w:cs="Times New Roman"/>
                <w:bCs/>
                <w:color w:val="auto"/>
                <w:spacing w:val="0"/>
                <w:sz w:val="18"/>
                <w:szCs w:val="18"/>
                <w:u w:val="none"/>
                <w:lang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完成</w:t>
            </w:r>
            <w:r>
              <w:rPr>
                <w:rFonts w:hint="eastAsia" w:ascii="Times New Roman" w:hAnsi="Times New Roman" w:eastAsia="方正仿宋_GBK" w:cs="Times New Roman"/>
                <w:bCs/>
                <w:color w:val="auto"/>
                <w:spacing w:val="0"/>
                <w:sz w:val="18"/>
                <w:szCs w:val="18"/>
                <w:u w:val="none"/>
                <w:lang w:val="en-US" w:eastAsia="zh-CN"/>
              </w:rPr>
              <w:t>市级验收</w:t>
            </w:r>
          </w:p>
          <w:p w14:paraId="3C7763C4">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eastAsia="方正仿宋_GBK"/>
                <w:color w:val="auto"/>
                <w:sz w:val="18"/>
                <w:szCs w:val="18"/>
                <w:lang w:val="en-US" w:eastAsia="zh-CN"/>
              </w:rPr>
            </w:pP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完成</w:t>
            </w:r>
            <w:r>
              <w:rPr>
                <w:rFonts w:hint="eastAsia" w:ascii="Times New Roman" w:hAnsi="Times New Roman" w:eastAsia="方正仿宋_GBK" w:cs="Times New Roman"/>
                <w:bCs/>
                <w:color w:val="auto"/>
                <w:spacing w:val="0"/>
                <w:sz w:val="18"/>
                <w:szCs w:val="18"/>
                <w:u w:val="none"/>
                <w:lang w:val="en-US" w:eastAsia="zh-CN"/>
              </w:rPr>
              <w:t>县级验收</w:t>
            </w:r>
          </w:p>
          <w:p w14:paraId="596AC4B3">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21"/>
                <w:szCs w:val="21"/>
                <w:lang w:eastAsia="zh-CN"/>
              </w:rPr>
            </w:pPr>
            <w:r>
              <w:rPr>
                <w:rFonts w:hint="eastAsia" w:ascii="Times New Roman" w:hAnsi="Times New Roman"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eastAsia" w:ascii="Times New Roman" w:hAnsi="Times New Roman" w:eastAsia="方正仿宋_GBK" w:cs="Times New Roman"/>
                <w:bCs/>
                <w:color w:val="auto"/>
                <w:spacing w:val="0"/>
                <w:sz w:val="18"/>
                <w:szCs w:val="18"/>
                <w:u w:val="none"/>
                <w:lang w:val="en-US" w:eastAsia="zh-CN"/>
              </w:rPr>
              <w:t>整改</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r>
      <w:tr w14:paraId="47B2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92" w:type="dxa"/>
            <w:vMerge w:val="continue"/>
            <w:noWrap w:val="0"/>
            <w:vAlign w:val="center"/>
          </w:tcPr>
          <w:p w14:paraId="3F45EFFB">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2145" w:type="dxa"/>
            <w:vMerge w:val="continue"/>
            <w:noWrap w:val="0"/>
            <w:vAlign w:val="center"/>
          </w:tcPr>
          <w:p w14:paraId="4C80D83E">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1177" w:type="dxa"/>
            <w:vMerge w:val="continue"/>
            <w:noWrap w:val="0"/>
            <w:vAlign w:val="center"/>
          </w:tcPr>
          <w:p w14:paraId="0BEDB839">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3698" w:type="dxa"/>
            <w:noWrap w:val="0"/>
            <w:vAlign w:val="center"/>
          </w:tcPr>
          <w:p w14:paraId="732DAA0F">
            <w:pPr>
              <w:keepNext w:val="0"/>
              <w:keepLines w:val="0"/>
              <w:pageBreakBefore w:val="0"/>
              <w:widowControl/>
              <w:suppressLineNumbers w:val="0"/>
              <w:kinsoku/>
              <w:wordWrap/>
              <w:overflowPunct/>
              <w:topLinePunct w:val="0"/>
              <w:autoSpaceDE/>
              <w:autoSpaceDN/>
              <w:bidi w:val="0"/>
              <w:spacing w:line="200" w:lineRule="exact"/>
              <w:jc w:val="left"/>
              <w:textAlignment w:val="auto"/>
              <w:rPr>
                <w:rFonts w:hint="default" w:ascii="Times New Roman" w:hAnsi="Times New Roman" w:eastAsia="方正仿宋_GBK" w:cs="Times New Roman"/>
                <w:bCs/>
                <w:color w:val="auto"/>
                <w:spacing w:val="0"/>
                <w:sz w:val="18"/>
                <w:szCs w:val="18"/>
                <w:lang w:eastAsia="zh-CN"/>
              </w:rPr>
            </w:pPr>
            <w:r>
              <w:rPr>
                <w:rFonts w:hint="default" w:ascii="Times New Roman" w:hAnsi="Times New Roman" w:eastAsia="方正仿宋_GBK" w:cs="Times New Roman"/>
                <w:color w:val="000000"/>
                <w:kern w:val="0"/>
                <w:sz w:val="18"/>
                <w:szCs w:val="18"/>
                <w:lang w:val="en-US" w:eastAsia="zh-CN" w:bidi="ar"/>
              </w:rPr>
              <w:t>2.举一反三开展系统性管网排查，统筹城市更新、老旧小 区、城中村、棚户区改造，通过新建改造修复市政污水管网、有序整治错接混接、雨污混流，基本消除管网空白区、污水直 排口、消除城市黑臭水体。2022 年年底前全市新建完善污水管网 100 公里以上，实现“三个基本消除”，污水收集处理率年增长 3 个百分点以上。力争 2025 年污水集中收集率中心城区达到 60％—70％、县级城区达到 50％—60％。</w:t>
            </w:r>
          </w:p>
        </w:tc>
        <w:tc>
          <w:tcPr>
            <w:tcW w:w="1041" w:type="dxa"/>
            <w:vMerge w:val="continue"/>
            <w:noWrap w:val="0"/>
            <w:vAlign w:val="center"/>
          </w:tcPr>
          <w:p w14:paraId="41D9D15F">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kern w:val="2"/>
                <w:sz w:val="18"/>
                <w:szCs w:val="18"/>
                <w:lang w:val="en-US" w:eastAsia="zh-CN" w:bidi="ar-SA"/>
              </w:rPr>
            </w:pPr>
          </w:p>
        </w:tc>
        <w:tc>
          <w:tcPr>
            <w:tcW w:w="4280" w:type="dxa"/>
            <w:noWrap w:val="0"/>
            <w:vAlign w:val="center"/>
          </w:tcPr>
          <w:p w14:paraId="422E6F66">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default"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pP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二是通过2023年-2024年全市各县（市、区）地下管网排查整治工作，梳理存在问题困点、难点形成问题清单，并结合“十四五”相关规划及污水处理提质增效工作任务，对老旧小区、城中村、棚户区、市政道路的庭院管道等排水管道进行新建改造。2022年全市累计完成新建污水管网101.88公里，2022－2024年累计消除了2.53平方公里污水收集处理管网空白区（麒麟区小坡片区1.41平方公里、沾益区庄家湾片区0.64平方公里、宣威市西河及沿岸0.48平方公里），22个污水直排口和13个城市黑臭水体断面，完成“三个消除”，目前曲靖市城市生活污水集中收集率为73.1%、宣威市为74.42%，曲靖市城市（含各县城建成区）生活污水集中收集率为72.21%。</w:t>
            </w:r>
          </w:p>
        </w:tc>
        <w:tc>
          <w:tcPr>
            <w:tcW w:w="1174" w:type="dxa"/>
            <w:noWrap w:val="0"/>
            <w:vAlign w:val="center"/>
          </w:tcPr>
          <w:p w14:paraId="27FCEFE9">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21"/>
                <w:szCs w:val="21"/>
                <w:lang w:eastAsia="zh-CN"/>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continue"/>
            <w:noWrap w:val="0"/>
            <w:vAlign w:val="center"/>
          </w:tcPr>
          <w:p w14:paraId="32085851">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21"/>
                <w:szCs w:val="21"/>
                <w:lang w:eastAsia="zh-CN"/>
              </w:rPr>
            </w:pPr>
          </w:p>
        </w:tc>
      </w:tr>
      <w:tr w14:paraId="02D0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92" w:type="dxa"/>
            <w:vMerge w:val="continue"/>
            <w:noWrap w:val="0"/>
            <w:vAlign w:val="center"/>
          </w:tcPr>
          <w:p w14:paraId="5452158F">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2145" w:type="dxa"/>
            <w:vMerge w:val="continue"/>
            <w:noWrap w:val="0"/>
            <w:vAlign w:val="center"/>
          </w:tcPr>
          <w:p w14:paraId="1FCFAAD5">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1177" w:type="dxa"/>
            <w:vMerge w:val="continue"/>
            <w:noWrap w:val="0"/>
            <w:vAlign w:val="center"/>
          </w:tcPr>
          <w:p w14:paraId="317B2D75">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sz w:val="18"/>
                <w:szCs w:val="18"/>
                <w:lang w:eastAsia="zh-CN"/>
              </w:rPr>
            </w:pPr>
          </w:p>
        </w:tc>
        <w:tc>
          <w:tcPr>
            <w:tcW w:w="3698" w:type="dxa"/>
            <w:noWrap w:val="0"/>
            <w:vAlign w:val="center"/>
          </w:tcPr>
          <w:p w14:paraId="6525186B">
            <w:pPr>
              <w:keepNext w:val="0"/>
              <w:keepLines w:val="0"/>
              <w:pageBreakBefore w:val="0"/>
              <w:widowControl/>
              <w:suppressLineNumbers w:val="0"/>
              <w:kinsoku/>
              <w:wordWrap/>
              <w:overflowPunct/>
              <w:topLinePunct w:val="0"/>
              <w:autoSpaceDE/>
              <w:autoSpaceDN/>
              <w:bidi w:val="0"/>
              <w:spacing w:line="200" w:lineRule="exact"/>
              <w:jc w:val="left"/>
              <w:textAlignment w:val="auto"/>
              <w:rPr>
                <w:rFonts w:hint="default" w:ascii="Times New Roman" w:hAnsi="Times New Roman" w:eastAsia="方正仿宋_GBK" w:cs="Times New Roman"/>
                <w:sz w:val="18"/>
                <w:szCs w:val="18"/>
              </w:rPr>
            </w:pPr>
            <w:r>
              <w:rPr>
                <w:rFonts w:hint="default" w:ascii="Times New Roman" w:hAnsi="Times New Roman" w:eastAsia="方正仿宋_GBK" w:cs="Times New Roman"/>
                <w:color w:val="000000"/>
                <w:kern w:val="0"/>
                <w:sz w:val="18"/>
                <w:szCs w:val="18"/>
                <w:lang w:val="en-US" w:eastAsia="zh-CN" w:bidi="ar"/>
              </w:rPr>
              <w:t>3.建立调度、督导、通报、预警、约谈等工作机制，对工作推进不力的实施通报、约谈，提出整改意见建议，强化责任落实，加快工作进度，努力提高污水处理厂的进水浓度和运行负荷率。</w:t>
            </w:r>
          </w:p>
          <w:p w14:paraId="53889175">
            <w:pPr>
              <w:keepNext w:val="0"/>
              <w:keepLines w:val="0"/>
              <w:pageBreakBefore w:val="0"/>
              <w:numPr>
                <w:ilvl w:val="0"/>
                <w:numId w:val="0"/>
              </w:numPr>
              <w:kinsoku/>
              <w:wordWrap/>
              <w:overflowPunct/>
              <w:topLinePunct w:val="0"/>
              <w:autoSpaceDE/>
              <w:autoSpaceDN/>
              <w:bidi w:val="0"/>
              <w:spacing w:after="0" w:line="200" w:lineRule="exact"/>
              <w:ind w:leftChars="200"/>
              <w:jc w:val="left"/>
              <w:textAlignment w:val="auto"/>
              <w:rPr>
                <w:rFonts w:hint="default" w:ascii="Times New Roman" w:hAnsi="Times New Roman" w:eastAsia="方正仿宋_GBK" w:cs="Times New Roman"/>
                <w:bCs/>
                <w:color w:val="auto"/>
                <w:spacing w:val="0"/>
                <w:sz w:val="18"/>
                <w:szCs w:val="18"/>
                <w:lang w:eastAsia="zh-CN"/>
              </w:rPr>
            </w:pPr>
          </w:p>
        </w:tc>
        <w:tc>
          <w:tcPr>
            <w:tcW w:w="1041" w:type="dxa"/>
            <w:vMerge w:val="continue"/>
            <w:noWrap w:val="0"/>
            <w:vAlign w:val="center"/>
          </w:tcPr>
          <w:p w14:paraId="1C25A24C">
            <w:pPr>
              <w:keepNext w:val="0"/>
              <w:keepLines w:val="0"/>
              <w:pageBreakBefore w:val="0"/>
              <w:kinsoku/>
              <w:wordWrap/>
              <w:overflowPunct/>
              <w:topLinePunct w:val="0"/>
              <w:autoSpaceDE/>
              <w:autoSpaceDN/>
              <w:bidi w:val="0"/>
              <w:spacing w:after="0" w:line="200" w:lineRule="exact"/>
              <w:jc w:val="center"/>
              <w:textAlignment w:val="auto"/>
              <w:rPr>
                <w:rFonts w:hint="default" w:ascii="Times New Roman" w:hAnsi="Times New Roman" w:eastAsia="方正仿宋_GBK" w:cs="Times New Roman"/>
                <w:bCs/>
                <w:color w:val="auto"/>
                <w:spacing w:val="0"/>
                <w:kern w:val="2"/>
                <w:sz w:val="18"/>
                <w:szCs w:val="18"/>
                <w:lang w:val="en-US" w:eastAsia="zh-CN" w:bidi="ar-SA"/>
              </w:rPr>
            </w:pPr>
          </w:p>
        </w:tc>
        <w:tc>
          <w:tcPr>
            <w:tcW w:w="4280" w:type="dxa"/>
            <w:noWrap w:val="0"/>
            <w:vAlign w:val="center"/>
          </w:tcPr>
          <w:p w14:paraId="750CFEDC">
            <w:pPr>
              <w:keepNext w:val="0"/>
              <w:keepLines w:val="0"/>
              <w:pageBreakBefore w:val="0"/>
              <w:numPr>
                <w:ilvl w:val="0"/>
                <w:numId w:val="0"/>
              </w:numPr>
              <w:kinsoku/>
              <w:wordWrap/>
              <w:overflowPunct/>
              <w:topLinePunct w:val="0"/>
              <w:autoSpaceDE/>
              <w:autoSpaceDN/>
              <w:bidi w:val="0"/>
              <w:spacing w:after="0" w:line="200" w:lineRule="exact"/>
              <w:jc w:val="left"/>
              <w:textAlignment w:val="auto"/>
              <w:rPr>
                <w:rFonts w:hint="default" w:ascii="Times New Roman" w:hAnsi="Times New Roman" w:eastAsia="方正仿宋_GBK" w:cs="Times New Roman"/>
                <w:bCs/>
                <w:color w:val="auto"/>
                <w:spacing w:val="0"/>
                <w:sz w:val="18"/>
                <w:szCs w:val="18"/>
                <w:lang w:eastAsia="zh-CN"/>
              </w:rPr>
            </w:pPr>
            <w:r>
              <w:rPr>
                <w:rFonts w:hint="eastAsia" w:ascii="Times New Roman" w:hAnsi="Times New Roman" w:eastAsia="方正仿宋_GBK" w:cs="Times New Roman"/>
                <w:b w:val="0"/>
                <w:i w:val="0"/>
                <w:strike w:val="0"/>
                <w:dstrike w:val="0"/>
                <w:snapToGrid/>
                <w:color w:val="auto"/>
                <w:spacing w:val="0"/>
                <w:w w:val="100"/>
                <w:kern w:val="0"/>
                <w:position w:val="0"/>
                <w:sz w:val="18"/>
                <w:szCs w:val="18"/>
                <w:u w:val="none"/>
                <w:lang w:val="en-US" w:eastAsia="zh-CN" w:bidi="ar-SA"/>
              </w:rPr>
              <w:t>三是印发《曲靖市住房和城乡建设局关于成立第二轮中央生态环境保护督察问题反馈指导督办领导小组的通知》（曲建字〔2021〕28号），细化工作监督指导职责，建立行业系统调度、督导、通报、预警等工作机制，强化责任落实，加快整改工作进度，定期对整改工作进行调度，党组会议进行研究；根据问题整改进展和城市污水治理提质增效工作，对整改进展滞后和存在问题的进行督促提醒和指导，积极推动问题整改，确保按时按质完成整改。</w:t>
            </w:r>
          </w:p>
        </w:tc>
        <w:tc>
          <w:tcPr>
            <w:tcW w:w="1174" w:type="dxa"/>
            <w:noWrap w:val="0"/>
            <w:vAlign w:val="center"/>
          </w:tcPr>
          <w:p w14:paraId="7AD11FD9">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21"/>
                <w:szCs w:val="21"/>
                <w:lang w:eastAsia="zh-CN"/>
              </w:rPr>
            </w:pPr>
            <w:r>
              <w:rPr>
                <w:rFonts w:hint="eastAsia"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已完成</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达到时序</w:t>
            </w:r>
            <w:r>
              <w:rPr>
                <w:rFonts w:hint="default" w:ascii="Times New Roman" w:hAnsi="Times New Roman" w:eastAsia="方正仿宋_GBK" w:cs="Times New Roman"/>
                <w:bCs/>
                <w:color w:val="auto"/>
                <w:spacing w:val="0"/>
                <w:sz w:val="18"/>
                <w:szCs w:val="18"/>
                <w:u w:val="none"/>
              </w:rPr>
              <w:br w:type="textWrapping"/>
            </w:r>
            <w:r>
              <w:rPr>
                <w:rFonts w:hint="eastAsia" w:ascii="Times New Roman" w:hAnsi="Times New Roman" w:eastAsia="方正仿宋_GBK" w:cs="Times New Roman"/>
                <w:bCs/>
                <w:color w:val="auto"/>
                <w:spacing w:val="0"/>
                <w:sz w:val="18"/>
                <w:szCs w:val="18"/>
                <w:u w:val="none"/>
                <w:lang w:eastAsia="zh-CN"/>
              </w:rPr>
              <w:t>□</w:t>
            </w:r>
            <w:r>
              <w:rPr>
                <w:rFonts w:hint="default" w:ascii="Times New Roman" w:hAnsi="Times New Roman" w:eastAsia="方正仿宋_GBK" w:cs="Times New Roman"/>
                <w:bCs/>
                <w:color w:val="auto"/>
                <w:spacing w:val="0"/>
                <w:sz w:val="18"/>
                <w:szCs w:val="18"/>
                <w:u w:val="none"/>
              </w:rPr>
              <w:t>未达时序</w:t>
            </w:r>
          </w:p>
        </w:tc>
        <w:tc>
          <w:tcPr>
            <w:tcW w:w="1457" w:type="dxa"/>
            <w:vMerge w:val="continue"/>
            <w:noWrap w:val="0"/>
            <w:vAlign w:val="center"/>
          </w:tcPr>
          <w:p w14:paraId="12D0730A">
            <w:pPr>
              <w:keepNext w:val="0"/>
              <w:keepLines w:val="0"/>
              <w:pageBreakBefore w:val="0"/>
              <w:widowControl w:val="0"/>
              <w:kinsoku/>
              <w:wordWrap/>
              <w:overflowPunct/>
              <w:topLinePunct w:val="0"/>
              <w:autoSpaceDE/>
              <w:autoSpaceDN/>
              <w:bidi w:val="0"/>
              <w:adjustRightInd/>
              <w:snapToGrid/>
              <w:spacing w:after="0" w:line="200" w:lineRule="exact"/>
              <w:textAlignment w:val="auto"/>
              <w:rPr>
                <w:rFonts w:hint="eastAsia" w:ascii="Times New Roman" w:hAnsi="Times New Roman" w:eastAsia="方正仿宋_GBK" w:cs="Times New Roman"/>
                <w:bCs/>
                <w:color w:val="auto"/>
                <w:spacing w:val="0"/>
                <w:sz w:val="21"/>
                <w:szCs w:val="21"/>
                <w:lang w:eastAsia="zh-CN"/>
              </w:rPr>
            </w:pPr>
          </w:p>
        </w:tc>
      </w:tr>
    </w:tbl>
    <w:p w14:paraId="4BBCD156">
      <w:pPr>
        <w:keepNext w:val="0"/>
        <w:keepLines w:val="0"/>
        <w:pageBreakBefore w:val="0"/>
        <w:widowControl w:val="0"/>
        <w:kinsoku/>
        <w:wordWrap/>
        <w:overflowPunct/>
        <w:topLinePunct w:val="0"/>
        <w:autoSpaceDE/>
        <w:autoSpaceDN/>
        <w:bidi w:val="0"/>
        <w:adjustRightInd/>
        <w:snapToGrid/>
        <w:spacing w:line="560" w:lineRule="atLeast"/>
        <w:textAlignment w:val="auto"/>
        <w:rPr>
          <w:rFonts w:hint="default" w:ascii="Times New Roman" w:hAnsi="Times New Roman" w:eastAsia="方正仿宋_GBK" w:cs="Times New Roman"/>
          <w:b w:val="0"/>
          <w:bCs w:val="0"/>
          <w:color w:val="auto"/>
          <w:sz w:val="32"/>
          <w:szCs w:val="32"/>
          <w:highlight w:val="none"/>
          <w:u w:val="none"/>
          <w:lang w:val="en-US" w:eastAsia="zh-CN"/>
        </w:rPr>
      </w:pPr>
    </w:p>
    <w:sectPr>
      <w:footerReference r:id="rId3" w:type="default"/>
      <w:pgSz w:w="16838" w:h="11906" w:orient="landscape"/>
      <w:pgMar w:top="1587" w:right="2098" w:bottom="1474" w:left="1984" w:header="851" w:footer="1531" w:gutter="0"/>
      <w:pgBorders>
        <w:top w:val="none" w:sz="0" w:space="0"/>
        <w:left w:val="none" w:sz="0" w:space="0"/>
        <w:bottom w:val="none" w:sz="0" w:space="0"/>
        <w:right w:val="none" w:sz="0" w:space="0"/>
      </w:pgBorders>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7A9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2C689">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72C689">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ODVkODRhOWE5NGI4OWQyYmYxOGYzMjA1NzkzYzgifQ=="/>
  </w:docVars>
  <w:rsids>
    <w:rsidRoot w:val="22244A52"/>
    <w:rsid w:val="0022181C"/>
    <w:rsid w:val="00BB341C"/>
    <w:rsid w:val="18B9693B"/>
    <w:rsid w:val="1B805A75"/>
    <w:rsid w:val="22244A52"/>
    <w:rsid w:val="23F2091A"/>
    <w:rsid w:val="2C962BF9"/>
    <w:rsid w:val="3CA928F9"/>
    <w:rsid w:val="44480394"/>
    <w:rsid w:val="56AD3A36"/>
    <w:rsid w:val="63CC234F"/>
    <w:rsid w:val="76773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pPr>
    <w:rPr>
      <w:rFonts w:ascii="Tahoma" w:hAnsi="Tahoma"/>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Plain Text1"/>
    <w:basedOn w:val="1"/>
    <w:qFormat/>
    <w:uiPriority w:val="0"/>
    <w:rPr>
      <w:rFonts w:ascii="宋体" w:hAnsi="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曲靖市麒麟区党政机关单位</Company>
  <Pages>2</Pages>
  <Words>3505</Words>
  <Characters>3834</Characters>
  <Lines>0</Lines>
  <Paragraphs>0</Paragraphs>
  <TotalTime>13</TotalTime>
  <ScaleCrop>false</ScaleCrop>
  <LinksUpToDate>false</LinksUpToDate>
  <CharactersWithSpaces>3880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2026-05-15T02:59:00Z</dcterms:created>
  <dc:creator>刘选尧</dc:creator>
  <cp:lastModifiedBy>郭丽娜</cp:lastModifiedBy>
  <cp:lastPrinted>2026-05-15T06:56:00Z</cp:lastPrinted>
  <dcterms:modified xsi:type="dcterms:W3CDTF">2026-07-23T06:48:23Z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DAAFBD19D3D94CCB8908AC183FFEE7B2_13</vt:lpwstr>
  </property>
  <property fmtid="{D5CDD505-2E9C-101B-9397-08002B2CF9AE}" pid="4" name="KSOTemplateDocerSaveRecord">
    <vt:lpwstr>eyJoZGlkIjoiYTA0OTFiNTllN2E3YTc2MDc5ZTIwYTg0ZjFlZjFlMWQiLCJ1c2VySWQiOiIzNzMyMDUyODEifQ==</vt:lpwstr>
  </property>
</Properties>
</file>