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2E6E6376">
        <w:tblPrEx>
          <w:tblCellMar>
            <w:top w:w="0" w:type="dxa"/>
            <w:left w:w="108" w:type="dxa"/>
            <w:bottom w:w="0" w:type="dxa"/>
            <w:right w:w="108" w:type="dxa"/>
          </w:tblCellMar>
        </w:tblPrEx>
        <w:trPr>
          <w:trHeight w:val="756"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left"/>
              <w:rPr>
                <w:rFonts w:ascii="宋体"/>
                <w:kern w:val="0"/>
                <w:sz w:val="24"/>
                <w:szCs w:val="24"/>
              </w:rPr>
            </w:pPr>
            <w:bookmarkStart w:id="0" w:name="_GoBack"/>
            <w:bookmarkEnd w:id="0"/>
            <w:r>
              <w:rPr>
                <w:rFonts w:hint="eastAsia" w:ascii="宋体"/>
                <w:sz w:val="24"/>
                <w:szCs w:val="24"/>
              </w:rPr>
              <w:t xml:space="preserve"> </w:t>
            </w:r>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left"/>
              <w:rPr>
                <w:rFonts w:ascii="Times New Roman" w:hAnsi="Times New Roman"/>
                <w:sz w:val="24"/>
                <w:szCs w:val="24"/>
              </w:rPr>
            </w:pPr>
            <w:r>
              <w:rPr>
                <w:rFonts w:hint="eastAsia" w:ascii="Times New Roman" w:hAnsi="Times New Roman"/>
                <w:sz w:val="24"/>
                <w:szCs w:val="24"/>
              </w:rPr>
              <w:t>南冲风电场110kV送出线路工程</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left"/>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left"/>
              <w:rPr>
                <w:rFonts w:hint="eastAsia" w:ascii="Times New Roman" w:hAnsi="Times New Roman" w:eastAsia="方正仿宋_GBK"/>
                <w:sz w:val="24"/>
                <w:szCs w:val="24"/>
                <w:lang w:eastAsia="zh-CN"/>
              </w:rPr>
            </w:pPr>
            <w:r>
              <w:rPr>
                <w:rFonts w:hint="eastAsia" w:ascii="Times New Roman" w:hAnsi="Times New Roman"/>
                <w:sz w:val="24"/>
                <w:szCs w:val="24"/>
              </w:rPr>
              <w:t>富源县营上镇</w:t>
            </w:r>
            <w:r>
              <w:rPr>
                <w:rFonts w:hint="eastAsia" w:ascii="Times New Roman" w:hAnsi="Times New Roman"/>
                <w:sz w:val="24"/>
                <w:szCs w:val="24"/>
                <w:lang w:eastAsia="zh-CN"/>
              </w:rPr>
              <w:t>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left"/>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FAC3FEA">
            <w:pPr>
              <w:widowControl/>
              <w:spacing w:line="280" w:lineRule="exact"/>
              <w:jc w:val="center"/>
              <w:rPr>
                <w:rFonts w:ascii="Times New Roman" w:hAnsi="Times New Roman"/>
                <w:sz w:val="24"/>
                <w:szCs w:val="24"/>
              </w:rPr>
            </w:pPr>
            <w:r>
              <w:rPr>
                <w:rFonts w:hint="eastAsia" w:ascii="Times New Roman" w:hAnsi="Times New Roman"/>
                <w:sz w:val="24"/>
                <w:szCs w:val="24"/>
              </w:rPr>
              <w:t>富源云能新能源有限公司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ascii="宋体" w:hAnsi="宋体" w:eastAsia="宋体" w:cs="华文仿宋"/>
                <w:kern w:val="0"/>
                <w:sz w:val="24"/>
                <w:szCs w:val="24"/>
              </w:rPr>
            </w:pPr>
            <w:r>
              <w:rPr>
                <w:rFonts w:hint="eastAsia" w:ascii="宋体" w:hAnsi="宋体"/>
                <w:kern w:val="0"/>
                <w:sz w:val="24"/>
                <w:szCs w:val="24"/>
              </w:rPr>
              <w:t xml:space="preserve">报告表 </w:t>
            </w:r>
          </w:p>
        </w:tc>
        <w:tc>
          <w:tcPr>
            <w:tcW w:w="1276"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ascii="宋体"/>
                <w:kern w:val="0"/>
                <w:sz w:val="24"/>
                <w:szCs w:val="24"/>
              </w:rPr>
            </w:pPr>
            <w:r>
              <w:rPr>
                <w:rFonts w:hint="eastAsia" w:ascii="宋体"/>
                <w:kern w:val="0"/>
                <w:sz w:val="24"/>
                <w:szCs w:val="24"/>
              </w:rPr>
              <w:t>中国电建集团昆明勘测设计研究院有限公司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6CBE06D0">
        <w:tblPrEx>
          <w:tblCellMar>
            <w:top w:w="0" w:type="dxa"/>
            <w:left w:w="108" w:type="dxa"/>
            <w:bottom w:w="0" w:type="dxa"/>
            <w:right w:w="108" w:type="dxa"/>
          </w:tblCellMar>
        </w:tblPrEx>
        <w:trPr>
          <w:trHeight w:val="143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rPr>
            </w:pPr>
            <w:r>
              <w:rPr>
                <w:rFonts w:hint="eastAsia" w:ascii="Times New Roman" w:hAnsi="Times New Roman" w:eastAsia="仿宋"/>
                <w:snapToGrid/>
                <w:kern w:val="32"/>
                <w:sz w:val="24"/>
                <w:szCs w:val="24"/>
              </w:rPr>
              <w:t>南冲风电场110kV送出线路工程位于富源县境内，线路从南冲风电场升压站西南方向侧110kV构架出线后向西走线至110kV铜厂变，线路全长约4.851km，架空线路使用铁塔23基</w:t>
            </w:r>
            <w:r>
              <w:rPr>
                <w:rFonts w:ascii="Times New Roman" w:hAnsi="Times New Roman" w:eastAsia="仿宋"/>
                <w:snapToGrid/>
                <w:kern w:val="32"/>
                <w:sz w:val="24"/>
                <w:szCs w:val="24"/>
              </w:rPr>
              <w:t>。</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280" w:lineRule="exact"/>
              <w:jc w:val="center"/>
              <w:rPr>
                <w:rFonts w:ascii="Times New Roman" w:hAnsi="Times New Roman"/>
                <w:kern w:val="0"/>
                <w:sz w:val="24"/>
                <w:szCs w:val="24"/>
              </w:rPr>
            </w:pPr>
            <w:r>
              <w:rPr>
                <w:rFonts w:ascii="Times New Roman" w:hAnsi="Times New Roman"/>
                <w:kern w:val="0"/>
                <w:sz w:val="24"/>
                <w:szCs w:val="24"/>
              </w:rPr>
              <w:t>项目主要环境影响</w:t>
            </w:r>
          </w:p>
        </w:tc>
      </w:tr>
      <w:tr w14:paraId="6AD1242C">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57809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仿宋"/>
                <w:b/>
                <w:bCs/>
                <w:sz w:val="24"/>
                <w:szCs w:val="24"/>
              </w:rPr>
            </w:pPr>
            <w:r>
              <w:rPr>
                <w:rFonts w:ascii="Times New Roman" w:hAnsi="Times New Roman" w:eastAsia="仿宋"/>
                <w:b/>
                <w:bCs/>
                <w:sz w:val="24"/>
                <w:szCs w:val="24"/>
              </w:rPr>
              <w:t>1、声环境</w:t>
            </w:r>
          </w:p>
          <w:p w14:paraId="008A2BBE">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项目施工期噪声包括牵张机、振捣机、吊装机械、自卸卡车、电焊机等施工设备噪声</w:t>
            </w:r>
            <w:r>
              <w:rPr>
                <w:rFonts w:ascii="Times New Roman" w:hAnsi="Times New Roman" w:eastAsia="仿宋"/>
                <w:snapToGrid/>
                <w:kern w:val="32"/>
                <w:sz w:val="24"/>
                <w:szCs w:val="24"/>
              </w:rPr>
              <w:t>。</w:t>
            </w:r>
          </w:p>
          <w:p w14:paraId="168473BE">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z w:val="24"/>
                <w:szCs w:val="24"/>
              </w:rPr>
            </w:pPr>
            <w:r>
              <w:rPr>
                <w:rFonts w:hint="eastAsia" w:ascii="Times New Roman" w:hAnsi="Times New Roman" w:eastAsia="仿宋"/>
                <w:sz w:val="24"/>
                <w:szCs w:val="24"/>
              </w:rPr>
              <w:t>运营期主要噪声源为输电线路电晕放电产生的噪声。</w:t>
            </w:r>
          </w:p>
          <w:p w14:paraId="33F760B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仿宋"/>
                <w:b/>
                <w:bCs/>
                <w:sz w:val="24"/>
                <w:szCs w:val="24"/>
              </w:rPr>
            </w:pPr>
            <w:r>
              <w:rPr>
                <w:rFonts w:ascii="Times New Roman" w:hAnsi="Times New Roman" w:eastAsia="仿宋"/>
                <w:b/>
                <w:bCs/>
                <w:sz w:val="24"/>
                <w:szCs w:val="24"/>
              </w:rPr>
              <w:t>2、大气环境</w:t>
            </w:r>
          </w:p>
          <w:p w14:paraId="058B3341">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项目施工期对大气环境的影响主要为施工扬尘和施工机械燃油废气。</w:t>
            </w:r>
          </w:p>
          <w:p w14:paraId="42DF2AAE">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z w:val="24"/>
                <w:szCs w:val="24"/>
              </w:rPr>
            </w:pPr>
            <w:r>
              <w:rPr>
                <w:rFonts w:hint="eastAsia" w:ascii="Times New Roman" w:hAnsi="Times New Roman" w:eastAsia="仿宋"/>
                <w:snapToGrid/>
                <w:kern w:val="32"/>
                <w:sz w:val="24"/>
                <w:szCs w:val="24"/>
              </w:rPr>
              <w:t>运营期无废气产生</w:t>
            </w:r>
            <w:r>
              <w:rPr>
                <w:rFonts w:ascii="Times New Roman" w:hAnsi="Times New Roman" w:eastAsia="仿宋"/>
                <w:spacing w:val="-9"/>
                <w:sz w:val="24"/>
                <w:szCs w:val="24"/>
              </w:rPr>
              <w:t>。</w:t>
            </w:r>
          </w:p>
          <w:p w14:paraId="3B78BBB0">
            <w:pPr>
              <w:pStyle w:val="7"/>
              <w:keepNext w:val="0"/>
              <w:keepLines w:val="0"/>
              <w:pageBreakBefore w:val="0"/>
              <w:numPr>
                <w:ilvl w:val="0"/>
                <w:numId w:val="1"/>
              </w:numPr>
              <w:kinsoku/>
              <w:wordWrap/>
              <w:overflowPunct/>
              <w:topLinePunct w:val="0"/>
              <w:autoSpaceDE/>
              <w:autoSpaceDN/>
              <w:bidi w:val="0"/>
              <w:adjustRightInd/>
              <w:snapToGrid/>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水环境</w:t>
            </w:r>
          </w:p>
          <w:p w14:paraId="5A1F0C68">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项目施工期废水主要来自塔基混凝土拌合废水。</w:t>
            </w:r>
          </w:p>
          <w:p w14:paraId="4AA4B95E">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pacing w:val="4"/>
                <w:sz w:val="24"/>
                <w:szCs w:val="24"/>
              </w:rPr>
            </w:pPr>
            <w:r>
              <w:rPr>
                <w:rFonts w:hint="eastAsia" w:ascii="Times New Roman" w:hAnsi="Times New Roman" w:eastAsia="仿宋"/>
                <w:snapToGrid/>
                <w:kern w:val="32"/>
                <w:sz w:val="24"/>
                <w:szCs w:val="24"/>
              </w:rPr>
              <w:t>运营期无废污水产生</w:t>
            </w:r>
            <w:r>
              <w:rPr>
                <w:rFonts w:ascii="Times New Roman" w:hAnsi="Times New Roman" w:eastAsia="仿宋"/>
                <w:spacing w:val="-9"/>
                <w:sz w:val="24"/>
                <w:szCs w:val="24"/>
              </w:rPr>
              <w:t>。</w:t>
            </w:r>
          </w:p>
          <w:p w14:paraId="22230214">
            <w:pPr>
              <w:pStyle w:val="7"/>
              <w:keepNext w:val="0"/>
              <w:keepLines w:val="0"/>
              <w:pageBreakBefore w:val="0"/>
              <w:numPr>
                <w:ilvl w:val="0"/>
                <w:numId w:val="1"/>
              </w:numPr>
              <w:kinsoku/>
              <w:wordWrap/>
              <w:overflowPunct/>
              <w:topLinePunct w:val="0"/>
              <w:autoSpaceDE/>
              <w:autoSpaceDN/>
              <w:bidi w:val="0"/>
              <w:adjustRightInd/>
              <w:snapToGrid/>
              <w:spacing w:line="360" w:lineRule="exact"/>
              <w:textAlignment w:val="auto"/>
              <w:rPr>
                <w:rFonts w:ascii="Times New Roman" w:hAnsi="Times New Roman" w:eastAsia="仿宋"/>
                <w:b/>
                <w:bCs/>
                <w:spacing w:val="4"/>
                <w:sz w:val="24"/>
                <w:szCs w:val="24"/>
              </w:rPr>
            </w:pPr>
            <w:r>
              <w:rPr>
                <w:rFonts w:ascii="Times New Roman" w:hAnsi="Times New Roman" w:eastAsia="仿宋"/>
                <w:b/>
                <w:bCs/>
                <w:spacing w:val="4"/>
                <w:sz w:val="24"/>
                <w:szCs w:val="24"/>
              </w:rPr>
              <w:t>固体废物</w:t>
            </w:r>
          </w:p>
          <w:p w14:paraId="50F0B178">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项目施工期固废主要为建筑垃圾和施工人员生活垃圾，无永久弃渣产生。</w:t>
            </w:r>
          </w:p>
          <w:p w14:paraId="0477AAA7">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运营期固体废物主要为线路检修产生的废弃导线、螺丝钉等废旧材料，集中收集后回收利用</w:t>
            </w:r>
            <w:r>
              <w:rPr>
                <w:rFonts w:ascii="Times New Roman" w:hAnsi="Times New Roman" w:eastAsia="仿宋"/>
                <w:snapToGrid/>
                <w:kern w:val="32"/>
                <w:sz w:val="24"/>
                <w:szCs w:val="24"/>
              </w:rPr>
              <w:t>。</w:t>
            </w:r>
          </w:p>
          <w:p w14:paraId="5FCF3C80">
            <w:pPr>
              <w:pStyle w:val="7"/>
              <w:keepNext w:val="0"/>
              <w:keepLines w:val="0"/>
              <w:pageBreakBefore w:val="0"/>
              <w:kinsoku/>
              <w:wordWrap/>
              <w:overflowPunct/>
              <w:topLinePunct w:val="0"/>
              <w:autoSpaceDE/>
              <w:autoSpaceDN/>
              <w:bidi w:val="0"/>
              <w:adjustRightInd/>
              <w:snapToGrid/>
              <w:spacing w:line="360" w:lineRule="exact"/>
              <w:textAlignment w:val="auto"/>
              <w:rPr>
                <w:rFonts w:ascii="Times New Roman" w:hAnsi="Times New Roman" w:eastAsia="仿宋"/>
                <w:b/>
                <w:bCs/>
                <w:snapToGrid/>
                <w:kern w:val="32"/>
                <w:sz w:val="24"/>
                <w:szCs w:val="24"/>
              </w:rPr>
            </w:pPr>
            <w:r>
              <w:rPr>
                <w:rFonts w:ascii="Times New Roman" w:hAnsi="Times New Roman" w:eastAsia="仿宋"/>
                <w:b/>
                <w:bCs/>
                <w:snapToGrid/>
                <w:kern w:val="32"/>
                <w:sz w:val="24"/>
                <w:szCs w:val="24"/>
              </w:rPr>
              <w:t>5、生态环境</w:t>
            </w:r>
          </w:p>
          <w:p w14:paraId="2C50ECB1">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影响主要为塔基开挖、牵张场设置等造成的植被破坏和水土流失。占用的植被类型均为当地常见种及广布种，占地呈点状分散布置，施工结束后进行植被恢复，对植物多样性影响较小；对野生动物的影响主要表现为栖息地扰动，施工结束后可逐步恢复。</w:t>
            </w:r>
          </w:p>
          <w:p w14:paraId="213C2B33">
            <w:pPr>
              <w:pStyle w:val="7"/>
              <w:keepNext w:val="0"/>
              <w:keepLines w:val="0"/>
              <w:pageBreakBefore w:val="0"/>
              <w:kinsoku/>
              <w:wordWrap/>
              <w:overflowPunct/>
              <w:topLinePunct w:val="0"/>
              <w:autoSpaceDE/>
              <w:autoSpaceDN/>
              <w:bidi w:val="0"/>
              <w:adjustRightInd/>
              <w:snapToGrid/>
              <w:spacing w:line="360" w:lineRule="exact"/>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运营期的影响主要为线路维护人员对植被的轻微踩踏，以及对沿线鸟类的飞行干扰</w:t>
            </w:r>
            <w:r>
              <w:rPr>
                <w:rFonts w:ascii="Times New Roman" w:hAnsi="Times New Roman" w:eastAsia="仿宋"/>
                <w:snapToGrid/>
                <w:kern w:val="32"/>
                <w:sz w:val="24"/>
                <w:szCs w:val="24"/>
              </w:rPr>
              <w:t>。</w:t>
            </w:r>
          </w:p>
          <w:p w14:paraId="7AA0DB2E">
            <w:pPr>
              <w:pStyle w:val="7"/>
              <w:keepNext w:val="0"/>
              <w:keepLines w:val="0"/>
              <w:pageBreakBefore w:val="0"/>
              <w:kinsoku/>
              <w:wordWrap/>
              <w:overflowPunct/>
              <w:topLinePunct w:val="0"/>
              <w:autoSpaceDE/>
              <w:autoSpaceDN/>
              <w:bidi w:val="0"/>
              <w:adjustRightInd/>
              <w:snapToGrid/>
              <w:spacing w:line="360" w:lineRule="exact"/>
              <w:textAlignment w:val="auto"/>
              <w:rPr>
                <w:rFonts w:ascii="Times New Roman" w:hAnsi="Times New Roman" w:eastAsia="仿宋"/>
                <w:b/>
                <w:bCs/>
                <w:snapToGrid/>
                <w:kern w:val="32"/>
                <w:sz w:val="24"/>
                <w:szCs w:val="24"/>
              </w:rPr>
            </w:pPr>
            <w:r>
              <w:rPr>
                <w:rFonts w:ascii="Times New Roman" w:hAnsi="Times New Roman" w:eastAsia="仿宋"/>
                <w:b/>
                <w:bCs/>
                <w:snapToGrid/>
                <w:kern w:val="32"/>
                <w:sz w:val="24"/>
                <w:szCs w:val="24"/>
              </w:rPr>
              <w:t>6、</w:t>
            </w:r>
            <w:r>
              <w:rPr>
                <w:rFonts w:hint="eastAsia" w:ascii="Times New Roman" w:hAnsi="Times New Roman" w:eastAsia="仿宋"/>
                <w:b/>
                <w:bCs/>
                <w:snapToGrid/>
                <w:kern w:val="32"/>
                <w:sz w:val="24"/>
                <w:szCs w:val="24"/>
              </w:rPr>
              <w:t>电磁辐射</w:t>
            </w:r>
          </w:p>
          <w:p w14:paraId="404511C1">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napToGrid/>
                <w:kern w:val="32"/>
                <w:sz w:val="24"/>
                <w:szCs w:val="24"/>
              </w:rPr>
            </w:pPr>
            <w:r>
              <w:rPr>
                <w:rFonts w:hint="eastAsia" w:ascii="Times New Roman" w:hAnsi="Times New Roman" w:eastAsia="仿宋"/>
                <w:snapToGrid/>
                <w:kern w:val="32"/>
                <w:sz w:val="24"/>
                <w:szCs w:val="24"/>
              </w:rPr>
              <w:t>项目施工期无电磁辐射影响。</w:t>
            </w:r>
          </w:p>
          <w:p w14:paraId="12A25CD5">
            <w:pPr>
              <w:pStyle w:val="7"/>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仿宋"/>
                <w:spacing w:val="4"/>
                <w:szCs w:val="32"/>
              </w:rPr>
            </w:pPr>
            <w:r>
              <w:rPr>
                <w:rFonts w:hint="eastAsia" w:ascii="Times New Roman" w:hAnsi="Times New Roman" w:eastAsia="仿宋"/>
                <w:snapToGrid/>
                <w:kern w:val="32"/>
                <w:sz w:val="24"/>
                <w:szCs w:val="24"/>
              </w:rPr>
              <w:t>项目运营期电磁辐射主要来自110kV输电线路运行产生的工频电场和工频磁场。</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280" w:lineRule="exact"/>
              <w:jc w:val="center"/>
              <w:rPr>
                <w:rFonts w:ascii="Times New Roman" w:hAnsi="Times New Roman"/>
                <w:kern w:val="0"/>
                <w:sz w:val="24"/>
                <w:szCs w:val="24"/>
              </w:rPr>
            </w:pPr>
            <w:r>
              <w:rPr>
                <w:rFonts w:ascii="Times New Roman" w:hAnsi="Times New Roman"/>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19F06D6">
            <w:pPr>
              <w:keepNext w:val="0"/>
              <w:keepLines w:val="0"/>
              <w:pageBreakBefore w:val="0"/>
              <w:widowControl/>
              <w:numPr>
                <w:ilvl w:val="0"/>
                <w:numId w:val="2"/>
              </w:numPr>
              <w:kinsoku/>
              <w:wordWrap/>
              <w:overflowPunct/>
              <w:topLinePunct w:val="0"/>
              <w:autoSpaceDE/>
              <w:autoSpaceDN/>
              <w:bidi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声环境</w:t>
            </w:r>
          </w:p>
          <w:p w14:paraId="217EA352">
            <w:pPr>
              <w:keepNext w:val="0"/>
              <w:keepLines w:val="0"/>
              <w:pageBreakBefore w:val="0"/>
              <w:widowControl/>
              <w:kinsoku/>
              <w:wordWrap/>
              <w:overflowPunct/>
              <w:topLinePunct w:val="0"/>
              <w:autoSpaceDE/>
              <w:autoSpaceDN/>
              <w:bidi w:val="0"/>
              <w:spacing w:line="360" w:lineRule="exact"/>
              <w:ind w:firstLine="480" w:firstLineChars="200"/>
              <w:textAlignment w:val="auto"/>
              <w:rPr>
                <w:rFonts w:ascii="Times New Roman" w:hAnsi="Times New Roman" w:eastAsia="仿宋"/>
                <w:sz w:val="24"/>
                <w:szCs w:val="24"/>
              </w:rPr>
            </w:pPr>
            <w:r>
              <w:rPr>
                <w:rFonts w:hint="eastAsia" w:ascii="Times New Roman" w:hAnsi="Times New Roman" w:eastAsia="仿宋"/>
                <w:sz w:val="24"/>
                <w:szCs w:val="24"/>
              </w:rPr>
              <w:t>施工期：采用液压静力压桩机、低噪声振捣器等低噪声设备，加强机械维修养护；高噪声设备加装消声器或隔声罩，并尽量远离居民点，对强噪声源设移动式隔声屏障；合理安排运输路线，途经村庄时减速慢行、禁止鸣笛；禁止夜间施工，确需连续作业的应办理证明并公告附近居民</w:t>
            </w:r>
            <w:r>
              <w:rPr>
                <w:rFonts w:ascii="Times New Roman" w:hAnsi="Times New Roman" w:eastAsia="仿宋"/>
                <w:sz w:val="24"/>
                <w:szCs w:val="24"/>
              </w:rPr>
              <w:t>。</w:t>
            </w:r>
          </w:p>
          <w:p w14:paraId="0F1C035B">
            <w:pPr>
              <w:keepNext w:val="0"/>
              <w:keepLines w:val="0"/>
              <w:pageBreakBefore w:val="0"/>
              <w:widowControl/>
              <w:kinsoku/>
              <w:wordWrap/>
              <w:overflowPunct/>
              <w:topLinePunct w:val="0"/>
              <w:autoSpaceDE/>
              <w:autoSpaceDN/>
              <w:bidi w:val="0"/>
              <w:spacing w:line="360" w:lineRule="exact"/>
              <w:ind w:firstLine="436" w:firstLineChars="200"/>
              <w:textAlignment w:val="auto"/>
              <w:rPr>
                <w:rFonts w:ascii="Times New Roman" w:hAnsi="Times New Roman" w:eastAsia="仿宋"/>
                <w:sz w:val="24"/>
                <w:szCs w:val="24"/>
              </w:rPr>
            </w:pPr>
            <w:r>
              <w:rPr>
                <w:rFonts w:ascii="Times New Roman" w:hAnsi="Times New Roman" w:eastAsia="仿宋"/>
                <w:spacing w:val="-11"/>
                <w:sz w:val="24"/>
                <w:szCs w:val="24"/>
              </w:rPr>
              <w:t>运营期</w:t>
            </w:r>
            <w:r>
              <w:rPr>
                <w:rFonts w:hint="eastAsia" w:ascii="Times New Roman" w:hAnsi="Times New Roman" w:eastAsia="仿宋"/>
                <w:sz w:val="24"/>
                <w:szCs w:val="24"/>
              </w:rPr>
              <w:t>：加强日常管理和维护，确保设备良好运行；开展线路声环境及保护目标噪声监测，确保达标，不达标及时治理</w:t>
            </w:r>
            <w:r>
              <w:rPr>
                <w:rFonts w:ascii="Times New Roman" w:hAnsi="Times New Roman" w:eastAsia="仿宋"/>
                <w:sz w:val="24"/>
                <w:szCs w:val="24"/>
              </w:rPr>
              <w:t>。</w:t>
            </w:r>
          </w:p>
          <w:p w14:paraId="1F58B3C9">
            <w:pPr>
              <w:keepNext w:val="0"/>
              <w:keepLines w:val="0"/>
              <w:pageBreakBefore w:val="0"/>
              <w:kinsoku/>
              <w:wordWrap/>
              <w:overflowPunct/>
              <w:topLinePunct w:val="0"/>
              <w:autoSpaceDE/>
              <w:autoSpaceDN/>
              <w:bidi w:val="0"/>
              <w:adjustRightInd w:val="0"/>
              <w:snapToGrid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2、大气环境</w:t>
            </w:r>
          </w:p>
          <w:p w14:paraId="1D82CFF8">
            <w:pPr>
              <w:keepNext w:val="0"/>
              <w:keepLines w:val="0"/>
              <w:pageBreakBefore w:val="0"/>
              <w:kinsoku/>
              <w:wordWrap/>
              <w:overflowPunct/>
              <w:topLinePunct w:val="0"/>
              <w:autoSpaceDE/>
              <w:autoSpaceDN/>
              <w:bidi w:val="0"/>
              <w:adjustRightInd w:val="0"/>
              <w:snapToGrid w:val="0"/>
              <w:spacing w:line="360" w:lineRule="exact"/>
              <w:ind w:firstLine="480" w:firstLineChars="200"/>
              <w:textAlignment w:val="auto"/>
              <w:rPr>
                <w:rFonts w:ascii="Times New Roman" w:hAnsi="Times New Roman" w:eastAsia="仿宋"/>
                <w:sz w:val="24"/>
                <w:szCs w:val="24"/>
              </w:rPr>
            </w:pPr>
            <w:r>
              <w:rPr>
                <w:rFonts w:hint="eastAsia" w:ascii="Times New Roman" w:hAnsi="Times New Roman" w:eastAsia="仿宋"/>
                <w:sz w:val="24"/>
                <w:szCs w:val="24"/>
              </w:rPr>
              <w:t>施工期：施工场地四周设置封闭围挡，出入口设车辆冲洗设施；裸土及易起尘物料用防尘网覆盖；钻孔、切割、开挖、搅拌等作业采取喷淋、喷雾等湿法降尘措施，干旱大风天气增加洒水次数；渣土运输车辆密闭覆盖，控制装载高度；落实《建筑工程绿色施工规范》要求，开展扬尘防治培训。</w:t>
            </w:r>
          </w:p>
          <w:p w14:paraId="69DD97BF">
            <w:pPr>
              <w:keepNext w:val="0"/>
              <w:keepLines w:val="0"/>
              <w:pageBreakBefore w:val="0"/>
              <w:kinsoku/>
              <w:wordWrap/>
              <w:overflowPunct/>
              <w:topLinePunct w:val="0"/>
              <w:autoSpaceDE/>
              <w:autoSpaceDN/>
              <w:bidi w:val="0"/>
              <w:adjustRightInd w:val="0"/>
              <w:snapToGrid w:val="0"/>
              <w:spacing w:line="360" w:lineRule="exact"/>
              <w:ind w:firstLine="436" w:firstLineChars="200"/>
              <w:textAlignment w:val="auto"/>
              <w:rPr>
                <w:rFonts w:ascii="Times New Roman" w:hAnsi="Times New Roman" w:eastAsia="仿宋"/>
                <w:sz w:val="24"/>
                <w:szCs w:val="24"/>
              </w:rPr>
            </w:pPr>
            <w:r>
              <w:rPr>
                <w:rFonts w:ascii="Times New Roman" w:hAnsi="Times New Roman" w:eastAsia="仿宋"/>
                <w:spacing w:val="-11"/>
                <w:sz w:val="24"/>
                <w:szCs w:val="24"/>
              </w:rPr>
              <w:t>运营期</w:t>
            </w:r>
            <w:r>
              <w:rPr>
                <w:rFonts w:hint="eastAsia" w:ascii="Times New Roman" w:hAnsi="Times New Roman" w:eastAsia="仿宋"/>
                <w:sz w:val="24"/>
                <w:szCs w:val="24"/>
              </w:rPr>
              <w:t>：输电线路运营后无废气产生</w:t>
            </w:r>
            <w:r>
              <w:rPr>
                <w:rFonts w:ascii="Times New Roman" w:hAnsi="Times New Roman" w:eastAsia="仿宋"/>
                <w:sz w:val="24"/>
                <w:szCs w:val="24"/>
              </w:rPr>
              <w:t>。</w:t>
            </w:r>
          </w:p>
          <w:p w14:paraId="20680DA5">
            <w:pPr>
              <w:pStyle w:val="7"/>
              <w:keepNext w:val="0"/>
              <w:keepLines w:val="0"/>
              <w:pageBreakBefore w:val="0"/>
              <w:kinsoku/>
              <w:wordWrap/>
              <w:overflowPunct/>
              <w:topLinePunct w:val="0"/>
              <w:autoSpaceDE/>
              <w:autoSpaceDN/>
              <w:bidi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3、水环境</w:t>
            </w:r>
          </w:p>
          <w:p w14:paraId="1F21E557">
            <w:pPr>
              <w:keepNext w:val="0"/>
              <w:keepLines w:val="0"/>
              <w:pageBreakBefore w:val="0"/>
              <w:kinsoku/>
              <w:wordWrap/>
              <w:overflowPunct/>
              <w:topLinePunct w:val="0"/>
              <w:autoSpaceDE/>
              <w:autoSpaceDN/>
              <w:bidi w:val="0"/>
              <w:spacing w:line="360" w:lineRule="exact"/>
              <w:ind w:firstLine="464" w:firstLineChars="200"/>
              <w:textAlignment w:val="auto"/>
              <w:rPr>
                <w:rFonts w:ascii="Times New Roman" w:hAnsi="Times New Roman" w:eastAsia="仿宋"/>
                <w:spacing w:val="-5"/>
                <w:sz w:val="24"/>
                <w:szCs w:val="24"/>
              </w:rPr>
            </w:pPr>
            <w:r>
              <w:rPr>
                <w:rFonts w:hint="eastAsia" w:ascii="Times New Roman" w:hAnsi="Times New Roman" w:eastAsia="仿宋"/>
                <w:spacing w:val="-4"/>
                <w:sz w:val="24"/>
                <w:szCs w:val="24"/>
              </w:rPr>
              <w:t>施工期：施工人员依托附近村庄生活设施，不设施工营地；塔基混凝土拌合冲洗废水经防渗沉淀池澄清后全部回用于搅拌和洒水降尘，不外排；施工场地远离地表水体布置，严禁在地表水中清洗车辆或器具；设置临时截排水沟及沉砂池，防止含泥径流进入水体；加强机械维护，防止油料泄漏，受污染土壤按危废处置</w:t>
            </w:r>
            <w:r>
              <w:rPr>
                <w:rFonts w:hint="eastAsia" w:ascii="Times New Roman" w:hAnsi="Times New Roman" w:eastAsia="仿宋"/>
                <w:spacing w:val="-5"/>
                <w:sz w:val="24"/>
                <w:szCs w:val="24"/>
              </w:rPr>
              <w:t>。</w:t>
            </w:r>
          </w:p>
          <w:p w14:paraId="42F907A7">
            <w:pPr>
              <w:keepNext w:val="0"/>
              <w:keepLines w:val="0"/>
              <w:pageBreakBefore w:val="0"/>
              <w:kinsoku/>
              <w:wordWrap/>
              <w:overflowPunct/>
              <w:topLinePunct w:val="0"/>
              <w:autoSpaceDE/>
              <w:autoSpaceDN/>
              <w:bidi w:val="0"/>
              <w:spacing w:line="360" w:lineRule="exact"/>
              <w:ind w:firstLine="436" w:firstLineChars="200"/>
              <w:textAlignment w:val="auto"/>
              <w:rPr>
                <w:rFonts w:ascii="Times New Roman" w:hAnsi="Times New Roman" w:eastAsia="仿宋"/>
                <w:sz w:val="24"/>
                <w:szCs w:val="24"/>
              </w:rPr>
            </w:pPr>
            <w:r>
              <w:rPr>
                <w:rFonts w:ascii="Times New Roman" w:hAnsi="Times New Roman" w:eastAsia="仿宋"/>
                <w:spacing w:val="-11"/>
                <w:sz w:val="24"/>
                <w:szCs w:val="24"/>
              </w:rPr>
              <w:t>运营期</w:t>
            </w:r>
            <w:r>
              <w:rPr>
                <w:rFonts w:hint="eastAsia" w:ascii="Times New Roman" w:hAnsi="Times New Roman" w:eastAsia="仿宋"/>
                <w:spacing w:val="-5"/>
                <w:sz w:val="24"/>
                <w:szCs w:val="24"/>
              </w:rPr>
              <w:t>：</w:t>
            </w:r>
            <w:r>
              <w:rPr>
                <w:rFonts w:hint="eastAsia" w:ascii="Times New Roman" w:hAnsi="Times New Roman" w:eastAsia="仿宋"/>
                <w:sz w:val="24"/>
                <w:szCs w:val="24"/>
              </w:rPr>
              <w:t>输电线路运营后无废水产生</w:t>
            </w:r>
            <w:r>
              <w:rPr>
                <w:rFonts w:ascii="Times New Roman" w:hAnsi="Times New Roman" w:eastAsia="仿宋"/>
                <w:spacing w:val="-5"/>
                <w:sz w:val="24"/>
                <w:szCs w:val="24"/>
              </w:rPr>
              <w:t>。</w:t>
            </w:r>
            <w:r>
              <w:rPr>
                <w:rFonts w:ascii="Times New Roman" w:hAnsi="Times New Roman" w:eastAsia="仿宋"/>
                <w:sz w:val="24"/>
                <w:szCs w:val="24"/>
              </w:rPr>
              <w:t xml:space="preserve"> </w:t>
            </w:r>
          </w:p>
          <w:p w14:paraId="0687D6C2">
            <w:pPr>
              <w:pStyle w:val="7"/>
              <w:keepNext w:val="0"/>
              <w:keepLines w:val="0"/>
              <w:pageBreakBefore w:val="0"/>
              <w:numPr>
                <w:ilvl w:val="0"/>
                <w:numId w:val="3"/>
              </w:numPr>
              <w:kinsoku/>
              <w:wordWrap/>
              <w:overflowPunct/>
              <w:topLinePunct w:val="0"/>
              <w:autoSpaceDE/>
              <w:autoSpaceDN/>
              <w:bidi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固体废物</w:t>
            </w:r>
          </w:p>
          <w:p w14:paraId="3AB33FB5">
            <w:pPr>
              <w:keepNext w:val="0"/>
              <w:keepLines w:val="0"/>
              <w:pageBreakBefore w:val="0"/>
              <w:kinsoku/>
              <w:wordWrap/>
              <w:overflowPunct/>
              <w:topLinePunct w:val="0"/>
              <w:autoSpaceDE/>
              <w:autoSpaceDN/>
              <w:bidi w:val="0"/>
              <w:spacing w:line="360" w:lineRule="exact"/>
              <w:ind w:firstLine="472" w:firstLineChars="200"/>
              <w:textAlignment w:val="auto"/>
              <w:rPr>
                <w:rFonts w:ascii="Times New Roman" w:hAnsi="Times New Roman" w:eastAsia="仿宋"/>
                <w:spacing w:val="-14"/>
                <w:sz w:val="24"/>
                <w:szCs w:val="24"/>
              </w:rPr>
            </w:pPr>
            <w:r>
              <w:rPr>
                <w:rFonts w:ascii="Times New Roman" w:hAnsi="Times New Roman" w:eastAsia="仿宋"/>
                <w:spacing w:val="-2"/>
                <w:sz w:val="24"/>
                <w:szCs w:val="24"/>
              </w:rPr>
              <w:t>施工期</w:t>
            </w:r>
            <w:r>
              <w:rPr>
                <w:rFonts w:hint="eastAsia" w:ascii="Times New Roman" w:hAnsi="Times New Roman" w:eastAsia="仿宋"/>
                <w:spacing w:val="-2"/>
                <w:sz w:val="24"/>
                <w:szCs w:val="24"/>
              </w:rPr>
              <w:t>：生活垃圾集中收集后随租住地垃圾统一处理；可回收废建材回收利用，不可回收建筑垃圾运至指定消纳场；临时堆土远离水体并采取挡护及苫盖措施，开挖土石方分层堆放、全部回填；施工临时占地铺设彩条布等隔离保护，结束后及时清理恢复；废泥浆固化后运至渣土场；设备维修产生的废机油等危险废物委托有资质单位处置，建立固废管理台账</w:t>
            </w:r>
            <w:r>
              <w:rPr>
                <w:rFonts w:ascii="Times New Roman" w:hAnsi="Times New Roman" w:eastAsia="仿宋"/>
                <w:spacing w:val="-14"/>
                <w:sz w:val="24"/>
                <w:szCs w:val="24"/>
              </w:rPr>
              <w:t>。</w:t>
            </w:r>
          </w:p>
          <w:p w14:paraId="1FB6C19E">
            <w:pPr>
              <w:keepNext w:val="0"/>
              <w:keepLines w:val="0"/>
              <w:pageBreakBefore w:val="0"/>
              <w:kinsoku/>
              <w:wordWrap/>
              <w:overflowPunct/>
              <w:topLinePunct w:val="0"/>
              <w:autoSpaceDE/>
              <w:autoSpaceDN/>
              <w:bidi w:val="0"/>
              <w:spacing w:line="360" w:lineRule="exact"/>
              <w:ind w:firstLine="436" w:firstLineChars="200"/>
              <w:textAlignment w:val="auto"/>
              <w:rPr>
                <w:rFonts w:ascii="Times New Roman" w:hAnsi="Times New Roman" w:eastAsia="仿宋"/>
                <w:spacing w:val="-14"/>
                <w:sz w:val="24"/>
                <w:szCs w:val="24"/>
              </w:rPr>
            </w:pPr>
            <w:r>
              <w:rPr>
                <w:rFonts w:ascii="Times New Roman" w:hAnsi="Times New Roman" w:eastAsia="仿宋"/>
                <w:spacing w:val="-11"/>
                <w:sz w:val="24"/>
                <w:szCs w:val="24"/>
              </w:rPr>
              <w:t>运营期</w:t>
            </w:r>
            <w:r>
              <w:rPr>
                <w:rFonts w:hint="eastAsia" w:ascii="Times New Roman" w:hAnsi="Times New Roman" w:eastAsia="仿宋"/>
                <w:spacing w:val="-11"/>
                <w:sz w:val="24"/>
                <w:szCs w:val="24"/>
              </w:rPr>
              <w:t>：线路检修产生的废弃导线、螺丝钉等废旧材料集中收集后回收利用，不得随意丢弃</w:t>
            </w:r>
            <w:r>
              <w:rPr>
                <w:rFonts w:ascii="Times New Roman" w:hAnsi="Times New Roman" w:eastAsia="仿宋"/>
                <w:spacing w:val="-11"/>
                <w:sz w:val="24"/>
                <w:szCs w:val="24"/>
              </w:rPr>
              <w:t>。</w:t>
            </w:r>
          </w:p>
          <w:p w14:paraId="08B61F02">
            <w:pPr>
              <w:pStyle w:val="7"/>
              <w:keepNext w:val="0"/>
              <w:keepLines w:val="0"/>
              <w:pageBreakBefore w:val="0"/>
              <w:numPr>
                <w:ilvl w:val="0"/>
                <w:numId w:val="3"/>
              </w:numPr>
              <w:kinsoku/>
              <w:wordWrap/>
              <w:overflowPunct/>
              <w:topLinePunct w:val="0"/>
              <w:autoSpaceDE/>
              <w:autoSpaceDN/>
              <w:bidi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生态环境</w:t>
            </w:r>
          </w:p>
          <w:p w14:paraId="2E5779BB">
            <w:pPr>
              <w:keepNext w:val="0"/>
              <w:keepLines w:val="0"/>
              <w:pageBreakBefore w:val="0"/>
              <w:kinsoku/>
              <w:wordWrap/>
              <w:overflowPunct/>
              <w:topLinePunct w:val="0"/>
              <w:autoSpaceDE/>
              <w:autoSpaceDN/>
              <w:bidi w:val="0"/>
              <w:spacing w:line="360" w:lineRule="exact"/>
              <w:ind w:firstLine="496" w:firstLineChars="200"/>
              <w:textAlignment w:val="auto"/>
              <w:rPr>
                <w:rFonts w:ascii="Times New Roman" w:hAnsi="Times New Roman" w:eastAsia="仿宋"/>
                <w:sz w:val="24"/>
                <w:szCs w:val="24"/>
              </w:rPr>
            </w:pPr>
            <w:r>
              <w:rPr>
                <w:rFonts w:ascii="Times New Roman" w:hAnsi="Times New Roman" w:eastAsia="仿宋"/>
                <w:spacing w:val="4"/>
                <w:sz w:val="24"/>
                <w:szCs w:val="24"/>
              </w:rPr>
              <w:t>施工期</w:t>
            </w:r>
            <w:r>
              <w:rPr>
                <w:rFonts w:hint="eastAsia" w:ascii="Times New Roman" w:hAnsi="Times New Roman" w:eastAsia="仿宋"/>
                <w:spacing w:val="4"/>
                <w:sz w:val="24"/>
                <w:szCs w:val="24"/>
              </w:rPr>
              <w:t>：优化塔基、线路路径、施工场地布置，采取先进环保的设计施工方案，进一步减少对周边生态环境的影响。严格控制施工范围在征地红线范围内，强化施工期环境管理，加强环境保护宣传培训，设立警示牌，发放宣传手册。施工结束后，及时清理场地，选择乡土树草种进行植被恢复</w:t>
            </w:r>
            <w:r>
              <w:rPr>
                <w:rFonts w:ascii="Times New Roman" w:hAnsi="Times New Roman" w:eastAsia="仿宋"/>
                <w:sz w:val="24"/>
                <w:szCs w:val="24"/>
              </w:rPr>
              <w:t>。</w:t>
            </w:r>
          </w:p>
          <w:p w14:paraId="2FF98570">
            <w:pPr>
              <w:keepNext w:val="0"/>
              <w:keepLines w:val="0"/>
              <w:pageBreakBefore w:val="0"/>
              <w:kinsoku/>
              <w:wordWrap/>
              <w:overflowPunct/>
              <w:topLinePunct w:val="0"/>
              <w:autoSpaceDE/>
              <w:autoSpaceDN/>
              <w:bidi w:val="0"/>
              <w:spacing w:line="360" w:lineRule="exact"/>
              <w:ind w:firstLine="464" w:firstLineChars="200"/>
              <w:textAlignment w:val="auto"/>
              <w:rPr>
                <w:rFonts w:ascii="Times New Roman" w:hAnsi="Times New Roman" w:eastAsia="仿宋"/>
                <w:spacing w:val="-4"/>
                <w:sz w:val="24"/>
                <w:szCs w:val="24"/>
              </w:rPr>
            </w:pPr>
            <w:r>
              <w:rPr>
                <w:rFonts w:ascii="Times New Roman" w:hAnsi="Times New Roman" w:eastAsia="仿宋"/>
                <w:spacing w:val="-4"/>
                <w:sz w:val="24"/>
                <w:szCs w:val="24"/>
              </w:rPr>
              <w:t>运营期</w:t>
            </w:r>
            <w:r>
              <w:rPr>
                <w:rFonts w:hint="eastAsia" w:ascii="Times New Roman" w:hAnsi="Times New Roman" w:eastAsia="仿宋"/>
                <w:spacing w:val="-4"/>
                <w:sz w:val="24"/>
                <w:szCs w:val="24"/>
              </w:rPr>
              <w:t>：施工结束后及时对临时占地进行回填、覆土绿化并定期抚育管理；对运行维护人员进行野生动植物保护培训，禁止维护人员引入外来物种，不对周边动植物及生态环境进行破坏</w:t>
            </w:r>
            <w:r>
              <w:rPr>
                <w:rFonts w:ascii="Times New Roman" w:hAnsi="Times New Roman" w:eastAsia="仿宋"/>
                <w:spacing w:val="-4"/>
                <w:sz w:val="24"/>
                <w:szCs w:val="24"/>
              </w:rPr>
              <w:t>。</w:t>
            </w:r>
          </w:p>
          <w:p w14:paraId="1280DF73">
            <w:pPr>
              <w:pStyle w:val="7"/>
              <w:keepNext w:val="0"/>
              <w:keepLines w:val="0"/>
              <w:pageBreakBefore w:val="0"/>
              <w:numPr>
                <w:ilvl w:val="0"/>
                <w:numId w:val="3"/>
              </w:numPr>
              <w:kinsoku/>
              <w:wordWrap/>
              <w:overflowPunct/>
              <w:topLinePunct w:val="0"/>
              <w:autoSpaceDE/>
              <w:autoSpaceDN/>
              <w:bidi w:val="0"/>
              <w:spacing w:line="360" w:lineRule="exact"/>
              <w:textAlignment w:val="auto"/>
              <w:rPr>
                <w:rFonts w:ascii="Times New Roman" w:hAnsi="Times New Roman" w:eastAsia="仿宋"/>
                <w:b/>
                <w:bCs/>
                <w:sz w:val="24"/>
                <w:szCs w:val="24"/>
              </w:rPr>
            </w:pPr>
            <w:r>
              <w:rPr>
                <w:rFonts w:ascii="Times New Roman" w:hAnsi="Times New Roman" w:eastAsia="仿宋"/>
                <w:b/>
                <w:bCs/>
                <w:sz w:val="24"/>
                <w:szCs w:val="24"/>
              </w:rPr>
              <w:t>生态环境</w:t>
            </w:r>
          </w:p>
          <w:p w14:paraId="7508F65F">
            <w:pPr>
              <w:keepNext w:val="0"/>
              <w:keepLines w:val="0"/>
              <w:pageBreakBefore w:val="0"/>
              <w:kinsoku/>
              <w:wordWrap/>
              <w:overflowPunct/>
              <w:topLinePunct w:val="0"/>
              <w:autoSpaceDE/>
              <w:autoSpaceDN/>
              <w:bidi w:val="0"/>
              <w:spacing w:line="360" w:lineRule="exact"/>
              <w:ind w:firstLine="496" w:firstLineChars="200"/>
              <w:textAlignment w:val="auto"/>
              <w:rPr>
                <w:rFonts w:ascii="Times New Roman" w:hAnsi="Times New Roman" w:eastAsia="仿宋"/>
                <w:sz w:val="24"/>
                <w:szCs w:val="24"/>
              </w:rPr>
            </w:pPr>
            <w:r>
              <w:rPr>
                <w:rFonts w:ascii="Times New Roman" w:hAnsi="Times New Roman" w:eastAsia="仿宋"/>
                <w:spacing w:val="4"/>
                <w:sz w:val="24"/>
                <w:szCs w:val="24"/>
              </w:rPr>
              <w:t>施工期</w:t>
            </w:r>
            <w:r>
              <w:rPr>
                <w:rFonts w:hint="eastAsia" w:ascii="Times New Roman" w:hAnsi="Times New Roman" w:eastAsia="仿宋"/>
                <w:spacing w:val="4"/>
                <w:sz w:val="24"/>
                <w:szCs w:val="24"/>
              </w:rPr>
              <w:t>：输电线路建设不涉及电磁辐射影响</w:t>
            </w:r>
            <w:r>
              <w:rPr>
                <w:rFonts w:ascii="Times New Roman" w:hAnsi="Times New Roman" w:eastAsia="仿宋"/>
                <w:sz w:val="24"/>
                <w:szCs w:val="24"/>
              </w:rPr>
              <w:t>。</w:t>
            </w:r>
          </w:p>
          <w:p w14:paraId="092FF4DA">
            <w:pPr>
              <w:keepNext w:val="0"/>
              <w:keepLines w:val="0"/>
              <w:pageBreakBefore w:val="0"/>
              <w:kinsoku/>
              <w:wordWrap/>
              <w:overflowPunct/>
              <w:topLinePunct w:val="0"/>
              <w:autoSpaceDE/>
              <w:autoSpaceDN/>
              <w:bidi w:val="0"/>
              <w:spacing w:line="360" w:lineRule="exact"/>
              <w:ind w:firstLine="464" w:firstLineChars="200"/>
              <w:textAlignment w:val="auto"/>
              <w:rPr>
                <w:rFonts w:ascii="Times New Roman" w:hAnsi="Times New Roman"/>
              </w:rPr>
            </w:pPr>
            <w:r>
              <w:rPr>
                <w:rFonts w:ascii="Times New Roman" w:hAnsi="Times New Roman" w:eastAsia="仿宋"/>
                <w:spacing w:val="-4"/>
                <w:sz w:val="24"/>
                <w:szCs w:val="24"/>
              </w:rPr>
              <w:t>运营期</w:t>
            </w:r>
            <w:r>
              <w:rPr>
                <w:rFonts w:hint="eastAsia" w:ascii="Times New Roman" w:hAnsi="Times New Roman" w:eastAsia="仿宋"/>
                <w:spacing w:val="-4"/>
                <w:sz w:val="24"/>
                <w:szCs w:val="24"/>
              </w:rPr>
              <w:t>：定期巡查检修输电线路和塔基，保障正常运行，防止因运行故障产生电磁环境影响；在电力设施重点保护区设立安全警示标志，标明严禁攀登等安全注意事项；开展电磁环境监测，确保工频电场、工频磁场满足《电磁环境控制限值》（GB8702-2014）标准限值要求；加强电磁环境影响环保宣传，帮助公众科学认识工频电磁场，减少在高压走廊内的停留时间。</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30ABFA">
        <w:tblPrEx>
          <w:tblCellMar>
            <w:top w:w="0" w:type="dxa"/>
            <w:left w:w="108" w:type="dxa"/>
            <w:bottom w:w="0" w:type="dxa"/>
            <w:right w:w="108" w:type="dxa"/>
          </w:tblCellMar>
        </w:tblPrEx>
        <w:trPr>
          <w:trHeight w:val="589"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FEEC31F">
            <w:pPr>
              <w:ind w:firstLine="480"/>
              <w:rPr>
                <w:rFonts w:hint="eastAsia" w:ascii="Times New Roman" w:hAnsi="Times New Roman" w:eastAsia="仿宋"/>
                <w:color w:val="000000" w:themeColor="text1"/>
                <w:lang w:val="en-US" w:eastAsia="zh-CN"/>
                <w14:textFill>
                  <w14:solidFill>
                    <w14:schemeClr w14:val="tx1"/>
                  </w14:solidFill>
                </w14:textFill>
              </w:rPr>
            </w:pPr>
            <w:r>
              <w:rPr>
                <w:rFonts w:hint="eastAsia" w:ascii="Times New Roman" w:hAnsi="Times New Roman" w:eastAsia="仿宋"/>
                <w:spacing w:val="3"/>
                <w:sz w:val="24"/>
                <w:szCs w:val="24"/>
              </w:rPr>
              <w:t>无</w:t>
            </w:r>
            <w:r>
              <w:rPr>
                <w:rFonts w:hint="eastAsia" w:ascii="Times New Roman" w:hAnsi="Times New Roman" w:eastAsia="仿宋"/>
                <w:spacing w:val="3"/>
                <w:sz w:val="24"/>
                <w:szCs w:val="24"/>
                <w:lang w:eastAsia="zh-CN"/>
              </w:rPr>
              <w:t>。</w:t>
            </w:r>
          </w:p>
        </w:tc>
      </w:tr>
      <w:tr w14:paraId="44773E70">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2EFC629B">
            <w:pPr>
              <w:pStyle w:val="7"/>
              <w:rPr>
                <w:rFonts w:hint="eastAsia" w:eastAsia="方正仿宋_GBK"/>
                <w:lang w:eastAsia="zh-CN"/>
              </w:rPr>
            </w:pPr>
            <w:r>
              <w:rPr>
                <w:rFonts w:hint="eastAsia" w:ascii="Times New Roman" w:hAnsi="Times New Roman" w:eastAsia="仿宋" w:cs="Times New Roman"/>
                <w:snapToGrid/>
                <w:spacing w:val="-4"/>
                <w:kern w:val="32"/>
                <w:sz w:val="24"/>
                <w:szCs w:val="24"/>
                <w:lang w:val="en-US" w:eastAsia="zh-CN" w:bidi="ar-SA"/>
              </w:rPr>
              <w:t>同意公开的承诺函。</w:t>
            </w:r>
          </w:p>
        </w:tc>
      </w:tr>
      <w:tr w14:paraId="3D890382">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06A54C2A">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727FFA0E">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3589F7A4-D181-4CC2-8359-2C50350B3208}"/>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FCA2F79-A121-489B-A034-6E9F3D387F88}"/>
  </w:font>
  <w:font w:name="华文仿宋">
    <w:panose1 w:val="02010600040101010101"/>
    <w:charset w:val="86"/>
    <w:family w:val="auto"/>
    <w:pitch w:val="default"/>
    <w:sig w:usb0="00000287" w:usb1="080F0000" w:usb2="00000000" w:usb3="00000000" w:csb0="0004009F" w:csb1="DFD70000"/>
    <w:embedRegular r:id="rId3" w:fontKey="{FDA3A3EC-4CFB-4E43-80BF-E4CF0A010713}"/>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AD539"/>
    <w:multiLevelType w:val="singleLevel"/>
    <w:tmpl w:val="992AD539"/>
    <w:lvl w:ilvl="0" w:tentative="0">
      <w:start w:val="3"/>
      <w:numFmt w:val="decimal"/>
      <w:suff w:val="nothing"/>
      <w:lvlText w:val="%1、"/>
      <w:lvlJc w:val="left"/>
    </w:lvl>
  </w:abstractNum>
  <w:abstractNum w:abstractNumId="1">
    <w:nsid w:val="B9375077"/>
    <w:multiLevelType w:val="singleLevel"/>
    <w:tmpl w:val="B9375077"/>
    <w:lvl w:ilvl="0" w:tentative="0">
      <w:start w:val="4"/>
      <w:numFmt w:val="decimal"/>
      <w:suff w:val="nothing"/>
      <w:lvlText w:val="%1、"/>
      <w:lvlJc w:val="left"/>
    </w:lvl>
  </w:abstractNum>
  <w:abstractNum w:abstractNumId="2">
    <w:nsid w:val="E62FF8CC"/>
    <w:multiLevelType w:val="singleLevel"/>
    <w:tmpl w:val="E62FF8CC"/>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0870623F"/>
    <w:rsid w:val="0E7539A2"/>
    <w:rsid w:val="0F154DB0"/>
    <w:rsid w:val="13B34670"/>
    <w:rsid w:val="17FC2877"/>
    <w:rsid w:val="1A3C46BC"/>
    <w:rsid w:val="1B020E5E"/>
    <w:rsid w:val="1C8733A0"/>
    <w:rsid w:val="201D4921"/>
    <w:rsid w:val="20547DB6"/>
    <w:rsid w:val="21602F6F"/>
    <w:rsid w:val="22862C6A"/>
    <w:rsid w:val="245D4345"/>
    <w:rsid w:val="24694EB2"/>
    <w:rsid w:val="25502092"/>
    <w:rsid w:val="292F552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26C2071"/>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5D267C"/>
    <w:rsid w:val="5653575C"/>
    <w:rsid w:val="577942AD"/>
    <w:rsid w:val="57974543"/>
    <w:rsid w:val="58FF0EBE"/>
    <w:rsid w:val="5998453C"/>
    <w:rsid w:val="5A834766"/>
    <w:rsid w:val="5BED57C7"/>
    <w:rsid w:val="5D2E69AB"/>
    <w:rsid w:val="5DCC4393"/>
    <w:rsid w:val="5E951367"/>
    <w:rsid w:val="5F257633"/>
    <w:rsid w:val="60EA0DC0"/>
    <w:rsid w:val="614E3CA3"/>
    <w:rsid w:val="64CE0A00"/>
    <w:rsid w:val="66336F03"/>
    <w:rsid w:val="66B00A67"/>
    <w:rsid w:val="6AB93F9D"/>
    <w:rsid w:val="6BBD6D80"/>
    <w:rsid w:val="6C8A7DA4"/>
    <w:rsid w:val="714078D6"/>
    <w:rsid w:val="715F713D"/>
    <w:rsid w:val="747E39E9"/>
    <w:rsid w:val="74857523"/>
    <w:rsid w:val="75D3054A"/>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3"/>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4"/>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2"/>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2">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3">
    <w:name w:val="【正文】"/>
    <w:basedOn w:val="1"/>
    <w:qFormat/>
    <w:uiPriority w:val="0"/>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2080</Words>
  <Characters>2151</Characters>
  <Lines>97</Lines>
  <Paragraphs>85</Paragraphs>
  <TotalTime>5</TotalTime>
  <ScaleCrop>false</ScaleCrop>
  <LinksUpToDate>false</LinksUpToDate>
  <CharactersWithSpaces>2155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2026-07-21T07:56:50Z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99A57C4447C14067A4A937EDE1AF3D06_13</vt:lpwstr>
  </property>
  <property fmtid="{D5CDD505-2E9C-101B-9397-08002B2CF9AE}" pid="4" name="KSOTemplateDocerSaveRecord">
    <vt:lpwstr>eyJoZGlkIjoiYTA0OTFiNTllN2E3YTc2MDc5ZTIwYTg0ZjFlZjFlMWQiLCJ1c2VySWQiOiIzNzMyMDUyODEifQ==</vt:lpwstr>
  </property>
</Properties>
</file>