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0" w:type="auto"/>
        <w:jc w:val="center"/>
        <w:tblLayout w:type="fixed"/>
        <w:tblCellMar>
          <w:top w:w="0" w:type="dxa"/>
          <w:left w:w="108" w:type="dxa"/>
          <w:bottom w:w="0" w:type="dxa"/>
          <w:right w:w="108" w:type="dxa"/>
        </w:tblCellMar>
      </w:tblPr>
      <w:tblGrid>
        <w:gridCol w:w="1756"/>
        <w:gridCol w:w="2246"/>
        <w:gridCol w:w="1276"/>
        <w:gridCol w:w="1559"/>
        <w:gridCol w:w="1276"/>
        <w:gridCol w:w="1701"/>
      </w:tblGrid>
      <w:tr w14:paraId="00D70601">
        <w:tblPrEx>
          <w:tblCellMar>
            <w:top w:w="0" w:type="dxa"/>
            <w:left w:w="108" w:type="dxa"/>
            <w:bottom w:w="0" w:type="dxa"/>
            <w:right w:w="108" w:type="dxa"/>
          </w:tblCellMar>
        </w:tblPrEx>
        <w:trPr>
          <w:trHeight w:val="930" w:hRule="atLeast"/>
          <w:jc w:val="center"/>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42F0DBCD">
            <w:pPr>
              <w:widowControl/>
              <w:spacing w:line="280" w:lineRule="exact"/>
              <w:jc w:val="center"/>
              <w:rPr>
                <w:rFonts w:ascii="宋体"/>
                <w:kern w:val="0"/>
                <w:sz w:val="24"/>
                <w:szCs w:val="24"/>
              </w:rPr>
            </w:pPr>
            <w:bookmarkStart w:id="1" w:name="_GoBack"/>
            <w:bookmarkEnd w:id="1"/>
            <w:r>
              <w:rPr>
                <w:rFonts w:hint="eastAsia" w:ascii="宋体" w:hAnsi="宋体"/>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217DAED2">
            <w:pPr>
              <w:widowControl/>
              <w:spacing w:line="280" w:lineRule="exact"/>
              <w:jc w:val="center"/>
              <w:rPr>
                <w:rFonts w:ascii="Times New Roman" w:hAnsi="Times New Roman"/>
                <w:sz w:val="24"/>
                <w:szCs w:val="24"/>
              </w:rPr>
            </w:pPr>
            <w:r>
              <w:rPr>
                <w:rFonts w:hint="eastAsia" w:ascii="Times New Roman" w:hAnsi="Times New Roman" w:cs="Times New Roman"/>
                <w:sz w:val="24"/>
                <w:szCs w:val="24"/>
                <w:lang w:val="en-US" w:eastAsia="zh-CN"/>
              </w:rPr>
              <w:t>云南绿骁农牧发展有限公司妥者生猪养殖项目</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5555C6E7">
            <w:pPr>
              <w:widowControl/>
              <w:spacing w:line="280" w:lineRule="exact"/>
              <w:jc w:val="center"/>
              <w:rPr>
                <w:rFonts w:ascii="宋体"/>
                <w:kern w:val="0"/>
                <w:sz w:val="24"/>
                <w:szCs w:val="24"/>
              </w:rPr>
            </w:pPr>
            <w:r>
              <w:rPr>
                <w:rFonts w:hint="eastAsia" w:ascii="宋体" w:hAnsi="宋体"/>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084D9B39">
            <w:pPr>
              <w:widowControl/>
              <w:spacing w:line="280" w:lineRule="exact"/>
              <w:jc w:val="center"/>
              <w:rPr>
                <w:rFonts w:hint="default" w:ascii="Times New Roman" w:hAnsi="Times New Roman" w:eastAsia="方正仿宋_GBK"/>
                <w:sz w:val="24"/>
                <w:szCs w:val="24"/>
                <w:lang w:val="en-US" w:eastAsia="zh-CN"/>
              </w:rPr>
            </w:pPr>
            <w:r>
              <w:rPr>
                <w:rFonts w:hint="eastAsia" w:ascii="Times New Roman" w:hAnsi="Times New Roman"/>
                <w:color w:val="auto"/>
                <w:sz w:val="24"/>
                <w:szCs w:val="24"/>
                <w:lang w:eastAsia="zh-CN"/>
              </w:rPr>
              <w:t>曲靖市</w:t>
            </w:r>
            <w:r>
              <w:rPr>
                <w:rFonts w:hint="eastAsia" w:ascii="Times New Roman" w:hAnsi="Times New Roman"/>
                <w:color w:val="auto"/>
                <w:sz w:val="24"/>
                <w:szCs w:val="24"/>
                <w:lang w:val="en-US" w:eastAsia="zh-CN"/>
              </w:rPr>
              <w:t>罗平县普理村委会妥者村</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0846D16C">
            <w:pPr>
              <w:widowControl/>
              <w:spacing w:line="280" w:lineRule="exact"/>
              <w:jc w:val="center"/>
              <w:rPr>
                <w:rFonts w:ascii="宋体"/>
                <w:kern w:val="0"/>
                <w:sz w:val="24"/>
                <w:szCs w:val="24"/>
              </w:rPr>
            </w:pPr>
            <w:r>
              <w:rPr>
                <w:rFonts w:hint="eastAsia" w:ascii="宋体" w:hAnsi="宋体"/>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6DA124B6">
            <w:pPr>
              <w:widowControl/>
              <w:spacing w:line="280" w:lineRule="exact"/>
              <w:jc w:val="center"/>
              <w:rPr>
                <w:rFonts w:hint="default" w:ascii="Times New Roman" w:hAnsi="Times New Roman" w:eastAsia="方正仿宋_GBK"/>
                <w:sz w:val="24"/>
                <w:szCs w:val="24"/>
                <w:lang w:val="en-US" w:eastAsia="zh-CN"/>
              </w:rPr>
            </w:pPr>
            <w:r>
              <w:rPr>
                <w:rFonts w:hint="eastAsia" w:ascii="Times New Roman" w:hAnsi="Times New Roman" w:cs="Times New Roman"/>
                <w:sz w:val="24"/>
                <w:szCs w:val="24"/>
                <w:lang w:val="en-US" w:eastAsia="zh-CN"/>
              </w:rPr>
              <w:t>云南绿骁农牧发展有限公司</w:t>
            </w:r>
          </w:p>
        </w:tc>
      </w:tr>
      <w:tr w14:paraId="33E53629">
        <w:tblPrEx>
          <w:tblCellMar>
            <w:top w:w="0" w:type="dxa"/>
            <w:left w:w="108" w:type="dxa"/>
            <w:bottom w:w="0" w:type="dxa"/>
            <w:right w:w="108" w:type="dxa"/>
          </w:tblCellMar>
        </w:tblPrEx>
        <w:trPr>
          <w:trHeight w:val="762" w:hRule="atLeast"/>
          <w:jc w:val="center"/>
        </w:trPr>
        <w:tc>
          <w:tcPr>
            <w:tcW w:w="1756" w:type="dxa"/>
            <w:tcBorders>
              <w:top w:val="nil"/>
              <w:left w:val="single" w:color="auto" w:sz="4" w:space="0"/>
              <w:bottom w:val="single" w:color="auto" w:sz="4" w:space="0"/>
              <w:right w:val="single" w:color="auto" w:sz="4" w:space="0"/>
            </w:tcBorders>
            <w:shd w:val="clear" w:color="auto" w:fill="C0C0C0"/>
            <w:vAlign w:val="center"/>
          </w:tcPr>
          <w:p w14:paraId="46B6AAC5">
            <w:pPr>
              <w:widowControl/>
              <w:spacing w:line="280" w:lineRule="exact"/>
              <w:jc w:val="center"/>
              <w:rPr>
                <w:rFonts w:ascii="宋体"/>
                <w:kern w:val="0"/>
                <w:sz w:val="24"/>
                <w:szCs w:val="24"/>
              </w:rPr>
            </w:pPr>
            <w:r>
              <w:rPr>
                <w:rFonts w:hint="eastAsia" w:ascii="宋体" w:hAnsi="宋体"/>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4ABE810D">
            <w:pPr>
              <w:widowControl/>
              <w:spacing w:line="280" w:lineRule="exact"/>
              <w:jc w:val="center"/>
              <w:rPr>
                <w:rFonts w:ascii="宋体" w:hAnsi="宋体" w:eastAsia="宋体" w:cs="华文仿宋"/>
                <w:kern w:val="0"/>
                <w:sz w:val="24"/>
                <w:szCs w:val="24"/>
              </w:rPr>
            </w:pPr>
            <w:r>
              <w:rPr>
                <w:rFonts w:hint="eastAsia" w:ascii="宋体"/>
                <w:kern w:val="0"/>
                <w:sz w:val="24"/>
                <w:szCs w:val="24"/>
              </w:rPr>
              <w:t>报告书</w:t>
            </w:r>
          </w:p>
        </w:tc>
        <w:tc>
          <w:tcPr>
            <w:tcW w:w="1276" w:type="dxa"/>
            <w:tcBorders>
              <w:top w:val="nil"/>
              <w:left w:val="nil"/>
              <w:bottom w:val="single" w:color="auto" w:sz="4" w:space="0"/>
              <w:right w:val="single" w:color="auto" w:sz="4" w:space="0"/>
            </w:tcBorders>
            <w:shd w:val="clear" w:color="auto" w:fill="C0C0C0"/>
            <w:vAlign w:val="center"/>
          </w:tcPr>
          <w:p w14:paraId="325134C5">
            <w:pPr>
              <w:widowControl/>
              <w:spacing w:line="280" w:lineRule="exact"/>
              <w:jc w:val="center"/>
              <w:rPr>
                <w:rFonts w:ascii="宋体"/>
                <w:kern w:val="0"/>
                <w:sz w:val="24"/>
                <w:szCs w:val="24"/>
              </w:rPr>
            </w:pPr>
            <w:r>
              <w:rPr>
                <w:rFonts w:hint="eastAsia" w:ascii="宋体" w:hAnsi="宋体"/>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3E112ACC">
            <w:pPr>
              <w:widowControl/>
              <w:spacing w:line="280" w:lineRule="exact"/>
              <w:jc w:val="center"/>
              <w:rPr>
                <w:rFonts w:ascii="宋体"/>
                <w:kern w:val="0"/>
                <w:sz w:val="24"/>
                <w:szCs w:val="24"/>
              </w:rPr>
            </w:pPr>
            <w:r>
              <w:rPr>
                <w:rFonts w:hint="eastAsia" w:ascii="宋体"/>
                <w:kern w:val="0"/>
                <w:sz w:val="24"/>
                <w:szCs w:val="24"/>
              </w:rPr>
              <w:t>云南联创环境工程有限公司</w:t>
            </w:r>
          </w:p>
        </w:tc>
      </w:tr>
      <w:tr w14:paraId="3CB618B4">
        <w:tblPrEx>
          <w:tblCellMar>
            <w:top w:w="0" w:type="dxa"/>
            <w:left w:w="108" w:type="dxa"/>
            <w:bottom w:w="0" w:type="dxa"/>
            <w:right w:w="108" w:type="dxa"/>
          </w:tblCellMar>
        </w:tblPrEx>
        <w:trPr>
          <w:trHeight w:val="461" w:hRule="atLeast"/>
          <w:jc w:val="center"/>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51AA112">
            <w:pPr>
              <w:widowControl/>
              <w:spacing w:line="280" w:lineRule="exact"/>
              <w:jc w:val="center"/>
              <w:rPr>
                <w:rFonts w:ascii="宋体"/>
                <w:kern w:val="0"/>
                <w:sz w:val="24"/>
                <w:szCs w:val="24"/>
              </w:rPr>
            </w:pPr>
            <w:r>
              <w:rPr>
                <w:rFonts w:hint="eastAsia" w:ascii="宋体" w:hAnsi="宋体"/>
                <w:kern w:val="0"/>
                <w:sz w:val="24"/>
                <w:szCs w:val="24"/>
              </w:rPr>
              <w:t>项目概况</w:t>
            </w:r>
          </w:p>
        </w:tc>
      </w:tr>
      <w:tr w14:paraId="76DCD950">
        <w:tblPrEx>
          <w:tblCellMar>
            <w:top w:w="0" w:type="dxa"/>
            <w:left w:w="108" w:type="dxa"/>
            <w:bottom w:w="0" w:type="dxa"/>
            <w:right w:w="108" w:type="dxa"/>
          </w:tblCellMar>
        </w:tblPrEx>
        <w:trPr>
          <w:trHeight w:val="606" w:hRule="atLeast"/>
          <w:jc w:val="center"/>
        </w:trPr>
        <w:tc>
          <w:tcPr>
            <w:tcW w:w="9814" w:type="dxa"/>
            <w:gridSpan w:val="6"/>
            <w:tcBorders>
              <w:top w:val="single" w:color="auto" w:sz="4" w:space="0"/>
              <w:left w:val="single" w:color="auto" w:sz="4" w:space="0"/>
              <w:bottom w:val="single" w:color="auto" w:sz="4" w:space="0"/>
              <w:right w:val="single" w:color="auto" w:sz="4" w:space="0"/>
            </w:tcBorders>
            <w:vAlign w:val="center"/>
          </w:tcPr>
          <w:p w14:paraId="2B44FA0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sz w:val="24"/>
                <w:szCs w:val="24"/>
              </w:rPr>
            </w:pPr>
            <w:r>
              <w:rPr>
                <w:rFonts w:hint="default" w:ascii="Times New Roman" w:hAnsi="Times New Roman" w:eastAsia="宋体" w:cs="Times New Roman"/>
                <w:sz w:val="24"/>
                <w:szCs w:val="24"/>
                <w:lang w:eastAsia="zh-CN"/>
              </w:rPr>
              <w:t>项目占地约</w:t>
            </w:r>
            <w:r>
              <w:rPr>
                <w:rFonts w:hint="default" w:ascii="Times New Roman" w:hAnsi="Times New Roman" w:eastAsia="宋体" w:cs="Times New Roman"/>
                <w:sz w:val="24"/>
                <w:szCs w:val="24"/>
                <w:lang w:val="en-US" w:eastAsia="zh-CN"/>
              </w:rPr>
              <w:t>46.77</w:t>
            </w:r>
            <w:r>
              <w:rPr>
                <w:rFonts w:hint="default" w:ascii="Times New Roman" w:hAnsi="Times New Roman" w:eastAsia="宋体" w:cs="Times New Roman"/>
                <w:sz w:val="24"/>
                <w:szCs w:val="24"/>
                <w:lang w:eastAsia="zh-CN"/>
              </w:rPr>
              <w:t>亩，</w:t>
            </w:r>
            <w:r>
              <w:rPr>
                <w:rFonts w:hint="default" w:ascii="Times New Roman" w:hAnsi="Times New Roman" w:eastAsia="宋体" w:cs="Times New Roman"/>
                <w:sz w:val="24"/>
                <w:szCs w:val="24"/>
                <w:lang w:val="en-US" w:eastAsia="zh-CN"/>
              </w:rPr>
              <w:t>分两个地块建设，建成后</w:t>
            </w:r>
            <w:r>
              <w:rPr>
                <w:rFonts w:hint="default" w:ascii="Times New Roman" w:hAnsi="Times New Roman" w:eastAsia="宋体" w:cs="Times New Roman"/>
                <w:sz w:val="24"/>
                <w:szCs w:val="24"/>
                <w:lang w:eastAsia="zh-CN"/>
              </w:rPr>
              <w:t>年出栏生猪</w:t>
            </w:r>
            <w:r>
              <w:rPr>
                <w:rFonts w:hint="default" w:ascii="Times New Roman" w:hAnsi="Times New Roman" w:eastAsia="宋体" w:cs="Times New Roman"/>
                <w:sz w:val="24"/>
                <w:szCs w:val="24"/>
                <w:lang w:val="en-US" w:eastAsia="zh-CN"/>
              </w:rPr>
              <w:t>18400</w:t>
            </w:r>
            <w:r>
              <w:rPr>
                <w:rFonts w:hint="default" w:ascii="Times New Roman" w:hAnsi="Times New Roman" w:eastAsia="宋体" w:cs="Times New Roman"/>
                <w:sz w:val="24"/>
                <w:szCs w:val="24"/>
                <w:lang w:eastAsia="zh-CN"/>
              </w:rPr>
              <w:t>头。</w:t>
            </w:r>
            <w:r>
              <w:rPr>
                <w:rFonts w:hint="default" w:ascii="Times New Roman" w:hAnsi="Times New Roman" w:eastAsia="宋体" w:cs="Times New Roman"/>
                <w:color w:val="auto"/>
                <w:sz w:val="24"/>
                <w:szCs w:val="24"/>
                <w:lang w:val="en-US" w:eastAsia="zh-CN"/>
              </w:rPr>
              <w:t>其中一地块占地面积16581m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，新建5栋猪舍，建筑面积9000m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，单栋猪舍建筑面积1800m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GB" w:eastAsia="zh-CN"/>
              </w:rPr>
              <w:t>，</w:t>
            </w:r>
            <w:r>
              <w:rPr>
                <w:rFonts w:hint="default" w:ascii="Times New Roman" w:hAnsi="Times New Roman" w:eastAsia="宋体" w:cs="Times New Roman"/>
                <w:color w:val="auto"/>
                <w:sz w:val="24"/>
                <w:szCs w:val="24"/>
                <w:highlight w:val="none"/>
                <w:vertAlign w:val="baseline"/>
                <w:lang w:val="en-US" w:eastAsia="zh-CN"/>
              </w:rPr>
              <w:t>同时配套建设</w:t>
            </w:r>
            <w:r>
              <w:rPr>
                <w:rFonts w:hint="default" w:ascii="Times New Roman" w:hAnsi="Times New Roman" w:eastAsia="宋体" w:cs="Times New Roman"/>
                <w:color w:val="auto"/>
                <w:sz w:val="24"/>
                <w:szCs w:val="24"/>
                <w:highlight w:val="none"/>
                <w:lang w:val="en-US" w:eastAsia="zh-CN"/>
              </w:rPr>
              <w:t>生产管理用房</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料仓</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装猪台、病死猪冷藏库、蓄水池、储液池</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异位发酵床、危险废物暂存间</w:t>
            </w:r>
            <w:r>
              <w:rPr>
                <w:rFonts w:hint="default" w:ascii="Times New Roman" w:hAnsi="Times New Roman" w:eastAsia="宋体" w:cs="Times New Roman"/>
                <w:color w:val="auto"/>
                <w:sz w:val="24"/>
                <w:szCs w:val="24"/>
                <w:highlight w:val="none"/>
                <w:lang w:eastAsia="zh-CN"/>
              </w:rPr>
              <w:t>、道路等其他辅助设施。</w:t>
            </w:r>
            <w:r>
              <w:rPr>
                <w:rFonts w:hint="default" w:ascii="Times New Roman" w:hAnsi="Times New Roman" w:eastAsia="宋体" w:cs="Times New Roman"/>
                <w:color w:val="auto"/>
                <w:sz w:val="24"/>
                <w:szCs w:val="24"/>
                <w:highlight w:val="none"/>
                <w:lang w:val="en-US" w:eastAsia="zh-CN"/>
              </w:rPr>
              <w:t>二地块占地面积14599m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lang w:val="en-US" w:eastAsia="zh-CN"/>
              </w:rPr>
              <w:t>新建猪舍4栋，</w:t>
            </w:r>
            <w:r>
              <w:rPr>
                <w:rFonts w:hint="default" w:ascii="Times New Roman" w:hAnsi="Times New Roman" w:eastAsia="宋体" w:cs="Times New Roman"/>
                <w:color w:val="auto"/>
                <w:sz w:val="24"/>
                <w:szCs w:val="24"/>
                <w:highlight w:val="none"/>
                <w:lang w:val="en-US" w:eastAsia="zh-CN"/>
              </w:rPr>
              <w:t>建筑面积</w:t>
            </w:r>
            <w:r>
              <w:rPr>
                <w:rFonts w:hint="default" w:ascii="Times New Roman" w:hAnsi="Times New Roman" w:eastAsia="宋体" w:cs="Times New Roman"/>
                <w:color w:val="auto"/>
                <w:sz w:val="24"/>
                <w:szCs w:val="24"/>
                <w:lang w:val="en-US" w:eastAsia="zh-CN"/>
              </w:rPr>
              <w:t>6760</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lang w:val="en-US" w:eastAsia="zh-CN"/>
              </w:rPr>
              <w:t>2#、3#猪舍建筑面积1700m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，4#、5#猪舍1680m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vertAlign w:val="baseline"/>
                <w:lang w:val="en-US" w:eastAsia="zh-CN"/>
              </w:rPr>
              <w:t>同时配套建设</w:t>
            </w:r>
            <w:r>
              <w:rPr>
                <w:rFonts w:hint="default" w:ascii="Times New Roman" w:hAnsi="Times New Roman" w:eastAsia="宋体" w:cs="Times New Roman"/>
                <w:color w:val="auto"/>
                <w:sz w:val="24"/>
                <w:szCs w:val="24"/>
                <w:highlight w:val="none"/>
                <w:lang w:val="en-US" w:eastAsia="zh-CN"/>
              </w:rPr>
              <w:t>生产管理用房</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料仓</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装猪台、病死猪冷藏库、蓄水池、储液池</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异位发酵床、危险废物暂存间</w:t>
            </w:r>
            <w:r>
              <w:rPr>
                <w:rFonts w:hint="default" w:ascii="Times New Roman" w:hAnsi="Times New Roman" w:eastAsia="宋体" w:cs="Times New Roman"/>
                <w:color w:val="auto"/>
                <w:sz w:val="24"/>
                <w:szCs w:val="24"/>
                <w:highlight w:val="none"/>
                <w:lang w:eastAsia="zh-CN"/>
              </w:rPr>
              <w:t>、道路等其他辅助设施。</w:t>
            </w:r>
            <w:r>
              <w:rPr>
                <w:rFonts w:hint="default" w:ascii="Times New Roman" w:hAnsi="Times New Roman" w:eastAsia="宋体" w:cs="Times New Roman"/>
                <w:color w:val="auto"/>
                <w:sz w:val="24"/>
                <w:szCs w:val="24"/>
                <w:highlight w:val="none"/>
              </w:rPr>
              <w:t>总投资</w:t>
            </w:r>
            <w:r>
              <w:rPr>
                <w:rFonts w:hint="default" w:ascii="Times New Roman" w:hAnsi="Times New Roman" w:eastAsia="宋体" w:cs="Times New Roman"/>
                <w:color w:val="auto"/>
                <w:sz w:val="24"/>
                <w:szCs w:val="24"/>
                <w:highlight w:val="none"/>
                <w:lang w:val="en-US" w:eastAsia="zh-CN"/>
              </w:rPr>
              <w:t>769</w:t>
            </w:r>
            <w:r>
              <w:rPr>
                <w:rFonts w:hint="default" w:ascii="Times New Roman" w:hAnsi="Times New Roman" w:eastAsia="宋体" w:cs="Times New Roman"/>
                <w:color w:val="auto"/>
                <w:sz w:val="24"/>
                <w:szCs w:val="24"/>
                <w:highlight w:val="none"/>
              </w:rPr>
              <w:t>万元，</w:t>
            </w:r>
            <w:r>
              <w:rPr>
                <w:rFonts w:hint="default" w:ascii="Times New Roman" w:hAnsi="Times New Roman" w:eastAsia="宋体" w:cs="Times New Roman"/>
                <w:color w:val="auto"/>
                <w:spacing w:val="0"/>
                <w:w w:val="100"/>
                <w:sz w:val="24"/>
                <w:szCs w:val="24"/>
                <w:highlight w:val="none"/>
              </w:rPr>
              <w:t>其中环保投资估算</w:t>
            </w:r>
            <w:r>
              <w:rPr>
                <w:rFonts w:hint="default" w:ascii="Times New Roman" w:hAnsi="Times New Roman" w:eastAsia="宋体" w:cs="Times New Roman"/>
                <w:color w:val="auto"/>
                <w:spacing w:val="0"/>
                <w:w w:val="100"/>
                <w:sz w:val="24"/>
                <w:szCs w:val="24"/>
                <w:highlight w:val="none"/>
                <w:lang w:val="en-US" w:eastAsia="zh-CN"/>
              </w:rPr>
              <w:t>412.7</w:t>
            </w:r>
            <w:r>
              <w:rPr>
                <w:rFonts w:hint="default" w:ascii="Times New Roman" w:hAnsi="Times New Roman" w:eastAsia="宋体" w:cs="Times New Roman"/>
                <w:color w:val="auto"/>
                <w:spacing w:val="0"/>
                <w:w w:val="100"/>
                <w:sz w:val="24"/>
                <w:szCs w:val="24"/>
                <w:highlight w:val="none"/>
              </w:rPr>
              <w:t>万元，占总投资的比例</w:t>
            </w:r>
            <w:r>
              <w:rPr>
                <w:rFonts w:hint="default" w:ascii="Times New Roman" w:hAnsi="Times New Roman" w:eastAsia="宋体" w:cs="Times New Roman"/>
                <w:color w:val="auto"/>
                <w:spacing w:val="0"/>
                <w:w w:val="100"/>
                <w:sz w:val="24"/>
                <w:szCs w:val="24"/>
                <w:highlight w:val="none"/>
                <w:lang w:val="en-US" w:eastAsia="zh-CN"/>
              </w:rPr>
              <w:t>53.67%。</w:t>
            </w:r>
          </w:p>
        </w:tc>
      </w:tr>
      <w:tr w14:paraId="7B22A186">
        <w:tblPrEx>
          <w:tblCellMar>
            <w:top w:w="0" w:type="dxa"/>
            <w:left w:w="108" w:type="dxa"/>
            <w:bottom w:w="0" w:type="dxa"/>
            <w:right w:w="108" w:type="dxa"/>
          </w:tblCellMar>
        </w:tblPrEx>
        <w:trPr>
          <w:trHeight w:val="448" w:hRule="atLeast"/>
          <w:jc w:val="center"/>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42C573D1">
            <w:pPr>
              <w:widowControl/>
              <w:spacing w:line="240" w:lineRule="auto"/>
              <w:jc w:val="center"/>
              <w:rPr>
                <w:rFonts w:ascii="宋体"/>
                <w:kern w:val="0"/>
                <w:sz w:val="24"/>
                <w:szCs w:val="24"/>
              </w:rPr>
            </w:pPr>
            <w:r>
              <w:rPr>
                <w:rFonts w:hint="eastAsia" w:ascii="宋体" w:hAnsi="宋体"/>
                <w:kern w:val="0"/>
                <w:sz w:val="24"/>
                <w:szCs w:val="24"/>
              </w:rPr>
              <w:t>项目主要环境影响</w:t>
            </w:r>
          </w:p>
        </w:tc>
      </w:tr>
      <w:tr w14:paraId="4EBC3061">
        <w:tblPrEx>
          <w:tblCellMar>
            <w:top w:w="0" w:type="dxa"/>
            <w:left w:w="108" w:type="dxa"/>
            <w:bottom w:w="0" w:type="dxa"/>
            <w:right w:w="108" w:type="dxa"/>
          </w:tblCellMar>
        </w:tblPrEx>
        <w:trPr>
          <w:trHeight w:val="535" w:hRule="atLeast"/>
          <w:jc w:val="center"/>
        </w:trPr>
        <w:tc>
          <w:tcPr>
            <w:tcW w:w="9814" w:type="dxa"/>
            <w:gridSpan w:val="6"/>
            <w:tcBorders>
              <w:top w:val="single" w:color="auto" w:sz="4" w:space="0"/>
              <w:left w:val="single" w:color="auto" w:sz="4" w:space="0"/>
              <w:bottom w:val="single" w:color="auto" w:sz="4" w:space="0"/>
              <w:right w:val="single" w:color="auto" w:sz="4" w:space="0"/>
            </w:tcBorders>
            <w:vAlign w:val="center"/>
          </w:tcPr>
          <w:p w14:paraId="2FEAB7A1">
            <w:pPr>
              <w:pStyle w:val="32"/>
              <w:keepNext w:val="0"/>
              <w:keepLines w:val="0"/>
              <w:pageBreakBefore w:val="0"/>
              <w:widowControl w:val="0"/>
              <w:kinsoku/>
              <w:wordWrap/>
              <w:overflowPunct/>
              <w:topLinePunct w:val="0"/>
              <w:bidi w:val="0"/>
              <w:spacing w:line="24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一、施工期主要环境影响：</w:t>
            </w:r>
            <w:r>
              <w:rPr>
                <w:rFonts w:hint="default" w:ascii="宋体" w:hAnsi="宋体" w:eastAsia="宋体" w:cs="宋体"/>
                <w:b w:val="0"/>
                <w:bCs w:val="0"/>
                <w:color w:val="auto"/>
                <w:sz w:val="24"/>
                <w:szCs w:val="24"/>
                <w:highlight w:val="none"/>
              </w:rPr>
              <w:t>施工期的大气污染主要</w:t>
            </w:r>
            <w:r>
              <w:rPr>
                <w:rFonts w:hint="eastAsia" w:ascii="宋体" w:hAnsi="宋体" w:eastAsia="宋体" w:cs="宋体"/>
                <w:b w:val="0"/>
                <w:bCs w:val="0"/>
                <w:color w:val="auto"/>
                <w:sz w:val="24"/>
                <w:szCs w:val="24"/>
                <w:highlight w:val="none"/>
                <w:lang w:eastAsia="zh-CN"/>
              </w:rPr>
              <w:t>来自</w:t>
            </w:r>
            <w:r>
              <w:rPr>
                <w:rFonts w:hint="default" w:ascii="宋体" w:hAnsi="宋体" w:eastAsia="宋体" w:cs="宋体"/>
                <w:b w:val="0"/>
                <w:bCs w:val="0"/>
                <w:color w:val="auto"/>
                <w:sz w:val="24"/>
                <w:szCs w:val="24"/>
                <w:highlight w:val="none"/>
              </w:rPr>
              <w:t>场地平整</w:t>
            </w:r>
            <w:r>
              <w:rPr>
                <w:rFonts w:hint="eastAsia" w:ascii="宋体" w:hAnsi="宋体" w:eastAsia="宋体" w:cs="宋体"/>
                <w:b w:val="0"/>
                <w:bCs w:val="0"/>
                <w:color w:val="auto"/>
                <w:sz w:val="24"/>
                <w:szCs w:val="24"/>
                <w:highlight w:val="none"/>
                <w:lang w:eastAsia="zh-CN"/>
              </w:rPr>
              <w:t>、</w:t>
            </w:r>
            <w:r>
              <w:rPr>
                <w:rFonts w:hint="default" w:ascii="宋体" w:hAnsi="宋体" w:eastAsia="宋体" w:cs="宋体"/>
                <w:b w:val="0"/>
                <w:bCs w:val="0"/>
                <w:color w:val="auto"/>
                <w:sz w:val="24"/>
                <w:szCs w:val="24"/>
                <w:highlight w:val="none"/>
              </w:rPr>
              <w:t>土方开挖和回填引起的扬尘、施工建筑材料堆放引起的扬尘、施工垃圾的堆存及清理扬尘、车辆及施工机械往来所造成的道路扬尘、汽车和机械设备尾气污染等</w:t>
            </w:r>
            <w:r>
              <w:rPr>
                <w:rFonts w:hint="eastAsia" w:ascii="宋体" w:hAnsi="宋体" w:eastAsia="宋体" w:cs="宋体"/>
                <w:b w:val="0"/>
                <w:bCs w:val="0"/>
                <w:color w:val="auto"/>
                <w:sz w:val="24"/>
                <w:szCs w:val="24"/>
                <w:highlight w:val="none"/>
                <w:lang w:eastAsia="zh-CN"/>
              </w:rPr>
              <w:t>；</w:t>
            </w:r>
            <w:r>
              <w:rPr>
                <w:rFonts w:hint="default" w:ascii="宋体" w:hAnsi="宋体" w:eastAsia="宋体" w:cs="宋体"/>
                <w:b w:val="0"/>
                <w:bCs w:val="0"/>
                <w:color w:val="auto"/>
                <w:sz w:val="24"/>
                <w:szCs w:val="24"/>
                <w:highlight w:val="none"/>
              </w:rPr>
              <w:t>废水主要是施工废水、施工人员的生活污水及地表径流</w:t>
            </w:r>
            <w:r>
              <w:rPr>
                <w:rFonts w:hint="eastAsia" w:ascii="宋体" w:hAnsi="宋体" w:eastAsia="宋体" w:cs="宋体"/>
                <w:b w:val="0"/>
                <w:bCs w:val="0"/>
                <w:color w:val="auto"/>
                <w:sz w:val="24"/>
                <w:szCs w:val="24"/>
                <w:highlight w:val="none"/>
                <w:lang w:eastAsia="zh-CN"/>
              </w:rPr>
              <w:t>；</w:t>
            </w:r>
            <w:r>
              <w:rPr>
                <w:rFonts w:hint="default" w:ascii="宋体" w:hAnsi="宋体" w:eastAsia="宋体" w:cs="宋体"/>
                <w:b w:val="0"/>
                <w:bCs w:val="0"/>
                <w:color w:val="auto"/>
                <w:sz w:val="24"/>
                <w:szCs w:val="24"/>
                <w:highlight w:val="none"/>
              </w:rPr>
              <w:t>施工噪声主要来源于施工机械和运输车辆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施工期</w:t>
            </w:r>
            <w:r>
              <w:rPr>
                <w:rFonts w:hint="eastAsia" w:ascii="宋体" w:hAnsi="宋体" w:eastAsia="宋体" w:cs="宋体"/>
                <w:b w:val="0"/>
                <w:bCs w:val="0"/>
                <w:color w:val="auto"/>
                <w:sz w:val="24"/>
                <w:szCs w:val="24"/>
                <w:highlight w:val="none"/>
                <w:lang w:val="en-US" w:eastAsia="zh-CN"/>
              </w:rPr>
              <w:t>固体废物主要为</w:t>
            </w:r>
            <w:r>
              <w:rPr>
                <w:rFonts w:hint="eastAsia" w:ascii="宋体" w:hAnsi="宋体" w:eastAsia="宋体" w:cs="宋体"/>
                <w:b w:val="0"/>
                <w:bCs w:val="0"/>
                <w:color w:val="auto"/>
                <w:sz w:val="24"/>
                <w:szCs w:val="24"/>
                <w:highlight w:val="none"/>
              </w:rPr>
              <w:t>土石方</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建筑垃圾</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zh-CN" w:eastAsia="zh-CN"/>
              </w:rPr>
              <w:t>施工人员生活垃圾；</w:t>
            </w:r>
            <w:r>
              <w:rPr>
                <w:rFonts w:hint="eastAsia" w:ascii="宋体" w:hAnsi="宋体" w:eastAsia="宋体" w:cs="宋体"/>
                <w:b w:val="0"/>
                <w:bCs w:val="0"/>
                <w:color w:val="auto"/>
                <w:sz w:val="24"/>
                <w:szCs w:val="24"/>
                <w:highlight w:val="none"/>
                <w:lang w:val="en-US" w:eastAsia="zh-CN"/>
              </w:rPr>
              <w:t>对生态环境的影响主要是</w:t>
            </w:r>
            <w:r>
              <w:rPr>
                <w:rFonts w:hint="default" w:ascii="宋体" w:hAnsi="宋体" w:eastAsia="宋体" w:cs="宋体"/>
                <w:b w:val="0"/>
                <w:bCs w:val="0"/>
                <w:color w:val="auto"/>
                <w:sz w:val="24"/>
                <w:szCs w:val="24"/>
                <w:highlight w:val="none"/>
                <w:lang w:val="en-US" w:eastAsia="zh-CN"/>
              </w:rPr>
              <w:t>对土地利用的影响、对植被和动植物的影响以及对水土流失的影响</w:t>
            </w:r>
            <w:r>
              <w:rPr>
                <w:rFonts w:hint="eastAsia" w:ascii="宋体" w:hAnsi="宋体" w:eastAsia="宋体" w:cs="宋体"/>
                <w:b w:val="0"/>
                <w:bCs w:val="0"/>
                <w:color w:val="auto"/>
                <w:sz w:val="24"/>
                <w:szCs w:val="24"/>
                <w:highlight w:val="none"/>
              </w:rPr>
              <w:t>。</w:t>
            </w:r>
          </w:p>
          <w:p w14:paraId="6E5CAFE9">
            <w:pPr>
              <w:pStyle w:val="32"/>
              <w:keepNext w:val="0"/>
              <w:keepLines w:val="0"/>
              <w:pageBreakBefore w:val="0"/>
              <w:widowControl w:val="0"/>
              <w:kinsoku/>
              <w:wordWrap/>
              <w:overflowPunct/>
              <w:topLinePunct w:val="0"/>
              <w:bidi w:val="0"/>
              <w:spacing w:line="240" w:lineRule="auto"/>
              <w:ind w:firstLine="480" w:firstLineChars="200"/>
              <w:textAlignment w:val="auto"/>
              <w:rPr>
                <w:rFonts w:hint="eastAsia" w:hAnsi="宋体"/>
                <w:snapToGrid/>
                <w:sz w:val="24"/>
                <w:szCs w:val="24"/>
              </w:rPr>
            </w:pPr>
            <w:r>
              <w:rPr>
                <w:rFonts w:hint="default" w:ascii="Times New Roman" w:hAnsi="Times New Roman" w:eastAsia="宋体" w:cs="Times New Roman"/>
                <w:b w:val="0"/>
                <w:bCs w:val="0"/>
                <w:color w:val="auto"/>
                <w:sz w:val="24"/>
                <w:szCs w:val="24"/>
                <w:highlight w:val="none"/>
              </w:rPr>
              <w:t>二、运营期主要环境影响：</w:t>
            </w:r>
            <w:r>
              <w:rPr>
                <w:rFonts w:hint="default" w:ascii="Times New Roman" w:hAnsi="Times New Roman" w:eastAsia="宋体" w:cs="Times New Roman"/>
                <w:b w:val="0"/>
                <w:bCs w:val="0"/>
                <w:color w:val="auto"/>
                <w:sz w:val="24"/>
                <w:szCs w:val="24"/>
                <w:highlight w:val="none"/>
                <w:lang w:val="en-US" w:eastAsia="zh-CN"/>
              </w:rPr>
              <w:t>废气主要为养殖区、储液池、异位发酵床恶臭、柴油发电机废气，食堂油烟废气</w:t>
            </w:r>
            <w:r>
              <w:rPr>
                <w:rFonts w:hint="default" w:ascii="Times New Roman" w:hAnsi="Times New Roman" w:eastAsia="宋体" w:cs="Times New Roman"/>
                <w:b w:val="0"/>
                <w:bCs w:val="0"/>
                <w:color w:val="auto"/>
                <w:sz w:val="24"/>
                <w:szCs w:val="24"/>
                <w:highlight w:val="none"/>
              </w:rPr>
              <w:t>；废水</w:t>
            </w:r>
            <w:r>
              <w:rPr>
                <w:rFonts w:hint="default" w:ascii="Times New Roman" w:hAnsi="Times New Roman" w:eastAsia="宋体" w:cs="Times New Roman"/>
                <w:b w:val="0"/>
                <w:bCs w:val="0"/>
                <w:color w:val="auto"/>
                <w:sz w:val="24"/>
                <w:szCs w:val="24"/>
                <w:highlight w:val="none"/>
                <w:lang w:val="en-US" w:eastAsia="zh-CN"/>
              </w:rPr>
              <w:t>包括猪尿液、猪舍冲洗废水、发酵床渗滤液和员工生活污水</w:t>
            </w:r>
            <w:r>
              <w:rPr>
                <w:rFonts w:hint="default" w:ascii="Times New Roman" w:hAnsi="Times New Roman" w:eastAsia="宋体" w:cs="Times New Roman"/>
                <w:b w:val="0"/>
                <w:bCs w:val="0"/>
                <w:color w:val="auto"/>
                <w:sz w:val="24"/>
                <w:szCs w:val="24"/>
                <w:highlight w:val="none"/>
              </w:rPr>
              <w:t>；运营期噪声源主要为猪叫声、设备运行噪声，噪声</w:t>
            </w:r>
            <w:r>
              <w:rPr>
                <w:rFonts w:hint="default" w:ascii="Times New Roman" w:hAnsi="Times New Roman" w:eastAsia="宋体" w:cs="Times New Roman"/>
                <w:b w:val="0"/>
                <w:bCs w:val="0"/>
                <w:color w:val="auto"/>
                <w:sz w:val="24"/>
                <w:szCs w:val="24"/>
                <w:highlight w:val="none"/>
                <w:lang w:val="en-US" w:eastAsia="zh-CN"/>
              </w:rPr>
              <w:t>源强</w:t>
            </w:r>
            <w:r>
              <w:rPr>
                <w:rFonts w:hint="default" w:ascii="Times New Roman" w:hAnsi="Times New Roman" w:eastAsia="宋体" w:cs="Times New Roman"/>
                <w:b w:val="0"/>
                <w:bCs w:val="0"/>
                <w:color w:val="auto"/>
                <w:sz w:val="24"/>
                <w:szCs w:val="24"/>
                <w:highlight w:val="none"/>
              </w:rPr>
              <w:t>在</w:t>
            </w:r>
            <w:r>
              <w:rPr>
                <w:rFonts w:hint="default" w:ascii="Times New Roman" w:hAnsi="Times New Roman" w:eastAsia="宋体" w:cs="Times New Roman"/>
                <w:b w:val="0"/>
                <w:bCs w:val="0"/>
                <w:color w:val="auto"/>
                <w:sz w:val="24"/>
                <w:szCs w:val="24"/>
                <w:highlight w:val="none"/>
                <w:lang w:val="zh-CN" w:eastAsia="zh-CN"/>
              </w:rPr>
              <w:t>70～</w:t>
            </w:r>
            <w:r>
              <w:rPr>
                <w:rFonts w:hint="default" w:ascii="Times New Roman" w:hAnsi="Times New Roman" w:eastAsia="宋体" w:cs="Times New Roman"/>
                <w:b w:val="0"/>
                <w:bCs w:val="0"/>
                <w:color w:val="auto"/>
                <w:sz w:val="24"/>
                <w:szCs w:val="24"/>
                <w:highlight w:val="none"/>
                <w:lang w:val="en-US" w:eastAsia="zh-CN"/>
              </w:rPr>
              <w:t>95</w:t>
            </w:r>
            <w:r>
              <w:rPr>
                <w:rFonts w:hint="default" w:ascii="Times New Roman" w:hAnsi="Times New Roman" w:eastAsia="宋体" w:cs="Times New Roman"/>
                <w:b w:val="0"/>
                <w:bCs w:val="0"/>
                <w:color w:val="auto"/>
                <w:sz w:val="24"/>
                <w:szCs w:val="24"/>
                <w:highlight w:val="none"/>
                <w:lang w:val="zh-CN" w:eastAsia="zh-CN"/>
              </w:rPr>
              <w:t>dB（A）</w:t>
            </w:r>
            <w:r>
              <w:rPr>
                <w:rFonts w:hint="default" w:ascii="Times New Roman" w:hAnsi="Times New Roman" w:eastAsia="宋体" w:cs="Times New Roman"/>
                <w:b w:val="0"/>
                <w:bCs w:val="0"/>
                <w:color w:val="auto"/>
                <w:sz w:val="24"/>
                <w:szCs w:val="24"/>
                <w:highlight w:val="none"/>
                <w:lang w:val="en-US" w:eastAsia="zh-CN"/>
              </w:rPr>
              <w:t>之间</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eastAsia="zh-CN"/>
              </w:rPr>
              <w:t>运营期产生的固体废物主要</w:t>
            </w:r>
            <w:r>
              <w:rPr>
                <w:rFonts w:hint="default" w:ascii="Times New Roman" w:hAnsi="Times New Roman" w:eastAsia="宋体" w:cs="Times New Roman"/>
                <w:b w:val="0"/>
                <w:bCs w:val="0"/>
                <w:color w:val="auto"/>
                <w:sz w:val="24"/>
                <w:szCs w:val="24"/>
                <w:highlight w:val="none"/>
                <w:lang w:val="en-US" w:eastAsia="zh-CN"/>
              </w:rPr>
              <w:t>为</w:t>
            </w:r>
            <w:r>
              <w:rPr>
                <w:rFonts w:hint="default" w:ascii="Times New Roman" w:hAnsi="Times New Roman" w:eastAsia="宋体" w:cs="Times New Roman"/>
                <w:b w:val="0"/>
                <w:bCs w:val="0"/>
                <w:color w:val="auto"/>
                <w:sz w:val="24"/>
                <w:szCs w:val="24"/>
                <w:highlight w:val="none"/>
                <w:lang w:eastAsia="zh-CN"/>
              </w:rPr>
              <w:t>猪粪、饲料残渣、病死猪、</w:t>
            </w:r>
            <w:r>
              <w:rPr>
                <w:rFonts w:hint="default" w:ascii="Times New Roman" w:hAnsi="Times New Roman" w:eastAsia="宋体" w:cs="Times New Roman"/>
                <w:b w:val="0"/>
                <w:bCs w:val="0"/>
                <w:color w:val="auto"/>
                <w:sz w:val="24"/>
                <w:szCs w:val="24"/>
                <w:highlight w:val="none"/>
                <w:lang w:val="en-US" w:eastAsia="zh-CN"/>
              </w:rPr>
              <w:t>危险废物</w:t>
            </w:r>
            <w:r>
              <w:rPr>
                <w:rFonts w:hint="default" w:ascii="Times New Roman" w:hAnsi="Times New Roman" w:eastAsia="宋体" w:cs="Times New Roman"/>
                <w:b w:val="0"/>
                <w:bCs w:val="0"/>
                <w:color w:val="auto"/>
                <w:sz w:val="24"/>
                <w:szCs w:val="24"/>
                <w:highlight w:val="none"/>
                <w:lang w:eastAsia="zh-CN"/>
              </w:rPr>
              <w:t>、生活垃圾、</w:t>
            </w:r>
            <w:r>
              <w:rPr>
                <w:rFonts w:hint="default" w:ascii="Times New Roman" w:hAnsi="Times New Roman" w:eastAsia="宋体" w:cs="Times New Roman"/>
                <w:b w:val="0"/>
                <w:bCs w:val="0"/>
                <w:color w:val="auto"/>
                <w:sz w:val="24"/>
                <w:szCs w:val="24"/>
                <w:highlight w:val="none"/>
                <w:lang w:val="en-US" w:eastAsia="zh-CN"/>
              </w:rPr>
              <w:t>化粪池污泥、发酵粪肥</w:t>
            </w:r>
            <w:r>
              <w:rPr>
                <w:rFonts w:hint="default" w:ascii="Times New Roman" w:hAnsi="Times New Roman" w:eastAsia="宋体" w:cs="Times New Roman"/>
                <w:b w:val="0"/>
                <w:bCs w:val="0"/>
                <w:color w:val="auto"/>
                <w:sz w:val="24"/>
                <w:szCs w:val="24"/>
                <w:highlight w:val="none"/>
                <w:lang w:eastAsia="zh-CN"/>
              </w:rPr>
              <w:t>等。</w:t>
            </w:r>
          </w:p>
        </w:tc>
      </w:tr>
      <w:tr w14:paraId="4AB897EA">
        <w:tblPrEx>
          <w:tblCellMar>
            <w:top w:w="0" w:type="dxa"/>
            <w:left w:w="108" w:type="dxa"/>
            <w:bottom w:w="0" w:type="dxa"/>
            <w:right w:w="108" w:type="dxa"/>
          </w:tblCellMar>
        </w:tblPrEx>
        <w:trPr>
          <w:trHeight w:val="381" w:hRule="atLeast"/>
          <w:jc w:val="center"/>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474F9474">
            <w:pPr>
              <w:widowControl/>
              <w:spacing w:line="280" w:lineRule="exact"/>
              <w:jc w:val="center"/>
              <w:rPr>
                <w:rFonts w:ascii="宋体"/>
                <w:kern w:val="0"/>
                <w:sz w:val="24"/>
                <w:szCs w:val="24"/>
              </w:rPr>
            </w:pPr>
            <w:r>
              <w:rPr>
                <w:rFonts w:hint="eastAsia" w:ascii="宋体" w:hAnsi="宋体"/>
                <w:kern w:val="0"/>
                <w:sz w:val="24"/>
                <w:szCs w:val="24"/>
              </w:rPr>
              <w:t>项目预防及减轻不良环境影响的对策和措施</w:t>
            </w:r>
          </w:p>
        </w:tc>
      </w:tr>
      <w:tr w14:paraId="2BB076D1">
        <w:tblPrEx>
          <w:tblCellMar>
            <w:top w:w="0" w:type="dxa"/>
            <w:left w:w="108" w:type="dxa"/>
            <w:bottom w:w="0" w:type="dxa"/>
            <w:right w:w="108" w:type="dxa"/>
          </w:tblCellMar>
        </w:tblPrEx>
        <w:trPr>
          <w:trHeight w:val="437" w:hRule="atLeast"/>
          <w:jc w:val="center"/>
        </w:trPr>
        <w:tc>
          <w:tcPr>
            <w:tcW w:w="9814" w:type="dxa"/>
            <w:gridSpan w:val="6"/>
            <w:tcBorders>
              <w:top w:val="single" w:color="auto" w:sz="4" w:space="0"/>
              <w:left w:val="single" w:color="auto" w:sz="4" w:space="0"/>
              <w:bottom w:val="single" w:color="auto" w:sz="4" w:space="0"/>
              <w:right w:val="single" w:color="auto" w:sz="4" w:space="0"/>
            </w:tcBorders>
            <w:vAlign w:val="center"/>
          </w:tcPr>
          <w:p w14:paraId="04268F62">
            <w:pPr>
              <w:widowControl/>
              <w:spacing w:line="280" w:lineRule="exact"/>
              <w:jc w:val="left"/>
              <w:rPr>
                <w:rFonts w:ascii="Times New Roman" w:hAnsi="Times New Roman"/>
                <w:b/>
                <w:bCs/>
                <w:sz w:val="24"/>
                <w:szCs w:val="24"/>
              </w:rPr>
            </w:pPr>
            <w:r>
              <w:rPr>
                <w:rFonts w:hint="eastAsia" w:ascii="Times New Roman" w:hAnsi="Times New Roman"/>
                <w:b/>
                <w:bCs/>
                <w:sz w:val="24"/>
                <w:szCs w:val="24"/>
              </w:rPr>
              <w:t>一、施工期环境保护措施：</w:t>
            </w:r>
          </w:p>
          <w:p w14:paraId="63FC7527">
            <w:pPr>
              <w:widowControl/>
              <w:spacing w:line="280" w:lineRule="exact"/>
              <w:jc w:val="left"/>
              <w:rPr>
                <w:rFonts w:hint="eastAsia" w:ascii="Times New Roman" w:hAnsi="Times New Roman" w:eastAsia="方正仿宋_GBK"/>
                <w:b/>
                <w:sz w:val="24"/>
                <w:szCs w:val="24"/>
                <w:lang w:eastAsia="zh-CN"/>
              </w:rPr>
            </w:pPr>
            <w:r>
              <w:rPr>
                <w:rFonts w:hint="eastAsia" w:ascii="Times New Roman" w:hAnsi="Times New Roman"/>
                <w:b/>
                <w:sz w:val="24"/>
                <w:szCs w:val="24"/>
              </w:rPr>
              <w:t>1、</w:t>
            </w:r>
            <w:r>
              <w:rPr>
                <w:rFonts w:hint="eastAsia" w:ascii="Times New Roman" w:hAnsi="Times New Roman"/>
                <w:b/>
                <w:sz w:val="24"/>
                <w:szCs w:val="24"/>
                <w:lang w:val="en-US" w:eastAsia="zh-CN"/>
              </w:rPr>
              <w:t>大气环境</w:t>
            </w:r>
          </w:p>
          <w:p w14:paraId="4CD5450C">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（1）加强施工现场扬尘控制。文明卸载施工材料，从源头上减少动力扬尘产生量；</w:t>
            </w:r>
          </w:p>
          <w:p w14:paraId="7424EFC8">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（2）加强施工现场运输车辆管理。在项目范围内运输的车辆必须车身整洁，卸载车厢完好，装载货物堆码整齐，不得污染道路；</w:t>
            </w:r>
          </w:p>
          <w:p w14:paraId="2BE6F756">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（3）在施工过程中，作业场地应布置临时围挡、围墙等设施以减少粉尘扩散；</w:t>
            </w:r>
          </w:p>
          <w:p w14:paraId="20E934DA">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（4）定期对施工场地洒水降尘，洒水次数根据天气状况而定；</w:t>
            </w:r>
          </w:p>
          <w:p w14:paraId="5466E40D">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（5）对运输建筑材料及建筑垃圾、弃方的车辆加盖篷布以减少洒落；</w:t>
            </w:r>
          </w:p>
          <w:p w14:paraId="73FD1841">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（6）尽量避免在大风天气下进行施工作业，根据同类项目工程经验，4级以上大风天气不宜实施土方施工；</w:t>
            </w:r>
          </w:p>
          <w:p w14:paraId="10010207">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（7）在施工场地上设置专人负责弃土、建筑垃圾、建筑材料的处置、清运和堆放，堆放场地应避开居民区的上风向，必要时加盖篷布或洒水，防止二次粉尘；</w:t>
            </w:r>
          </w:p>
          <w:p w14:paraId="0F4724AA">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（8）对建筑垃圾应及时处理、清运，以减少占地，防止粉尘污染，改善施工场地的环境。</w:t>
            </w:r>
          </w:p>
          <w:p w14:paraId="291D7AA8">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（9）加强对机械、车辆的维修保养，保持机械设备正常，减少燃油废气的排放。</w:t>
            </w:r>
          </w:p>
          <w:p w14:paraId="27DDCD6C">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项目施工期针对扬尘污染所采取的防治措施均为建筑工地现场文明施工规范中的一些基本措施，在建设单位加强现场管理的前提下，上述措施是可以实现的，因此本项目施工期扬尘及施工机械尾气防治措施可行。施工是短期行为，随着施工期的结束，其对空气环境的影响也将结束。</w:t>
            </w:r>
          </w:p>
          <w:p w14:paraId="6388AF75">
            <w:pPr>
              <w:widowControl/>
              <w:spacing w:line="280" w:lineRule="exact"/>
              <w:jc w:val="left"/>
              <w:rPr>
                <w:rFonts w:hint="eastAsia" w:ascii="Times New Roman" w:hAnsi="Times New Roman" w:eastAsia="方正仿宋_GBK"/>
                <w:sz w:val="24"/>
                <w:szCs w:val="24"/>
                <w:lang w:val="en-US" w:eastAsia="zh-CN"/>
              </w:rPr>
            </w:pPr>
            <w:r>
              <w:rPr>
                <w:rFonts w:hint="eastAsia" w:ascii="Times New Roman" w:hAnsi="Times New Roman"/>
                <w:b/>
                <w:sz w:val="24"/>
                <w:szCs w:val="24"/>
              </w:rPr>
              <w:t>2、</w:t>
            </w:r>
            <w:r>
              <w:rPr>
                <w:rFonts w:hint="eastAsia" w:ascii="Times New Roman" w:hAnsi="Times New Roman"/>
                <w:b/>
                <w:sz w:val="24"/>
                <w:szCs w:val="24"/>
                <w:lang w:val="en-US" w:eastAsia="zh-CN"/>
              </w:rPr>
              <w:t>水环境</w:t>
            </w:r>
          </w:p>
          <w:p w14:paraId="017679EC">
            <w:pPr>
              <w:pStyle w:val="32"/>
              <w:keepNext w:val="0"/>
              <w:keepLines w:val="0"/>
              <w:pageBreakBefore w:val="0"/>
              <w:widowControl w:val="0"/>
              <w:kinsoku/>
              <w:wordWrap/>
              <w:overflowPunct/>
              <w:topLinePunct w:val="0"/>
              <w:bidi w:val="0"/>
              <w:spacing w:line="24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施工期产生的废水主要是施工废水、施工人员的生活污水及地表径流。施工</w:t>
            </w:r>
            <w:r>
              <w:rPr>
                <w:rFonts w:hint="default" w:ascii="宋体" w:hAnsi="宋体" w:eastAsia="宋体" w:cs="宋体"/>
                <w:b w:val="0"/>
                <w:bCs w:val="0"/>
                <w:color w:val="auto"/>
                <w:sz w:val="24"/>
                <w:szCs w:val="24"/>
                <w:highlight w:val="none"/>
                <w:lang w:val="zh-CN" w:eastAsia="zh-CN"/>
              </w:rPr>
              <w:t>废水</w:t>
            </w:r>
            <w:r>
              <w:rPr>
                <w:rFonts w:hint="eastAsia" w:ascii="宋体" w:hAnsi="宋体" w:eastAsia="宋体" w:cs="宋体"/>
                <w:b w:val="0"/>
                <w:bCs w:val="0"/>
                <w:color w:val="auto"/>
                <w:sz w:val="24"/>
                <w:szCs w:val="24"/>
                <w:highlight w:val="none"/>
                <w:lang w:val="en-US" w:eastAsia="zh-CN"/>
              </w:rPr>
              <w:t>每天</w:t>
            </w:r>
            <w:r>
              <w:rPr>
                <w:rFonts w:hint="default" w:ascii="宋体" w:hAnsi="宋体" w:eastAsia="宋体" w:cs="宋体"/>
                <w:b w:val="0"/>
                <w:bCs w:val="0"/>
                <w:color w:val="auto"/>
                <w:sz w:val="24"/>
                <w:szCs w:val="24"/>
                <w:highlight w:val="none"/>
                <w:lang w:val="zh-CN" w:eastAsia="zh-CN"/>
              </w:rPr>
              <w:t>产生量约为</w:t>
            </w:r>
            <w:r>
              <w:rPr>
                <w:rFonts w:hint="eastAsia" w:ascii="宋体" w:hAnsi="宋体" w:eastAsia="宋体" w:cs="宋体"/>
                <w:b w:val="0"/>
                <w:bCs w:val="0"/>
                <w:color w:val="auto"/>
                <w:sz w:val="24"/>
                <w:szCs w:val="24"/>
                <w:highlight w:val="none"/>
                <w:lang w:val="en-US" w:eastAsia="zh-CN"/>
              </w:rPr>
              <w:t>3m³，</w:t>
            </w:r>
            <w:r>
              <w:rPr>
                <w:rFonts w:hint="default" w:ascii="宋体" w:hAnsi="宋体" w:eastAsia="宋体" w:cs="宋体"/>
                <w:b w:val="0"/>
                <w:bCs w:val="0"/>
                <w:color w:val="auto"/>
                <w:sz w:val="24"/>
                <w:szCs w:val="24"/>
                <w:highlight w:val="none"/>
                <w:lang w:val="en-US" w:eastAsia="zh-CN"/>
              </w:rPr>
              <w:t>项目建设1个容积为</w:t>
            </w:r>
            <w:r>
              <w:rPr>
                <w:rFonts w:hint="eastAsia" w:ascii="宋体" w:hAnsi="宋体" w:eastAsia="宋体" w:cs="宋体"/>
                <w:b w:val="0"/>
                <w:bCs w:val="0"/>
                <w:color w:val="auto"/>
                <w:sz w:val="24"/>
                <w:szCs w:val="24"/>
                <w:highlight w:val="none"/>
                <w:lang w:val="en-US" w:eastAsia="zh-CN"/>
              </w:rPr>
              <w:t>15m³的沉淀池</w:t>
            </w:r>
            <w:r>
              <w:rPr>
                <w:rFonts w:hint="default" w:ascii="宋体" w:hAnsi="宋体" w:eastAsia="宋体" w:cs="宋体"/>
                <w:b w:val="0"/>
                <w:bCs w:val="0"/>
                <w:color w:val="auto"/>
                <w:sz w:val="24"/>
                <w:szCs w:val="24"/>
                <w:highlight w:val="none"/>
                <w:lang w:val="en-US" w:eastAsia="zh-CN"/>
              </w:rPr>
              <w:t>，建筑施工废水</w:t>
            </w:r>
            <w:r>
              <w:rPr>
                <w:rFonts w:hint="eastAsia" w:ascii="宋体" w:hAnsi="宋体" w:eastAsia="宋体" w:cs="宋体"/>
                <w:b w:val="0"/>
                <w:bCs w:val="0"/>
                <w:color w:val="auto"/>
                <w:sz w:val="24"/>
                <w:szCs w:val="24"/>
                <w:highlight w:val="none"/>
                <w:lang w:val="en-US" w:eastAsia="zh-CN"/>
              </w:rPr>
              <w:t>经</w:t>
            </w:r>
            <w:r>
              <w:rPr>
                <w:rFonts w:hint="default" w:ascii="宋体" w:hAnsi="宋体" w:eastAsia="宋体" w:cs="宋体"/>
                <w:b w:val="0"/>
                <w:bCs w:val="0"/>
                <w:color w:val="auto"/>
                <w:sz w:val="24"/>
                <w:szCs w:val="24"/>
                <w:highlight w:val="none"/>
                <w:lang w:val="en-US" w:eastAsia="zh-CN"/>
              </w:rPr>
              <w:t>沉淀后用作项目施工场地洒水降尘，不外排。现场施工人员生活污水</w:t>
            </w:r>
            <w:r>
              <w:rPr>
                <w:rFonts w:hint="default" w:ascii="宋体" w:hAnsi="宋体" w:eastAsia="宋体" w:cs="宋体"/>
                <w:b w:val="0"/>
                <w:bCs w:val="0"/>
                <w:color w:val="auto"/>
                <w:sz w:val="24"/>
                <w:szCs w:val="24"/>
                <w:highlight w:val="none"/>
                <w:lang w:val="zh-CN" w:eastAsia="zh-CN"/>
              </w:rPr>
              <w:t>产生总量</w:t>
            </w:r>
            <w:r>
              <w:rPr>
                <w:rFonts w:hint="eastAsia" w:ascii="宋体" w:hAnsi="宋体" w:eastAsia="宋体" w:cs="宋体"/>
                <w:b w:val="0"/>
                <w:bCs w:val="0"/>
                <w:color w:val="auto"/>
                <w:sz w:val="24"/>
                <w:szCs w:val="24"/>
                <w:highlight w:val="none"/>
                <w:lang w:val="en-US" w:eastAsia="zh-CN"/>
              </w:rPr>
              <w:t>1.6m³/d，</w:t>
            </w:r>
            <w:r>
              <w:rPr>
                <w:rFonts w:hint="default" w:ascii="宋体" w:hAnsi="宋体" w:eastAsia="宋体" w:cs="宋体"/>
                <w:b w:val="0"/>
                <w:bCs w:val="0"/>
                <w:color w:val="auto"/>
                <w:sz w:val="24"/>
                <w:szCs w:val="24"/>
                <w:highlight w:val="none"/>
                <w:lang w:val="zh-CN" w:eastAsia="zh-CN"/>
              </w:rPr>
              <w:t>施工期设置</w:t>
            </w:r>
            <w:r>
              <w:rPr>
                <w:rFonts w:hint="default" w:ascii="宋体" w:hAnsi="宋体" w:eastAsia="宋体" w:cs="宋体"/>
                <w:b w:val="0"/>
                <w:bCs w:val="0"/>
                <w:color w:val="auto"/>
                <w:sz w:val="24"/>
                <w:szCs w:val="24"/>
                <w:highlight w:val="none"/>
                <w:lang w:val="en-US" w:eastAsia="zh-CN"/>
              </w:rPr>
              <w:t>临时化粪池</w:t>
            </w:r>
            <w:r>
              <w:rPr>
                <w:rFonts w:hint="default" w:ascii="宋体" w:hAnsi="宋体" w:eastAsia="宋体" w:cs="宋体"/>
                <w:b w:val="0"/>
                <w:bCs w:val="0"/>
                <w:color w:val="auto"/>
                <w:sz w:val="24"/>
                <w:szCs w:val="24"/>
                <w:highlight w:val="none"/>
                <w:lang w:val="zh-CN" w:eastAsia="zh-CN"/>
              </w:rPr>
              <w:t>（1个，容积为</w:t>
            </w:r>
            <w:r>
              <w:rPr>
                <w:rFonts w:hint="eastAsia" w:ascii="宋体" w:hAnsi="宋体" w:eastAsia="宋体" w:cs="宋体"/>
                <w:b w:val="0"/>
                <w:bCs w:val="0"/>
                <w:color w:val="auto"/>
                <w:sz w:val="24"/>
                <w:szCs w:val="24"/>
                <w:highlight w:val="none"/>
                <w:lang w:val="en-US" w:eastAsia="zh-CN"/>
              </w:rPr>
              <w:t>5</w:t>
            </w:r>
            <w:r>
              <w:rPr>
                <w:rFonts w:hint="default" w:ascii="宋体" w:hAnsi="宋体" w:eastAsia="宋体" w:cs="宋体"/>
                <w:b w:val="0"/>
                <w:bCs w:val="0"/>
                <w:color w:val="auto"/>
                <w:sz w:val="24"/>
                <w:szCs w:val="24"/>
                <w:highlight w:val="none"/>
                <w:lang w:val="zh-CN" w:eastAsia="zh-CN"/>
              </w:rPr>
              <w:t>m</w:t>
            </w:r>
            <w:r>
              <w:rPr>
                <w:rFonts w:hint="default" w:ascii="宋体" w:hAnsi="宋体" w:eastAsia="宋体" w:cs="宋体"/>
                <w:b w:val="0"/>
                <w:bCs w:val="0"/>
                <w:color w:val="auto"/>
                <w:sz w:val="24"/>
                <w:szCs w:val="24"/>
                <w:highlight w:val="none"/>
                <w:vertAlign w:val="superscript"/>
                <w:lang w:val="zh-CN" w:eastAsia="zh-CN"/>
              </w:rPr>
              <w:t>3</w:t>
            </w:r>
            <w:r>
              <w:rPr>
                <w:rFonts w:hint="default" w:ascii="宋体" w:hAnsi="宋体" w:eastAsia="宋体" w:cs="宋体"/>
                <w:b w:val="0"/>
                <w:bCs w:val="0"/>
                <w:color w:val="auto"/>
                <w:sz w:val="24"/>
                <w:szCs w:val="24"/>
                <w:highlight w:val="none"/>
                <w:lang w:val="zh-CN" w:eastAsia="zh-CN"/>
              </w:rPr>
              <w:t>）</w:t>
            </w:r>
            <w:r>
              <w:rPr>
                <w:rFonts w:hint="eastAsia" w:ascii="宋体" w:hAnsi="宋体" w:eastAsia="宋体" w:cs="宋体"/>
                <w:b w:val="0"/>
                <w:bCs w:val="0"/>
                <w:color w:val="auto"/>
                <w:sz w:val="24"/>
                <w:szCs w:val="24"/>
                <w:highlight w:val="none"/>
                <w:lang w:val="zh-CN" w:eastAsia="zh-CN"/>
              </w:rPr>
              <w:t>，经临时化粪池预处理后定期清掏用于周边耕地施肥，</w:t>
            </w:r>
            <w:r>
              <w:rPr>
                <w:rFonts w:hint="default" w:ascii="宋体" w:hAnsi="宋体" w:eastAsia="宋体" w:cs="宋体"/>
                <w:b w:val="0"/>
                <w:bCs w:val="0"/>
                <w:color w:val="auto"/>
                <w:sz w:val="24"/>
                <w:szCs w:val="24"/>
                <w:highlight w:val="none"/>
                <w:lang w:val="zh-CN" w:eastAsia="zh-CN"/>
              </w:rPr>
              <w:t>不外排</w:t>
            </w:r>
            <w:r>
              <w:rPr>
                <w:rFonts w:hint="eastAsia" w:ascii="宋体" w:hAnsi="宋体" w:eastAsia="宋体" w:cs="宋体"/>
                <w:b w:val="0"/>
                <w:bCs w:val="0"/>
                <w:color w:val="auto"/>
                <w:sz w:val="24"/>
                <w:szCs w:val="24"/>
                <w:highlight w:val="none"/>
                <w:lang w:val="zh-CN" w:eastAsia="zh-CN"/>
              </w:rPr>
              <w:t>。</w:t>
            </w:r>
            <w:r>
              <w:rPr>
                <w:rFonts w:hint="default" w:ascii="宋体" w:hAnsi="宋体" w:eastAsia="宋体" w:cs="宋体"/>
                <w:b w:val="0"/>
                <w:bCs w:val="0"/>
                <w:color w:val="auto"/>
                <w:sz w:val="24"/>
                <w:szCs w:val="24"/>
                <w:highlight w:val="none"/>
                <w:lang w:val="en-US" w:eastAsia="zh-CN"/>
              </w:rPr>
              <w:t>项目雨季产生的地表径流</w:t>
            </w:r>
            <w:r>
              <w:rPr>
                <w:rFonts w:hint="default" w:ascii="宋体" w:hAnsi="宋体" w:eastAsia="宋体" w:cs="宋体"/>
                <w:b w:val="0"/>
                <w:bCs w:val="0"/>
                <w:color w:val="auto"/>
                <w:sz w:val="24"/>
                <w:szCs w:val="24"/>
                <w:highlight w:val="none"/>
                <w:lang w:val="zh-CN" w:eastAsia="zh-CN"/>
              </w:rPr>
              <w:t>排入</w:t>
            </w:r>
            <w:r>
              <w:rPr>
                <w:rFonts w:hint="eastAsia" w:ascii="宋体" w:hAnsi="宋体" w:eastAsia="宋体" w:cs="宋体"/>
                <w:b w:val="0"/>
                <w:bCs w:val="0"/>
                <w:color w:val="auto"/>
                <w:sz w:val="24"/>
                <w:szCs w:val="24"/>
                <w:highlight w:val="none"/>
                <w:lang w:val="en-US" w:eastAsia="zh-CN"/>
              </w:rPr>
              <w:t>两个地块外侧的</w:t>
            </w:r>
            <w:r>
              <w:rPr>
                <w:rFonts w:hint="default" w:ascii="宋体" w:hAnsi="宋体" w:eastAsia="宋体" w:cs="宋体"/>
                <w:b w:val="0"/>
                <w:bCs w:val="0"/>
                <w:color w:val="auto"/>
                <w:sz w:val="24"/>
                <w:szCs w:val="24"/>
                <w:highlight w:val="none"/>
                <w:lang w:val="zh-CN" w:eastAsia="zh-CN"/>
              </w:rPr>
              <w:t>地表沟渠</w:t>
            </w:r>
            <w:r>
              <w:rPr>
                <w:rFonts w:hint="eastAsia" w:ascii="宋体" w:hAnsi="宋体" w:eastAsia="宋体" w:cs="宋体"/>
                <w:b w:val="0"/>
                <w:bCs w:val="0"/>
                <w:color w:val="auto"/>
                <w:sz w:val="24"/>
                <w:szCs w:val="24"/>
                <w:highlight w:val="none"/>
                <w:lang w:val="zh-CN" w:eastAsia="zh-CN"/>
              </w:rPr>
              <w:t>。</w:t>
            </w:r>
            <w:r>
              <w:rPr>
                <w:rFonts w:hint="eastAsia" w:ascii="宋体" w:hAnsi="宋体" w:eastAsia="宋体" w:cs="宋体"/>
                <w:b w:val="0"/>
                <w:bCs w:val="0"/>
                <w:color w:val="auto"/>
                <w:sz w:val="24"/>
                <w:szCs w:val="24"/>
                <w:highlight w:val="none"/>
                <w:lang w:val="en-US" w:eastAsia="zh-CN"/>
              </w:rPr>
              <w:t>本项目施工期整个工程量不大，当建设方采取以上措施后，项目施工期对当地水环境的影响较小。</w:t>
            </w:r>
          </w:p>
          <w:p w14:paraId="79A0AE7F">
            <w:pPr>
              <w:widowControl/>
              <w:spacing w:line="280" w:lineRule="exact"/>
              <w:jc w:val="left"/>
              <w:rPr>
                <w:rFonts w:hint="eastAsia" w:ascii="Times New Roman" w:hAnsi="Times New Roman" w:eastAsia="方正仿宋_GBK"/>
                <w:b/>
                <w:sz w:val="24"/>
                <w:szCs w:val="24"/>
                <w:lang w:eastAsia="zh-CN"/>
              </w:rPr>
            </w:pPr>
            <w:r>
              <w:rPr>
                <w:rFonts w:hint="eastAsia" w:ascii="Times New Roman" w:hAnsi="Times New Roman"/>
                <w:b/>
                <w:sz w:val="24"/>
                <w:szCs w:val="24"/>
              </w:rPr>
              <w:t>3、</w:t>
            </w:r>
            <w:r>
              <w:rPr>
                <w:rFonts w:hint="eastAsia" w:ascii="Times New Roman" w:hAnsi="Times New Roman"/>
                <w:b/>
                <w:sz w:val="24"/>
                <w:szCs w:val="24"/>
                <w:lang w:val="en-US" w:eastAsia="zh-CN"/>
              </w:rPr>
              <w:t>声环境</w:t>
            </w:r>
          </w:p>
          <w:p w14:paraId="2907A196">
            <w:pPr>
              <w:pStyle w:val="32"/>
              <w:keepNext w:val="0"/>
              <w:keepLines w:val="0"/>
              <w:pageBreakBefore w:val="0"/>
              <w:widowControl w:val="0"/>
              <w:kinsoku/>
              <w:wordWrap/>
              <w:overflowPunct/>
              <w:topLinePunct w:val="0"/>
              <w:bidi w:val="0"/>
              <w:spacing w:line="240" w:lineRule="auto"/>
              <w:ind w:firstLine="480" w:firstLineChars="200"/>
              <w:textAlignment w:val="auto"/>
              <w:rPr>
                <w:rFonts w:hint="eastAsia" w:ascii="宋体" w:hAnsi="宋体" w:eastAsia="宋体" w:cs="宋体"/>
                <w:b w:val="0"/>
                <w:bCs w:val="0"/>
                <w:color w:val="auto"/>
                <w:sz w:val="24"/>
                <w:szCs w:val="24"/>
                <w:highlight w:val="none"/>
                <w:lang w:val="zh-CN" w:eastAsia="zh-CN"/>
              </w:rPr>
            </w:pPr>
            <w:r>
              <w:rPr>
                <w:rFonts w:hint="eastAsia" w:ascii="宋体" w:hAnsi="宋体" w:eastAsia="宋体" w:cs="宋体"/>
                <w:b w:val="0"/>
                <w:bCs w:val="0"/>
                <w:color w:val="auto"/>
                <w:sz w:val="24"/>
                <w:szCs w:val="24"/>
                <w:highlight w:val="none"/>
                <w:lang w:val="zh-CN" w:eastAsia="zh-CN"/>
              </w:rPr>
              <w:t>对产噪高的设备，建议在其外加盖简易棚。施工过程中，应根据机械设备产生噪声的特点，合理安排施工时间；对钢管、模板等构件装卸、搬运应该轻拿轻放，严禁抛掷，并辅以一定的减缓措施，如铺设草垫等；对动力机械设备定期进行维修和养护，避免因松动部件振动或消声器损坏而加大设备工作时的声级；夜间禁止施工。</w:t>
            </w:r>
          </w:p>
          <w:p w14:paraId="729FD8BF">
            <w:pPr>
              <w:widowControl/>
              <w:spacing w:line="280" w:lineRule="exact"/>
              <w:jc w:val="left"/>
              <w:rPr>
                <w:rFonts w:hint="default" w:ascii="Times New Roman" w:hAnsi="Times New Roman" w:eastAsia="方正仿宋_GBK"/>
                <w:b/>
                <w:sz w:val="24"/>
                <w:szCs w:val="24"/>
                <w:lang w:val="en-US" w:eastAsia="zh-CN"/>
              </w:rPr>
            </w:pPr>
            <w:r>
              <w:rPr>
                <w:rFonts w:hint="eastAsia" w:ascii="Times New Roman" w:hAnsi="Times New Roman"/>
                <w:b/>
                <w:sz w:val="24"/>
                <w:szCs w:val="24"/>
              </w:rPr>
              <w:t>4、</w:t>
            </w:r>
            <w:r>
              <w:rPr>
                <w:rFonts w:hint="eastAsia" w:ascii="Times New Roman" w:hAnsi="Times New Roman"/>
                <w:b/>
                <w:sz w:val="24"/>
                <w:szCs w:val="24"/>
                <w:lang w:val="en-US" w:eastAsia="zh-CN"/>
              </w:rPr>
              <w:t>固体废物</w:t>
            </w:r>
          </w:p>
          <w:p w14:paraId="523C7BD9">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项目地势北高南低，西高东低，猪舍分台阶布置，土石方产生量不大，剥离表土及土石方就近集中统一堆放，开挖土石方全部用于场区地势低洼处填补，剥离表土留作后期绿化覆土。施工作业产生的固体废物主要为建筑模板、建筑材料下脚料、断残钢筋头、破钢管、包装袋以及建筑碎片、碎砖头、水泥块、石子、沙子等建筑材料废弃物等。</w:t>
            </w:r>
            <w:r>
              <w:rPr>
                <w:rFonts w:hint="default" w:ascii="Times New Roman" w:hAnsi="Times New Roman" w:eastAsia="宋体" w:cs="Times New Roman"/>
                <w:b w:val="0"/>
                <w:bCs w:val="0"/>
                <w:color w:val="auto"/>
                <w:sz w:val="24"/>
                <w:szCs w:val="24"/>
                <w:highlight w:val="none"/>
                <w:lang w:val="zh-CN" w:eastAsia="zh-CN"/>
              </w:rPr>
              <w:t>建筑垃圾产生量为</w:t>
            </w:r>
            <w:r>
              <w:rPr>
                <w:rFonts w:hint="default" w:ascii="Times New Roman" w:hAnsi="Times New Roman" w:eastAsia="宋体" w:cs="Times New Roman"/>
                <w:b w:val="0"/>
                <w:bCs w:val="0"/>
                <w:color w:val="auto"/>
                <w:sz w:val="24"/>
                <w:szCs w:val="24"/>
                <w:highlight w:val="none"/>
                <w:lang w:val="en-US" w:eastAsia="zh-CN"/>
              </w:rPr>
              <w:t>6.17</w:t>
            </w:r>
            <w:r>
              <w:rPr>
                <w:rFonts w:hint="default" w:ascii="Times New Roman" w:hAnsi="Times New Roman" w:eastAsia="宋体" w:cs="Times New Roman"/>
                <w:b w:val="0"/>
                <w:bCs w:val="0"/>
                <w:color w:val="auto"/>
                <w:sz w:val="24"/>
                <w:szCs w:val="24"/>
                <w:highlight w:val="none"/>
                <w:lang w:val="zh-CN" w:eastAsia="zh-CN"/>
              </w:rPr>
              <w:t>t，</w:t>
            </w:r>
            <w:r>
              <w:rPr>
                <w:rFonts w:hint="default" w:ascii="Times New Roman" w:hAnsi="Times New Roman" w:eastAsia="宋体" w:cs="Times New Roman"/>
                <w:b w:val="0"/>
                <w:bCs w:val="0"/>
                <w:color w:val="auto"/>
                <w:sz w:val="24"/>
                <w:szCs w:val="24"/>
                <w:highlight w:val="none"/>
                <w:lang w:val="en-US" w:eastAsia="zh-CN"/>
              </w:rPr>
              <w:t>建筑垃圾通过分类集中堆存，</w:t>
            </w:r>
            <w:r>
              <w:rPr>
                <w:rFonts w:hint="default" w:ascii="Times New Roman" w:hAnsi="Times New Roman" w:eastAsia="宋体" w:cs="Times New Roman"/>
                <w:b w:val="0"/>
                <w:bCs w:val="0"/>
                <w:color w:val="auto"/>
                <w:sz w:val="24"/>
                <w:szCs w:val="24"/>
                <w:highlight w:val="none"/>
                <w:lang w:val="zh-CN" w:eastAsia="zh-CN"/>
              </w:rPr>
              <w:t>废钢筋、废木材、废塑料、废包装材料等具有回收价值的废品送至废品收购站回收，其余不可利用的建筑垃圾运至住建部门指定地点堆放。生活垃圾产生量为</w:t>
            </w:r>
            <w:r>
              <w:rPr>
                <w:rFonts w:hint="eastAsia" w:ascii="Times New Roman" w:hAnsi="Times New Roman" w:eastAsia="宋体" w:cs="Times New Roman"/>
                <w:b w:val="0"/>
                <w:bCs w:val="0"/>
                <w:color w:val="auto"/>
                <w:sz w:val="24"/>
                <w:szCs w:val="24"/>
                <w:highlight w:val="none"/>
                <w:lang w:val="en-US" w:eastAsia="zh-CN"/>
              </w:rPr>
              <w:t>3.99</w:t>
            </w:r>
            <w:r>
              <w:rPr>
                <w:rFonts w:hint="default" w:ascii="Times New Roman" w:hAnsi="Times New Roman" w:eastAsia="宋体" w:cs="Times New Roman"/>
                <w:b w:val="0"/>
                <w:bCs w:val="0"/>
                <w:color w:val="auto"/>
                <w:sz w:val="24"/>
                <w:szCs w:val="24"/>
                <w:highlight w:val="none"/>
                <w:lang w:val="zh-CN" w:eastAsia="zh-CN"/>
              </w:rPr>
              <w:t>t，施工人员生活垃圾由施工单位集中收集后运至</w:t>
            </w:r>
            <w:r>
              <w:rPr>
                <w:rFonts w:hint="eastAsia" w:ascii="Times New Roman" w:hAnsi="Times New Roman" w:eastAsia="宋体" w:cs="Times New Roman"/>
                <w:b w:val="0"/>
                <w:bCs w:val="0"/>
                <w:color w:val="auto"/>
                <w:sz w:val="24"/>
                <w:szCs w:val="24"/>
                <w:highlight w:val="none"/>
                <w:lang w:val="en-US" w:eastAsia="zh-CN"/>
              </w:rPr>
              <w:t>普理村委会</w:t>
            </w:r>
            <w:r>
              <w:rPr>
                <w:rFonts w:hint="default" w:ascii="Times New Roman" w:hAnsi="Times New Roman" w:eastAsia="宋体" w:cs="Times New Roman"/>
                <w:b w:val="0"/>
                <w:bCs w:val="0"/>
                <w:color w:val="auto"/>
                <w:sz w:val="24"/>
                <w:szCs w:val="24"/>
                <w:highlight w:val="none"/>
                <w:lang w:val="zh-CN" w:eastAsia="zh-CN"/>
              </w:rPr>
              <w:t>垃圾</w:t>
            </w:r>
            <w:r>
              <w:rPr>
                <w:rFonts w:hint="eastAsia" w:ascii="Times New Roman" w:hAnsi="Times New Roman" w:eastAsia="宋体" w:cs="Times New Roman"/>
                <w:b w:val="0"/>
                <w:bCs w:val="0"/>
                <w:color w:val="auto"/>
                <w:sz w:val="24"/>
                <w:szCs w:val="24"/>
                <w:highlight w:val="none"/>
                <w:lang w:val="en-US" w:eastAsia="zh-CN"/>
              </w:rPr>
              <w:t>收集点</w:t>
            </w:r>
            <w:r>
              <w:rPr>
                <w:rFonts w:hint="default" w:ascii="Times New Roman" w:hAnsi="Times New Roman" w:eastAsia="宋体" w:cs="Times New Roman"/>
                <w:b w:val="0"/>
                <w:bCs w:val="0"/>
                <w:color w:val="auto"/>
                <w:sz w:val="24"/>
                <w:szCs w:val="24"/>
                <w:highlight w:val="none"/>
                <w:lang w:val="zh-CN" w:eastAsia="zh-CN"/>
              </w:rPr>
              <w:t>，由环卫部门统一处理。</w:t>
            </w:r>
          </w:p>
          <w:p w14:paraId="63409C8E">
            <w:pPr>
              <w:widowControl/>
              <w:numPr>
                <w:ilvl w:val="0"/>
                <w:numId w:val="1"/>
              </w:numPr>
              <w:spacing w:line="280" w:lineRule="exact"/>
              <w:jc w:val="left"/>
              <w:rPr>
                <w:rFonts w:hint="eastAsia" w:ascii="Times New Roman" w:hAnsi="Times New Roman"/>
                <w:b/>
                <w:sz w:val="24"/>
                <w:szCs w:val="24"/>
                <w:lang w:val="en-US" w:eastAsia="zh-CN"/>
              </w:rPr>
            </w:pPr>
            <w:r>
              <w:rPr>
                <w:rFonts w:hint="eastAsia" w:ascii="Times New Roman" w:hAnsi="Times New Roman"/>
                <w:b/>
                <w:sz w:val="24"/>
                <w:szCs w:val="24"/>
                <w:lang w:val="en-US" w:eastAsia="zh-CN"/>
              </w:rPr>
              <w:t>生态环境</w:t>
            </w:r>
          </w:p>
          <w:p w14:paraId="25CC2DD5">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en-US" w:eastAsia="zh-CN"/>
              </w:rPr>
              <w:t>主体工程在工程总平面布置上充分利用现有地形，土石方进行场地内部调运回填平衡，有效防止了运输导致的水土流失。</w:t>
            </w:r>
          </w:p>
          <w:p w14:paraId="39AA72F5">
            <w:pPr>
              <w:pStyle w:val="32"/>
              <w:keepNext w:val="0"/>
              <w:keepLines w:val="0"/>
              <w:pageBreakBefore w:val="0"/>
              <w:widowControl w:val="0"/>
              <w:kinsoku/>
              <w:wordWrap/>
              <w:overflowPunct/>
              <w:topLinePunct w:val="0"/>
              <w:bidi w:val="0"/>
              <w:spacing w:line="240" w:lineRule="auto"/>
              <w:ind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（2）建设期间在建构筑物外围布设</w:t>
            </w:r>
            <w:r>
              <w:rPr>
                <w:rFonts w:hint="default" w:ascii="Times New Roman" w:hAnsi="Times New Roman" w:eastAsia="宋体" w:cs="Times New Roman"/>
                <w:b w:val="0"/>
                <w:bCs w:val="0"/>
                <w:color w:val="auto"/>
                <w:sz w:val="24"/>
                <w:szCs w:val="24"/>
                <w:highlight w:val="none"/>
                <w:lang w:val="en-US" w:eastAsia="zh-CN"/>
              </w:rPr>
              <w:t>砖砌排水沟</w:t>
            </w:r>
            <w:r>
              <w:rPr>
                <w:rFonts w:hint="eastAsia" w:ascii="Times New Roman" w:hAnsi="Times New Roman" w:eastAsia="宋体" w:cs="Times New Roman"/>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项目</w:t>
            </w:r>
            <w:r>
              <w:rPr>
                <w:rFonts w:hint="eastAsia" w:ascii="Times New Roman" w:hAnsi="Times New Roman" w:eastAsia="宋体" w:cs="Times New Roman"/>
                <w:b w:val="0"/>
                <w:bCs w:val="0"/>
                <w:color w:val="auto"/>
                <w:sz w:val="24"/>
                <w:szCs w:val="24"/>
                <w:highlight w:val="none"/>
                <w:lang w:val="en-US" w:eastAsia="zh-CN"/>
              </w:rPr>
              <w:t>区南侧外围底部</w:t>
            </w:r>
            <w:r>
              <w:rPr>
                <w:rFonts w:hint="default" w:ascii="Times New Roman" w:hAnsi="Times New Roman" w:eastAsia="宋体" w:cs="Times New Roman"/>
                <w:b w:val="0"/>
                <w:bCs w:val="0"/>
                <w:color w:val="auto"/>
                <w:sz w:val="24"/>
                <w:szCs w:val="24"/>
                <w:highlight w:val="none"/>
                <w:lang w:val="en-US" w:eastAsia="zh-CN"/>
              </w:rPr>
              <w:t>浆砌石挡墙</w:t>
            </w:r>
            <w:r>
              <w:rPr>
                <w:rFonts w:hint="eastAsia" w:ascii="Times New Roman" w:hAnsi="Times New Roman" w:eastAsia="宋体" w:cs="Times New Roman"/>
                <w:b w:val="0"/>
                <w:bCs w:val="0"/>
                <w:color w:val="auto"/>
                <w:sz w:val="24"/>
                <w:szCs w:val="24"/>
                <w:highlight w:val="none"/>
                <w:lang w:val="en-US" w:eastAsia="zh-CN"/>
              </w:rPr>
              <w:t>，在排水沟转向及交汇处布设沉砂池，项目区出口处布设临时车辆清洗池及</w:t>
            </w:r>
            <w:r>
              <w:rPr>
                <w:rFonts w:hint="default" w:ascii="Times New Roman" w:hAnsi="Times New Roman" w:eastAsia="宋体" w:cs="Times New Roman"/>
                <w:b w:val="0"/>
                <w:bCs w:val="0"/>
                <w:color w:val="auto"/>
                <w:sz w:val="24"/>
                <w:szCs w:val="24"/>
                <w:highlight w:val="none"/>
                <w:lang w:val="en-US" w:eastAsia="zh-CN"/>
              </w:rPr>
              <w:t>洒水降尘</w:t>
            </w:r>
            <w:r>
              <w:rPr>
                <w:rFonts w:hint="eastAsia" w:ascii="Times New Roman" w:hAnsi="Times New Roman" w:eastAsia="宋体" w:cs="Times New Roman"/>
                <w:b w:val="0"/>
                <w:bCs w:val="0"/>
                <w:color w:val="auto"/>
                <w:sz w:val="24"/>
                <w:szCs w:val="24"/>
                <w:highlight w:val="none"/>
                <w:lang w:val="en-US" w:eastAsia="zh-CN"/>
              </w:rPr>
              <w:t>措施；</w:t>
            </w:r>
            <w:r>
              <w:rPr>
                <w:rFonts w:hint="default" w:ascii="Times New Roman" w:hAnsi="Times New Roman" w:eastAsia="宋体" w:cs="Times New Roman"/>
                <w:b w:val="0"/>
                <w:bCs w:val="0"/>
                <w:color w:val="auto"/>
                <w:sz w:val="24"/>
                <w:szCs w:val="24"/>
                <w:highlight w:val="none"/>
                <w:lang w:val="en-US" w:eastAsia="zh-CN"/>
              </w:rPr>
              <w:t>建设期间</w:t>
            </w:r>
            <w:r>
              <w:rPr>
                <w:rFonts w:hint="eastAsia" w:ascii="Times New Roman" w:hAnsi="Times New Roman" w:eastAsia="宋体" w:cs="Times New Roman"/>
                <w:b w:val="0"/>
                <w:bCs w:val="0"/>
                <w:color w:val="auto"/>
                <w:sz w:val="24"/>
                <w:szCs w:val="24"/>
                <w:highlight w:val="none"/>
                <w:lang w:val="en-US" w:eastAsia="zh-CN"/>
              </w:rPr>
              <w:t>对</w:t>
            </w:r>
            <w:r>
              <w:rPr>
                <w:rFonts w:hint="default" w:ascii="Times New Roman" w:hAnsi="Times New Roman" w:eastAsia="宋体" w:cs="Times New Roman"/>
                <w:b w:val="0"/>
                <w:bCs w:val="0"/>
                <w:color w:val="auto"/>
                <w:sz w:val="24"/>
                <w:szCs w:val="24"/>
                <w:highlight w:val="none"/>
                <w:lang w:val="en-US" w:eastAsia="zh-CN"/>
              </w:rPr>
              <w:t>表土临时拦挡</w:t>
            </w:r>
            <w:r>
              <w:rPr>
                <w:rFonts w:hint="eastAsia" w:ascii="Times New Roman" w:hAnsi="Times New Roman" w:eastAsia="宋体" w:cs="Times New Roman"/>
                <w:b w:val="0"/>
                <w:bCs w:val="0"/>
                <w:color w:val="auto"/>
                <w:sz w:val="24"/>
                <w:szCs w:val="24"/>
                <w:highlight w:val="none"/>
                <w:lang w:val="en-US" w:eastAsia="zh-CN"/>
              </w:rPr>
              <w:t>，以及自然恢复期对绿化区域实施</w:t>
            </w:r>
            <w:r>
              <w:rPr>
                <w:rFonts w:hint="default" w:ascii="Times New Roman" w:hAnsi="Times New Roman" w:eastAsia="宋体" w:cs="Times New Roman"/>
                <w:b w:val="0"/>
                <w:bCs w:val="0"/>
                <w:color w:val="auto"/>
                <w:sz w:val="24"/>
                <w:szCs w:val="24"/>
                <w:highlight w:val="none"/>
                <w:lang w:val="zh-CN" w:eastAsia="zh-CN"/>
              </w:rPr>
              <w:t>抚育管理</w:t>
            </w:r>
            <w:r>
              <w:rPr>
                <w:rFonts w:hint="eastAsia" w:ascii="Times New Roman" w:hAnsi="Times New Roman" w:eastAsia="宋体" w:cs="Times New Roman"/>
                <w:b w:val="0"/>
                <w:bCs w:val="0"/>
                <w:color w:val="auto"/>
                <w:sz w:val="24"/>
                <w:szCs w:val="24"/>
                <w:highlight w:val="none"/>
                <w:lang w:val="zh-CN" w:eastAsia="zh-CN"/>
              </w:rPr>
              <w:t>。</w:t>
            </w:r>
            <w:r>
              <w:rPr>
                <w:rFonts w:hint="default" w:ascii="Times New Roman" w:hAnsi="Times New Roman" w:eastAsia="宋体" w:cs="Times New Roman"/>
                <w:b w:val="0"/>
                <w:bCs w:val="0"/>
                <w:color w:val="auto"/>
                <w:sz w:val="24"/>
                <w:szCs w:val="24"/>
                <w:highlight w:val="none"/>
                <w:lang w:val="en-US" w:eastAsia="zh-CN"/>
              </w:rPr>
              <w:t>控制水土流失，改善生态环境</w:t>
            </w:r>
            <w:r>
              <w:rPr>
                <w:rFonts w:hint="eastAsia" w:ascii="Times New Roman" w:hAnsi="Times New Roman" w:eastAsia="宋体" w:cs="Times New Roman"/>
                <w:b w:val="0"/>
                <w:bCs w:val="0"/>
                <w:color w:val="auto"/>
                <w:sz w:val="24"/>
                <w:szCs w:val="24"/>
                <w:highlight w:val="none"/>
                <w:lang w:val="en-US" w:eastAsia="zh-CN"/>
              </w:rPr>
              <w:t>。</w:t>
            </w:r>
          </w:p>
          <w:p w14:paraId="25264ABA">
            <w:pPr>
              <w:pStyle w:val="32"/>
              <w:keepNext w:val="0"/>
              <w:keepLines w:val="0"/>
              <w:pageBreakBefore w:val="0"/>
              <w:widowControl w:val="0"/>
              <w:kinsoku/>
              <w:wordWrap/>
              <w:overflowPunct/>
              <w:topLinePunct w:val="0"/>
              <w:bidi w:val="0"/>
              <w:spacing w:line="240" w:lineRule="auto"/>
              <w:ind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sz w:val="24"/>
                <w:szCs w:val="24"/>
                <w:highlight w:val="none"/>
                <w:lang w:val="en-US" w:eastAsia="zh-CN"/>
              </w:rPr>
              <w:t>严格施工管理，在工程施工区设立围挡，标明施工活动区域，并设置警 示牌，对施工区外的土地、植被、水体进行严格保护</w:t>
            </w:r>
            <w:r>
              <w:rPr>
                <w:rFonts w:hint="eastAsia" w:ascii="Times New Roman" w:hAnsi="Times New Roman" w:eastAsia="宋体" w:cs="Times New Roman"/>
                <w:b w:val="0"/>
                <w:bCs w:val="0"/>
                <w:color w:val="auto"/>
                <w:sz w:val="24"/>
                <w:szCs w:val="24"/>
                <w:highlight w:val="none"/>
                <w:lang w:val="en-US" w:eastAsia="zh-CN"/>
              </w:rPr>
              <w:t>，特别是项目区场址周边的基本农田。</w:t>
            </w:r>
          </w:p>
          <w:p w14:paraId="1FE9D73A">
            <w:pPr>
              <w:pStyle w:val="32"/>
              <w:keepNext w:val="0"/>
              <w:keepLines w:val="0"/>
              <w:pageBreakBefore w:val="0"/>
              <w:widowControl w:val="0"/>
              <w:kinsoku/>
              <w:wordWrap/>
              <w:overflowPunct/>
              <w:topLinePunct w:val="0"/>
              <w:bidi w:val="0"/>
              <w:spacing w:line="240" w:lineRule="auto"/>
              <w:ind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（4）严格按照设计图纸和征地红线进行施工，设置清晰的物理边界，</w:t>
            </w:r>
            <w:r>
              <w:rPr>
                <w:rFonts w:hint="default" w:ascii="Times New Roman" w:hAnsi="Times New Roman" w:eastAsia="宋体" w:cs="Times New Roman"/>
                <w:b w:val="0"/>
                <w:bCs w:val="0"/>
                <w:color w:val="auto"/>
                <w:sz w:val="24"/>
                <w:szCs w:val="24"/>
                <w:highlight w:val="none"/>
                <w:lang w:val="en-US" w:eastAsia="zh-CN"/>
              </w:rPr>
              <w:t>建筑垃圾和砂石料</w:t>
            </w:r>
            <w:r>
              <w:rPr>
                <w:rFonts w:hint="eastAsia" w:ascii="Times New Roman" w:hAnsi="Times New Roman" w:eastAsia="宋体" w:cs="Times New Roman"/>
                <w:b w:val="0"/>
                <w:bCs w:val="0"/>
                <w:color w:val="auto"/>
                <w:sz w:val="24"/>
                <w:szCs w:val="24"/>
                <w:highlight w:val="none"/>
                <w:lang w:val="en-US" w:eastAsia="zh-CN"/>
              </w:rPr>
              <w:t>严格</w:t>
            </w:r>
            <w:r>
              <w:rPr>
                <w:rFonts w:hint="default" w:ascii="Times New Roman" w:hAnsi="Times New Roman" w:eastAsia="宋体" w:cs="Times New Roman"/>
                <w:b w:val="0"/>
                <w:bCs w:val="0"/>
                <w:color w:val="auto"/>
                <w:sz w:val="24"/>
                <w:szCs w:val="24"/>
                <w:highlight w:val="none"/>
                <w:lang w:val="en-US" w:eastAsia="zh-CN"/>
              </w:rPr>
              <w:t>堆放于项目内，</w:t>
            </w:r>
            <w:r>
              <w:rPr>
                <w:rFonts w:hint="eastAsia" w:ascii="Times New Roman" w:hAnsi="Times New Roman" w:eastAsia="宋体" w:cs="Times New Roman"/>
                <w:b w:val="0"/>
                <w:bCs w:val="0"/>
                <w:color w:val="auto"/>
                <w:sz w:val="24"/>
                <w:szCs w:val="24"/>
                <w:highlight w:val="none"/>
                <w:lang w:val="en-US" w:eastAsia="zh-CN"/>
              </w:rPr>
              <w:t>避免占压附近永久基本农田；</w:t>
            </w:r>
          </w:p>
          <w:p w14:paraId="4BEE3AE0">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（5）</w:t>
            </w:r>
            <w:r>
              <w:rPr>
                <w:rFonts w:hint="default" w:ascii="Times New Roman" w:hAnsi="Times New Roman" w:eastAsia="宋体" w:cs="Times New Roman"/>
                <w:b w:val="0"/>
                <w:bCs w:val="0"/>
                <w:color w:val="auto"/>
                <w:sz w:val="24"/>
                <w:szCs w:val="24"/>
                <w:highlight w:val="none"/>
                <w:lang w:val="en-US" w:eastAsia="zh-CN"/>
              </w:rPr>
              <w:t>对施工现场实行合理化管理，建筑材料统一堆放，砂石料堆场用土工布遮盖，车辆运输建筑材料及建筑垃圾时必须加盖封闭运输，减少</w:t>
            </w:r>
            <w:r>
              <w:rPr>
                <w:rFonts w:hint="eastAsia" w:ascii="Times New Roman" w:hAnsi="Times New Roman" w:eastAsia="宋体" w:cs="Times New Roman"/>
                <w:b w:val="0"/>
                <w:bCs w:val="0"/>
                <w:color w:val="auto"/>
                <w:sz w:val="24"/>
                <w:szCs w:val="24"/>
                <w:highlight w:val="none"/>
                <w:lang w:val="en-US" w:eastAsia="zh-CN"/>
              </w:rPr>
              <w:t>抛洒，减少对周边农作物的影响。</w:t>
            </w:r>
          </w:p>
          <w:p w14:paraId="18A1B102">
            <w:pPr>
              <w:pStyle w:val="32"/>
              <w:keepNext w:val="0"/>
              <w:keepLines w:val="0"/>
              <w:pageBreakBefore w:val="0"/>
              <w:widowControl w:val="0"/>
              <w:kinsoku/>
              <w:wordWrap/>
              <w:overflowPunct/>
              <w:topLinePunct w:val="0"/>
              <w:bidi w:val="0"/>
              <w:spacing w:line="240" w:lineRule="auto"/>
              <w:ind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（6）</w:t>
            </w:r>
            <w:r>
              <w:rPr>
                <w:rFonts w:hint="default" w:ascii="Times New Roman" w:hAnsi="Times New Roman" w:eastAsia="宋体" w:cs="Times New Roman"/>
                <w:b w:val="0"/>
                <w:bCs w:val="0"/>
                <w:color w:val="auto"/>
                <w:sz w:val="24"/>
                <w:szCs w:val="24"/>
                <w:highlight w:val="none"/>
                <w:lang w:val="en-US" w:eastAsia="zh-CN"/>
              </w:rPr>
              <w:t>在施工中尽量减少对动物栖息地生境的破坏；加强施工人员对野生动物 和生态环境的保护意识教育，</w:t>
            </w:r>
            <w:r>
              <w:rPr>
                <w:rFonts w:hint="eastAsia" w:ascii="Times New Roman" w:hAnsi="Times New Roman" w:eastAsia="宋体" w:cs="Times New Roman"/>
                <w:b w:val="0"/>
                <w:bCs w:val="0"/>
                <w:color w:val="auto"/>
                <w:sz w:val="24"/>
                <w:szCs w:val="24"/>
                <w:highlight w:val="none"/>
                <w:lang w:val="en-US" w:eastAsia="zh-CN"/>
              </w:rPr>
              <w:t>严禁猎杀兽类，严禁捕蛇、打鸟、捉蛙和破坏动物的生境，严禁食用野生动物（野味）。</w:t>
            </w:r>
          </w:p>
          <w:p w14:paraId="7728002D">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（7）</w:t>
            </w:r>
            <w:r>
              <w:rPr>
                <w:rFonts w:hint="default" w:ascii="Times New Roman" w:hAnsi="Times New Roman" w:eastAsia="宋体" w:cs="Times New Roman"/>
                <w:b w:val="0"/>
                <w:bCs w:val="0"/>
                <w:color w:val="auto"/>
                <w:sz w:val="24"/>
                <w:szCs w:val="24"/>
                <w:highlight w:val="none"/>
                <w:lang w:val="en-US" w:eastAsia="zh-CN"/>
              </w:rPr>
              <w:t>加强对工程施工的相关领导、技术人员和施工人员的环境保护教育与宣传。</w:t>
            </w:r>
          </w:p>
          <w:p w14:paraId="29784B5F">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在采取上述措施后，项目施工期对周围生态环境的破坏将一定程度降低，</w:t>
            </w:r>
            <w:r>
              <w:rPr>
                <w:rFonts w:hint="eastAsia" w:ascii="Times New Roman" w:hAnsi="Times New Roman" w:eastAsia="宋体" w:cs="Times New Roman"/>
                <w:b w:val="0"/>
                <w:bCs w:val="0"/>
                <w:color w:val="auto"/>
                <w:sz w:val="24"/>
                <w:szCs w:val="24"/>
                <w:highlight w:val="none"/>
                <w:lang w:val="en-US" w:eastAsia="zh-CN"/>
              </w:rPr>
              <w:t>对</w:t>
            </w:r>
            <w:r>
              <w:rPr>
                <w:rFonts w:hint="default" w:ascii="Times New Roman" w:hAnsi="Times New Roman" w:eastAsia="宋体" w:cs="Times New Roman"/>
                <w:b w:val="0"/>
                <w:bCs w:val="0"/>
                <w:color w:val="auto"/>
                <w:sz w:val="24"/>
                <w:szCs w:val="24"/>
                <w:highlight w:val="none"/>
                <w:lang w:val="en-US" w:eastAsia="zh-CN"/>
              </w:rPr>
              <w:t>较大范围的生态环境影响很小。</w:t>
            </w:r>
          </w:p>
          <w:p w14:paraId="1AA52FD8">
            <w:pPr>
              <w:widowControl/>
              <w:spacing w:line="280" w:lineRule="exact"/>
              <w:jc w:val="left"/>
              <w:rPr>
                <w:rFonts w:ascii="Times New Roman" w:hAnsi="Times New Roman"/>
                <w:b/>
                <w:bCs/>
                <w:sz w:val="24"/>
                <w:szCs w:val="24"/>
              </w:rPr>
            </w:pPr>
            <w:r>
              <w:rPr>
                <w:rFonts w:hint="eastAsia" w:ascii="Times New Roman" w:hAnsi="Times New Roman"/>
                <w:b/>
                <w:bCs/>
                <w:sz w:val="24"/>
                <w:szCs w:val="24"/>
              </w:rPr>
              <w:t>二、运营期环境保护</w:t>
            </w:r>
            <w:r>
              <w:rPr>
                <w:rFonts w:hint="eastAsia" w:ascii="Times New Roman" w:hAnsi="Times New Roman"/>
                <w:b/>
                <w:sz w:val="24"/>
                <w:szCs w:val="24"/>
              </w:rPr>
              <w:t>措施</w:t>
            </w:r>
            <w:r>
              <w:rPr>
                <w:rFonts w:hint="eastAsia" w:ascii="Times New Roman" w:hAnsi="Times New Roman"/>
                <w:b/>
                <w:bCs/>
                <w:sz w:val="24"/>
                <w:szCs w:val="24"/>
              </w:rPr>
              <w:t>：</w:t>
            </w:r>
          </w:p>
          <w:p w14:paraId="379D4B56">
            <w:pPr>
              <w:widowControl/>
              <w:spacing w:line="280" w:lineRule="exact"/>
              <w:jc w:val="left"/>
              <w:rPr>
                <w:rFonts w:ascii="Times New Roman" w:hAnsi="Times New Roman"/>
                <w:b/>
                <w:sz w:val="24"/>
                <w:szCs w:val="24"/>
              </w:rPr>
            </w:pPr>
            <w:r>
              <w:rPr>
                <w:rFonts w:hint="eastAsia" w:ascii="Times New Roman" w:hAnsi="Times New Roman"/>
                <w:b/>
                <w:sz w:val="24"/>
                <w:szCs w:val="24"/>
              </w:rPr>
              <w:t>1、大气</w:t>
            </w:r>
          </w:p>
          <w:p w14:paraId="32BC6555">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zh-CN" w:eastAsia="zh-CN"/>
              </w:rPr>
              <w:t>项目猪舍采用漏缝地板，采用干清粪工艺，猪粪和尿液日产日清、喷洒生物除臭剂和</w:t>
            </w:r>
            <w:r>
              <w:rPr>
                <w:rFonts w:hint="eastAsia" w:ascii="宋体" w:hAnsi="宋体" w:eastAsia="宋体" w:cs="宋体"/>
                <w:b w:val="0"/>
                <w:bCs w:val="0"/>
                <w:color w:val="auto"/>
                <w:sz w:val="24"/>
                <w:szCs w:val="24"/>
                <w:highlight w:val="none"/>
                <w:lang w:val="en-US" w:eastAsia="zh-CN"/>
              </w:rPr>
              <w:t>猪舍安装</w:t>
            </w:r>
            <w:r>
              <w:rPr>
                <w:rFonts w:hint="default" w:ascii="宋体" w:hAnsi="宋体" w:eastAsia="宋体" w:cs="宋体"/>
                <w:b w:val="0"/>
                <w:bCs w:val="0"/>
                <w:color w:val="auto"/>
                <w:sz w:val="24"/>
                <w:szCs w:val="24"/>
                <w:highlight w:val="none"/>
                <w:lang w:val="zh-CN" w:eastAsia="zh-CN"/>
              </w:rPr>
              <w:t>通风</w:t>
            </w:r>
            <w:r>
              <w:rPr>
                <w:rFonts w:hint="eastAsia" w:ascii="宋体" w:hAnsi="宋体" w:eastAsia="宋体" w:cs="宋体"/>
                <w:b w:val="0"/>
                <w:bCs w:val="0"/>
                <w:color w:val="auto"/>
                <w:sz w:val="24"/>
                <w:szCs w:val="24"/>
                <w:highlight w:val="none"/>
                <w:lang w:val="en-US" w:eastAsia="zh-CN"/>
              </w:rPr>
              <w:t>系统</w:t>
            </w:r>
            <w:r>
              <w:rPr>
                <w:rFonts w:hint="eastAsia" w:ascii="宋体" w:hAnsi="宋体" w:eastAsia="宋体" w:cs="宋体"/>
                <w:b w:val="0"/>
                <w:bCs w:val="0"/>
                <w:color w:val="auto"/>
                <w:sz w:val="24"/>
                <w:szCs w:val="24"/>
                <w:highlight w:val="none"/>
                <w:lang w:val="zh-CN" w:eastAsia="zh-CN"/>
              </w:rPr>
              <w:t>等措施；项目添加EM菌饲料喂养模式，提高猪只消化吸收率，减少粪便排出后臭气的产生；项目储液池</w:t>
            </w:r>
            <w:r>
              <w:rPr>
                <w:rFonts w:hint="eastAsia" w:ascii="宋体" w:hAnsi="宋体" w:eastAsia="宋体" w:cs="宋体"/>
                <w:b w:val="0"/>
                <w:bCs w:val="0"/>
                <w:color w:val="auto"/>
                <w:sz w:val="24"/>
                <w:szCs w:val="24"/>
                <w:highlight w:val="none"/>
                <w:lang w:val="en-US" w:eastAsia="zh-CN"/>
              </w:rPr>
              <w:t>尽量</w:t>
            </w:r>
            <w:r>
              <w:rPr>
                <w:rFonts w:hint="eastAsia" w:ascii="宋体" w:hAnsi="宋体" w:eastAsia="宋体" w:cs="宋体"/>
                <w:b w:val="0"/>
                <w:bCs w:val="0"/>
                <w:color w:val="auto"/>
                <w:sz w:val="24"/>
                <w:szCs w:val="24"/>
                <w:highlight w:val="none"/>
                <w:lang w:val="zh-CN" w:eastAsia="zh-CN"/>
              </w:rPr>
              <w:t>采用加盖式，喷洒生物</w:t>
            </w:r>
            <w:r>
              <w:rPr>
                <w:rFonts w:hint="eastAsia" w:ascii="宋体" w:hAnsi="宋体" w:eastAsia="宋体" w:cs="宋体"/>
                <w:b w:val="0"/>
                <w:bCs w:val="0"/>
                <w:color w:val="auto"/>
                <w:sz w:val="24"/>
                <w:szCs w:val="24"/>
                <w:highlight w:val="none"/>
                <w:lang w:val="en-US" w:eastAsia="zh-CN"/>
              </w:rPr>
              <w:t>除臭剂</w:t>
            </w:r>
            <w:r>
              <w:rPr>
                <w:rFonts w:hint="eastAsia" w:ascii="宋体" w:hAnsi="宋体" w:eastAsia="宋体" w:cs="宋体"/>
                <w:b w:val="0"/>
                <w:bCs w:val="0"/>
                <w:color w:val="auto"/>
                <w:sz w:val="24"/>
                <w:szCs w:val="24"/>
                <w:highlight w:val="none"/>
                <w:lang w:val="zh-CN" w:eastAsia="zh-CN"/>
              </w:rPr>
              <w:t>；</w:t>
            </w:r>
            <w:r>
              <w:rPr>
                <w:rFonts w:hint="eastAsia" w:ascii="宋体" w:hAnsi="宋体" w:eastAsia="宋体" w:cs="宋体"/>
                <w:b w:val="0"/>
                <w:bCs w:val="0"/>
                <w:color w:val="auto"/>
                <w:sz w:val="24"/>
                <w:szCs w:val="24"/>
                <w:highlight w:val="none"/>
                <w:lang w:val="en-US" w:eastAsia="zh-CN"/>
              </w:rPr>
              <w:t>异位发酵床</w:t>
            </w:r>
            <w:r>
              <w:rPr>
                <w:rFonts w:hint="eastAsia" w:ascii="宋体" w:hAnsi="宋体" w:eastAsia="宋体" w:cs="宋体"/>
                <w:b w:val="0"/>
                <w:bCs w:val="0"/>
                <w:color w:val="auto"/>
                <w:sz w:val="24"/>
                <w:szCs w:val="24"/>
                <w:highlight w:val="none"/>
                <w:lang w:val="zh-CN" w:eastAsia="zh-CN"/>
              </w:rPr>
              <w:t>四周设置帐幕密封，</w:t>
            </w:r>
            <w:r>
              <w:rPr>
                <w:rFonts w:hint="eastAsia" w:ascii="宋体" w:hAnsi="宋体" w:eastAsia="宋体" w:cs="宋体"/>
                <w:b w:val="0"/>
                <w:bCs w:val="0"/>
                <w:color w:val="auto"/>
                <w:sz w:val="24"/>
                <w:szCs w:val="24"/>
                <w:highlight w:val="none"/>
                <w:lang w:val="en-US" w:eastAsia="zh-CN"/>
              </w:rPr>
              <w:t>设有雨棚，</w:t>
            </w:r>
            <w:r>
              <w:rPr>
                <w:rFonts w:hint="eastAsia" w:ascii="宋体" w:hAnsi="宋体" w:eastAsia="宋体" w:cs="宋体"/>
                <w:b w:val="0"/>
                <w:bCs w:val="0"/>
                <w:color w:val="auto"/>
                <w:sz w:val="24"/>
                <w:szCs w:val="24"/>
                <w:highlight w:val="none"/>
                <w:lang w:val="zh-CN" w:eastAsia="zh-CN"/>
              </w:rPr>
              <w:t>垫料中添加</w:t>
            </w:r>
            <w:r>
              <w:rPr>
                <w:rFonts w:hint="eastAsia" w:ascii="宋体" w:hAnsi="宋体" w:eastAsia="宋体" w:cs="宋体"/>
                <w:b w:val="0"/>
                <w:bCs w:val="0"/>
                <w:color w:val="auto"/>
                <w:sz w:val="24"/>
                <w:szCs w:val="24"/>
                <w:highlight w:val="none"/>
                <w:lang w:val="en-US" w:eastAsia="zh-CN"/>
              </w:rPr>
              <w:t>有机物料腐熟剂（含除臭微生物），</w:t>
            </w:r>
            <w:r>
              <w:rPr>
                <w:rFonts w:hint="eastAsia" w:ascii="宋体" w:hAnsi="宋体" w:eastAsia="宋体" w:cs="宋体"/>
                <w:b w:val="0"/>
                <w:bCs w:val="0"/>
                <w:color w:val="auto"/>
                <w:sz w:val="24"/>
                <w:szCs w:val="24"/>
                <w:highlight w:val="none"/>
                <w:lang w:val="zh-CN" w:eastAsia="zh-CN"/>
              </w:rPr>
              <w:t>同时定时在</w:t>
            </w:r>
            <w:r>
              <w:rPr>
                <w:rFonts w:hint="eastAsia" w:ascii="宋体" w:hAnsi="宋体" w:eastAsia="宋体" w:cs="宋体"/>
                <w:b w:val="0"/>
                <w:bCs w:val="0"/>
                <w:color w:val="auto"/>
                <w:sz w:val="24"/>
                <w:szCs w:val="24"/>
                <w:highlight w:val="none"/>
                <w:lang w:val="en-US" w:eastAsia="zh-CN"/>
              </w:rPr>
              <w:t>异位发酵床</w:t>
            </w:r>
            <w:r>
              <w:rPr>
                <w:rFonts w:hint="eastAsia" w:ascii="宋体" w:hAnsi="宋体" w:eastAsia="宋体" w:cs="宋体"/>
                <w:b w:val="0"/>
                <w:bCs w:val="0"/>
                <w:color w:val="auto"/>
                <w:sz w:val="24"/>
                <w:szCs w:val="24"/>
                <w:highlight w:val="none"/>
                <w:lang w:val="zh-CN" w:eastAsia="zh-CN"/>
              </w:rPr>
              <w:t>内喷洒除臭剂以减少恶臭的排放；</w:t>
            </w:r>
            <w:r>
              <w:rPr>
                <w:rFonts w:hint="eastAsia" w:ascii="宋体" w:hAnsi="宋体" w:eastAsia="宋体" w:cs="宋体"/>
                <w:b w:val="0"/>
                <w:bCs w:val="0"/>
                <w:color w:val="auto"/>
                <w:sz w:val="24"/>
                <w:szCs w:val="24"/>
                <w:highlight w:val="none"/>
                <w:lang w:val="en-US" w:eastAsia="zh-CN"/>
              </w:rPr>
              <w:t>粪肥暂存间为半封闭建筑，定期喷洒生物除臭剂；加强绿化，绿化带布置采用多行、高低结合进行，树种选择根据当地习惯选择具有吸尘、降噪、杀菌、吸附恶臭气体等功能，厂界边缘地带形成多层防护林带，以降低恶臭污染的影响程度；加强恶臭污染管理，猪舍及时清理，保持场区内道路清洁，杜绝粪便随意洒落；污水管道均布设在地下，保持舍内干燥。食堂油烟</w:t>
            </w:r>
            <w:r>
              <w:rPr>
                <w:rFonts w:hint="default" w:ascii="宋体" w:hAnsi="宋体" w:eastAsia="宋体" w:cs="宋体"/>
                <w:b w:val="0"/>
                <w:bCs w:val="0"/>
                <w:color w:val="auto"/>
                <w:sz w:val="24"/>
                <w:szCs w:val="24"/>
                <w:highlight w:val="none"/>
                <w:lang w:val="en-US" w:eastAsia="zh-CN"/>
              </w:rPr>
              <w:t>经抽油烟机抽排</w:t>
            </w:r>
            <w:r>
              <w:rPr>
                <w:rFonts w:hint="eastAsia" w:ascii="宋体" w:hAnsi="宋体" w:eastAsia="宋体" w:cs="宋体"/>
                <w:b w:val="0"/>
                <w:bCs w:val="0"/>
                <w:color w:val="auto"/>
                <w:sz w:val="24"/>
                <w:szCs w:val="24"/>
                <w:highlight w:val="none"/>
                <w:lang w:val="en-US" w:eastAsia="zh-CN"/>
              </w:rPr>
              <w:t>；备用发电机废气通过燃用轻质柴油，自带排烟管道排放。</w:t>
            </w:r>
          </w:p>
          <w:p w14:paraId="33558FC3">
            <w:pPr>
              <w:widowControl/>
              <w:spacing w:line="280" w:lineRule="exact"/>
              <w:jc w:val="left"/>
              <w:rPr>
                <w:rFonts w:hint="eastAsia" w:ascii="Times New Roman" w:hAnsi="Times New Roman" w:cs="Times New Roman"/>
                <w:b/>
                <w:sz w:val="24"/>
                <w:szCs w:val="24"/>
                <w:lang w:val="zh-CN" w:eastAsia="zh-CN"/>
              </w:rPr>
            </w:pPr>
            <w:r>
              <w:rPr>
                <w:rFonts w:hint="eastAsia" w:ascii="Times New Roman" w:hAnsi="Times New Roman" w:cs="Times New Roman"/>
                <w:b/>
                <w:sz w:val="24"/>
                <w:szCs w:val="24"/>
                <w:lang w:val="zh-CN" w:eastAsia="zh-CN"/>
              </w:rPr>
              <w:t>2、废水</w:t>
            </w:r>
          </w:p>
          <w:p w14:paraId="4F848E7D">
            <w:pPr>
              <w:pStyle w:val="32"/>
              <w:keepNext w:val="0"/>
              <w:keepLines w:val="0"/>
              <w:pageBreakBefore w:val="0"/>
              <w:widowControl w:val="0"/>
              <w:kinsoku/>
              <w:wordWrap/>
              <w:overflowPunct/>
              <w:topLinePunct w:val="0"/>
              <w:bidi w:val="0"/>
              <w:spacing w:line="24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猪舍内的粪污和生活污水经管道进入储液池，在储液池内搅拌打浆，通过自动喷淋装置，将粪污均匀地喷洒在已经按比例配比、调节好的垫料上，添加发酵菌株，利用翻耙机使猪粪、尿和垫料充分混合，通过发酵微生物菌落的发酵处理，使粪污中有机质充分分解和转化，异位发酵床</w:t>
            </w:r>
            <w:r>
              <w:rPr>
                <w:rFonts w:hint="eastAsia" w:ascii="宋体" w:hAnsi="宋体" w:eastAsia="宋体" w:cs="宋体"/>
                <w:b w:val="0"/>
                <w:bCs w:val="0"/>
                <w:color w:val="auto"/>
                <w:sz w:val="24"/>
                <w:szCs w:val="24"/>
                <w:highlight w:val="none"/>
                <w:lang w:val="zh-CN" w:eastAsia="zh-CN"/>
              </w:rPr>
              <w:t>在发酵过程中，粪污中的水分大部分蒸发，未能降解的残留有机物部分转化为腐殖质，粪污中病原体也在长时间的高温环境中失活，达到无害化处理的目的，</w:t>
            </w:r>
            <w:r>
              <w:rPr>
                <w:rFonts w:hint="eastAsia" w:ascii="宋体" w:hAnsi="宋体" w:eastAsia="宋体" w:cs="宋体"/>
                <w:b w:val="0"/>
                <w:bCs w:val="0"/>
                <w:color w:val="auto"/>
                <w:sz w:val="24"/>
                <w:szCs w:val="24"/>
                <w:highlight w:val="none"/>
                <w:lang w:val="en-US" w:eastAsia="zh-CN"/>
              </w:rPr>
              <w:t>处理后的粪肥由建设单位（污染责任主体）配合粪肥施用人员统一调配车辆进场装运后运输至农田，实现资源化利用，实现了猪粪综合利用和猪场废水“零排放”的要求。</w:t>
            </w:r>
          </w:p>
          <w:p w14:paraId="11396F8B">
            <w:pPr>
              <w:pStyle w:val="32"/>
              <w:keepNext w:val="0"/>
              <w:keepLines w:val="0"/>
              <w:pageBreakBefore w:val="0"/>
              <w:widowControl w:val="0"/>
              <w:kinsoku/>
              <w:wordWrap/>
              <w:overflowPunct/>
              <w:topLinePunct w:val="0"/>
              <w:bidi w:val="0"/>
              <w:spacing w:line="24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rPr>
              <w:t>养殖区</w:t>
            </w:r>
            <w:r>
              <w:rPr>
                <w:rFonts w:hint="default" w:ascii="Times New Roman" w:hAnsi="Times New Roman" w:eastAsia="宋体" w:cs="Times New Roman"/>
                <w:color w:val="auto"/>
                <w:kern w:val="2"/>
                <w:sz w:val="24"/>
                <w:szCs w:val="24"/>
                <w:highlight w:val="none"/>
                <w:lang w:eastAsia="zh-CN"/>
              </w:rPr>
              <w:t>猪舍</w:t>
            </w:r>
            <w:r>
              <w:rPr>
                <w:rFonts w:hint="default" w:ascii="Times New Roman" w:hAnsi="Times New Roman" w:eastAsia="宋体" w:cs="Times New Roman"/>
                <w:color w:val="auto"/>
                <w:kern w:val="2"/>
                <w:sz w:val="24"/>
                <w:szCs w:val="24"/>
                <w:highlight w:val="none"/>
                <w:lang w:val="en-US" w:eastAsia="zh-CN"/>
              </w:rPr>
              <w:t>及管理用房屋面雨水经</w:t>
            </w:r>
            <w:r>
              <w:rPr>
                <w:rFonts w:hint="default" w:ascii="Times New Roman" w:hAnsi="Times New Roman" w:eastAsia="宋体" w:cs="Times New Roman"/>
                <w:color w:val="auto"/>
                <w:kern w:val="2"/>
                <w:sz w:val="24"/>
                <w:szCs w:val="24"/>
                <w:highlight w:val="none"/>
                <w:lang w:eastAsia="zh-CN"/>
              </w:rPr>
              <w:t>截洪渠拦截后直接流入附近山渠，</w:t>
            </w:r>
            <w:r>
              <w:rPr>
                <w:rFonts w:hint="default" w:ascii="Times New Roman" w:hAnsi="Times New Roman" w:eastAsia="宋体" w:cs="Times New Roman"/>
                <w:color w:val="auto"/>
                <w:kern w:val="2"/>
                <w:sz w:val="24"/>
                <w:szCs w:val="24"/>
                <w:highlight w:val="none"/>
                <w:lang w:val="en-US" w:eastAsia="zh-CN"/>
              </w:rPr>
              <w:t>仅对粪污处置区雨水进行收集，在各养殖区南侧地势较低处分别设置一个容积为85m³的初期雨水收集池，初期雨水经初期雨水收集池收集沉淀后，用于项目区绿化</w:t>
            </w:r>
            <w:r>
              <w:rPr>
                <w:rFonts w:hint="default" w:ascii="Times New Roman" w:hAnsi="Times New Roman" w:eastAsia="宋体" w:cs="Times New Roman"/>
                <w:b w:val="0"/>
                <w:bCs w:val="0"/>
                <w:color w:val="auto"/>
                <w:sz w:val="24"/>
                <w:szCs w:val="24"/>
                <w:highlight w:val="none"/>
                <w:lang w:val="en-US" w:eastAsia="zh-CN"/>
              </w:rPr>
              <w:t>。</w:t>
            </w:r>
          </w:p>
          <w:p w14:paraId="2522B7AD">
            <w:pPr>
              <w:widowControl/>
              <w:spacing w:line="280" w:lineRule="exact"/>
              <w:jc w:val="left"/>
              <w:rPr>
                <w:rFonts w:ascii="Times New Roman" w:hAnsi="Times New Roman"/>
                <w:b/>
                <w:sz w:val="24"/>
                <w:szCs w:val="24"/>
              </w:rPr>
            </w:pPr>
            <w:r>
              <w:rPr>
                <w:rFonts w:hint="eastAsia" w:ascii="Times New Roman" w:hAnsi="Times New Roman"/>
                <w:b/>
                <w:sz w:val="24"/>
                <w:szCs w:val="24"/>
              </w:rPr>
              <w:t>3、噪声</w:t>
            </w:r>
          </w:p>
          <w:p w14:paraId="159926AF">
            <w:pPr>
              <w:pStyle w:val="32"/>
              <w:keepNext w:val="0"/>
              <w:keepLines w:val="0"/>
              <w:pageBreakBefore w:val="0"/>
              <w:widowControl w:val="0"/>
              <w:kinsoku/>
              <w:wordWrap/>
              <w:overflowPunct/>
              <w:topLinePunct w:val="0"/>
              <w:bidi w:val="0"/>
              <w:spacing w:line="24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为减少猪叫声对操作工人及周围环境的影响，尽可能满足猪只饮食需要，避免因饥饿或口渴而发出叫声</w:t>
            </w:r>
            <w:r>
              <w:rPr>
                <w:rFonts w:hint="default" w:ascii="宋体" w:hAnsi="宋体" w:eastAsia="宋体" w:cs="宋体"/>
                <w:b w:val="0"/>
                <w:bCs w:val="0"/>
                <w:color w:val="auto"/>
                <w:sz w:val="24"/>
                <w:szCs w:val="24"/>
                <w:highlight w:val="none"/>
                <w:lang w:val="zh-CN" w:eastAsia="zh-CN"/>
              </w:rPr>
              <w:t>；</w:t>
            </w:r>
            <w:r>
              <w:rPr>
                <w:rFonts w:hint="eastAsia" w:ascii="宋体" w:hAnsi="宋体" w:eastAsia="宋体" w:cs="宋体"/>
                <w:b w:val="0"/>
                <w:bCs w:val="0"/>
                <w:color w:val="auto"/>
                <w:sz w:val="24"/>
                <w:szCs w:val="24"/>
                <w:highlight w:val="none"/>
                <w:lang w:val="en-US" w:eastAsia="zh-CN"/>
              </w:rPr>
              <w:t>各项高噪声设备尽可能选用噪声低的设备加强设备的日常维护，并对老化和性能降低的旧设备进行及时更换，以此降低磨擦，减少噪声强度。</w:t>
            </w:r>
          </w:p>
          <w:p w14:paraId="50BC0BB8">
            <w:pPr>
              <w:widowControl/>
              <w:spacing w:line="280" w:lineRule="exact"/>
              <w:jc w:val="left"/>
              <w:rPr>
                <w:rFonts w:ascii="Times New Roman" w:hAnsi="Times New Roman"/>
                <w:b/>
                <w:sz w:val="24"/>
                <w:szCs w:val="24"/>
              </w:rPr>
            </w:pPr>
            <w:r>
              <w:rPr>
                <w:rFonts w:hint="eastAsia" w:ascii="Times New Roman" w:hAnsi="Times New Roman"/>
                <w:b/>
                <w:sz w:val="24"/>
                <w:szCs w:val="24"/>
              </w:rPr>
              <w:t>4、固废</w:t>
            </w:r>
          </w:p>
          <w:p w14:paraId="22C377C4">
            <w:pPr>
              <w:pStyle w:val="32"/>
              <w:keepNext w:val="0"/>
              <w:keepLines w:val="0"/>
              <w:pageBreakBefore w:val="0"/>
              <w:widowControl w:val="0"/>
              <w:kinsoku/>
              <w:wordWrap/>
              <w:overflowPunct/>
              <w:topLinePunct w:val="0"/>
              <w:bidi w:val="0"/>
              <w:spacing w:line="240" w:lineRule="auto"/>
              <w:ind w:firstLine="480" w:firstLineChars="200"/>
              <w:textAlignment w:val="auto"/>
              <w:rPr>
                <w:rFonts w:ascii="Times New Roman" w:hAnsi="Times New Roman"/>
                <w:sz w:val="24"/>
                <w:szCs w:val="24"/>
              </w:rPr>
            </w:pPr>
            <w:r>
              <w:rPr>
                <w:rFonts w:hint="default" w:ascii="Times New Roman" w:hAnsi="Times New Roman" w:eastAsia="宋体" w:cs="Times New Roman"/>
                <w:b w:val="0"/>
                <w:bCs w:val="0"/>
                <w:color w:val="auto"/>
                <w:sz w:val="24"/>
                <w:szCs w:val="24"/>
                <w:highlight w:val="none"/>
                <w:lang w:val="en-US" w:eastAsia="zh-CN"/>
              </w:rPr>
              <w:t>运营期产生的固体废物主要为猪粪、饲料残渣、病死猪、危险废物、生活垃圾、化粪池污泥、发酵粪肥。猪粪</w:t>
            </w:r>
            <w:bookmarkStart w:id="0" w:name="OLE_LINK73"/>
            <w:r>
              <w:rPr>
                <w:rFonts w:hint="default" w:ascii="Times New Roman" w:hAnsi="Times New Roman" w:eastAsia="宋体" w:cs="Times New Roman"/>
                <w:b w:val="0"/>
                <w:bCs w:val="0"/>
                <w:color w:val="auto"/>
                <w:sz w:val="24"/>
                <w:szCs w:val="24"/>
                <w:highlight w:val="none"/>
                <w:lang w:val="en-US" w:eastAsia="zh-CN"/>
              </w:rPr>
              <w:t>、饲料残渣</w:t>
            </w:r>
            <w:bookmarkEnd w:id="0"/>
            <w:r>
              <w:rPr>
                <w:rFonts w:hint="default" w:ascii="Times New Roman" w:hAnsi="Times New Roman" w:eastAsia="宋体" w:cs="Times New Roman"/>
                <w:b w:val="0"/>
                <w:bCs w:val="0"/>
                <w:color w:val="auto"/>
                <w:sz w:val="24"/>
                <w:szCs w:val="24"/>
                <w:highlight w:val="none"/>
                <w:lang w:val="en-US" w:eastAsia="zh-CN"/>
              </w:rPr>
              <w:t>、化粪池污泥清运至储液池与粪尿混合，在储液池经搅拌打浆后由喷淋机喷至异位发酵床进行发酵处理，发酵后的粪肥作为种植农肥还田；病死猪暂存在病死猪暂存间，并定期交由罗平百奥迈斯生物科技有限公司清运处置；动物防疫废物、废机油、隔油池油污等危险废物暂存于危险废物暂存间，定期由有资质单位清运处置；发酵完成后的粪肥暂存于粪肥暂存间，由建设单位配合粪肥施用单位统一负责调配车辆进场装运后运输至农田还田利用；生活垃圾</w:t>
            </w:r>
            <w:r>
              <w:rPr>
                <w:rFonts w:hint="default" w:ascii="Times New Roman" w:hAnsi="Times New Roman" w:eastAsia="宋体" w:cs="Times New Roman"/>
                <w:b w:val="0"/>
                <w:bCs w:val="0"/>
                <w:color w:val="auto"/>
                <w:sz w:val="24"/>
                <w:szCs w:val="24"/>
                <w:highlight w:val="none"/>
                <w:lang w:val="zh-CN" w:eastAsia="zh-CN"/>
              </w:rPr>
              <w:t>集中收集后运至</w:t>
            </w:r>
            <w:r>
              <w:rPr>
                <w:rFonts w:hint="default" w:ascii="Times New Roman" w:hAnsi="Times New Roman" w:eastAsia="宋体" w:cs="Times New Roman"/>
                <w:b w:val="0"/>
                <w:bCs w:val="0"/>
                <w:color w:val="auto"/>
                <w:sz w:val="24"/>
                <w:szCs w:val="24"/>
                <w:highlight w:val="none"/>
                <w:lang w:val="en-US" w:eastAsia="zh-CN"/>
              </w:rPr>
              <w:t>普理村委会垃圾收集点</w:t>
            </w:r>
            <w:r>
              <w:rPr>
                <w:rFonts w:hint="default" w:ascii="Times New Roman" w:hAnsi="Times New Roman" w:eastAsia="宋体" w:cs="Times New Roman"/>
                <w:b w:val="0"/>
                <w:bCs w:val="0"/>
                <w:color w:val="auto"/>
                <w:sz w:val="24"/>
                <w:szCs w:val="24"/>
                <w:highlight w:val="none"/>
                <w:lang w:val="zh-CN" w:eastAsia="zh-CN"/>
              </w:rPr>
              <w:t>，由环卫部门统一处理</w:t>
            </w:r>
            <w:r>
              <w:rPr>
                <w:rFonts w:hint="default" w:ascii="Times New Roman" w:hAnsi="Times New Roman" w:eastAsia="宋体" w:cs="Times New Roman"/>
                <w:b w:val="0"/>
                <w:bCs w:val="0"/>
                <w:color w:val="auto"/>
                <w:sz w:val="24"/>
                <w:szCs w:val="24"/>
                <w:highlight w:val="none"/>
                <w:lang w:val="en-US" w:eastAsia="zh-CN"/>
              </w:rPr>
              <w:t>；项目运营期固废处置率100%。</w:t>
            </w:r>
          </w:p>
        </w:tc>
      </w:tr>
      <w:tr w14:paraId="1224FF9A">
        <w:tblPrEx>
          <w:tblCellMar>
            <w:top w:w="0" w:type="dxa"/>
            <w:left w:w="108" w:type="dxa"/>
            <w:bottom w:w="0" w:type="dxa"/>
            <w:right w:w="108" w:type="dxa"/>
          </w:tblCellMar>
        </w:tblPrEx>
        <w:trPr>
          <w:trHeight w:val="386" w:hRule="atLeast"/>
          <w:jc w:val="center"/>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6F463A8">
            <w:pPr>
              <w:widowControl/>
              <w:spacing w:line="280" w:lineRule="exact"/>
              <w:jc w:val="center"/>
              <w:rPr>
                <w:rFonts w:ascii="宋体"/>
                <w:kern w:val="0"/>
                <w:sz w:val="24"/>
                <w:szCs w:val="24"/>
              </w:rPr>
            </w:pPr>
            <w:r>
              <w:rPr>
                <w:rFonts w:hint="eastAsia" w:ascii="宋体" w:hAnsi="宋体"/>
                <w:kern w:val="0"/>
                <w:sz w:val="24"/>
                <w:szCs w:val="24"/>
              </w:rPr>
              <w:t>公众参与情况</w:t>
            </w:r>
          </w:p>
        </w:tc>
      </w:tr>
      <w:tr w14:paraId="22CC9E3B">
        <w:tblPrEx>
          <w:tblCellMar>
            <w:top w:w="0" w:type="dxa"/>
            <w:left w:w="108" w:type="dxa"/>
            <w:bottom w:w="0" w:type="dxa"/>
            <w:right w:w="108" w:type="dxa"/>
          </w:tblCellMar>
        </w:tblPrEx>
        <w:trPr>
          <w:trHeight w:val="449" w:hRule="atLeast"/>
          <w:jc w:val="center"/>
        </w:trPr>
        <w:tc>
          <w:tcPr>
            <w:tcW w:w="9814" w:type="dxa"/>
            <w:gridSpan w:val="6"/>
            <w:tcBorders>
              <w:top w:val="single" w:color="auto" w:sz="4" w:space="0"/>
              <w:left w:val="single" w:color="auto" w:sz="4" w:space="0"/>
              <w:bottom w:val="single" w:color="auto" w:sz="4" w:space="0"/>
              <w:right w:val="single" w:color="auto" w:sz="4" w:space="0"/>
            </w:tcBorders>
            <w:vAlign w:val="center"/>
          </w:tcPr>
          <w:p w14:paraId="6F8B75FD">
            <w:pPr>
              <w:pStyle w:val="32"/>
              <w:keepNext w:val="0"/>
              <w:keepLines w:val="0"/>
              <w:pageBreakBefore w:val="0"/>
              <w:widowControl w:val="0"/>
              <w:kinsoku/>
              <w:wordWrap/>
              <w:overflowPunct/>
              <w:topLinePunct w:val="0"/>
              <w:bidi w:val="0"/>
              <w:spacing w:line="240" w:lineRule="auto"/>
              <w:ind w:firstLine="480" w:firstLineChars="200"/>
              <w:textAlignment w:val="auto"/>
              <w:rPr>
                <w:sz w:val="24"/>
                <w:szCs w:val="24"/>
              </w:rPr>
            </w:pPr>
            <w:r>
              <w:rPr>
                <w:rFonts w:hint="default" w:ascii="Times New Roman" w:hAnsi="Times New Roman" w:eastAsia="宋体" w:cs="Times New Roman"/>
                <w:b w:val="0"/>
                <w:bCs w:val="0"/>
                <w:color w:val="auto"/>
                <w:sz w:val="24"/>
                <w:szCs w:val="24"/>
                <w:highlight w:val="none"/>
                <w:lang w:val="en-US" w:eastAsia="zh-CN"/>
              </w:rPr>
              <w:t>2025年6月3日，建设单位在网站上进行第一次环评信息公示，公示时间共10个工作日；2025年11月11日在网站上进行了第二次环评信息以及建设项目环境影响报告书征求意见稿公示，并在普理村委会、妥者村张贴公众参与公示。2025年11月11日、2025年11月18日，建设单位在云南信息报进行建设项目环境影响报告书征求意见稿2次报纸公示。2026年6月18日建设单位在网站上进行了报批前公示。上述环评信息公示期间未收到个人或团体的反馈意见。</w:t>
            </w:r>
          </w:p>
        </w:tc>
      </w:tr>
      <w:tr w14:paraId="66766D75">
        <w:tblPrEx>
          <w:tblCellMar>
            <w:top w:w="0" w:type="dxa"/>
            <w:left w:w="108" w:type="dxa"/>
            <w:bottom w:w="0" w:type="dxa"/>
            <w:right w:w="108" w:type="dxa"/>
          </w:tblCellMar>
        </w:tblPrEx>
        <w:trPr>
          <w:trHeight w:val="429" w:hRule="atLeast"/>
          <w:jc w:val="center"/>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0FCF9866">
            <w:pPr>
              <w:widowControl/>
              <w:spacing w:line="280" w:lineRule="exact"/>
              <w:jc w:val="left"/>
              <w:rPr>
                <w:rFonts w:ascii="宋体"/>
                <w:kern w:val="0"/>
                <w:sz w:val="24"/>
                <w:szCs w:val="24"/>
              </w:rPr>
            </w:pPr>
            <w:r>
              <w:rPr>
                <w:rFonts w:hint="eastAsia" w:ascii="宋体" w:hAnsi="宋体"/>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10C9BE31">
            <w:pPr>
              <w:pStyle w:val="32"/>
              <w:keepNext w:val="0"/>
              <w:keepLines w:val="0"/>
              <w:pageBreakBefore w:val="0"/>
              <w:widowControl w:val="0"/>
              <w:kinsoku/>
              <w:wordWrap/>
              <w:overflowPunct/>
              <w:topLinePunct w:val="0"/>
              <w:bidi w:val="0"/>
              <w:spacing w:line="540" w:lineRule="exact"/>
              <w:ind w:firstLine="480" w:firstLineChars="200"/>
              <w:jc w:val="center"/>
              <w:textAlignment w:val="auto"/>
              <w:rPr>
                <w:rFonts w:hint="eastAsia" w:eastAsia="方正仿宋_GBK"/>
                <w:sz w:val="24"/>
                <w:szCs w:val="24"/>
                <w:lang w:val="en-US" w:eastAsia="zh-CN"/>
              </w:rPr>
            </w:pPr>
            <w:r>
              <w:rPr>
                <w:rFonts w:hint="eastAsia" w:eastAsia="方正仿宋_GBK"/>
                <w:sz w:val="24"/>
                <w:szCs w:val="24"/>
                <w:lang w:val="en-US" w:eastAsia="zh-CN"/>
              </w:rPr>
              <w:t>信息公开同意函。</w:t>
            </w:r>
          </w:p>
        </w:tc>
      </w:tr>
      <w:tr w14:paraId="1B787F13">
        <w:tblPrEx>
          <w:tblCellMar>
            <w:top w:w="0" w:type="dxa"/>
            <w:left w:w="108" w:type="dxa"/>
            <w:bottom w:w="0" w:type="dxa"/>
            <w:right w:w="108" w:type="dxa"/>
          </w:tblCellMar>
        </w:tblPrEx>
        <w:trPr>
          <w:trHeight w:val="570" w:hRule="atLeast"/>
          <w:jc w:val="center"/>
        </w:trPr>
        <w:tc>
          <w:tcPr>
            <w:tcW w:w="9814" w:type="dxa"/>
            <w:gridSpan w:val="6"/>
            <w:tcBorders>
              <w:top w:val="single" w:color="auto" w:sz="4" w:space="0"/>
              <w:left w:val="nil"/>
              <w:bottom w:val="nil"/>
              <w:right w:val="nil"/>
            </w:tcBorders>
            <w:vAlign w:val="center"/>
          </w:tcPr>
          <w:p w14:paraId="0CC05017">
            <w:pPr>
              <w:widowControl/>
              <w:spacing w:line="280" w:lineRule="exact"/>
              <w:jc w:val="left"/>
              <w:rPr>
                <w:rFonts w:ascii="宋体"/>
                <w:kern w:val="0"/>
                <w:sz w:val="24"/>
                <w:szCs w:val="24"/>
              </w:rPr>
            </w:pPr>
            <w:r>
              <w:rPr>
                <w:rFonts w:hint="eastAsia" w:ascii="宋体" w:hAnsi="宋体"/>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5C383D2B">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AF69B59F-776A-47F3-9AAE-D8FB385295CE}"/>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2" w:fontKey="{3FF2DDF9-986E-44A3-9F2D-D00716095DF1}"/>
  </w:font>
  <w:font w:name="WPSEMBED4">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AECC2B"/>
    <w:multiLevelType w:val="singleLevel"/>
    <w:tmpl w:val="1BAECC2B"/>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0870623F"/>
    <w:rsid w:val="0E7539A2"/>
    <w:rsid w:val="13B34670"/>
    <w:rsid w:val="17FC2877"/>
    <w:rsid w:val="1A3C46BC"/>
    <w:rsid w:val="1B020E5E"/>
    <w:rsid w:val="1C8733A0"/>
    <w:rsid w:val="201D4921"/>
    <w:rsid w:val="20547DB6"/>
    <w:rsid w:val="21602F6F"/>
    <w:rsid w:val="22862C6A"/>
    <w:rsid w:val="245D4345"/>
    <w:rsid w:val="24694EB2"/>
    <w:rsid w:val="25502092"/>
    <w:rsid w:val="292F5527"/>
    <w:rsid w:val="2B002CE4"/>
    <w:rsid w:val="2CA10B4F"/>
    <w:rsid w:val="2CAD1D69"/>
    <w:rsid w:val="2EE11733"/>
    <w:rsid w:val="2F923676"/>
    <w:rsid w:val="2FC57EA9"/>
    <w:rsid w:val="301D5EC7"/>
    <w:rsid w:val="33682ACB"/>
    <w:rsid w:val="34185686"/>
    <w:rsid w:val="35313D1A"/>
    <w:rsid w:val="38002C65"/>
    <w:rsid w:val="392E2078"/>
    <w:rsid w:val="39984AC7"/>
    <w:rsid w:val="3B020811"/>
    <w:rsid w:val="3B2E26FF"/>
    <w:rsid w:val="3C272C37"/>
    <w:rsid w:val="3EDD372A"/>
    <w:rsid w:val="4155672C"/>
    <w:rsid w:val="426C2071"/>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55D267C"/>
    <w:rsid w:val="5653575C"/>
    <w:rsid w:val="577942AD"/>
    <w:rsid w:val="57974543"/>
    <w:rsid w:val="58FF0EBE"/>
    <w:rsid w:val="5998453C"/>
    <w:rsid w:val="5A834766"/>
    <w:rsid w:val="5BED57C7"/>
    <w:rsid w:val="5D2E69AB"/>
    <w:rsid w:val="5DCC4393"/>
    <w:rsid w:val="5E951367"/>
    <w:rsid w:val="5F257633"/>
    <w:rsid w:val="60EA0DC0"/>
    <w:rsid w:val="614E3CA3"/>
    <w:rsid w:val="64CE0A00"/>
    <w:rsid w:val="66336F03"/>
    <w:rsid w:val="66B00A67"/>
    <w:rsid w:val="6AB93F9D"/>
    <w:rsid w:val="6BBD6D80"/>
    <w:rsid w:val="6C8A7DA4"/>
    <w:rsid w:val="714078D6"/>
    <w:rsid w:val="715F713D"/>
    <w:rsid w:val="747E39E9"/>
    <w:rsid w:val="74857523"/>
    <w:rsid w:val="77533B6A"/>
    <w:rsid w:val="78CD4DAD"/>
    <w:rsid w:val="79377A43"/>
    <w:rsid w:val="79CC62C5"/>
    <w:rsid w:val="79EF4D86"/>
    <w:rsid w:val="7E5F22E5"/>
    <w:rsid w:val="7FA22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32"/>
      <w:sz w:val="32"/>
      <w:szCs w:val="32"/>
      <w:lang w:val="en-US" w:eastAsia="zh-CN" w:bidi="ar-SA"/>
    </w:rPr>
  </w:style>
  <w:style w:type="paragraph" w:styleId="3">
    <w:name w:val="heading 2"/>
    <w:basedOn w:val="1"/>
    <w:next w:val="1"/>
    <w:link w:val="24"/>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4">
    <w:name w:val="heading 3"/>
    <w:basedOn w:val="1"/>
    <w:next w:val="1"/>
    <w:link w:val="19"/>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2">
    <w:name w:val="heading 4"/>
    <w:basedOn w:val="1"/>
    <w:next w:val="1"/>
    <w:link w:val="22"/>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6"/>
    <w:next w:val="6"/>
    <w:qFormat/>
    <w:uiPriority w:val="1"/>
    <w:rPr>
      <w:sz w:val="24"/>
      <w:szCs w:val="24"/>
    </w:rPr>
  </w:style>
  <w:style w:type="paragraph" w:styleId="6">
    <w:name w:val="Title"/>
    <w:basedOn w:val="1"/>
    <w:next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7">
    <w:name w:val="Plain Text"/>
    <w:basedOn w:val="1"/>
    <w:next w:val="1"/>
    <w:qFormat/>
    <w:uiPriority w:val="0"/>
    <w:rPr>
      <w:rFonts w:ascii="宋体"/>
      <w:snapToGrid w:val="0"/>
      <w:kern w:val="0"/>
      <w:szCs w:val="20"/>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eastAsia="宋体"/>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Normal Indent1"/>
    <w:basedOn w:val="1"/>
    <w:next w:val="1"/>
    <w:qFormat/>
    <w:uiPriority w:val="99"/>
    <w:pPr>
      <w:ind w:firstLine="420"/>
    </w:pPr>
  </w:style>
  <w:style w:type="paragraph" w:customStyle="1" w:styleId="16">
    <w:name w:val="Default"/>
    <w:basedOn w:val="17"/>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7">
    <w:name w:val="纯文本1"/>
    <w:basedOn w:val="1"/>
    <w:qFormat/>
    <w:uiPriority w:val="0"/>
    <w:pPr>
      <w:suppressAutoHyphens/>
    </w:pPr>
    <w:rPr>
      <w:rFonts w:ascii="宋体" w:hAnsi="宋体" w:eastAsia="宋体" w:cs="Times New Roman"/>
      <w:kern w:val="1"/>
      <w:sz w:val="28"/>
      <w:lang w:eastAsia="ar-SA"/>
    </w:rPr>
  </w:style>
  <w:style w:type="paragraph" w:customStyle="1" w:styleId="18">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19">
    <w:name w:val="标题 3 字符"/>
    <w:link w:val="4"/>
    <w:qFormat/>
    <w:uiPriority w:val="0"/>
    <w:rPr>
      <w:rFonts w:eastAsia="楷体_GB2312"/>
      <w:b/>
      <w:bCs/>
      <w:color w:val="000000"/>
      <w:kern w:val="2"/>
      <w:sz w:val="28"/>
      <w:szCs w:val="28"/>
    </w:rPr>
  </w:style>
  <w:style w:type="character" w:customStyle="1" w:styleId="20">
    <w:name w:val="标题 3 Char"/>
    <w:semiHidden/>
    <w:qFormat/>
    <w:uiPriority w:val="0"/>
    <w:rPr>
      <w:rFonts w:ascii="Calibri" w:hAnsi="Calibri" w:eastAsia="方正仿宋_GBK"/>
      <w:b/>
      <w:bCs/>
      <w:kern w:val="32"/>
      <w:sz w:val="32"/>
      <w:szCs w:val="32"/>
    </w:rPr>
  </w:style>
  <w:style w:type="character" w:customStyle="1" w:styleId="21">
    <w:name w:val="页眉 字符"/>
    <w:link w:val="9"/>
    <w:qFormat/>
    <w:uiPriority w:val="0"/>
    <w:rPr>
      <w:rFonts w:ascii="Calibri" w:hAnsi="Calibri" w:eastAsia="方正仿宋_GBK"/>
      <w:kern w:val="32"/>
      <w:sz w:val="18"/>
      <w:szCs w:val="18"/>
    </w:rPr>
  </w:style>
  <w:style w:type="character" w:customStyle="1" w:styleId="22">
    <w:name w:val="标题 4 字符"/>
    <w:link w:val="2"/>
    <w:qFormat/>
    <w:uiPriority w:val="0"/>
    <w:rPr>
      <w:rFonts w:ascii="Arial" w:hAnsi="Arial" w:eastAsia="黑体"/>
      <w:b/>
      <w:bCs/>
      <w:kern w:val="2"/>
      <w:sz w:val="28"/>
      <w:szCs w:val="28"/>
    </w:rPr>
  </w:style>
  <w:style w:type="character" w:customStyle="1" w:styleId="23">
    <w:name w:val="页脚 字符"/>
    <w:link w:val="8"/>
    <w:qFormat/>
    <w:uiPriority w:val="0"/>
    <w:rPr>
      <w:rFonts w:ascii="Calibri" w:hAnsi="Calibri" w:eastAsia="方正仿宋_GBK"/>
      <w:kern w:val="32"/>
      <w:sz w:val="18"/>
      <w:szCs w:val="18"/>
    </w:rPr>
  </w:style>
  <w:style w:type="character" w:customStyle="1" w:styleId="24">
    <w:name w:val="标题 2 字符"/>
    <w:link w:val="3"/>
    <w:qFormat/>
    <w:uiPriority w:val="0"/>
    <w:rPr>
      <w:rFonts w:eastAsia="宋体"/>
      <w:b/>
      <w:sz w:val="24"/>
      <w:szCs w:val="24"/>
    </w:rPr>
  </w:style>
  <w:style w:type="character" w:customStyle="1" w:styleId="25">
    <w:name w:val="标题 4 Char"/>
    <w:semiHidden/>
    <w:qFormat/>
    <w:uiPriority w:val="0"/>
    <w:rPr>
      <w:rFonts w:ascii="Cambria" w:hAnsi="Cambria" w:eastAsia="宋体" w:cs="Times New Roman"/>
      <w:b/>
      <w:bCs/>
      <w:kern w:val="32"/>
      <w:sz w:val="28"/>
      <w:szCs w:val="28"/>
    </w:rPr>
  </w:style>
  <w:style w:type="character" w:customStyle="1" w:styleId="26">
    <w:name w:val="正文 旺源文字段落 Char"/>
    <w:link w:val="27"/>
    <w:qFormat/>
    <w:uiPriority w:val="0"/>
    <w:rPr>
      <w:rFonts w:ascii="宋体" w:hAnsi="宋体" w:cs="宋体"/>
      <w:kern w:val="24"/>
      <w:sz w:val="24"/>
      <w:szCs w:val="24"/>
    </w:rPr>
  </w:style>
  <w:style w:type="paragraph" w:customStyle="1" w:styleId="27">
    <w:name w:val="正文 旺源文字段落"/>
    <w:basedOn w:val="1"/>
    <w:link w:val="26"/>
    <w:qFormat/>
    <w:uiPriority w:val="0"/>
    <w:pPr>
      <w:spacing w:line="500" w:lineRule="exact"/>
      <w:ind w:firstLine="420"/>
    </w:pPr>
    <w:rPr>
      <w:rFonts w:ascii="宋体" w:hAnsi="宋体" w:eastAsia="宋体"/>
      <w:kern w:val="24"/>
      <w:sz w:val="24"/>
      <w:szCs w:val="24"/>
    </w:rPr>
  </w:style>
  <w:style w:type="paragraph" w:customStyle="1" w:styleId="28">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29">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customStyle="1" w:styleId="31">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 w:type="paragraph" w:customStyle="1" w:styleId="32">
    <w:name w:val="正缩1"/>
    <w:basedOn w:val="1"/>
    <w:qFormat/>
    <w:uiPriority w:val="0"/>
    <w:pPr>
      <w:adjustRightInd w:val="0"/>
      <w:snapToGrid w:val="0"/>
      <w:spacing w:line="500" w:lineRule="exact"/>
      <w:ind w:firstLine="567"/>
    </w:pPr>
    <w:rPr>
      <w:rFonts w:ascii="Times New Roman" w:eastAsia="仿宋_GB2312"/>
      <w:color w:val="000000"/>
      <w:kern w:val="2"/>
      <w:sz w:val="28"/>
    </w:rPr>
  </w:style>
  <w:style w:type="paragraph" w:customStyle="1" w:styleId="33">
    <w:name w:val="【正文】"/>
    <w:basedOn w:val="1"/>
    <w:qFormat/>
    <w:uiPriority w:val="0"/>
    <w:rPr>
      <w:rFonts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4222</Words>
  <Characters>4367</Characters>
  <Lines>97</Lines>
  <Paragraphs>85</Paragraphs>
  <TotalTime>1</TotalTime>
  <ScaleCrop>false</ScaleCrop>
  <LinksUpToDate>false</LinksUpToDate>
  <CharactersWithSpaces>4370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2026-07-21T07:49:14Z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EE295659431743EDA8006DAE33AB53F1_13</vt:lpwstr>
  </property>
  <property fmtid="{D5CDD505-2E9C-101B-9397-08002B2CF9AE}" pid="4" name="KSOTemplateDocerSaveRecord">
    <vt:lpwstr>eyJoZGlkIjoiYTA0OTFiNTllN2E3YTc2MDc5ZTIwYTg0ZjFlZjFlMWQiLCJ1c2VySWQiOiIzNzMyMDUyODEifQ==</vt:lpwstr>
  </property>
</Properties>
</file>