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66565">
      <w:pPr>
        <w:spacing w:line="560" w:lineRule="exact"/>
        <w:jc w:val="center"/>
        <w:rPr>
          <w:rFonts w:eastAsia="方正仿宋简体;微软雅黑"/>
        </w:rPr>
      </w:pPr>
      <w:r>
        <w:rPr>
          <w:rFonts w:eastAsia="方正小标宋_GBK;Arial Unicode MS"/>
          <w:sz w:val="44"/>
        </w:rPr>
        <w:t>曲靖市生态环境局</w:t>
      </w:r>
      <w:r>
        <w:rPr>
          <w:rFonts w:ascii="Times New Roman" w:hAnsi="Times New Roman" w:eastAsia="方正小标宋_GBK;Arial Unicode MS" w:cs="Times New Roman"/>
          <w:sz w:val="44"/>
        </w:rPr>
        <w:t>关于会泽县鲜活畜产品加工及冷链物流项目</w:t>
      </w:r>
      <w:r>
        <w:rPr>
          <w:rFonts w:ascii="Times New Roman" w:hAnsi="Times New Roman" w:eastAsia="方正小标宋_GBK;Arial Unicode MS" w:cs="Times New Roman"/>
          <w:sz w:val="44"/>
          <w:lang w:eastAsia="zh-CN"/>
        </w:rPr>
        <w:t>环境影响报告书</w:t>
      </w:r>
      <w:r>
        <w:rPr>
          <w:rFonts w:ascii="Times New Roman" w:hAnsi="Times New Roman" w:eastAsia="方正小标宋_GBK;Arial Unicode MS" w:cs="Times New Roman"/>
          <w:sz w:val="44"/>
        </w:rPr>
        <w:t>的批复</w:t>
      </w:r>
    </w:p>
    <w:p w14:paraId="2870F3FC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581" w:after="0" w:line="380" w:lineRule="exact"/>
        <w:jc w:val="center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ascii="仿宋" w:hAnsi="仿宋" w:eastAsia="仿宋" w:cs="仿宋"/>
          <w:bCs/>
          <w:color w:val="000000"/>
        </w:rPr>
        <w:t>曲环审〔202</w:t>
      </w:r>
      <w:r>
        <w:rPr>
          <w:rFonts w:ascii="仿宋" w:hAnsi="仿宋" w:eastAsia="仿宋" w:cs="仿宋"/>
          <w:bCs/>
          <w:color w:val="000000"/>
          <w:lang w:val="en-US" w:eastAsia="zh-CN"/>
        </w:rPr>
        <w:t>4</w:t>
      </w:r>
      <w:r>
        <w:rPr>
          <w:rFonts w:ascii="仿宋" w:hAnsi="仿宋" w:eastAsia="仿宋" w:cs="仿宋"/>
          <w:bCs/>
          <w:color w:val="000000"/>
        </w:rPr>
        <w:t>〕</w:t>
      </w:r>
      <w:r>
        <w:rPr>
          <w:rFonts w:ascii="仿宋" w:hAnsi="仿宋" w:eastAsia="仿宋" w:cs="仿宋"/>
          <w:bCs/>
          <w:color w:val="000000"/>
          <w:lang w:val="en-US" w:eastAsia="zh-CN"/>
        </w:rPr>
        <w:t>90</w:t>
      </w:r>
      <w:r>
        <w:rPr>
          <w:rFonts w:ascii="仿宋" w:hAnsi="仿宋" w:eastAsia="仿宋" w:cs="仿宋"/>
          <w:bCs/>
          <w:color w:val="000000"/>
        </w:rPr>
        <w:t>号</w:t>
      </w:r>
    </w:p>
    <w:p w14:paraId="498934DC">
      <w:pPr>
        <w:spacing w:line="300" w:lineRule="auto"/>
        <w:rPr>
          <w:rFonts w:ascii="仿宋" w:hAnsi="仿宋" w:eastAsia="方正仿宋简体;微软雅黑" w:cs="仿宋"/>
          <w:bCs/>
          <w:color w:val="000000"/>
        </w:rPr>
      </w:pPr>
    </w:p>
    <w:p w14:paraId="24E800D8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textAlignment w:val="auto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会泽县道成开发投资集团有限公司：</w:t>
      </w:r>
    </w:p>
    <w:p w14:paraId="42D721BA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你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公司</w:t>
      </w:r>
      <w:r>
        <w:rPr>
          <w:rFonts w:ascii="Times New Roman" w:hAnsi="Times New Roman" w:eastAsia="仿宋" w:cs="Times New Roman"/>
          <w:sz w:val="32"/>
          <w:szCs w:val="32"/>
        </w:rPr>
        <w:t>申请报批的《会泽县鲜活畜产品加工及冷链物流项目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环境影响报告书</w:t>
      </w:r>
      <w:r>
        <w:rPr>
          <w:rFonts w:ascii="Times New Roman" w:hAnsi="Times New Roman" w:eastAsia="仿宋" w:cs="Times New Roman"/>
          <w:sz w:val="32"/>
          <w:szCs w:val="32"/>
        </w:rPr>
        <w:t>》（以下简称《报告书》）收悉。经研究，批复如下：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</w:p>
    <w:p w14:paraId="105F51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spacing w:line="560" w:lineRule="exact"/>
        <w:ind w:left="0" w:firstLine="632"/>
        <w:textAlignment w:val="auto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一、该项目位于云南会泽产业园区五星片区，于</w:t>
      </w:r>
      <w:r>
        <w:rPr>
          <w:rFonts w:eastAsia="仿宋" w:cs="Times New Roman"/>
          <w:sz w:val="32"/>
          <w:szCs w:val="32"/>
          <w:lang w:val="en-US" w:eastAsia="zh-CN"/>
        </w:rPr>
        <w:t>2020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年</w:t>
      </w:r>
      <w:r>
        <w:rPr>
          <w:rFonts w:eastAsia="仿宋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月</w:t>
      </w:r>
      <w:r>
        <w:rPr>
          <w:rFonts w:eastAsia="仿宋" w:cs="Times New Roman"/>
          <w:sz w:val="32"/>
          <w:szCs w:val="32"/>
          <w:lang w:val="en-US" w:eastAsia="zh-CN"/>
        </w:rPr>
        <w:t>22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日取得《会泽县发展和改革局关于</w:t>
      </w:r>
      <w:r>
        <w:rPr>
          <w:rFonts w:ascii="Times New Roman" w:hAnsi="Times New Roman" w:eastAsia="仿宋" w:cs="Times New Roman"/>
          <w:sz w:val="32"/>
          <w:szCs w:val="32"/>
        </w:rPr>
        <w:t>会泽县鲜活畜产品加工及冷链物流项目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可研报告的批复》（会发改产业〔</w:t>
      </w:r>
      <w:r>
        <w:rPr>
          <w:rFonts w:eastAsia="仿宋" w:cs="Times New Roman"/>
          <w:sz w:val="32"/>
          <w:szCs w:val="32"/>
          <w:lang w:val="en-US" w:eastAsia="zh-CN"/>
        </w:rPr>
        <w:t>2020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〕</w:t>
      </w:r>
      <w:r>
        <w:rPr>
          <w:rFonts w:eastAsia="仿宋" w:cs="Times New Roman"/>
          <w:sz w:val="32"/>
          <w:szCs w:val="32"/>
          <w:lang w:val="en-US" w:eastAsia="zh-CN"/>
        </w:rPr>
        <w:t>19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号），项目代码：</w:t>
      </w:r>
      <w:r>
        <w:rPr>
          <w:rFonts w:eastAsia="仿宋" w:cs="Times New Roman"/>
          <w:sz w:val="32"/>
          <w:szCs w:val="32"/>
          <w:lang w:val="en-US" w:eastAsia="zh-CN"/>
        </w:rPr>
        <w:t>2020-530326-01-01-011440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主要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建设内容及规模：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建设</w:t>
      </w:r>
      <w:r>
        <w:rPr>
          <w:rFonts w:eastAsia="仿宋" w:cs="Times New Roman"/>
          <w:b w:val="0"/>
          <w:bCs w:val="0"/>
          <w:color w:val="000000"/>
          <w:sz w:val="32"/>
          <w:szCs w:val="32"/>
          <w:lang w:eastAsia="zh-CN"/>
        </w:rPr>
        <w:t>1#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生猪屠宰组合车间、</w:t>
      </w:r>
      <w:r>
        <w:rPr>
          <w:rFonts w:eastAsia="仿宋" w:cs="Times New Roman"/>
          <w:b w:val="0"/>
          <w:bCs w:val="0"/>
          <w:color w:val="000000"/>
          <w:sz w:val="32"/>
          <w:szCs w:val="32"/>
          <w:lang w:eastAsia="zh-CN"/>
        </w:rPr>
        <w:t>2#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生猪屠宰组合车间、冷库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等主体工程，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急宰冷冻车间、洗车消毒房、锅炉房、办公楼、职工食堂、职工宿舍、门卫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等辅助工程，给排水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、供电、供气等公用工程，并配套建设废气治理、污水处理、固体废物处置等环保工程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项目投产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后年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屠宰加工生猪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万头</w:t>
      </w:r>
      <w:r>
        <w:rPr>
          <w:rFonts w:ascii="Times New Roman" w:hAnsi="Times New Roman" w:eastAsia="仿宋" w:cs="Times New Roman"/>
          <w:bCs/>
          <w:sz w:val="32"/>
          <w:szCs w:val="32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项目总投资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21500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万元，其中环保投资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1527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万元，占工程总投资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7.1%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。</w:t>
      </w:r>
    </w:p>
    <w:p w14:paraId="57155E3B">
      <w:pPr>
        <w:pStyle w:val="30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0" w:after="0" w:line="560" w:lineRule="exact"/>
        <w:ind w:left="0" w:firstLine="632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项目涉及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未批先建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环境违法行为，曲靖市生态环境局已对其环境违法行作出了行政处罚（曲环罚字〔</w:t>
      </w:r>
      <w:r>
        <w:rPr>
          <w:rFonts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2024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〕</w:t>
      </w:r>
      <w:r>
        <w:rPr>
          <w:rFonts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5-4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号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），已缴纳罚款。</w:t>
      </w:r>
    </w:p>
    <w:p w14:paraId="2C9FE646">
      <w:pPr>
        <w:pStyle w:val="30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0" w:after="0" w:line="560" w:lineRule="exact"/>
        <w:ind w:left="0" w:firstLine="632"/>
        <w:textAlignment w:val="auto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根据《报告书》评价结论、技术评估意见，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项目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不涉及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依法设立的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自然保护区、风景名胜区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、饮用水水源保护区、</w:t>
      </w:r>
      <w:r>
        <w:rPr>
          <w:rFonts w:ascii="Times New Roman" w:hAnsi="Times New Roman" w:eastAsia="仿宋" w:cs="Times New Roman"/>
          <w:sz w:val="32"/>
          <w:szCs w:val="32"/>
        </w:rPr>
        <w:t>生态保护红线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环境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敏感区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，项目所在区域属于牛栏江流域下游保护区的水源涵养区，符合《云南省牛栏江保护条例》《牛栏江流域（云南部分）水环境保护规划》相关要求，</w:t>
      </w:r>
      <w:r>
        <w:rPr>
          <w:rFonts w:ascii="Times New Roman" w:hAnsi="Times New Roman" w:eastAsia="仿宋" w:cs="Times New Roman"/>
          <w:sz w:val="32"/>
          <w:szCs w:val="32"/>
        </w:rPr>
        <w:t>符合国家产业政策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、生态环境分区管控</w:t>
      </w:r>
      <w:r>
        <w:rPr>
          <w:rFonts w:ascii="Times New Roman" w:hAnsi="Times New Roman" w:eastAsia="仿宋" w:cs="Times New Roman"/>
          <w:sz w:val="32"/>
          <w:szCs w:val="32"/>
        </w:rPr>
        <w:t>及园区规划要求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且</w:t>
      </w:r>
      <w:r>
        <w:rPr>
          <w:rFonts w:ascii="Times New Roman" w:hAnsi="Times New Roman" w:eastAsia="仿宋" w:cs="Times New Roman"/>
          <w:sz w:val="32"/>
          <w:szCs w:val="32"/>
        </w:rPr>
        <w:t>符合《云南会泽产业园区总体规划修编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eastAsia="仿宋" w:cs="Times New Roman"/>
          <w:sz w:val="32"/>
          <w:szCs w:val="32"/>
        </w:rPr>
        <w:t>2021-2035</w:t>
      </w:r>
      <w:r>
        <w:rPr>
          <w:rFonts w:ascii="Times New Roman" w:hAnsi="Times New Roman" w:eastAsia="仿宋" w:cs="Times New Roman"/>
          <w:sz w:val="32"/>
          <w:szCs w:val="32"/>
        </w:rPr>
        <w:t>年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环境影响报告书》评价结论及审查意见要求。在全面落实《报告书》提出的各项生态保护和污染防治措施的前提下，项目建设对环境的不利影响可以降低或得到有效控制，我局同意市生态环境局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会泽分局</w:t>
      </w:r>
      <w:r>
        <w:rPr>
          <w:rFonts w:ascii="Times New Roman" w:hAnsi="Times New Roman" w:eastAsia="仿宋" w:cs="Times New Roman"/>
          <w:sz w:val="32"/>
          <w:szCs w:val="32"/>
        </w:rPr>
        <w:t>的审查意见，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并</w:t>
      </w:r>
      <w:r>
        <w:rPr>
          <w:rFonts w:ascii="Times New Roman" w:hAnsi="Times New Roman" w:eastAsia="仿宋" w:cs="Times New Roman"/>
          <w:sz w:val="32"/>
          <w:szCs w:val="32"/>
        </w:rPr>
        <w:t>原则同意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你公司</w:t>
      </w:r>
      <w:r>
        <w:rPr>
          <w:rFonts w:ascii="Times New Roman" w:hAnsi="Times New Roman" w:eastAsia="仿宋" w:cs="Times New Roman"/>
          <w:sz w:val="32"/>
          <w:szCs w:val="32"/>
        </w:rPr>
        <w:t>按《报告书》中所列建设项目的性质、规模、地点、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处理</w:t>
      </w:r>
      <w:r>
        <w:rPr>
          <w:rFonts w:ascii="Times New Roman" w:hAnsi="Times New Roman" w:eastAsia="仿宋" w:cs="Times New Roman"/>
          <w:sz w:val="32"/>
          <w:szCs w:val="32"/>
        </w:rPr>
        <w:t>工艺和拟采取的环境保护措施建设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37857317">
      <w:pPr>
        <w:pStyle w:val="30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0" w:after="0" w:line="560" w:lineRule="exact"/>
        <w:ind w:left="0" w:firstLine="63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二、认真落实《报告书》中提出的各项污染防治对策措施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并着重做好以下工作：</w:t>
      </w:r>
    </w:p>
    <w:p w14:paraId="2D75B580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（一）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加强施工期环境管理。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</w:rPr>
        <w:t>采取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bidi="en-US"/>
        </w:rPr>
        <w:t>适时洒水降尘、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运输车辆加盖篷布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bidi="en-US"/>
        </w:rPr>
        <w:t>、设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施工围挡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</w:rPr>
        <w:t>等措施防治扬尘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  <w:lang w:eastAsia="zh-CN"/>
        </w:rPr>
        <w:t>。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</w:rPr>
        <w:t>施工废水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  <w:lang w:eastAsia="zh-CN"/>
        </w:rPr>
        <w:t>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施工人员生活污水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经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</w:rPr>
        <w:t>收集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  <w:lang w:eastAsia="zh-CN"/>
        </w:rPr>
        <w:t>处理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</w:rPr>
        <w:t>后回用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  <w:lang w:eastAsia="zh-CN"/>
        </w:rPr>
        <w:t>，不外排。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选用低噪声施工设备，采取合理安排施工时间等措施，确保施工场界噪声排放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满足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《建筑施工场界环境噪声排放标准》（</w:t>
      </w:r>
      <w:r>
        <w:rPr>
          <w:rFonts w:eastAsia="仿宋" w:cs="Times New Roman"/>
          <w:color w:val="000000"/>
          <w:sz w:val="32"/>
          <w:szCs w:val="32"/>
        </w:rPr>
        <w:t>GB12523-2011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</w:t>
      </w:r>
      <w:r>
        <w:rPr>
          <w:rFonts w:ascii="Times New Roman" w:hAnsi="Times New Roman" w:eastAsia="仿宋" w:cs="Times New Roman"/>
          <w:color w:val="000000"/>
          <w:spacing w:val="2"/>
          <w:sz w:val="32"/>
          <w:szCs w:val="32"/>
          <w:lang w:eastAsia="zh-CN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建筑垃圾可利用部分回收利用，不可利用部分及时清运至指定地点堆放，不得随意倾倒；生活垃圾经集中收集后按当地环卫部门要求处置。</w:t>
      </w:r>
    </w:p>
    <w:p w14:paraId="2832659D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二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  <w:r>
        <w:rPr>
          <w:rFonts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落实水环境保护措施。</w:t>
      </w:r>
      <w:r>
        <w:rPr>
          <w:rFonts w:ascii="Times New Roman" w:hAnsi="Times New Roman" w:eastAsia="仿宋" w:cs="Times New Roman"/>
          <w:sz w:val="32"/>
          <w:szCs w:val="32"/>
        </w:rPr>
        <w:t>规范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建设厂区</w:t>
      </w:r>
      <w:r>
        <w:rPr>
          <w:rFonts w:ascii="Times New Roman" w:hAnsi="Times New Roman" w:eastAsia="Times New Roman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sz w:val="32"/>
          <w:szCs w:val="32"/>
        </w:rPr>
        <w:t>雨污分流</w:t>
      </w:r>
      <w:r>
        <w:rPr>
          <w:rFonts w:ascii="Times New Roman" w:hAnsi="Times New Roman" w:eastAsia="Times New Roman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sz w:val="32"/>
          <w:szCs w:val="32"/>
        </w:rPr>
        <w:t>系统，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项目厂区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雨水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通过雨水管道排入园区雨水管网，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在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厂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区内设置的污水收集输送系统，不得采取明沟布设。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设置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座处理规模为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1500</w:t>
      </w:r>
      <w:r>
        <w:rPr>
          <w:rFonts w:eastAsia="仿宋" w:cs="Times New Roman"/>
          <w:color w:val="000000"/>
          <w:sz w:val="32"/>
          <w:szCs w:val="32"/>
          <w:lang w:eastAsia="zh-CN"/>
        </w:rPr>
        <w:t>m</w:t>
      </w:r>
      <w:r>
        <w:rPr>
          <w:rFonts w:eastAsia="仿宋" w:cs="Times New Roman"/>
          <w:color w:val="000000"/>
          <w:sz w:val="32"/>
          <w:szCs w:val="32"/>
          <w:vertAlign w:val="superscript"/>
          <w:lang w:eastAsia="zh-CN"/>
        </w:rPr>
        <w:t>3</w:t>
      </w:r>
      <w:r>
        <w:rPr>
          <w:rFonts w:eastAsia="仿宋" w:cs="Times New Roman"/>
          <w:color w:val="000000"/>
          <w:sz w:val="32"/>
          <w:szCs w:val="32"/>
          <w:lang w:eastAsia="zh-CN"/>
        </w:rPr>
        <w:t>/d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的污水处理站，处理工艺为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固液分离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隔油调节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气浮沉淀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缺氧脱氮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好氧升流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好氧降流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除磷沉淀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+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接触消毒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。经预处理后的生产废水、生活污水及初期雨水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进入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污水处理站处理同时满足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 w:bidi="en-US"/>
        </w:rPr>
        <w:t>《肉类加工工业水污染物排放标准》（</w:t>
      </w:r>
      <w:r>
        <w:rPr>
          <w:rFonts w:eastAsia="仿宋" w:cs="Times New Roman"/>
          <w:b w:val="0"/>
          <w:bCs w:val="0"/>
          <w:color w:val="000000"/>
          <w:sz w:val="32"/>
          <w:szCs w:val="32"/>
          <w:lang w:eastAsia="zh-CN" w:bidi="en-US"/>
        </w:rPr>
        <w:t>GB13457-92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 w:bidi="en-US"/>
        </w:rPr>
        <w:t>）表</w:t>
      </w:r>
      <w:r>
        <w:rPr>
          <w:rFonts w:eastAsia="仿宋" w:cs="Times New Roman"/>
          <w:b w:val="0"/>
          <w:bCs w:val="0"/>
          <w:color w:val="000000"/>
          <w:sz w:val="32"/>
          <w:szCs w:val="32"/>
          <w:lang w:val="en-US" w:eastAsia="zh-CN" w:bidi="en-US"/>
        </w:rPr>
        <w:t>3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 w:bidi="en-US"/>
        </w:rPr>
        <w:t>中规定畜类屠宰加工的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 w:bidi="en-US"/>
        </w:rPr>
        <w:t>三级标准、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《污水排入城镇下水道水质标准》（</w:t>
      </w:r>
      <w:r>
        <w:rPr>
          <w:rFonts w:eastAsia="仿宋" w:cs="Times New Roman"/>
          <w:color w:val="000000"/>
          <w:sz w:val="32"/>
          <w:szCs w:val="32"/>
          <w:lang w:eastAsia="zh-CN" w:bidi="en-US"/>
        </w:rPr>
        <w:t>GB/T31962-2015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）</w:t>
      </w:r>
      <w:r>
        <w:rPr>
          <w:rFonts w:eastAsia="仿宋" w:cs="Times New Roman"/>
          <w:color w:val="000000"/>
          <w:sz w:val="32"/>
          <w:szCs w:val="32"/>
          <w:lang w:eastAsia="zh-CN" w:bidi="en-US"/>
        </w:rPr>
        <w:t>A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等级标准和《污水综合排放标准》（</w:t>
      </w:r>
      <w:r>
        <w:rPr>
          <w:rFonts w:eastAsia="仿宋" w:cs="Times New Roman"/>
          <w:color w:val="000000"/>
          <w:sz w:val="32"/>
          <w:szCs w:val="32"/>
          <w:lang w:eastAsia="zh-CN" w:bidi="en-US"/>
        </w:rPr>
        <w:t>GB8978-1996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）三级标准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限值要求后，通过污水管网进入五星片区污水处理厂进一步处理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生物除臭塔中的水循环利用，不外排；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 w:bidi="en-US"/>
        </w:rPr>
        <w:t>锅炉蒸汽通过管道送至屠宰间接换热冷凝后回用于锅炉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。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合理设置事故池，</w:t>
      </w:r>
      <w:r>
        <w:rPr>
          <w:rFonts w:ascii="Times New Roman" w:hAnsi="Times New Roman" w:eastAsia="仿宋" w:cs="Times New Roman"/>
          <w:sz w:val="32"/>
          <w:szCs w:val="32"/>
        </w:rPr>
        <w:t>杜绝废水非正常排放。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规范</w:t>
      </w:r>
      <w:r>
        <w:rPr>
          <w:rFonts w:ascii="Times New Roman" w:hAnsi="Times New Roman" w:eastAsia="仿宋" w:cs="Times New Roman"/>
          <w:sz w:val="32"/>
          <w:szCs w:val="32"/>
        </w:rPr>
        <w:t>设置排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污</w:t>
      </w:r>
      <w:r>
        <w:rPr>
          <w:rFonts w:ascii="Times New Roman" w:hAnsi="Times New Roman" w:eastAsia="仿宋" w:cs="Times New Roman"/>
          <w:sz w:val="32"/>
          <w:szCs w:val="32"/>
        </w:rPr>
        <w:t>口。</w:t>
      </w:r>
    </w:p>
    <w:p w14:paraId="1B952D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spacing w:line="560" w:lineRule="exact"/>
        <w:ind w:left="0" w:firstLine="632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落实分区防控措施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。</w:t>
      </w:r>
      <w:bookmarkStart w:id="0" w:name="_GoBack"/>
      <w:r>
        <w:rPr>
          <w:rFonts w:ascii="Times New Roman" w:hAnsi="Times New Roman" w:eastAsia="仿宋" w:cs="Times New Roman"/>
          <w:color w:val="000000"/>
          <w:sz w:val="32"/>
          <w:szCs w:val="32"/>
          <w:lang w:bidi="en-US"/>
        </w:rPr>
        <w:t>危废暂存间</w:t>
      </w:r>
      <w:bookmarkEnd w:id="0"/>
      <w:r>
        <w:rPr>
          <w:rFonts w:ascii="Times New Roman" w:hAnsi="Times New Roman" w:eastAsia="仿宋" w:cs="Times New Roman"/>
          <w:color w:val="000000"/>
          <w:sz w:val="32"/>
          <w:szCs w:val="32"/>
          <w:lang w:bidi="en-US"/>
        </w:rPr>
        <w:t>、污水处理站、屠宰车间地下水池（污水收集池）、事故池、截粪间、隔油池、化粪池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等区域采取重点防渗，防渗层按等效黏土防渗层厚度不小于</w:t>
      </w:r>
      <w:r>
        <w:rPr>
          <w:rFonts w:eastAsia="仿宋" w:cs="Times New Roman"/>
          <w:color w:val="000000"/>
          <w:sz w:val="32"/>
          <w:szCs w:val="32"/>
        </w:rPr>
        <w:t>6.0m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，渗透系数不大于</w:t>
      </w:r>
      <w:r>
        <w:rPr>
          <w:rFonts w:eastAsia="仿宋" w:cs="Times New Roman"/>
          <w:color w:val="000000"/>
          <w:sz w:val="32"/>
          <w:szCs w:val="32"/>
        </w:rPr>
        <w:t>1×10</w:t>
      </w:r>
      <w:r>
        <w:rPr>
          <w:rFonts w:eastAsia="仿宋" w:cs="Times New Roman"/>
          <w:color w:val="000000"/>
          <w:sz w:val="32"/>
          <w:szCs w:val="32"/>
          <w:vertAlign w:val="superscript"/>
        </w:rPr>
        <w:t>-7</w:t>
      </w:r>
      <w:r>
        <w:rPr>
          <w:rFonts w:eastAsia="仿宋" w:cs="Times New Roman"/>
          <w:color w:val="000000"/>
          <w:sz w:val="32"/>
          <w:szCs w:val="32"/>
        </w:rPr>
        <w:t>cm/s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或参考</w:t>
      </w:r>
      <w:r>
        <w:rPr>
          <w:rFonts w:ascii="Times New Roman" w:hAnsi="Times New Roman" w:eastAsia="仿宋" w:cs="Times New Roman"/>
          <w:bCs/>
          <w:color w:val="000000"/>
          <w:sz w:val="32"/>
          <w:szCs w:val="32"/>
          <w:lang w:val="en-US" w:eastAsia="zh-CN"/>
        </w:rPr>
        <w:t>《危险废物贮存污染控制标准》（</w:t>
      </w:r>
      <w:r>
        <w:rPr>
          <w:rFonts w:eastAsia="仿宋" w:cs="Times New Roman"/>
          <w:bCs/>
          <w:color w:val="000000"/>
          <w:sz w:val="32"/>
          <w:szCs w:val="32"/>
          <w:lang w:val="en-US" w:eastAsia="zh-CN"/>
        </w:rPr>
        <w:t>GB18597-2023</w:t>
      </w:r>
      <w:r>
        <w:rPr>
          <w:rFonts w:ascii="Times New Roman" w:hAnsi="Times New Roman" w:eastAsia="仿宋" w:cs="Times New Roman"/>
          <w:bCs/>
          <w:color w:val="000000"/>
          <w:sz w:val="32"/>
          <w:szCs w:val="32"/>
          <w:lang w:val="en-US" w:eastAsia="zh-CN"/>
        </w:rPr>
        <w:t>）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中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要求进行防渗；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办公生活区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门卫室、厂区道路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等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区域采取一般地面硬化；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除重点防渗区、简单防渗区、绿化区域以外的生产车间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采取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一般防渗，防渗层按等效黏土防渗层厚度不小于</w:t>
      </w:r>
      <w:r>
        <w:rPr>
          <w:rFonts w:eastAsia="仿宋" w:cs="Times New Roman"/>
          <w:color w:val="000000"/>
          <w:sz w:val="32"/>
          <w:szCs w:val="32"/>
        </w:rPr>
        <w:t>1.5m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，渗透系数不大于</w:t>
      </w:r>
      <w:r>
        <w:rPr>
          <w:rFonts w:eastAsia="仿宋" w:cs="Times New Roman"/>
          <w:color w:val="000000"/>
          <w:sz w:val="32"/>
          <w:szCs w:val="32"/>
        </w:rPr>
        <w:t>1×10</w:t>
      </w:r>
      <w:r>
        <w:rPr>
          <w:rFonts w:eastAsia="仿宋" w:cs="Times New Roman"/>
          <w:color w:val="000000"/>
          <w:sz w:val="32"/>
          <w:szCs w:val="32"/>
          <w:vertAlign w:val="superscript"/>
        </w:rPr>
        <w:t>-7</w:t>
      </w:r>
      <w:r>
        <w:rPr>
          <w:rFonts w:eastAsia="仿宋" w:cs="Times New Roman"/>
          <w:color w:val="000000"/>
          <w:sz w:val="32"/>
          <w:szCs w:val="32"/>
        </w:rPr>
        <w:t>cm/s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或参考《生活垃圾填埋场污染控制标准》（</w:t>
      </w:r>
      <w:r>
        <w:rPr>
          <w:rFonts w:eastAsia="仿宋" w:cs="Times New Roman"/>
          <w:color w:val="000000"/>
          <w:sz w:val="32"/>
          <w:szCs w:val="32"/>
        </w:rPr>
        <w:t>GB16889-20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）要求进行防渗。根据区域水文地质情况，合理设置地下水跟踪监测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井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，定期进行跟踪监测，根据监测情况及时完善相应的污染防治措施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。</w:t>
      </w:r>
    </w:p>
    <w:p w14:paraId="0EF59F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spacing w:line="560" w:lineRule="exact"/>
        <w:ind w:left="0" w:firstLine="632"/>
        <w:textAlignment w:val="auto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（三）</w:t>
      </w:r>
      <w:r>
        <w:rPr>
          <w:rFonts w:ascii="Times New Roman" w:hAnsi="Times New Roman" w:eastAsia="仿宋" w:cs="Times New Roman"/>
          <w:sz w:val="32"/>
          <w:szCs w:val="32"/>
        </w:rPr>
        <w:t>落实大气污染防治措施。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污水处理站主要产臭单元设计为密闭式，采用引风机将恶臭气体引入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套生物除臭装置处理满足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《恶臭污染物排放标准》（</w:t>
      </w:r>
      <w:r>
        <w:rPr>
          <w:rFonts w:eastAsia="仿宋" w:cs="Times New Roman"/>
          <w:color w:val="000000"/>
          <w:sz w:val="32"/>
          <w:szCs w:val="32"/>
          <w:lang w:eastAsia="zh-CN"/>
        </w:rPr>
        <w:t>GB14554-93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限值要求</w:t>
      </w:r>
      <w:r>
        <w:rPr>
          <w:rFonts w:ascii="Times New Roman" w:hAnsi="Times New Roman" w:eastAsia="仿宋" w:cs="Times New Roman"/>
          <w:sz w:val="32"/>
          <w:szCs w:val="32"/>
        </w:rPr>
        <w:t>后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，通过</w:t>
      </w:r>
      <w:r>
        <w:rPr>
          <w:rFonts w:eastAsia="仿宋" w:cs="Times New Roman"/>
          <w:sz w:val="32"/>
          <w:szCs w:val="32"/>
        </w:rPr>
        <w:t>1</w:t>
      </w:r>
      <w:r>
        <w:rPr>
          <w:rFonts w:ascii="Times New Roman" w:hAnsi="Times New Roman" w:eastAsia="仿宋" w:cs="Times New Roman"/>
          <w:sz w:val="32"/>
          <w:szCs w:val="32"/>
        </w:rPr>
        <w:t>根</w:t>
      </w:r>
      <w:r>
        <w:rPr>
          <w:rFonts w:eastAsia="仿宋" w:cs="Times New Roman"/>
          <w:sz w:val="32"/>
          <w:szCs w:val="32"/>
        </w:rPr>
        <w:t>15m</w:t>
      </w:r>
      <w:r>
        <w:rPr>
          <w:rFonts w:ascii="Times New Roman" w:hAnsi="Times New Roman" w:eastAsia="仿宋" w:cs="Times New Roman"/>
          <w:sz w:val="32"/>
          <w:szCs w:val="32"/>
        </w:rPr>
        <w:t>高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排气筒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（</w:t>
      </w:r>
      <w:r>
        <w:rPr>
          <w:rFonts w:eastAsia="仿宋" w:cs="Times New Roman"/>
          <w:color w:val="000000"/>
          <w:sz w:val="32"/>
          <w:szCs w:val="32"/>
        </w:rPr>
        <w:t>DA00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）排放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天然气锅炉采用低氮燃烧，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燃烧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废气满足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《锅炉大气污染物排放标准》（</w:t>
      </w:r>
      <w:r>
        <w:rPr>
          <w:rFonts w:eastAsia="仿宋" w:cs="Times New Roman"/>
          <w:color w:val="000000"/>
          <w:sz w:val="32"/>
          <w:szCs w:val="32"/>
        </w:rPr>
        <w:t>GB13271-2014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）限值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要求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（氮氧化物浓度不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得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高于</w:t>
      </w:r>
      <w:r>
        <w:rPr>
          <w:rFonts w:eastAsia="仿宋" w:cs="Times New Roman"/>
          <w:color w:val="000000"/>
          <w:sz w:val="32"/>
          <w:szCs w:val="32"/>
        </w:rPr>
        <w:t>50mg/m</w:t>
      </w:r>
      <w:r>
        <w:rPr>
          <w:rFonts w:eastAsia="仿宋" w:cs="Times New Roman"/>
          <w:color w:val="000000"/>
          <w:sz w:val="32"/>
          <w:szCs w:val="32"/>
          <w:vertAlign w:val="superscript"/>
        </w:rPr>
        <w:t>3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后，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通过</w:t>
      </w:r>
      <w:r>
        <w:rPr>
          <w:rFonts w:eastAsia="仿宋" w:cs="Times New Roman"/>
          <w:color w:val="000000"/>
          <w:sz w:val="32"/>
          <w:szCs w:val="32"/>
        </w:rPr>
        <w:t>1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根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18</w:t>
      </w:r>
      <w:r>
        <w:rPr>
          <w:rFonts w:eastAsia="仿宋" w:cs="Times New Roman"/>
          <w:color w:val="000000"/>
          <w:sz w:val="32"/>
          <w:szCs w:val="32"/>
        </w:rPr>
        <w:t>m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高的排气筒（</w:t>
      </w:r>
      <w:r>
        <w:rPr>
          <w:rFonts w:eastAsia="仿宋" w:cs="Times New Roman"/>
          <w:color w:val="000000"/>
          <w:sz w:val="32"/>
          <w:szCs w:val="32"/>
        </w:rPr>
        <w:t>DA00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排放。</w:t>
      </w:r>
    </w:p>
    <w:p w14:paraId="20A0C8BF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left="-2" w:firstLine="632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加强生产设备运行维护管理，避免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“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跑、冒、滴、漏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”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现象发生，减少无组织废气排放量。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待宰间、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截粪间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窗口安装生物过滤式换气扇，同时喷洒生物除臭剂；屠宰间设为封闭式，车间设引风装置、出口安装生物过滤装置，工作时，车间呈微负压状态；污水处理站喷洒生物除臭剂；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加强场区绿化；通过采取以上措施，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bidi="en-US"/>
        </w:rPr>
        <w:t>确保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en-US"/>
        </w:rPr>
        <w:t>厂界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bidi="en-US"/>
        </w:rPr>
        <w:t>无组织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氨、</w:t>
      </w:r>
      <w:r>
        <w:rPr>
          <w:rFonts w:eastAsia="仿宋" w:cs="Times New Roman"/>
          <w:color w:val="000000"/>
          <w:kern w:val="0"/>
          <w:sz w:val="32"/>
          <w:szCs w:val="32"/>
          <w:lang w:val="en-US" w:eastAsia="zh-CN"/>
        </w:rPr>
        <w:t>H</w:t>
      </w:r>
      <w:r>
        <w:rPr>
          <w:rFonts w:eastAsia="仿宋" w:cs="Times New Roman"/>
          <w:color w:val="000000"/>
          <w:kern w:val="0"/>
          <w:sz w:val="32"/>
          <w:szCs w:val="32"/>
          <w:vertAlign w:val="subscript"/>
          <w:lang w:val="en-US" w:eastAsia="zh-CN"/>
        </w:rPr>
        <w:t>2</w:t>
      </w:r>
      <w:r>
        <w:rPr>
          <w:rFonts w:eastAsia="仿宋" w:cs="Times New Roman"/>
          <w:color w:val="000000"/>
          <w:kern w:val="0"/>
          <w:sz w:val="32"/>
          <w:szCs w:val="32"/>
          <w:lang w:val="en-US" w:eastAsia="zh-CN"/>
        </w:rPr>
        <w:t>S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满足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《恶臭污染物排放标准》（</w:t>
      </w:r>
      <w:r>
        <w:rPr>
          <w:rFonts w:eastAsia="仿宋" w:cs="Times New Roman"/>
          <w:color w:val="000000"/>
          <w:sz w:val="32"/>
          <w:szCs w:val="32"/>
          <w:lang w:eastAsia="zh-CN"/>
        </w:rPr>
        <w:t>GB14554-93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）限值要求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，非甲烷总烃厂界满足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《大气污染物综合排放标准》</w:t>
      </w:r>
      <w:r>
        <w:rPr>
          <w:rFonts w:ascii="Times New Roman" w:hAnsi="Times New Roman" w:eastAsia="仿宋" w:cs="Times New Roman"/>
          <w:spacing w:val="8"/>
          <w:sz w:val="32"/>
          <w:szCs w:val="32"/>
        </w:rPr>
        <w:t>（</w:t>
      </w:r>
      <w:r>
        <w:rPr>
          <w:rFonts w:eastAsia="仿宋" w:cs="Times New Roman"/>
          <w:spacing w:val="8"/>
          <w:sz w:val="32"/>
          <w:szCs w:val="32"/>
        </w:rPr>
        <w:t>GB16297-1996</w:t>
      </w:r>
      <w:r>
        <w:rPr>
          <w:rFonts w:ascii="Times New Roman" w:hAnsi="Times New Roman" w:eastAsia="仿宋" w:cs="Times New Roman"/>
          <w:spacing w:val="8"/>
          <w:sz w:val="32"/>
          <w:szCs w:val="32"/>
        </w:rPr>
        <w:t>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限值要求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、厂房外厂界内满足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《挥发性有机物无组织排放控制标准》（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GB37822-2019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限值要求。</w:t>
      </w:r>
    </w:p>
    <w:p w14:paraId="30352009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left="-2" w:firstLine="632"/>
        <w:textAlignment w:val="auto"/>
        <w:rPr>
          <w:rFonts w:ascii="Times New Roman" w:hAnsi="Times New Roman" w:eastAsia="仿宋" w:cs="Times New Roman"/>
          <w:color w:val="FF000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项目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以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待宰车间、屠宰车间和污水处理站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外延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100m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设置卫生防护距离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。你公司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应书面向当地政府及规划部门报告，严格控制厂界周围规划用地，</w:t>
      </w:r>
      <w:r>
        <w:rPr>
          <w:rFonts w:ascii="Times New Roman" w:hAnsi="Times New Roman" w:eastAsia="仿宋" w:cs="Times New Roman"/>
          <w:sz w:val="32"/>
          <w:szCs w:val="32"/>
        </w:rPr>
        <w:t>明确提出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仿宋" w:cs="Times New Roman"/>
          <w:sz w:val="32"/>
          <w:szCs w:val="32"/>
        </w:rPr>
        <w:t>卫生防护距离内不应规划建设学校、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医院、</w:t>
      </w:r>
      <w:r>
        <w:rPr>
          <w:rFonts w:ascii="Times New Roman" w:hAnsi="Times New Roman" w:eastAsia="仿宋" w:cs="Times New Roman"/>
          <w:sz w:val="32"/>
          <w:szCs w:val="32"/>
        </w:rPr>
        <w:t>居民区等环境敏感目标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。</w:t>
      </w:r>
    </w:p>
    <w:p w14:paraId="375B34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spacing w:line="560" w:lineRule="exact"/>
        <w:ind w:left="0" w:firstLine="632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  <w:lang w:val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（四）</w:t>
      </w:r>
      <w:r>
        <w:rPr>
          <w:rFonts w:ascii="Times New Roman" w:hAnsi="Times New Roman" w:eastAsia="仿宋" w:cs="Times New Roman"/>
          <w:sz w:val="32"/>
          <w:szCs w:val="32"/>
        </w:rPr>
        <w:t>认真落实固体废物的贮存、处理和处置措施。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一般固体废物临时堆存场所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应符合《一般工业固体废物贮存和填埋污染控制标准》（</w:t>
      </w:r>
      <w:r>
        <w:rPr>
          <w:rFonts w:eastAsia="仿宋" w:cs="Times New Roman"/>
          <w:color w:val="000000"/>
          <w:sz w:val="32"/>
          <w:szCs w:val="32"/>
        </w:rPr>
        <w:t>GB18599-2020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）要求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；废机油、检验检疫废弃物等经分类收集后暂存于危废暂存间，定期委托有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资质单位处理，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其收集、暂存及转运过程中的管理应严格按照《危险废物贮存污染控制标准》（</w:t>
      </w:r>
      <w:r>
        <w:rPr>
          <w:rFonts w:eastAsia="仿宋" w:cs="Times New Roman"/>
          <w:color w:val="000000"/>
          <w:kern w:val="0"/>
          <w:sz w:val="32"/>
          <w:szCs w:val="32"/>
        </w:rPr>
        <w:t>GB18597-2023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）《危险废物转移管理办法》（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</w:rPr>
        <w:t>生态环境部公安部交通运输部令第23号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）等规定执行，并做好台账记录。</w:t>
      </w:r>
    </w:p>
    <w:p w14:paraId="3D73318E">
      <w:pPr>
        <w:pStyle w:val="28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" w:cs="Times New Roman"/>
          <w:sz w:val="32"/>
          <w:szCs w:val="32"/>
        </w:rPr>
        <w:t>）落实噪声污染防治措施。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优化厂区平面布置，优先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选用低噪声设备</w:t>
      </w:r>
      <w:r>
        <w:rPr>
          <w:rFonts w:ascii="Times New Roman" w:hAnsi="Times New Roman" w:eastAsia="仿宋" w:cs="Times New Roman"/>
          <w:kern w:val="2"/>
          <w:sz w:val="32"/>
          <w:szCs w:val="32"/>
          <w:lang w:eastAsia="zh-CN"/>
        </w:rPr>
        <w:t>和工艺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，采取隔声、减振、消声等降噪措施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确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保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厂界噪声满足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《工业企业厂界环境噪声排放标准》（GB12348-2008）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3类区标准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要求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/>
        </w:rPr>
        <w:t>；</w:t>
      </w:r>
      <w:r>
        <w:rPr>
          <w:rFonts w:ascii="Times New Roman" w:hAnsi="Times New Roman" w:eastAsia="仿宋" w:cs="Times New Roman"/>
          <w:color w:val="000000"/>
          <w:sz w:val="32"/>
          <w:szCs w:val="32"/>
          <w:lang w:val="en-US" w:eastAsia="zh-CN"/>
        </w:rPr>
        <w:t>周边声环境敏感点满足《声环境质量标准》（GB3096-2008）2类标准要求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5CE50921">
      <w:pPr>
        <w:pStyle w:val="30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0" w:after="0" w:line="560" w:lineRule="exact"/>
        <w:ind w:left="0" w:firstLine="632"/>
        <w:textAlignment w:val="auto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（六）</w:t>
      </w:r>
      <w:r>
        <w:rPr>
          <w:rFonts w:ascii="Times New Roman" w:hAnsi="Times New Roman" w:eastAsia="仿宋" w:cs="Times New Roman"/>
          <w:sz w:val="32"/>
          <w:szCs w:val="32"/>
        </w:rPr>
        <w:t>加强应急处置。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制定环境风险及突发环境事件应急预案，并报市生态环境局</w:t>
      </w:r>
      <w:r>
        <w:rPr>
          <w:rFonts w:ascii="Times New Roman" w:hAnsi="Times New Roman" w:eastAsia="仿宋" w:cs="Times New Roman"/>
          <w:kern w:val="2"/>
          <w:sz w:val="32"/>
          <w:szCs w:val="32"/>
          <w:lang w:val="en-US" w:eastAsia="zh-CN"/>
        </w:rPr>
        <w:t>会泽分局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备案。落实各项环境风险防范对策措施，定期开展事故应急演练。</w:t>
      </w:r>
    </w:p>
    <w:p w14:paraId="086DFB22">
      <w:pPr>
        <w:pStyle w:val="30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0" w:after="0" w:line="560" w:lineRule="exact"/>
        <w:ind w:left="0" w:firstLine="632"/>
        <w:textAlignment w:val="auto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三、严格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按照</w:t>
      </w:r>
      <w:r>
        <w:rPr>
          <w:rFonts w:ascii="Times New Roman" w:hAnsi="Times New Roman" w:eastAsia="仿宋" w:cs="Times New Roman"/>
          <w:sz w:val="32"/>
          <w:szCs w:val="32"/>
        </w:rPr>
        <w:t>《报告书》确定的监测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点位</w:t>
      </w:r>
      <w:r>
        <w:rPr>
          <w:rFonts w:ascii="Times New Roman" w:hAnsi="Times New Roman" w:eastAsia="仿宋" w:cs="Times New Roman"/>
          <w:sz w:val="32"/>
          <w:szCs w:val="32"/>
        </w:rPr>
        <w:t>、监测项目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及</w:t>
      </w:r>
      <w:r>
        <w:rPr>
          <w:rFonts w:ascii="Times New Roman" w:hAnsi="Times New Roman" w:eastAsia="仿宋" w:cs="Times New Roman"/>
          <w:sz w:val="32"/>
          <w:szCs w:val="32"/>
        </w:rPr>
        <w:t>监测频次开展监测工作。同时按照污染源自动监控设施建设、管理的相关要求，在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污水处理设施</w:t>
      </w:r>
      <w:r>
        <w:rPr>
          <w:rFonts w:ascii="Times New Roman" w:hAnsi="Times New Roman" w:eastAsia="仿宋" w:cs="Times New Roman"/>
          <w:sz w:val="32"/>
          <w:szCs w:val="32"/>
        </w:rPr>
        <w:t>出口安装废水自动监控设施（含视频监控系统），并与生态环境部门监控平台联网。</w:t>
      </w:r>
    </w:p>
    <w:p w14:paraId="04C3BE4D">
      <w:pPr>
        <w:pStyle w:val="30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before="0" w:after="0" w:line="560" w:lineRule="exact"/>
        <w:ind w:left="0" w:firstLine="632"/>
        <w:textAlignment w:val="auto"/>
        <w:rPr>
          <w:rFonts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四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项目建成后，你公司</w:t>
      </w:r>
      <w:r>
        <w:rPr>
          <w:rFonts w:ascii="Times New Roman" w:hAnsi="Times New Roman" w:eastAsia="仿宋" w:cs="Times New Roman"/>
          <w:sz w:val="32"/>
          <w:szCs w:val="32"/>
        </w:rPr>
        <w:t>应按照《建设项目竣工环境保护验收暂行办法》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ascii="Times New Roman" w:hAnsi="Times New Roman" w:eastAsia="仿宋" w:cs="Times New Roman"/>
          <w:sz w:val="32"/>
          <w:szCs w:val="32"/>
        </w:rPr>
        <w:t>国环规环评〔</w:t>
      </w:r>
      <w:r>
        <w:rPr>
          <w:rFonts w:eastAsia="仿宋" w:cs="Times New Roman"/>
          <w:sz w:val="32"/>
          <w:szCs w:val="32"/>
        </w:rPr>
        <w:t>2017</w:t>
      </w:r>
      <w:r>
        <w:rPr>
          <w:rFonts w:ascii="Times New Roman" w:hAnsi="Times New Roman" w:eastAsia="仿宋" w:cs="Times New Roman"/>
          <w:sz w:val="32"/>
          <w:szCs w:val="32"/>
        </w:rPr>
        <w:t>〕</w:t>
      </w:r>
      <w:r>
        <w:rPr>
          <w:rFonts w:eastAsia="仿宋" w:cs="Times New Roman"/>
          <w:sz w:val="32"/>
          <w:szCs w:val="32"/>
        </w:rPr>
        <w:t>4</w:t>
      </w:r>
      <w:r>
        <w:rPr>
          <w:rFonts w:ascii="Times New Roman" w:hAnsi="Times New Roman" w:eastAsia="仿宋" w:cs="Times New Roman"/>
          <w:sz w:val="32"/>
          <w:szCs w:val="32"/>
        </w:rPr>
        <w:t>号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相关要求完成竣工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环境保护</w:t>
      </w:r>
      <w:r>
        <w:rPr>
          <w:rFonts w:ascii="Times New Roman" w:hAnsi="Times New Roman" w:eastAsia="仿宋" w:cs="Times New Roman"/>
          <w:sz w:val="32"/>
          <w:szCs w:val="32"/>
        </w:rPr>
        <w:t>自主验收，并按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《排污许可管理条例》</w:t>
      </w:r>
      <w:r>
        <w:rPr>
          <w:rFonts w:ascii="Times New Roman" w:hAnsi="Times New Roman" w:eastAsia="仿宋" w:cs="Times New Roman"/>
          <w:sz w:val="32"/>
          <w:szCs w:val="32"/>
        </w:rPr>
        <w:t>《排污许可管理办法》要求，在项目建成投产前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申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领</w:t>
      </w:r>
      <w:r>
        <w:rPr>
          <w:rFonts w:ascii="Times New Roman" w:hAnsi="Times New Roman" w:eastAsia="仿宋" w:cs="Times New Roman"/>
          <w:sz w:val="32"/>
          <w:szCs w:val="32"/>
        </w:rPr>
        <w:t>排污许可证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69E5E040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" w:cs="Times New Roman"/>
          <w:sz w:val="32"/>
          <w:szCs w:val="32"/>
        </w:rPr>
        <w:t>、如项目的性质、规模、地点、生产工艺或者防治污染、防止生态破坏的措施等发生重大变动，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应向有审批权限的生态环境部门报告并按要求办理相关手续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2474487D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六</w:t>
      </w:r>
      <w:r>
        <w:rPr>
          <w:rFonts w:ascii="Times New Roman" w:hAnsi="Times New Roman" w:eastAsia="仿宋" w:cs="Times New Roman"/>
          <w:sz w:val="32"/>
          <w:szCs w:val="32"/>
        </w:rPr>
        <w:t>、请市生态环境局</w:t>
      </w: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会泽分局</w:t>
      </w:r>
      <w:r>
        <w:rPr>
          <w:rFonts w:ascii="Times New Roman" w:hAnsi="Times New Roman" w:eastAsia="仿宋" w:cs="Times New Roman"/>
          <w:sz w:val="32"/>
          <w:szCs w:val="32"/>
        </w:rPr>
        <w:t>负责该项目的环境执法监察和监督管理，请市生态环境保护综合行政执法支队加强监督检查。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</w:t>
      </w:r>
    </w:p>
    <w:p w14:paraId="577DA802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textAlignment w:val="auto"/>
        <w:rPr>
          <w:rFonts w:ascii="Times New Roman" w:hAnsi="Times New Roman" w:eastAsia="仿宋" w:cs="Times New Roman"/>
          <w:sz w:val="32"/>
          <w:szCs w:val="32"/>
        </w:rPr>
      </w:pPr>
    </w:p>
    <w:p w14:paraId="5318B17D">
      <w:pPr>
        <w:pStyle w:val="2"/>
        <w:rPr>
          <w:rFonts w:ascii="Times New Roman" w:hAnsi="Times New Roman" w:eastAsia="仿宋" w:cs="Times New Roman"/>
          <w:sz w:val="32"/>
          <w:szCs w:val="32"/>
        </w:rPr>
      </w:pPr>
    </w:p>
    <w:p w14:paraId="25BBBEB9">
      <w:pPr>
        <w:pStyle w:val="2"/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textAlignment w:val="auto"/>
        <w:rPr>
          <w:rFonts w:ascii="Times New Roman" w:hAnsi="Times New Roman" w:eastAsia="仿宋" w:cs="Times New Roman"/>
          <w:sz w:val="32"/>
          <w:szCs w:val="32"/>
        </w:rPr>
      </w:pPr>
    </w:p>
    <w:p w14:paraId="0984F8B6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5372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曲靖市生态环境局</w:t>
      </w:r>
    </w:p>
    <w:p w14:paraId="4EB5C782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60" w:lineRule="exact"/>
        <w:ind w:firstLine="632"/>
        <w:textAlignment w:val="auto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                         </w:t>
      </w:r>
      <w:r>
        <w:rPr>
          <w:rFonts w:eastAsia="Times New Roman" w:cs="Times New Roman"/>
          <w:color w:val="0000FF"/>
          <w:sz w:val="32"/>
          <w:szCs w:val="32"/>
        </w:rPr>
        <w:t xml:space="preserve">  </w:t>
      </w:r>
      <w:r>
        <w:rPr>
          <w:rFonts w:eastAsia="Times New Roman" w:cs="Times New Roman"/>
          <w:color w:val="0000FF"/>
          <w:sz w:val="32"/>
          <w:szCs w:val="32"/>
          <w:lang w:val="en-US" w:eastAsia="zh-CN"/>
        </w:rPr>
        <w:t xml:space="preserve"> </w:t>
      </w:r>
      <w:r>
        <w:rPr>
          <w:rFonts w:eastAsia="仿宋" w:cs="Times New Roman"/>
          <w:color w:val="000000"/>
          <w:sz w:val="32"/>
          <w:szCs w:val="32"/>
        </w:rPr>
        <w:t>202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eastAsia="仿宋" w:cs="Times New Roman"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日</w:t>
      </w:r>
    </w:p>
    <w:p w14:paraId="71A34B3A">
      <w:pPr>
        <w:pStyle w:val="2"/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（此件公开发布）</w:t>
      </w:r>
    </w:p>
    <w:sectPr>
      <w:footerReference r:id="rId3" w:type="default"/>
      <w:pgSz w:w="11906" w:h="16838"/>
      <w:pgMar w:top="2098" w:right="1474" w:bottom="1985" w:left="1588" w:header="0" w:footer="1559" w:gutter="0"/>
      <w:pgNumType w:fmt="decimal" w:start="1"/>
      <w:cols w:space="720" w:num="1"/>
      <w:formProt w:val="0"/>
      <w:docGrid w:type="linesAndChars" w:linePitch="579" w:charSpace="-10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方正仿宋_GBK;Arial Unicode M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;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_GBK;Arial Unicode MS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;微软雅黑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46B25">
    <w:pPr>
      <w:pStyle w:val="8"/>
      <w:ind w:right="360"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46100" cy="20701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0" cy="2070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DFC2A03">
                          <w:pPr>
                            <w:pStyle w:val="8"/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eastAsia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ame1" o:spid="_x0000_s1026" o:spt="202" type="#_x0000_t202" style="position:absolute;left:0pt;margin-top:0.05pt;height:16.3pt;width:43pt;mso-position-horizontal:right;mso-position-horizontal-relative:margin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2e02vQAAAAAwEAAA8AAAAAAAAAAQAgAAAAIgAAAGRycy9kb3ducmV2LnhtbFBL&#10;AQIUABQAAAAIAIdO4kAH7KRDxQEAALMDAAAOAAAAAAAAAAEAIAAAAB8BAABkcnMvZTJvRG9jLnht&#10;bFBLBQYAAAAABgAGAFkBAABWBQAAAAA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2DFC2A03">
                    <w:pPr>
                      <w:pStyle w:val="8"/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eastAsia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autoHyphenation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E36B4"/>
    <w:rsid w:val="6B363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方正仿宋_GBK;Arial Unicode MS" w:cs="Times New Roman"/>
      <w:color w:val="auto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rFonts w:eastAsia="宋体"/>
      <w:b/>
      <w:bCs/>
      <w:kern w:val="2"/>
      <w:sz w:val="44"/>
      <w:szCs w:val="4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next w:val="3"/>
    <w:qFormat/>
    <w:uiPriority w:val="0"/>
    <w:pPr>
      <w:ind w:firstLine="420"/>
    </w:pPr>
  </w:style>
  <w:style w:type="paragraph" w:customStyle="1" w:styleId="3">
    <w:name w:val="正文首行缩进1"/>
    <w:basedOn w:val="4"/>
    <w:next w:val="1"/>
    <w:qFormat/>
    <w:uiPriority w:val="0"/>
    <w:pPr>
      <w:ind w:firstLine="420"/>
    </w:pPr>
  </w:style>
  <w:style w:type="paragraph" w:styleId="4">
    <w:name w:val="Body Text"/>
    <w:basedOn w:val="1"/>
    <w:next w:val="1"/>
    <w:uiPriority w:val="0"/>
    <w:pPr>
      <w:spacing w:before="0" w:after="120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7">
    <w:name w:val="Body Text Indent"/>
    <w:basedOn w:val="1"/>
    <w:qFormat/>
    <w:uiPriority w:val="0"/>
    <w:pPr>
      <w:spacing w:line="360" w:lineRule="auto"/>
      <w:ind w:firstLine="592"/>
    </w:pPr>
    <w:rPr>
      <w:color w:val="FF6600"/>
      <w:sz w:val="30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20"/>
    </w:rPr>
  </w:style>
  <w:style w:type="paragraph" w:styleId="9">
    <w:name w:val="header"/>
    <w:basedOn w:val="1"/>
    <w:next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both"/>
    </w:pPr>
    <w:rPr>
      <w:rFonts w:ascii="Times New Roman" w:hAnsi="Times New Roman" w:cs="Times New Roman"/>
      <w:sz w:val="18"/>
    </w:rPr>
  </w:style>
  <w:style w:type="paragraph" w:styleId="10">
    <w:name w:val="List"/>
    <w:basedOn w:val="4"/>
    <w:qFormat/>
    <w:uiPriority w:val="0"/>
  </w:style>
  <w:style w:type="character" w:styleId="13">
    <w:name w:val="page number"/>
    <w:basedOn w:val="14"/>
    <w:qFormat/>
    <w:uiPriority w:val="0"/>
  </w:style>
  <w:style w:type="character" w:customStyle="1" w:styleId="14">
    <w:name w:val="默认段落字体1"/>
    <w:qFormat/>
    <w:uiPriority w:val="0"/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批注文字 Char"/>
    <w:qFormat/>
    <w:uiPriority w:val="0"/>
    <w:rPr>
      <w:rFonts w:eastAsia="方正仿宋_GBK;Arial Unicode MS"/>
      <w:kern w:val="2"/>
      <w:sz w:val="32"/>
      <w:szCs w:val="32"/>
    </w:rPr>
  </w:style>
  <w:style w:type="character" w:customStyle="1" w:styleId="17">
    <w:name w:val="批注框文本 Char"/>
    <w:qFormat/>
    <w:uiPriority w:val="0"/>
    <w:rPr>
      <w:rFonts w:eastAsia="方正仿宋_GBK;Arial Unicode MS"/>
      <w:kern w:val="2"/>
      <w:sz w:val="18"/>
      <w:szCs w:val="18"/>
    </w:rPr>
  </w:style>
  <w:style w:type="character" w:customStyle="1" w:styleId="18">
    <w:name w:val="页脚 Char1"/>
    <w:qFormat/>
    <w:uiPriority w:val="0"/>
    <w:rPr>
      <w:rFonts w:eastAsia="方正仿宋_GBK;Arial Unicode MS"/>
      <w:kern w:val="2"/>
      <w:sz w:val="18"/>
      <w:lang w:val="en-US" w:eastAsia="zh-CN" w:bidi="ar-SA"/>
    </w:rPr>
  </w:style>
  <w:style w:type="character" w:customStyle="1" w:styleId="19">
    <w:name w:val="批注主题 Char"/>
    <w:qFormat/>
    <w:uiPriority w:val="0"/>
    <w:rPr>
      <w:rFonts w:eastAsia="方正仿宋_GBK;Arial Unicode MS"/>
      <w:b/>
      <w:bCs/>
      <w:kern w:val="2"/>
      <w:sz w:val="32"/>
      <w:szCs w:val="32"/>
    </w:rPr>
  </w:style>
  <w:style w:type="character" w:customStyle="1" w:styleId="20">
    <w:name w:val="批注引用1"/>
    <w:qFormat/>
    <w:uiPriority w:val="0"/>
    <w:rPr>
      <w:sz w:val="21"/>
      <w:szCs w:val="21"/>
    </w:rPr>
  </w:style>
  <w:style w:type="character" w:customStyle="1" w:styleId="21">
    <w:name w:val="明显强调"/>
    <w:qFormat/>
    <w:uiPriority w:val="0"/>
    <w:rPr>
      <w:b/>
      <w:bCs/>
      <w:i/>
      <w:iCs/>
      <w:color w:val="4F81BD"/>
    </w:rPr>
  </w:style>
  <w:style w:type="character" w:customStyle="1" w:styleId="22">
    <w:name w:val="15"/>
    <w:qFormat/>
    <w:uiPriority w:val="0"/>
    <w:rPr>
      <w:rFonts w:ascii="Calibri" w:hAnsi="Calibri" w:cs="Calibri"/>
      <w:color w:val="0000FF"/>
      <w:u w:val="single"/>
    </w:rPr>
  </w:style>
  <w:style w:type="character" w:customStyle="1" w:styleId="23">
    <w:name w:val="页脚 Char"/>
    <w:qFormat/>
    <w:uiPriority w:val="0"/>
    <w:rPr>
      <w:rFonts w:eastAsia="方正仿宋_GBK;Arial Unicode MS"/>
      <w:kern w:val="2"/>
      <w:sz w:val="18"/>
      <w:lang w:val="en-US" w:eastAsia="zh-CN" w:bidi="ar-SA"/>
    </w:rPr>
  </w:style>
  <w:style w:type="paragraph" w:customStyle="1" w:styleId="24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customStyle="1" w:styleId="25">
    <w:name w:val="Index"/>
    <w:basedOn w:val="1"/>
    <w:qFormat/>
    <w:uiPriority w:val="0"/>
    <w:pPr>
      <w:suppressLineNumbers/>
    </w:pPr>
  </w:style>
  <w:style w:type="paragraph" w:customStyle="1" w:styleId="26">
    <w:name w:val="批注文字1"/>
    <w:basedOn w:val="1"/>
    <w:qFormat/>
    <w:uiPriority w:val="0"/>
    <w:pPr>
      <w:jc w:val="left"/>
    </w:pPr>
  </w:style>
  <w:style w:type="paragraph" w:customStyle="1" w:styleId="27">
    <w:name w:val="文本块1"/>
    <w:basedOn w:val="1"/>
    <w:qFormat/>
    <w:uiPriority w:val="0"/>
    <w:pPr>
      <w:autoSpaceDE w:val="0"/>
      <w:spacing w:line="240" w:lineRule="atLeast"/>
      <w:ind w:left="360" w:right="2134" w:firstLine="420"/>
    </w:pPr>
    <w:rPr>
      <w:rFonts w:ascii="仿宋_GB2312;仿宋" w:hAnsi="仿宋_GB2312;仿宋" w:eastAsia="仿宋_GB2312;仿宋"/>
      <w:color w:val="000000"/>
      <w:kern w:val="0"/>
      <w:sz w:val="30"/>
      <w:szCs w:val="30"/>
    </w:rPr>
  </w:style>
  <w:style w:type="paragraph" w:customStyle="1" w:styleId="28">
    <w:name w:val="纯文本1"/>
    <w:basedOn w:val="1"/>
    <w:next w:val="1"/>
    <w:qFormat/>
    <w:uiPriority w:val="0"/>
    <w:rPr>
      <w:rFonts w:ascii="宋体" w:hAnsi="宋体" w:cs="Courier New"/>
      <w:szCs w:val="20"/>
    </w:rPr>
  </w:style>
  <w:style w:type="paragraph" w:customStyle="1" w:styleId="29">
    <w:name w:val="日期1"/>
    <w:basedOn w:val="1"/>
    <w:next w:val="1"/>
    <w:qFormat/>
    <w:uiPriority w:val="0"/>
    <w:pPr>
      <w:ind w:left="100" w:firstLine="0"/>
    </w:pPr>
  </w:style>
  <w:style w:type="paragraph" w:customStyle="1" w:styleId="30">
    <w:name w:val="正文文本缩进 21"/>
    <w:basedOn w:val="1"/>
    <w:qFormat/>
    <w:uiPriority w:val="0"/>
    <w:pPr>
      <w:spacing w:before="0" w:after="120" w:line="480" w:lineRule="auto"/>
      <w:ind w:left="420" w:firstLine="0"/>
    </w:pPr>
  </w:style>
  <w:style w:type="paragraph" w:customStyle="1" w:styleId="31">
    <w:name w:val="批注框文本1"/>
    <w:basedOn w:val="1"/>
    <w:qFormat/>
    <w:uiPriority w:val="0"/>
    <w:rPr>
      <w:sz w:val="18"/>
      <w:szCs w:val="18"/>
    </w:rPr>
  </w:style>
  <w:style w:type="paragraph" w:customStyle="1" w:styleId="32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33">
    <w:name w:val="普通(网站)1"/>
    <w:basedOn w:val="1"/>
    <w:qFormat/>
    <w:uiPriority w:val="0"/>
    <w:pPr>
      <w:jc w:val="left"/>
    </w:pPr>
    <w:rPr>
      <w:rFonts w:eastAsia="宋体"/>
      <w:kern w:val="0"/>
      <w:sz w:val="24"/>
    </w:rPr>
  </w:style>
  <w:style w:type="paragraph" w:customStyle="1" w:styleId="34">
    <w:name w:val="批注主题1"/>
    <w:basedOn w:val="26"/>
    <w:next w:val="26"/>
    <w:qFormat/>
    <w:uiPriority w:val="0"/>
    <w:rPr>
      <w:b/>
      <w:bCs/>
    </w:rPr>
  </w:style>
  <w:style w:type="paragraph" w:customStyle="1" w:styleId="35">
    <w:name w:val="报告正文"/>
    <w:basedOn w:val="1"/>
    <w:qFormat/>
    <w:uiPriority w:val="0"/>
    <w:pPr>
      <w:snapToGrid w:val="0"/>
      <w:spacing w:before="60" w:after="0" w:line="312" w:lineRule="auto"/>
      <w:ind w:firstLine="480"/>
    </w:pPr>
    <w:rPr>
      <w:bCs/>
      <w:sz w:val="24"/>
    </w:rPr>
  </w:style>
  <w:style w:type="paragraph" w:customStyle="1" w:styleId="36">
    <w:name w:val="正文 New New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customStyle="1" w:styleId="37">
    <w:name w:val=" Char Char Char"/>
    <w:basedOn w:val="1"/>
    <w:qFormat/>
    <w:uiPriority w:val="0"/>
    <w:pPr>
      <w:widowControl/>
      <w:kinsoku w:val="0"/>
      <w:jc w:val="left"/>
    </w:pPr>
    <w:rPr>
      <w:rFonts w:eastAsia="宋体"/>
      <w:kern w:val="0"/>
      <w:sz w:val="20"/>
      <w:szCs w:val="20"/>
    </w:rPr>
  </w:style>
  <w:style w:type="paragraph" w:customStyle="1" w:styleId="38">
    <w:name w:val="正文(首行缩进)"/>
    <w:basedOn w:val="1"/>
    <w:qFormat/>
    <w:uiPriority w:val="0"/>
    <w:pPr>
      <w:spacing w:line="360" w:lineRule="auto"/>
      <w:ind w:firstLine="640"/>
    </w:pPr>
    <w:rPr>
      <w:rFonts w:ascii="仿宋_GB2312;仿宋" w:hAnsi="仿宋_GB2312;仿宋" w:eastAsia="仿宋_GB2312;仿宋"/>
      <w:color w:val="000000"/>
      <w:kern w:val="0"/>
    </w:rPr>
  </w:style>
  <w:style w:type="paragraph" w:customStyle="1" w:styleId="39">
    <w:name w:val="正文 New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customStyle="1" w:styleId="40">
    <w:name w:val="样式 首行缩进:  2 字符 行距: 1.5 倍行距"/>
    <w:basedOn w:val="1"/>
    <w:qFormat/>
    <w:uiPriority w:val="0"/>
    <w:pPr>
      <w:snapToGrid w:val="0"/>
      <w:spacing w:line="360" w:lineRule="auto"/>
      <w:ind w:firstLine="200"/>
    </w:pPr>
    <w:rPr>
      <w:rFonts w:cs="宋体"/>
      <w:sz w:val="24"/>
      <w:szCs w:val="20"/>
    </w:rPr>
  </w:style>
  <w:style w:type="paragraph" w:customStyle="1" w:styleId="41">
    <w:name w:val="Char Char Char Char"/>
    <w:basedOn w:val="1"/>
    <w:qFormat/>
    <w:uiPriority w:val="0"/>
    <w:rPr>
      <w:rFonts w:eastAsia="宋体"/>
      <w:sz w:val="21"/>
      <w:szCs w:val="24"/>
    </w:rPr>
  </w:style>
  <w:style w:type="paragraph" w:customStyle="1" w:styleId="42">
    <w:name w:val="p17"/>
    <w:basedOn w:val="1"/>
    <w:qFormat/>
    <w:uiPriority w:val="0"/>
    <w:pPr>
      <w:widowControl/>
    </w:pPr>
    <w:rPr>
      <w:rFonts w:ascii="宋体" w:hAnsi="宋体" w:eastAsia="宋体" w:cs="宋体"/>
      <w:sz w:val="21"/>
    </w:rPr>
  </w:style>
  <w:style w:type="paragraph" w:customStyle="1" w:styleId="43">
    <w:name w:val="LO-Normal"/>
    <w:qFormat/>
    <w:uiPriority w:val="0"/>
    <w:pPr>
      <w:widowControl/>
      <w:suppressAutoHyphens/>
      <w:bidi w:val="0"/>
      <w:jc w:val="both"/>
    </w:pPr>
    <w:rPr>
      <w:rFonts w:ascii="Calibri" w:hAnsi="Calibri" w:eastAsia="宋体" w:cs="宋体"/>
      <w:color w:val="auto"/>
      <w:kern w:val="2"/>
      <w:sz w:val="21"/>
      <w:szCs w:val="21"/>
      <w:lang w:val="en-US" w:eastAsia="zh-CN" w:bidi="ar-SA"/>
    </w:rPr>
  </w:style>
  <w:style w:type="paragraph" w:customStyle="1" w:styleId="44">
    <w:name w:val="正文 New New New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customStyle="1" w:styleId="45">
    <w:name w:val="正文1"/>
    <w:next w:val="1"/>
    <w:qFormat/>
    <w:uiPriority w:val="0"/>
    <w:pPr>
      <w:widowControl/>
      <w:suppressAutoHyphens/>
      <w:bidi w:val="0"/>
      <w:spacing w:line="480" w:lineRule="exact"/>
      <w:ind w:firstLine="200"/>
    </w:pPr>
    <w:rPr>
      <w:rFonts w:ascii="Calibri" w:hAnsi="Calibri" w:eastAsia="宋体" w:cs="Arial"/>
      <w:bCs/>
      <w:color w:val="auto"/>
      <w:kern w:val="2"/>
      <w:sz w:val="26"/>
      <w:szCs w:val="30"/>
      <w:lang w:val="en-US" w:eastAsia="zh-CN" w:bidi="ar-SA"/>
    </w:rPr>
  </w:style>
  <w:style w:type="paragraph" w:customStyle="1" w:styleId="46">
    <w:name w:val="正文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customStyle="1" w:styleId="47">
    <w:name w:val="p16"/>
    <w:basedOn w:val="46"/>
    <w:qFormat/>
    <w:uiPriority w:val="0"/>
    <w:pPr>
      <w:widowControl/>
    </w:pPr>
    <w:rPr>
      <w:kern w:val="0"/>
      <w:szCs w:val="21"/>
    </w:rPr>
  </w:style>
  <w:style w:type="paragraph" w:customStyle="1" w:styleId="48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styleId="49">
    <w:name w:val="List Paragraph"/>
    <w:basedOn w:val="1"/>
    <w:qFormat/>
    <w:uiPriority w:val="0"/>
    <w:pPr>
      <w:ind w:firstLine="420"/>
    </w:pPr>
    <w:rPr>
      <w:rFonts w:eastAsia="宋体"/>
      <w:kern w:val="2"/>
      <w:sz w:val="21"/>
      <w:szCs w:val="21"/>
    </w:rPr>
  </w:style>
  <w:style w:type="paragraph" w:customStyle="1" w:styleId="50">
    <w:name w:val=" Char Char Char Char Char Char Char"/>
    <w:basedOn w:val="1"/>
    <w:qFormat/>
    <w:uiPriority w:val="0"/>
    <w:rPr>
      <w:szCs w:val="24"/>
    </w:rPr>
  </w:style>
  <w:style w:type="paragraph" w:customStyle="1" w:styleId="51">
    <w:name w:val="正文 New New New New New New New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customStyle="1" w:styleId="52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jc w:val="center"/>
    </w:pPr>
    <w:rPr>
      <w:rFonts w:eastAsia="方正小标宋_GBK;Arial Unicode MS"/>
      <w:sz w:val="44"/>
    </w:rPr>
  </w:style>
  <w:style w:type="paragraph" w:customStyle="1" w:styleId="53">
    <w:name w:val="正文 New New New New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customStyle="1" w:styleId="54">
    <w:name w:val="正文 New New New New New New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customStyle="1" w:styleId="55">
    <w:name w:val="Char2"/>
    <w:basedOn w:val="1"/>
    <w:qFormat/>
    <w:uiPriority w:val="0"/>
    <w:rPr>
      <w:rFonts w:eastAsia="宋体"/>
      <w:sz w:val="21"/>
      <w:szCs w:val="21"/>
    </w:rPr>
  </w:style>
  <w:style w:type="paragraph" w:customStyle="1" w:styleId="56">
    <w:name w:val="Frame Contents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6</Pages>
  <Words>2797</Words>
  <Characters>3081</Characters>
  <TotalTime>14400</TotalTime>
  <ScaleCrop>false</ScaleCrop>
  <LinksUpToDate>false</LinksUpToDate>
  <CharactersWithSpaces>3125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2021-08-24T10:58:00Z</dcterms:created>
  <dc:creator>安双财</dc:creator>
  <cp:lastModifiedBy>郭丽娜</cp:lastModifiedBy>
  <cp:lastPrinted>2024-01-15T11:36:00Z</cp:lastPrinted>
  <dcterms:modified xsi:type="dcterms:W3CDTF">2026-07-21T01:08:59Z</dcterms:modified>
  <dc:title>2010年环境信访工作通报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FC02096B9089451EA36678DA2BA029D2_13</vt:lpwstr>
  </property>
  <property fmtid="{D5CDD505-2E9C-101B-9397-08002B2CF9AE}" pid="3" name="KSOProductBuildVer">
    <vt:lpwstr>2052-12.1.0.26375</vt:lpwstr>
  </property>
  <property fmtid="{D5CDD505-2E9C-101B-9397-08002B2CF9AE}" pid="4" name="commondata">
    <vt:lpwstr>commondata</vt:lpwstr>
  </property>
  <property fmtid="{D5CDD505-2E9C-101B-9397-08002B2CF9AE}" pid="5" name="KSOTemplateDocerSaveRecord">
    <vt:lpwstr>eyJoZGlkIjoiYTA0OTFiNTllN2E3YTc2MDc5ZTIwYTg0ZjFlZjFlMWQiLCJ1c2VySWQiOiIzNzMyMDUyODEifQ==</vt:lpwstr>
  </property>
</Properties>
</file>