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60CE32A">
      <w:pPr>
        <w:autoSpaceDN w:val="0"/>
        <w:spacing w:line="380" w:lineRule="exact"/>
        <w:jc w:val="center"/>
        <w:rPr>
          <w:rFonts w:ascii="仿宋" w:hAnsi="仿宋" w:eastAsia="仿宋"/>
          <w:bCs/>
        </w:rPr>
      </w:pPr>
      <w:r>
        <w:rPr>
          <w:rFonts w:ascii="仿宋" w:hAnsi="仿宋" w:eastAsia="仿宋"/>
          <w:bCs/>
        </w:rPr>
        <w:t>曲环</w:t>
      </w:r>
      <w:r>
        <w:rPr>
          <w:rFonts w:hint="eastAsia" w:ascii="仿宋" w:hAnsi="仿宋" w:eastAsia="仿宋"/>
          <w:bCs/>
        </w:rPr>
        <w:t>审</w:t>
      </w:r>
      <w:r>
        <w:rPr>
          <w:rFonts w:ascii="仿宋" w:hAnsi="仿宋" w:eastAsia="仿宋"/>
          <w:bCs/>
        </w:rPr>
        <w:t>〔20</w:t>
      </w:r>
      <w:r>
        <w:rPr>
          <w:rFonts w:hint="eastAsia" w:ascii="仿宋" w:hAnsi="仿宋" w:eastAsia="仿宋"/>
          <w:bCs/>
          <w:lang w:val="en-US" w:eastAsia="zh-CN"/>
        </w:rPr>
        <w:t>24</w:t>
      </w:r>
      <w:r>
        <w:rPr>
          <w:rFonts w:ascii="仿宋" w:hAnsi="仿宋" w:eastAsia="仿宋"/>
          <w:bCs/>
        </w:rPr>
        <w:t>〕</w:t>
      </w:r>
      <w:r>
        <w:rPr>
          <w:rFonts w:hint="eastAsia" w:ascii="仿宋" w:hAnsi="仿宋" w:eastAsia="仿宋"/>
          <w:bCs/>
          <w:lang w:val="en-US" w:eastAsia="zh-CN"/>
        </w:rPr>
        <w:t>84</w:t>
      </w:r>
      <w:r>
        <w:rPr>
          <w:rFonts w:ascii="仿宋" w:hAnsi="仿宋" w:eastAsia="仿宋"/>
          <w:bCs/>
        </w:rPr>
        <w:t>号</w:t>
      </w:r>
    </w:p>
    <w:p w14:paraId="5F20E690"/>
    <w:p w14:paraId="3198E82D">
      <w:pPr>
        <w:ind w:firstLine="632" w:firstLineChars="200"/>
        <w:jc w:val="left"/>
      </w:pPr>
    </w:p>
    <w:p w14:paraId="3275F4D1">
      <w:pPr>
        <w:adjustRightInd w:val="0"/>
        <w:snapToGrid w:val="0"/>
        <w:spacing w:line="480" w:lineRule="exact"/>
        <w:jc w:val="center"/>
        <w:rPr>
          <w:rFonts w:hint="eastAsia" w:eastAsia="方正小标宋_GBK"/>
          <w:sz w:val="44"/>
        </w:rPr>
      </w:pPr>
      <w:r>
        <w:rPr>
          <w:rFonts w:hint="eastAsia" w:eastAsia="方正小标宋_GBK"/>
          <w:sz w:val="44"/>
        </w:rPr>
        <w:t>曲靖市生态环境局</w:t>
      </w:r>
      <w:r>
        <w:rPr>
          <w:rFonts w:hint="eastAsia" w:ascii="Times New Roman" w:hAnsi="Times New Roman" w:eastAsia="方正小标宋_GBK" w:cs="Times New Roman"/>
          <w:sz w:val="44"/>
        </w:rPr>
        <w:t>关于</w:t>
      </w:r>
      <w:r>
        <w:rPr>
          <w:rFonts w:hint="default" w:ascii="Times New Roman" w:hAnsi="Times New Roman" w:eastAsia="方正小标宋_GBK" w:cs="Times New Roman"/>
          <w:sz w:val="44"/>
        </w:rPr>
        <w:t>富乐光伏电站（</w:t>
      </w:r>
      <w:r>
        <w:rPr>
          <w:rFonts w:hint="eastAsia" w:ascii="Times New Roman" w:hAnsi="Times New Roman" w:eastAsia="方正小标宋_GBK" w:cs="Times New Roman"/>
          <w:sz w:val="44"/>
          <w:lang w:eastAsia="zh-CN"/>
        </w:rPr>
        <w:t>重大变动</w:t>
      </w:r>
      <w:r>
        <w:rPr>
          <w:rFonts w:hint="default" w:ascii="Times New Roman" w:hAnsi="Times New Roman" w:eastAsia="方正小标宋_GBK" w:cs="Times New Roman"/>
          <w:sz w:val="44"/>
        </w:rPr>
        <w:t>）环境影响报告表</w:t>
      </w:r>
      <w:r>
        <w:rPr>
          <w:rFonts w:hint="eastAsia" w:ascii="Times New Roman" w:hAnsi="Times New Roman" w:eastAsia="方正小标宋_GBK" w:cs="Times New Roman"/>
          <w:sz w:val="44"/>
        </w:rPr>
        <w:t>的批复</w:t>
      </w:r>
    </w:p>
    <w:p w14:paraId="789E1BC3">
      <w:pPr>
        <w:spacing w:line="300" w:lineRule="auto"/>
        <w:rPr>
          <w:rFonts w:hint="eastAsia" w:eastAsia="方正仿宋简体"/>
        </w:rPr>
      </w:pPr>
      <w:r>
        <w:rPr>
          <w:rFonts w:hint="eastAsia" w:eastAsia="方正仿宋简体"/>
        </w:rPr>
        <w:t xml:space="preserve"> </w:t>
      </w:r>
    </w:p>
    <w:p w14:paraId="34F9B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粤润罗平新能源有限公司：</w:t>
      </w:r>
    </w:p>
    <w:p w14:paraId="6EB634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32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你公司申请报批的《富乐光伏电站（重大变动）环境影响报告表》（以下简称《报告表》）收悉。经研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究，批复如下： </w:t>
      </w:r>
    </w:p>
    <w:p w14:paraId="73A193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32" w:firstLineChars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  <w:lang w:eastAsia="zh-CN"/>
        </w:rPr>
        <w:t>一、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富乐光伏电站项目</w:t>
      </w:r>
      <w:r>
        <w:rPr>
          <w:rFonts w:hint="default" w:ascii="Times New Roman" w:hAnsi="Times New Roman" w:eastAsia="仿宋" w:cs="Times New Roman"/>
          <w:bCs/>
          <w:sz w:val="32"/>
          <w:szCs w:val="32"/>
        </w:rPr>
        <w:t>位于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曲靖市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罗平县罗雄街道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境内</w:t>
      </w:r>
      <w:r>
        <w:rPr>
          <w:rFonts w:hint="default" w:ascii="Times New Roman" w:hAnsi="Times New Roman" w:eastAsia="仿宋" w:cs="Times New Roman"/>
          <w:bCs/>
          <w:sz w:val="32"/>
          <w:szCs w:val="32"/>
          <w:lang w:val="en-US" w:eastAsia="zh-CN"/>
        </w:rPr>
        <w:t>，项目代码</w:t>
      </w:r>
      <w:r>
        <w:rPr>
          <w:rFonts w:hint="eastAsia" w:ascii="Times New Roman" w:hAnsi="Times New Roman" w:eastAsia="仿宋" w:cs="Times New Roman"/>
          <w:bCs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" w:cs="Times New Roman"/>
          <w:bCs/>
          <w:sz w:val="32"/>
          <w:szCs w:val="32"/>
          <w:lang w:val="en-US" w:eastAsia="zh-CN"/>
        </w:rPr>
        <w:t>2403-530324-04-05-221275，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于2024年8月2日取得《曲靖市生态环境局关于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富乐光伏电站项目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环境影响报告表的批复》（曲环审〔2024〕69号），根据《云南电网有限责任公司关于曲靖市罗平县富乐和上斗简2座光伏电站接入系统方案的意见》（云电规划〔2024〕378号），富乐升压站电压等级为220kV，原环评及环评批复升压站电压等级为110kV，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本次环评为重新报批环境评价文件</w:t>
      </w:r>
      <w:r>
        <w:rPr>
          <w:rFonts w:hint="default" w:ascii="Times New Roman" w:hAnsi="Times New Roman" w:eastAsia="仿宋" w:cs="Times New Roman"/>
          <w:bCs/>
          <w:sz w:val="32"/>
          <w:szCs w:val="32"/>
          <w:lang w:val="en-US" w:eastAsia="zh-CN"/>
        </w:rPr>
        <w:t>。建设</w:t>
      </w:r>
      <w:r>
        <w:rPr>
          <w:rFonts w:hint="default" w:ascii="Times New Roman" w:hAnsi="Times New Roman" w:eastAsia="仿宋" w:cs="Times New Roman"/>
          <w:bCs/>
          <w:sz w:val="32"/>
          <w:szCs w:val="32"/>
        </w:rPr>
        <w:t>内容及规模：</w:t>
      </w:r>
      <w:r>
        <w:rPr>
          <w:rFonts w:hint="default" w:ascii="Times New Roman" w:hAnsi="Times New Roman" w:eastAsia="仿宋" w:cs="Times New Roman"/>
          <w:bCs/>
          <w:sz w:val="32"/>
          <w:szCs w:val="32"/>
          <w:lang w:val="en-US" w:eastAsia="zh-CN"/>
        </w:rPr>
        <w:t>共布</w:t>
      </w:r>
      <w:r>
        <w:rPr>
          <w:rFonts w:hint="default" w:ascii="Times New Roman" w:hAnsi="Times New Roman" w:eastAsia="仿宋" w:cs="Times New Roman"/>
          <w:bCs/>
          <w:sz w:val="32"/>
          <w:szCs w:val="32"/>
          <w:lang w:eastAsia="zh-CN"/>
        </w:rPr>
        <w:t>设</w:t>
      </w:r>
      <w:r>
        <w:rPr>
          <w:rFonts w:hint="default" w:ascii="Times New Roman" w:hAnsi="Times New Roman" w:eastAsia="仿宋" w:cs="Times New Roman"/>
          <w:b w:val="0"/>
          <w:color w:val="auto"/>
          <w:spacing w:val="0"/>
          <w:w w:val="100"/>
          <w:kern w:val="0"/>
          <w:sz w:val="32"/>
          <w:szCs w:val="32"/>
          <w:highlight w:val="none"/>
          <w:lang w:val="en-US" w:eastAsia="zh-CN" w:bidi="ar-SA"/>
        </w:rPr>
        <w:t>29个光伏方阵</w:t>
      </w:r>
      <w:r>
        <w:rPr>
          <w:rFonts w:hint="default" w:ascii="Times New Roman" w:hAnsi="Times New Roman" w:eastAsia="仿宋" w:cs="Times New Roman"/>
          <w:bCs/>
          <w:sz w:val="32"/>
          <w:szCs w:val="32"/>
          <w:lang w:val="en-US" w:eastAsia="zh-CN"/>
        </w:rPr>
        <w:t>，总装机规模为交流侧85MW、直流侧102.396MWp</w:t>
      </w:r>
      <w:r>
        <w:rPr>
          <w:rFonts w:hint="default" w:ascii="Times New Roman" w:hAnsi="Times New Roman" w:eastAsia="仿宋" w:cs="Times New Roman"/>
          <w:bCs/>
          <w:sz w:val="32"/>
          <w:szCs w:val="32"/>
          <w:lang w:val="zh-CN" w:eastAsia="zh-CN"/>
        </w:rPr>
        <w:t>，建设</w:t>
      </w:r>
      <w:r>
        <w:rPr>
          <w:rFonts w:hint="default" w:ascii="Times New Roman" w:hAnsi="Times New Roman" w:eastAsia="仿宋" w:cs="Times New Roman"/>
          <w:bCs/>
          <w:sz w:val="32"/>
          <w:szCs w:val="32"/>
          <w:lang w:val="en-US" w:eastAsia="zh-CN"/>
        </w:rPr>
        <w:t>220</w:t>
      </w:r>
      <w:r>
        <w:rPr>
          <w:rFonts w:hint="default" w:ascii="Times New Roman" w:hAnsi="Times New Roman" w:eastAsia="仿宋" w:cs="Times New Roman"/>
          <w:bCs/>
          <w:sz w:val="32"/>
          <w:szCs w:val="32"/>
          <w:lang w:val="zh-CN" w:eastAsia="zh-CN"/>
        </w:rPr>
        <w:t>kV升压站</w:t>
      </w:r>
      <w:r>
        <w:rPr>
          <w:rFonts w:hint="default" w:ascii="Times New Roman" w:hAnsi="Times New Roman" w:eastAsia="仿宋" w:cs="Times New Roman"/>
          <w:bCs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" w:cs="Times New Roman"/>
          <w:bCs/>
          <w:sz w:val="32"/>
          <w:szCs w:val="32"/>
          <w:lang w:val="zh-CN" w:eastAsia="zh-CN"/>
        </w:rPr>
        <w:t>座，升压站内</w:t>
      </w:r>
      <w:r>
        <w:rPr>
          <w:rFonts w:hint="default" w:ascii="Times New Roman" w:hAnsi="Times New Roman" w:eastAsia="仿宋" w:cs="Times New Roman"/>
          <w:bCs/>
          <w:sz w:val="32"/>
          <w:szCs w:val="32"/>
          <w:lang w:eastAsia="zh-CN"/>
        </w:rPr>
        <w:t>布设</w:t>
      </w:r>
      <w:r>
        <w:rPr>
          <w:rFonts w:hint="default" w:ascii="Times New Roman" w:hAnsi="Times New Roman" w:eastAsia="仿宋" w:cs="Times New Roman"/>
          <w:bCs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" w:cs="Times New Roman"/>
          <w:bCs/>
          <w:sz w:val="32"/>
          <w:szCs w:val="32"/>
          <w:lang w:val="zh-CN" w:eastAsia="zh-CN"/>
        </w:rPr>
        <w:t>台</w:t>
      </w:r>
      <w:r>
        <w:rPr>
          <w:rFonts w:hint="default" w:ascii="Times New Roman" w:hAnsi="Times New Roman" w:eastAsia="仿宋" w:cs="Times New Roman"/>
          <w:bCs/>
          <w:sz w:val="32"/>
          <w:szCs w:val="32"/>
          <w:lang w:val="en-US" w:eastAsia="zh-CN"/>
        </w:rPr>
        <w:t>150</w:t>
      </w:r>
      <w:r>
        <w:rPr>
          <w:rFonts w:hint="default" w:ascii="Times New Roman" w:hAnsi="Times New Roman" w:eastAsia="仿宋" w:cs="Times New Roman"/>
          <w:bCs/>
          <w:sz w:val="32"/>
          <w:szCs w:val="32"/>
          <w:lang w:val="zh-CN" w:eastAsia="zh-CN"/>
        </w:rPr>
        <w:t>MVA的主变压器</w:t>
      </w:r>
      <w:r>
        <w:rPr>
          <w:rFonts w:hint="default" w:ascii="Times New Roman" w:hAnsi="Times New Roman" w:eastAsia="仿宋" w:cs="Times New Roman"/>
          <w:bCs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" w:cs="Times New Roman"/>
          <w:bCs/>
          <w:color w:val="auto"/>
          <w:sz w:val="32"/>
          <w:szCs w:val="32"/>
          <w:lang w:val="en-US" w:eastAsia="zh-CN"/>
        </w:rPr>
        <w:t>通过4回35</w:t>
      </w:r>
      <w:r>
        <w:rPr>
          <w:rFonts w:hint="default" w:ascii="Times New Roman" w:hAnsi="Times New Roman" w:eastAsia="仿宋" w:cs="Times New Roman"/>
          <w:bCs/>
          <w:sz w:val="32"/>
          <w:szCs w:val="32"/>
          <w:lang w:val="en-US" w:eastAsia="zh-CN"/>
        </w:rPr>
        <w:t>kV</w:t>
      </w:r>
      <w:r>
        <w:rPr>
          <w:rFonts w:hint="default" w:ascii="Times New Roman" w:hAnsi="Times New Roman" w:eastAsia="仿宋" w:cs="Times New Roman"/>
          <w:bCs/>
          <w:color w:val="auto"/>
          <w:sz w:val="32"/>
          <w:szCs w:val="32"/>
          <w:lang w:val="en-US" w:eastAsia="zh-CN"/>
        </w:rPr>
        <w:t>集</w:t>
      </w:r>
      <w:r>
        <w:rPr>
          <w:rFonts w:hint="default" w:ascii="Times New Roman" w:hAnsi="Times New Roman" w:eastAsia="仿宋" w:cs="Times New Roman"/>
          <w:bCs/>
          <w:sz w:val="32"/>
          <w:szCs w:val="32"/>
          <w:lang w:val="en-US" w:eastAsia="zh-CN"/>
        </w:rPr>
        <w:t>电线路将光伏阵列产生的电能接至220kV升压站，</w:t>
      </w: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highlight w:val="none"/>
          <w:vertAlign w:val="baseline"/>
          <w:lang w:val="en-US" w:eastAsia="zh-CN"/>
        </w:rPr>
        <w:t>集电线路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全长约47.82km，采用电缆直埋敷设，新建场区道路约3942m、改建3534m，</w:t>
      </w: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highlight w:val="none"/>
          <w:vertAlign w:val="baseline"/>
          <w:lang w:val="en-US" w:eastAsia="zh-CN"/>
        </w:rPr>
        <w:t>设置1个临时施工场地、5个临时表土堆场，并配套</w:t>
      </w:r>
      <w:r>
        <w:rPr>
          <w:rFonts w:hint="default" w:ascii="Times New Roman" w:hAnsi="Times New Roman" w:eastAsia="仿宋" w:cs="Times New Roman"/>
          <w:bCs/>
          <w:sz w:val="32"/>
          <w:szCs w:val="32"/>
          <w:lang w:val="en-US" w:eastAsia="zh-CN"/>
        </w:rPr>
        <w:t>建设污水处理设施、事故油池、危废暂存间等环保工程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" w:cs="Times New Roman"/>
          <w:bCs/>
          <w:color w:val="auto"/>
          <w:kern w:val="32"/>
          <w:sz w:val="32"/>
          <w:szCs w:val="32"/>
          <w:highlight w:val="none"/>
          <w:lang w:val="en-US" w:eastAsia="zh-CN" w:bidi="ar-SA"/>
        </w:rPr>
        <w:t>项目拟总投资36000万元，其中环保投资406.65万元，占总投资的1.13%。</w:t>
      </w:r>
    </w:p>
    <w:p w14:paraId="4BD19829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firstLine="632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根据《报告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表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》评价结论、技术评估意见，项目</w:t>
      </w:r>
      <w:r>
        <w:rPr>
          <w:rFonts w:hint="default" w:ascii="Times New Roman" w:hAnsi="Times New Roman" w:eastAsia="仿宋" w:cs="Times New Roman"/>
          <w:sz w:val="32"/>
          <w:szCs w:val="32"/>
        </w:rPr>
        <w:t>符合国家产业政策</w:t>
      </w:r>
      <w:r>
        <w:rPr>
          <w:rFonts w:hint="default" w:ascii="Times New Roman" w:hAnsi="Times New Roman" w:eastAsia="仿宋" w:cs="Times New Roman"/>
          <w:b w:val="0"/>
          <w:bCs/>
          <w:color w:val="auto"/>
          <w:sz w:val="32"/>
          <w:szCs w:val="32"/>
          <w:lang w:eastAsia="zh-CN"/>
        </w:rPr>
        <w:t>及生态环境分区管控要求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不涉及依法设立的自然保护区、风景名胜区、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国家公园、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</w:rPr>
        <w:t>饮用水水源保护区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等生态环境敏感区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在全面落实《报告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表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》提出的各项生态保护和污染防治措施的前提下，项目建设对环境的不利影响可以降低或得到有效控制，我局同意市生态环境局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罗平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分局的审查意见，并原则同意你</w:t>
      </w:r>
      <w:r>
        <w:rPr>
          <w:rFonts w:hint="default" w:ascii="Times New Roman" w:hAnsi="Times New Roman" w:eastAsia="仿宋" w:cs="Times New Roman"/>
          <w:bCs/>
          <w:color w:val="auto"/>
          <w:sz w:val="32"/>
          <w:szCs w:val="32"/>
          <w:lang w:eastAsia="zh-CN"/>
        </w:rPr>
        <w:t>公司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按《报告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表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》中所列建设项目的地点、性质、规模和拟采取的环境保护措施建设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。</w:t>
      </w:r>
    </w:p>
    <w:p w14:paraId="2EFBA33B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firstLine="632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二、</w:t>
      </w:r>
      <w:r>
        <w:rPr>
          <w:rFonts w:hint="default" w:ascii="Times New Roman" w:hAnsi="Times New Roman" w:eastAsia="仿宋" w:cs="Times New Roman"/>
          <w:sz w:val="32"/>
          <w:szCs w:val="32"/>
        </w:rPr>
        <w:t>在项目工程设计、建设及环境管理中必须严格执行环境保护“三同时”制度，认真落实《报告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表</w:t>
      </w:r>
      <w:r>
        <w:rPr>
          <w:rFonts w:hint="default" w:ascii="Times New Roman" w:hAnsi="Times New Roman" w:eastAsia="仿宋" w:cs="Times New Roman"/>
          <w:sz w:val="32"/>
          <w:szCs w:val="32"/>
        </w:rPr>
        <w:t>》中提出的各项污染防治对策措施，并着重做好以下工作：</w:t>
      </w:r>
    </w:p>
    <w:p w14:paraId="339009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32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kern w:val="3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32"/>
          <w:sz w:val="32"/>
          <w:szCs w:val="32"/>
          <w:lang w:val="en-US" w:eastAsia="zh-CN" w:bidi="ar-SA"/>
        </w:rPr>
        <w:t>（一）在工程设计和施工过程中，应本着科学选址、合理布局的原则，尽可能保留项目区的天然植被，光伏电站的电池组件阵列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</w:rPr>
        <w:t>禁止使用有林地、疏林地、未成林造林地、采伐迹地、火烧迹地，以及年降雨量400毫米以下区域覆盖度高于30%的灌木林地和年降雨量400毫米以上区域覆盖度高于50%的灌木林地</w:t>
      </w:r>
      <w:r>
        <w:rPr>
          <w:rFonts w:hint="default" w:ascii="Times New Roman" w:hAnsi="Times New Roman" w:eastAsia="仿宋" w:cs="Times New Roman"/>
          <w:b w:val="0"/>
          <w:bCs w:val="0"/>
          <w:kern w:val="32"/>
          <w:sz w:val="32"/>
          <w:szCs w:val="32"/>
          <w:lang w:val="en-US" w:eastAsia="zh-CN" w:bidi="ar-SA"/>
        </w:rPr>
        <w:t>；</w:t>
      </w:r>
      <w:r>
        <w:rPr>
          <w:rFonts w:hint="default" w:ascii="Times New Roman" w:hAnsi="Times New Roman" w:eastAsia="仿宋" w:cs="Times New Roman"/>
          <w:i w:val="0"/>
          <w:caps w:val="0"/>
          <w:color w:val="auto"/>
          <w:spacing w:val="12"/>
          <w:sz w:val="32"/>
          <w:szCs w:val="32"/>
          <w:highlight w:val="none"/>
          <w:shd w:val="clear" w:color="auto" w:fill="auto"/>
          <w:lang w:eastAsia="zh-CN"/>
        </w:rPr>
        <w:t>优化项目平面布局，远离生态保护红线，减少一般生态空间、其他草地占用，必须占用时应办理相关手续</w:t>
      </w:r>
      <w:r>
        <w:rPr>
          <w:rFonts w:hint="default" w:ascii="Times New Roman" w:hAnsi="Times New Roman" w:eastAsia="仿宋" w:cs="Times New Roman"/>
          <w:b w:val="0"/>
          <w:bCs w:val="0"/>
          <w:kern w:val="32"/>
          <w:sz w:val="32"/>
          <w:szCs w:val="32"/>
          <w:lang w:val="en-US" w:eastAsia="zh-CN" w:bidi="ar-SA"/>
        </w:rPr>
        <w:t>。</w:t>
      </w:r>
    </w:p>
    <w:p w14:paraId="5F0FAF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32" w:firstLineChars="200"/>
        <w:textAlignment w:val="auto"/>
        <w:rPr>
          <w:rFonts w:hint="default" w:ascii="Times New Roman" w:hAnsi="Times New Roman" w:eastAsia="仿宋" w:cs="Times New Roman"/>
          <w:b w:val="0"/>
          <w:bCs/>
          <w:kern w:val="3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32"/>
          <w:sz w:val="32"/>
          <w:szCs w:val="32"/>
          <w:lang w:val="en-US" w:eastAsia="zh-CN" w:bidi="ar-SA"/>
        </w:rPr>
        <w:t>（二）</w:t>
      </w:r>
      <w:r>
        <w:rPr>
          <w:rFonts w:hint="default" w:ascii="Times New Roman" w:hAnsi="Times New Roman" w:eastAsia="仿宋" w:cs="Times New Roman"/>
          <w:sz w:val="32"/>
          <w:szCs w:val="32"/>
        </w:rPr>
        <w:t>加强施工期环境管理。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施工</w:t>
      </w:r>
      <w:r>
        <w:rPr>
          <w:rFonts w:hint="default" w:ascii="Times New Roman" w:hAnsi="Times New Roman" w:eastAsia="仿宋" w:cs="Times New Roman"/>
          <w:sz w:val="32"/>
          <w:szCs w:val="32"/>
        </w:rPr>
        <w:t>过程中严格执行各项防尘措施，减小扬尘对周围环境的影响</w:t>
      </w:r>
      <w:r>
        <w:rPr>
          <w:rFonts w:hint="default" w:ascii="Times New Roman" w:hAnsi="Times New Roman" w:eastAsia="仿宋" w:cs="Times New Roman"/>
          <w:kern w:val="32"/>
          <w:sz w:val="32"/>
          <w:szCs w:val="32"/>
          <w:lang w:val="en-US" w:eastAsia="zh-CN" w:bidi="ar-SA"/>
        </w:rPr>
        <w:t>。</w:t>
      </w:r>
      <w:r>
        <w:rPr>
          <w:rFonts w:hint="default" w:ascii="Times New Roman" w:hAnsi="Times New Roman" w:eastAsia="仿宋" w:cs="Times New Roman"/>
          <w:color w:val="auto"/>
          <w:spacing w:val="12"/>
          <w:kern w:val="0"/>
          <w:sz w:val="32"/>
          <w:szCs w:val="32"/>
          <w:highlight w:val="none"/>
          <w:vertAlign w:val="baseline"/>
          <w:lang w:val="zh-CN" w:eastAsia="zh-CN"/>
        </w:rPr>
        <w:t>施工废水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pacing w:val="12"/>
          <w:sz w:val="32"/>
          <w:szCs w:val="32"/>
          <w:highlight w:val="none"/>
          <w:lang w:val="en-US" w:eastAsia="zh-CN"/>
        </w:rPr>
        <w:t>经收集沉淀处理后回用于施工场地洒水降尘</w:t>
      </w:r>
      <w:r>
        <w:rPr>
          <w:rFonts w:hint="default" w:ascii="Times New Roman" w:hAnsi="Times New Roman" w:eastAsia="仿宋" w:cs="Times New Roman"/>
          <w:color w:val="auto"/>
          <w:spacing w:val="12"/>
          <w:kern w:val="0"/>
          <w:sz w:val="32"/>
          <w:szCs w:val="32"/>
          <w:highlight w:val="none"/>
          <w:vertAlign w:val="baseline"/>
          <w:lang w:val="zh-CN" w:eastAsia="zh-CN"/>
        </w:rPr>
        <w:t>，不外排</w:t>
      </w:r>
      <w:r>
        <w:rPr>
          <w:rFonts w:hint="default" w:ascii="Times New Roman" w:hAnsi="Times New Roman" w:eastAsia="仿宋" w:cs="Times New Roman"/>
          <w:kern w:val="32"/>
          <w:sz w:val="32"/>
          <w:szCs w:val="32"/>
          <w:lang w:val="en-US" w:eastAsia="zh-CN" w:bidi="ar-SA"/>
        </w:rPr>
        <w:t>。</w:t>
      </w:r>
      <w:r>
        <w:rPr>
          <w:rFonts w:hint="default" w:ascii="Times New Roman" w:hAnsi="Times New Roman" w:eastAsia="仿宋" w:cs="Times New Roman"/>
          <w:sz w:val="32"/>
          <w:szCs w:val="32"/>
        </w:rPr>
        <w:t>选用低噪声施工设备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，采取</w:t>
      </w:r>
      <w:r>
        <w:rPr>
          <w:rFonts w:hint="default" w:ascii="Times New Roman" w:hAnsi="Times New Roman" w:eastAsia="仿宋" w:cs="Times New Roman"/>
          <w:sz w:val="32"/>
          <w:szCs w:val="32"/>
        </w:rPr>
        <w:t>合理布局施工场地、安排施工时间、加强施工现场管理等措施，确保施工场界噪声排放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满足</w:t>
      </w:r>
      <w:r>
        <w:rPr>
          <w:rFonts w:hint="default" w:ascii="Times New Roman" w:hAnsi="Times New Roman" w:eastAsia="仿宋" w:cs="Times New Roman"/>
          <w:sz w:val="32"/>
          <w:szCs w:val="32"/>
        </w:rPr>
        <w:t>《建筑施工场界环境噪声排放标准》（GB12523-2011）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要求，</w:t>
      </w:r>
      <w:r>
        <w:rPr>
          <w:rFonts w:hint="default" w:ascii="Times New Roman" w:hAnsi="Times New Roman" w:eastAsia="仿宋" w:cs="Times New Roman"/>
          <w:i w:val="0"/>
          <w:caps w:val="0"/>
          <w:color w:val="auto"/>
          <w:spacing w:val="12"/>
          <w:sz w:val="32"/>
          <w:szCs w:val="32"/>
          <w:highlight w:val="none"/>
          <w:shd w:val="clear" w:color="auto" w:fill="auto"/>
          <w:lang w:val="en-US" w:eastAsia="zh-CN"/>
        </w:rPr>
        <w:t>敏感点声环境质量满足《声环境质量标准》（GB3096-2008）1类区标准；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禁止夜间施工，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确需夜间施工的，须办理相关手续，并公告周边居民。</w:t>
      </w:r>
      <w:r>
        <w:rPr>
          <w:rFonts w:hint="default" w:ascii="Times New Roman" w:hAnsi="Times New Roman" w:eastAsia="仿宋" w:cs="Times New Roman"/>
          <w:kern w:val="32"/>
          <w:sz w:val="32"/>
          <w:szCs w:val="32"/>
          <w:lang w:val="en-US" w:eastAsia="zh-CN" w:bidi="ar-SA"/>
        </w:rPr>
        <w:t>严格按征地范围施工，加强邻近生态保护红线光伏阵列的施工环境管理，禁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止在生态保护红线内设置“三场”及施工营地，</w:t>
      </w:r>
      <w:r>
        <w:rPr>
          <w:rFonts w:hint="default" w:ascii="Times New Roman" w:hAnsi="Times New Roman" w:eastAsia="仿宋" w:cs="Times New Roman"/>
          <w:kern w:val="32"/>
          <w:sz w:val="32"/>
          <w:szCs w:val="32"/>
          <w:lang w:val="en-US" w:eastAsia="zh-CN" w:bidi="ar-SA"/>
        </w:rPr>
        <w:t>落实水土保持措施，施工结束后尽快对临时占地进行植被恢复。施工期环境监理须纳入工程监理内容一并实施，确保防渗等隐蔽工程建设符合环保要求。</w:t>
      </w:r>
    </w:p>
    <w:p w14:paraId="0758A4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32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kern w:val="32"/>
          <w:sz w:val="32"/>
          <w:szCs w:val="32"/>
        </w:rPr>
        <w:t>（</w:t>
      </w:r>
      <w:r>
        <w:rPr>
          <w:rFonts w:hint="default" w:ascii="Times New Roman" w:hAnsi="Times New Roman" w:eastAsia="仿宋" w:cs="Times New Roman"/>
          <w:kern w:val="32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仿宋" w:cs="Times New Roman"/>
          <w:kern w:val="32"/>
          <w:sz w:val="32"/>
          <w:szCs w:val="32"/>
        </w:rPr>
        <w:t>）</w:t>
      </w:r>
      <w:r>
        <w:rPr>
          <w:rFonts w:hint="default" w:ascii="Times New Roman" w:hAnsi="Times New Roman" w:eastAsia="仿宋" w:cs="Times New Roman"/>
          <w:sz w:val="32"/>
          <w:szCs w:val="32"/>
        </w:rPr>
        <w:t>落实水环境保护措施。</w:t>
      </w:r>
      <w:r>
        <w:rPr>
          <w:rFonts w:hint="default" w:ascii="Times New Roman" w:hAnsi="Times New Roman" w:eastAsia="仿宋" w:cs="Times New Roman"/>
          <w:sz w:val="32"/>
          <w:szCs w:val="32"/>
          <w:lang w:val="zh-CN" w:eastAsia="zh-CN"/>
        </w:rPr>
        <w:t>升压站采用雨污分流排水系统，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在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站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内设置的污水收集输送系统，不得采取明沟布设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生活污水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zh-CN"/>
        </w:rPr>
        <w:t>经隔油池、化粪池预处理后进入一体化污水处理设备处理满足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pacing w:val="12"/>
          <w:sz w:val="32"/>
          <w:szCs w:val="32"/>
          <w:highlight w:val="none"/>
          <w:lang w:val="en-US" w:eastAsia="zh-CN"/>
        </w:rPr>
        <w:t>《城市污水再生利用 城市杂用水水质》（GB/T18920-2020）中绿化标准后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，全部用于站区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pacing w:val="12"/>
          <w:sz w:val="32"/>
          <w:szCs w:val="32"/>
          <w:highlight w:val="none"/>
          <w:lang w:val="en-US" w:eastAsia="zh-CN"/>
        </w:rPr>
        <w:t>绿化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zh-CN" w:eastAsia="zh-CN"/>
        </w:rPr>
        <w:t>，不外排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pacing w:val="12"/>
          <w:sz w:val="32"/>
          <w:szCs w:val="32"/>
          <w:highlight w:val="none"/>
          <w:lang w:val="en-US" w:eastAsia="zh-CN"/>
        </w:rPr>
        <w:t>光伏板人工清洗时不得使用清洁液，清洗废水自然蒸发或板下植物吸收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zh-CN" w:eastAsia="zh-CN"/>
        </w:rPr>
        <w:t>，不外排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pacing w:val="12"/>
          <w:sz w:val="32"/>
          <w:szCs w:val="32"/>
          <w:highlight w:val="none"/>
          <w:lang w:val="en-US" w:eastAsia="zh-CN"/>
        </w:rPr>
        <w:t>。项</w:t>
      </w:r>
      <w:r>
        <w:rPr>
          <w:rFonts w:hint="default" w:ascii="Times New Roman" w:hAnsi="Times New Roman" w:eastAsia="仿宋" w:cs="Times New Roman"/>
          <w:sz w:val="32"/>
          <w:szCs w:val="32"/>
        </w:rPr>
        <w:t>目不设废水排放口。</w:t>
      </w:r>
    </w:p>
    <w:p w14:paraId="0C9B49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8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kern w:val="24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spacing w:val="12"/>
          <w:kern w:val="32"/>
          <w:sz w:val="32"/>
          <w:szCs w:val="32"/>
          <w:highlight w:val="none"/>
          <w:lang w:val="zh-CN" w:eastAsia="zh-CN" w:bidi="ar-SA"/>
        </w:rPr>
        <w:t>落实分区防控措施。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</w:rPr>
        <w:t>事故油池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、危废暂存间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等区域采取重点防渗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防渗层按等效黏土防渗层厚度不小于6.0m，渗透系数不大于1×10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vertAlign w:val="superscript"/>
        </w:rPr>
        <w:t>-7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cm/s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eastAsia="zh-CN"/>
        </w:rPr>
        <w:t>要求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进行防渗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或参考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pacing w:val="12"/>
          <w:sz w:val="32"/>
          <w:szCs w:val="32"/>
          <w:highlight w:val="none"/>
          <w:lang w:val="en-US" w:eastAsia="zh-CN"/>
        </w:rPr>
        <w:t>《危险废物贮存污染控制标准》（GB18597-2023）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要求进行防渗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24"/>
          <w:sz w:val="32"/>
          <w:szCs w:val="32"/>
          <w:highlight w:val="none"/>
          <w:lang w:eastAsia="zh-CN"/>
        </w:rPr>
        <w:t>。</w:t>
      </w:r>
    </w:p>
    <w:p w14:paraId="4F8A97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eastAsia="zh-CN"/>
        </w:rPr>
        <w:t>（四）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落实噪声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eastAsia="zh-CN"/>
        </w:rPr>
        <w:t>污染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防治措施。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</w:rPr>
        <w:t>选用低噪声主变，加强运行维护管理，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确保</w:t>
      </w:r>
      <w:r>
        <w:rPr>
          <w:rFonts w:hint="default" w:ascii="Times New Roman" w:hAnsi="Times New Roman" w:eastAsia="仿宋" w:cs="Times New Roman"/>
          <w:sz w:val="32"/>
          <w:szCs w:val="32"/>
          <w:lang w:val="zh-CN" w:eastAsia="zh-CN"/>
        </w:rPr>
        <w:t>升压站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</w:rPr>
        <w:t>厂界噪声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满足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</w:rPr>
        <w:t>《工业企业厂界环境噪声排放标准》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</w:rPr>
        <w:t>GB12348-2008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</w:rPr>
        <w:t>类标准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，周边声敏感目标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满足《声环境质量标准》（GB3096-2008）1类区标准。</w:t>
      </w:r>
    </w:p>
    <w:p w14:paraId="15A050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（五）</w:t>
      </w:r>
      <w:r>
        <w:rPr>
          <w:rFonts w:hint="default" w:ascii="Times New Roman" w:hAnsi="Times New Roman" w:eastAsia="仿宋" w:cs="Times New Roman"/>
          <w:sz w:val="32"/>
          <w:szCs w:val="32"/>
        </w:rPr>
        <w:t>落实固体废物的贮存、处理和处置措施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" w:cs="Times New Roman"/>
          <w:bCs/>
          <w:color w:val="auto"/>
          <w:sz w:val="32"/>
          <w:szCs w:val="32"/>
          <w:lang w:eastAsia="zh-CN"/>
        </w:rPr>
        <w:t>事故废油、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pacing w:val="12"/>
          <w:sz w:val="32"/>
          <w:szCs w:val="32"/>
          <w:highlight w:val="none"/>
          <w:lang w:val="en-US" w:eastAsia="zh-CN"/>
        </w:rPr>
        <w:t>检修废油、</w:t>
      </w:r>
      <w:r>
        <w:rPr>
          <w:rFonts w:hint="default" w:ascii="Times New Roman" w:hAnsi="Times New Roman" w:eastAsia="仿宋" w:cs="Times New Roman"/>
          <w:bCs/>
          <w:color w:val="auto"/>
          <w:sz w:val="32"/>
          <w:szCs w:val="32"/>
        </w:rPr>
        <w:t>废旧蓄电池</w:t>
      </w:r>
      <w:r>
        <w:rPr>
          <w:rFonts w:hint="default" w:ascii="Times New Roman" w:hAnsi="Times New Roman" w:eastAsia="仿宋" w:cs="Times New Roman"/>
          <w:bCs/>
          <w:color w:val="auto"/>
          <w:sz w:val="32"/>
          <w:szCs w:val="32"/>
          <w:lang w:eastAsia="zh-CN"/>
        </w:rPr>
        <w:t>应</w:t>
      </w:r>
      <w:r>
        <w:rPr>
          <w:rFonts w:hint="default" w:ascii="Times New Roman" w:hAnsi="Times New Roman" w:eastAsia="仿宋" w:cs="Times New Roman"/>
          <w:bCs/>
          <w:color w:val="auto"/>
          <w:sz w:val="32"/>
          <w:szCs w:val="32"/>
        </w:rPr>
        <w:t>交由有资质单位处置</w:t>
      </w:r>
      <w:r>
        <w:rPr>
          <w:rFonts w:hint="default" w:ascii="Times New Roman" w:hAnsi="Times New Roman" w:eastAsia="仿宋" w:cs="Times New Roman"/>
          <w:bCs/>
          <w:color w:val="auto"/>
          <w:sz w:val="32"/>
          <w:szCs w:val="32"/>
          <w:lang w:eastAsia="zh-CN"/>
        </w:rPr>
        <w:t>，其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 xml:space="preserve">收集、暂存及转运过程中的管理应严格按照《危险废物贮存污染控制标准》（GB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18597-20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）</w:t>
      </w:r>
      <w:r>
        <w:rPr>
          <w:rFonts w:hint="default" w:ascii="Times New Roman" w:hAnsi="Times New Roman" w:eastAsia="仿宋" w:cs="Times New Roman"/>
          <w:b w:val="0"/>
          <w:color w:val="auto"/>
          <w:kern w:val="32"/>
          <w:sz w:val="32"/>
          <w:szCs w:val="32"/>
          <w:lang w:val="en-US" w:eastAsia="zh-CN" w:bidi="ar-SA"/>
        </w:rPr>
        <w:t>《危险废物转移管理办法》（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32"/>
          <w:sz w:val="32"/>
          <w:szCs w:val="32"/>
          <w:lang w:val="en-US" w:eastAsia="zh-CN" w:bidi="ar-SA"/>
        </w:rPr>
        <w:t>生态环境部公安部交通运输</w:t>
      </w:r>
      <w:bookmarkStart w:id="0" w:name="_GoBack"/>
      <w:bookmarkEnd w:id="0"/>
      <w:r>
        <w:rPr>
          <w:rFonts w:hint="default" w:ascii="Times New Roman" w:hAnsi="Times New Roman" w:eastAsia="仿宋" w:cs="Times New Roman"/>
          <w:b w:val="0"/>
          <w:bCs w:val="0"/>
          <w:color w:val="auto"/>
          <w:kern w:val="32"/>
          <w:sz w:val="32"/>
          <w:szCs w:val="32"/>
          <w:lang w:val="en-US" w:eastAsia="zh-CN" w:bidi="ar-SA"/>
        </w:rPr>
        <w:t>部令第23号</w:t>
      </w:r>
      <w:r>
        <w:rPr>
          <w:rFonts w:hint="default" w:ascii="Times New Roman" w:hAnsi="Times New Roman" w:eastAsia="仿宋" w:cs="Times New Roman"/>
          <w:b w:val="0"/>
          <w:color w:val="auto"/>
          <w:kern w:val="32"/>
          <w:sz w:val="32"/>
          <w:szCs w:val="32"/>
          <w:lang w:val="en-US" w:eastAsia="zh-CN" w:bidi="ar-SA"/>
        </w:rPr>
        <w:t>）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进行管理</w:t>
      </w:r>
      <w:r>
        <w:rPr>
          <w:rFonts w:hint="default" w:ascii="Times New Roman" w:hAnsi="Times New Roman" w:eastAsia="仿宋" w:cs="Times New Roman"/>
          <w:sz w:val="32"/>
          <w:szCs w:val="32"/>
        </w:rPr>
        <w:t>，并做好台账记录。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报废的电池板由专业回收厂家回收。</w:t>
      </w:r>
      <w:r>
        <w:rPr>
          <w:rFonts w:hint="default" w:ascii="Times New Roman" w:hAnsi="Times New Roman" w:eastAsia="仿宋" w:cs="Times New Roman"/>
          <w:sz w:val="32"/>
          <w:szCs w:val="32"/>
        </w:rPr>
        <w:t>生活垃圾按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有当地环卫</w:t>
      </w:r>
      <w:r>
        <w:rPr>
          <w:rFonts w:hint="default" w:ascii="Times New Roman" w:hAnsi="Times New Roman" w:eastAsia="仿宋" w:cs="Times New Roman"/>
          <w:sz w:val="32"/>
          <w:szCs w:val="32"/>
        </w:rPr>
        <w:t>部门要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求处置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。</w:t>
      </w:r>
    </w:p>
    <w:p w14:paraId="698001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32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（六）加强电磁环境管理。合理设置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主变与四周围墙距离，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</w:rPr>
        <w:t>加强运行维护管理，确保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升压站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</w:rPr>
        <w:t>厂界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电场强度、磁感应强度满足</w:t>
      </w:r>
      <w:r>
        <w:rPr>
          <w:rFonts w:hint="default" w:ascii="Times New Roman" w:hAnsi="Times New Roman" w:eastAsia="仿宋" w:cs="Times New Roman"/>
          <w:sz w:val="32"/>
          <w:szCs w:val="32"/>
        </w:rPr>
        <w:t>《电磁环境控制限值》（GB8702-2014）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中频率为50Hz时的要求（电场强度限值4kV/m，磁感应强度限值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100μ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T）</w:t>
      </w:r>
      <w:r>
        <w:rPr>
          <w:rFonts w:hint="default" w:ascii="Times New Roman" w:hAnsi="Times New Roman" w:eastAsia="仿宋" w:cs="Times New Roman"/>
          <w:sz w:val="32"/>
          <w:szCs w:val="32"/>
        </w:rPr>
        <w:t>。</w:t>
      </w:r>
    </w:p>
    <w:p w14:paraId="2CCBBC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32" w:firstLineChars="200"/>
        <w:textAlignment w:val="auto"/>
        <w:rPr>
          <w:rFonts w:hint="default" w:ascii="Times New Roman" w:hAnsi="Times New Roman" w:eastAsia="仿宋" w:cs="Times New Roman"/>
          <w:b w:val="0"/>
          <w:bCs/>
          <w:kern w:val="3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（七）</w:t>
      </w:r>
      <w:r>
        <w:rPr>
          <w:rFonts w:hint="default" w:ascii="Times New Roman" w:hAnsi="Times New Roman" w:eastAsia="仿宋" w:cs="Times New Roman"/>
          <w:b w:val="0"/>
          <w:bCs/>
          <w:kern w:val="32"/>
          <w:sz w:val="32"/>
          <w:szCs w:val="32"/>
          <w:lang w:val="en-US" w:eastAsia="zh-CN" w:bidi="ar-SA"/>
        </w:rPr>
        <w:t>加强电磁辐射环境保护宣传教育工作，使公众科学认识工频电磁场的环境影响。</w:t>
      </w:r>
    </w:p>
    <w:p w14:paraId="5276C8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32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b w:val="0"/>
          <w:bCs/>
          <w:kern w:val="32"/>
          <w:sz w:val="32"/>
          <w:szCs w:val="32"/>
          <w:lang w:val="en-US" w:eastAsia="zh-CN" w:bidi="ar-SA"/>
        </w:rPr>
        <w:t>（八）</w:t>
      </w:r>
      <w:r>
        <w:rPr>
          <w:rFonts w:hint="default" w:ascii="Times New Roman" w:hAnsi="Times New Roman" w:eastAsia="仿宋" w:cs="Times New Roman"/>
          <w:sz w:val="32"/>
          <w:szCs w:val="32"/>
        </w:rPr>
        <w:t>加强应急处置。严格落实环境风险防范措施，编制并不断完善环境风险管理制度、事故应急预案，加强管理，避免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环境</w:t>
      </w:r>
      <w:r>
        <w:rPr>
          <w:rFonts w:hint="default" w:ascii="Times New Roman" w:hAnsi="Times New Roman" w:eastAsia="仿宋" w:cs="Times New Roman"/>
          <w:sz w:val="32"/>
          <w:szCs w:val="32"/>
        </w:rPr>
        <w:t>风险事故的发生。</w:t>
      </w:r>
    </w:p>
    <w:p w14:paraId="3297DF84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firstLine="632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三、项目建成后，</w:t>
      </w:r>
      <w:r>
        <w:rPr>
          <w:rFonts w:hint="default" w:ascii="Times New Roman" w:hAnsi="Times New Roman" w:eastAsia="仿宋" w:cs="Times New Roman"/>
          <w:sz w:val="32"/>
          <w:szCs w:val="32"/>
        </w:rPr>
        <w:t>你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公司</w:t>
      </w:r>
      <w:r>
        <w:rPr>
          <w:rFonts w:hint="default" w:ascii="Times New Roman" w:hAnsi="Times New Roman" w:eastAsia="仿宋" w:cs="Times New Roman"/>
          <w:sz w:val="32"/>
          <w:szCs w:val="32"/>
        </w:rPr>
        <w:t>应按照《建设项目竣工环境保护验收暂行办法》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" w:cs="Times New Roman"/>
          <w:sz w:val="32"/>
          <w:szCs w:val="32"/>
        </w:rPr>
        <w:t>国环规环评〔2017〕4号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" w:cs="Times New Roman"/>
          <w:sz w:val="32"/>
          <w:szCs w:val="32"/>
        </w:rPr>
        <w:t>相关要求完成竣工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环境保护</w:t>
      </w:r>
      <w:r>
        <w:rPr>
          <w:rFonts w:hint="default" w:ascii="Times New Roman" w:hAnsi="Times New Roman" w:eastAsia="仿宋" w:cs="Times New Roman"/>
          <w:sz w:val="32"/>
          <w:szCs w:val="32"/>
        </w:rPr>
        <w:t>自主验收。</w:t>
      </w:r>
    </w:p>
    <w:p w14:paraId="68AE6B7D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firstLine="632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四、</w:t>
      </w:r>
      <w:r>
        <w:rPr>
          <w:rFonts w:hint="default" w:ascii="Times New Roman" w:hAnsi="Times New Roman" w:eastAsia="仿宋" w:cs="Times New Roman"/>
          <w:sz w:val="32"/>
          <w:szCs w:val="32"/>
        </w:rPr>
        <w:t>如项目的性质、规模、地点、生产工艺或者防治污染、防止生态破坏的措施等发生重大变动，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eastAsia="zh-CN"/>
        </w:rPr>
        <w:t>应向有审批权限的生态环境部门报告并按要求办理相关手续</w:t>
      </w:r>
      <w:r>
        <w:rPr>
          <w:rFonts w:hint="default" w:ascii="Times New Roman" w:hAnsi="Times New Roman" w:eastAsia="仿宋" w:cs="Times New Roman"/>
          <w:sz w:val="32"/>
          <w:szCs w:val="32"/>
        </w:rPr>
        <w:t>。</w:t>
      </w:r>
    </w:p>
    <w:p w14:paraId="7432AD04">
      <w:pPr>
        <w:keepNext w:val="0"/>
        <w:keepLines w:val="0"/>
        <w:pageBreakBefore w:val="0"/>
        <w:widowControl w:val="0"/>
        <w:tabs>
          <w:tab w:val="left" w:pos="57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32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仿宋" w:cs="Times New Roman"/>
          <w:sz w:val="32"/>
          <w:szCs w:val="32"/>
        </w:rPr>
        <w:t>、请市生态环境局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罗平</w:t>
      </w:r>
      <w:r>
        <w:rPr>
          <w:rFonts w:hint="default" w:ascii="Times New Roman" w:hAnsi="Times New Roman" w:eastAsia="仿宋" w:cs="Times New Roman"/>
          <w:sz w:val="32"/>
          <w:szCs w:val="32"/>
        </w:rPr>
        <w:t>分局负责该项目的环境执法监察和监督管理，请市生态环境保护综合行政执法支队加强监督检查。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</w:t>
      </w:r>
    </w:p>
    <w:p w14:paraId="5E6B3B3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 w14:paraId="0AD7B738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 w14:paraId="77537D0F">
      <w:pPr>
        <w:keepNext w:val="0"/>
        <w:keepLines w:val="0"/>
        <w:pageBreakBefore w:val="0"/>
        <w:widowControl w:val="0"/>
        <w:tabs>
          <w:tab w:val="left" w:pos="57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056" w:firstLineChars="16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曲靖市生态环境局</w:t>
      </w:r>
    </w:p>
    <w:p w14:paraId="4B1252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32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                            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z w:val="32"/>
          <w:szCs w:val="32"/>
        </w:rPr>
        <w:t>20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</w:p>
    <w:p w14:paraId="40C34F16">
      <w:pPr>
        <w:pStyle w:val="2"/>
      </w:pPr>
      <w:r>
        <w:rPr>
          <w:rFonts w:hint="default" w:ascii="仿宋" w:hAnsi="仿宋" w:eastAsia="仿宋" w:cs="仿宋"/>
          <w:b w:val="0"/>
          <w:bCs w:val="0"/>
          <w:color w:val="auto"/>
          <w:kern w:val="32"/>
          <w:sz w:val="32"/>
          <w:szCs w:val="32"/>
          <w:lang w:val="en-US" w:eastAsia="zh-CN" w:bidi="ar-SA"/>
        </w:rPr>
        <w:t>（此件公开发布）</w:t>
      </w:r>
    </w:p>
    <w:p w14:paraId="743C9E2E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/>
        </w:rPr>
      </w:pPr>
    </w:p>
    <w:p w14:paraId="761D9A67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/>
        </w:rPr>
      </w:pPr>
    </w:p>
    <w:p w14:paraId="0690F5E4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/>
        </w:rPr>
      </w:pPr>
    </w:p>
    <w:p w14:paraId="6A659D75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/>
        </w:rPr>
      </w:pPr>
    </w:p>
    <w:p w14:paraId="746A7323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/>
        </w:rPr>
      </w:pPr>
    </w:p>
    <w:p w14:paraId="1EE736B6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/>
        </w:rPr>
      </w:pPr>
    </w:p>
    <w:p w14:paraId="0D2EA10B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/>
        </w:rPr>
      </w:pPr>
    </w:p>
    <w:p w14:paraId="0668F094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/>
        </w:rPr>
      </w:pPr>
    </w:p>
    <w:p w14:paraId="01E77F0C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3A4723D">
      <w:pPr>
        <w:pBdr>
          <w:top w:val="single" w:color="auto" w:sz="12" w:space="1"/>
        </w:pBdr>
        <w:ind w:left="828" w:hanging="828" w:hangingChars="300"/>
        <w:jc w:val="left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抄送：市生态环境保护综合行政执法支队，市环境工程评估中心，市生态环境局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罗平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分局，云南江楚环保科技有限公司。</w:t>
      </w:r>
    </w:p>
    <w:p w14:paraId="3D2555D2">
      <w:pPr>
        <w:pBdr>
          <w:top w:val="single" w:color="auto" w:sz="4" w:space="1"/>
          <w:bottom w:val="single" w:color="auto" w:sz="12" w:space="1"/>
        </w:pBdr>
        <w:ind w:firstLine="276" w:firstLineChars="100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曲靖市生态环境局办公室                    20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24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年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11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月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日印发</w:t>
      </w:r>
    </w:p>
    <w:sectPr>
      <w:footerReference r:id="rId3" w:type="default"/>
      <w:footerReference r:id="rId4" w:type="even"/>
      <w:pgSz w:w="11906" w:h="16838"/>
      <w:pgMar w:top="2098" w:right="1474" w:bottom="1985" w:left="1588" w:header="851" w:footer="1559" w:gutter="0"/>
      <w:pgNumType w:start="1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B19067">
    <w:pPr>
      <w:pStyle w:val="9"/>
      <w:framePr w:wrap="around" w:vAnchor="text" w:hAnchor="margin" w:xAlign="outside" w:y="1"/>
      <w:rPr>
        <w:rStyle w:val="17"/>
        <w:rFonts w:ascii="宋体" w:hAnsi="宋体" w:eastAsia="宋体"/>
        <w:sz w:val="28"/>
        <w:szCs w:val="28"/>
      </w:rPr>
    </w:pPr>
    <w:r>
      <w:rPr>
        <w:rStyle w:val="17"/>
        <w:rFonts w:hint="eastAsia" w:ascii="宋体" w:hAnsi="宋体" w:eastAsia="宋体"/>
        <w:sz w:val="28"/>
        <w:szCs w:val="28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Style w:val="17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17"/>
        <w:rFonts w:ascii="宋体" w:hAnsi="宋体" w:eastAsia="宋体"/>
        <w:sz w:val="28"/>
        <w:szCs w:val="28"/>
      </w:rPr>
      <w:t>5</w:t>
    </w:r>
    <w:r>
      <w:rPr>
        <w:rFonts w:ascii="宋体" w:hAnsi="宋体" w:eastAsia="宋体"/>
        <w:sz w:val="28"/>
        <w:szCs w:val="28"/>
      </w:rPr>
      <w:fldChar w:fldCharType="end"/>
    </w:r>
    <w:r>
      <w:rPr>
        <w:rStyle w:val="17"/>
        <w:rFonts w:hint="eastAsia" w:ascii="宋体" w:hAnsi="宋体" w:eastAsia="宋体"/>
        <w:sz w:val="28"/>
        <w:szCs w:val="28"/>
      </w:rPr>
      <w:t xml:space="preserve"> —</w:t>
    </w:r>
  </w:p>
  <w:p w14:paraId="74178E30">
    <w:pPr>
      <w:pStyle w:val="9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5AE84A">
    <w:pPr>
      <w:pStyle w:val="9"/>
      <w:framePr w:wrap="around" w:vAnchor="text" w:hAnchor="margin" w:xAlign="outside" w:y="1"/>
      <w:rPr>
        <w:rStyle w:val="17"/>
      </w:rPr>
    </w:pPr>
    <w:r>
      <w:fldChar w:fldCharType="begin"/>
    </w:r>
    <w:r>
      <w:rPr>
        <w:rStyle w:val="17"/>
      </w:rPr>
      <w:instrText xml:space="preserve">PAGE  </w:instrText>
    </w:r>
    <w:r>
      <w:fldChar w:fldCharType="end"/>
    </w:r>
  </w:p>
  <w:p w14:paraId="6838769C">
    <w:pPr>
      <w:pStyle w:val="9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HorizontalSpacing w:val="158"/>
  <w:drawingGridVerticalSpacing w:val="579"/>
  <w:displayHorizontalDrawingGridEvery w:val="0"/>
  <w:displayVerticalDrawingGridEvery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0OTFiNTllN2E3YTc2MDc5ZTIwYTg0ZjFlZjFlMWQifQ=="/>
  </w:docVars>
  <w:rsids>
    <w:rsidRoot w:val="00172A27"/>
    <w:rsid w:val="00001849"/>
    <w:rsid w:val="0001676E"/>
    <w:rsid w:val="00021C1F"/>
    <w:rsid w:val="00021E39"/>
    <w:rsid w:val="00022702"/>
    <w:rsid w:val="000236B2"/>
    <w:rsid w:val="00023F5C"/>
    <w:rsid w:val="000254D1"/>
    <w:rsid w:val="000276BB"/>
    <w:rsid w:val="00030F69"/>
    <w:rsid w:val="00033750"/>
    <w:rsid w:val="00036199"/>
    <w:rsid w:val="0003649A"/>
    <w:rsid w:val="00037C9E"/>
    <w:rsid w:val="00041A8F"/>
    <w:rsid w:val="00041F83"/>
    <w:rsid w:val="000427CD"/>
    <w:rsid w:val="00044936"/>
    <w:rsid w:val="0004608C"/>
    <w:rsid w:val="000462EA"/>
    <w:rsid w:val="00046F6E"/>
    <w:rsid w:val="000472FC"/>
    <w:rsid w:val="00047F81"/>
    <w:rsid w:val="00053FAF"/>
    <w:rsid w:val="000541C0"/>
    <w:rsid w:val="000571DC"/>
    <w:rsid w:val="000609E2"/>
    <w:rsid w:val="000609EA"/>
    <w:rsid w:val="00070662"/>
    <w:rsid w:val="0007208C"/>
    <w:rsid w:val="000730BA"/>
    <w:rsid w:val="000750D8"/>
    <w:rsid w:val="00076783"/>
    <w:rsid w:val="000812E8"/>
    <w:rsid w:val="00084511"/>
    <w:rsid w:val="000856E0"/>
    <w:rsid w:val="0008670A"/>
    <w:rsid w:val="000904C9"/>
    <w:rsid w:val="00093463"/>
    <w:rsid w:val="00093BAB"/>
    <w:rsid w:val="00093DA1"/>
    <w:rsid w:val="00094499"/>
    <w:rsid w:val="00096073"/>
    <w:rsid w:val="00096126"/>
    <w:rsid w:val="00097749"/>
    <w:rsid w:val="00097D33"/>
    <w:rsid w:val="000A133E"/>
    <w:rsid w:val="000A5FE5"/>
    <w:rsid w:val="000A64B4"/>
    <w:rsid w:val="000B0C76"/>
    <w:rsid w:val="000B6B6B"/>
    <w:rsid w:val="000C2E61"/>
    <w:rsid w:val="000C49C0"/>
    <w:rsid w:val="000C7821"/>
    <w:rsid w:val="000D11B6"/>
    <w:rsid w:val="000D502A"/>
    <w:rsid w:val="000E2824"/>
    <w:rsid w:val="000E4253"/>
    <w:rsid w:val="000E488F"/>
    <w:rsid w:val="000F040B"/>
    <w:rsid w:val="000F0CE0"/>
    <w:rsid w:val="000F2595"/>
    <w:rsid w:val="000F4EFE"/>
    <w:rsid w:val="00101B2D"/>
    <w:rsid w:val="001061A0"/>
    <w:rsid w:val="00106BA8"/>
    <w:rsid w:val="00106D90"/>
    <w:rsid w:val="00107100"/>
    <w:rsid w:val="00113264"/>
    <w:rsid w:val="001172F1"/>
    <w:rsid w:val="0012130D"/>
    <w:rsid w:val="001216A7"/>
    <w:rsid w:val="001221B2"/>
    <w:rsid w:val="00122F0A"/>
    <w:rsid w:val="00131ABB"/>
    <w:rsid w:val="001512FA"/>
    <w:rsid w:val="00151377"/>
    <w:rsid w:val="00151E46"/>
    <w:rsid w:val="00154289"/>
    <w:rsid w:val="001561F9"/>
    <w:rsid w:val="00157E5B"/>
    <w:rsid w:val="00160EE1"/>
    <w:rsid w:val="00161924"/>
    <w:rsid w:val="00167C80"/>
    <w:rsid w:val="00170FD2"/>
    <w:rsid w:val="001721F6"/>
    <w:rsid w:val="00172CB8"/>
    <w:rsid w:val="00174571"/>
    <w:rsid w:val="00182172"/>
    <w:rsid w:val="0018282D"/>
    <w:rsid w:val="00182D73"/>
    <w:rsid w:val="001842B8"/>
    <w:rsid w:val="0018476E"/>
    <w:rsid w:val="001862E0"/>
    <w:rsid w:val="00186876"/>
    <w:rsid w:val="0018699A"/>
    <w:rsid w:val="0019020F"/>
    <w:rsid w:val="00195695"/>
    <w:rsid w:val="001A00EA"/>
    <w:rsid w:val="001A234C"/>
    <w:rsid w:val="001A4935"/>
    <w:rsid w:val="001A5EF3"/>
    <w:rsid w:val="001A6A04"/>
    <w:rsid w:val="001B0361"/>
    <w:rsid w:val="001B23A2"/>
    <w:rsid w:val="001C2B31"/>
    <w:rsid w:val="001C40C0"/>
    <w:rsid w:val="001C651C"/>
    <w:rsid w:val="001D112C"/>
    <w:rsid w:val="001D18F3"/>
    <w:rsid w:val="001D4925"/>
    <w:rsid w:val="001D5C11"/>
    <w:rsid w:val="001E4279"/>
    <w:rsid w:val="001E4EDC"/>
    <w:rsid w:val="001E6930"/>
    <w:rsid w:val="001F248A"/>
    <w:rsid w:val="001F3EFD"/>
    <w:rsid w:val="001F5627"/>
    <w:rsid w:val="0020537D"/>
    <w:rsid w:val="00206E6D"/>
    <w:rsid w:val="002072DF"/>
    <w:rsid w:val="002100C1"/>
    <w:rsid w:val="00212E4A"/>
    <w:rsid w:val="002141F7"/>
    <w:rsid w:val="002324D2"/>
    <w:rsid w:val="00232688"/>
    <w:rsid w:val="002327E4"/>
    <w:rsid w:val="00235734"/>
    <w:rsid w:val="00236EFB"/>
    <w:rsid w:val="00243398"/>
    <w:rsid w:val="00244D67"/>
    <w:rsid w:val="00250EF4"/>
    <w:rsid w:val="00251C1F"/>
    <w:rsid w:val="00254775"/>
    <w:rsid w:val="002554C6"/>
    <w:rsid w:val="00257942"/>
    <w:rsid w:val="00260083"/>
    <w:rsid w:val="00260391"/>
    <w:rsid w:val="0026118E"/>
    <w:rsid w:val="002635A3"/>
    <w:rsid w:val="0027039C"/>
    <w:rsid w:val="00270FD0"/>
    <w:rsid w:val="00271BBF"/>
    <w:rsid w:val="00275BAA"/>
    <w:rsid w:val="00280201"/>
    <w:rsid w:val="002809F6"/>
    <w:rsid w:val="00281A7D"/>
    <w:rsid w:val="00282E9D"/>
    <w:rsid w:val="00287AB0"/>
    <w:rsid w:val="002922BE"/>
    <w:rsid w:val="00292D10"/>
    <w:rsid w:val="00295586"/>
    <w:rsid w:val="002960B8"/>
    <w:rsid w:val="00296C47"/>
    <w:rsid w:val="00297603"/>
    <w:rsid w:val="00297F72"/>
    <w:rsid w:val="002A002A"/>
    <w:rsid w:val="002A2DFE"/>
    <w:rsid w:val="002A71F8"/>
    <w:rsid w:val="002A78C2"/>
    <w:rsid w:val="002B2EC3"/>
    <w:rsid w:val="002B7365"/>
    <w:rsid w:val="002C071F"/>
    <w:rsid w:val="002C2CC1"/>
    <w:rsid w:val="002C659A"/>
    <w:rsid w:val="002D268B"/>
    <w:rsid w:val="002D27EE"/>
    <w:rsid w:val="002D4E22"/>
    <w:rsid w:val="002D693C"/>
    <w:rsid w:val="002D7174"/>
    <w:rsid w:val="002E4215"/>
    <w:rsid w:val="002E53B5"/>
    <w:rsid w:val="002E5904"/>
    <w:rsid w:val="002F0D31"/>
    <w:rsid w:val="002F13DD"/>
    <w:rsid w:val="002F358F"/>
    <w:rsid w:val="002F5F1C"/>
    <w:rsid w:val="002F62D9"/>
    <w:rsid w:val="003042D1"/>
    <w:rsid w:val="00304375"/>
    <w:rsid w:val="003052DB"/>
    <w:rsid w:val="003076D3"/>
    <w:rsid w:val="0030785C"/>
    <w:rsid w:val="00311714"/>
    <w:rsid w:val="00312A94"/>
    <w:rsid w:val="00312CDE"/>
    <w:rsid w:val="003150E3"/>
    <w:rsid w:val="003166D8"/>
    <w:rsid w:val="00316F2F"/>
    <w:rsid w:val="0032195E"/>
    <w:rsid w:val="00321E66"/>
    <w:rsid w:val="00322895"/>
    <w:rsid w:val="00326AA1"/>
    <w:rsid w:val="00331D1C"/>
    <w:rsid w:val="003322F2"/>
    <w:rsid w:val="00332A2B"/>
    <w:rsid w:val="00334DDB"/>
    <w:rsid w:val="003403B4"/>
    <w:rsid w:val="0034130E"/>
    <w:rsid w:val="0034182A"/>
    <w:rsid w:val="00345A98"/>
    <w:rsid w:val="00355E86"/>
    <w:rsid w:val="00362103"/>
    <w:rsid w:val="003646F9"/>
    <w:rsid w:val="00366A96"/>
    <w:rsid w:val="00371EF2"/>
    <w:rsid w:val="00376242"/>
    <w:rsid w:val="00376ACF"/>
    <w:rsid w:val="003817B8"/>
    <w:rsid w:val="00381BF5"/>
    <w:rsid w:val="00383A92"/>
    <w:rsid w:val="003857B1"/>
    <w:rsid w:val="00385BFE"/>
    <w:rsid w:val="00387373"/>
    <w:rsid w:val="003954DE"/>
    <w:rsid w:val="00395951"/>
    <w:rsid w:val="00396154"/>
    <w:rsid w:val="00396D37"/>
    <w:rsid w:val="003A4090"/>
    <w:rsid w:val="003B6739"/>
    <w:rsid w:val="003C06DB"/>
    <w:rsid w:val="003C0D03"/>
    <w:rsid w:val="003C1359"/>
    <w:rsid w:val="003C400B"/>
    <w:rsid w:val="003D02AC"/>
    <w:rsid w:val="003D1569"/>
    <w:rsid w:val="003D287F"/>
    <w:rsid w:val="003D3F8A"/>
    <w:rsid w:val="003D5E9B"/>
    <w:rsid w:val="003E0B5F"/>
    <w:rsid w:val="003E3F7C"/>
    <w:rsid w:val="003E51FE"/>
    <w:rsid w:val="003F1127"/>
    <w:rsid w:val="003F3163"/>
    <w:rsid w:val="003F35C5"/>
    <w:rsid w:val="003F3CF6"/>
    <w:rsid w:val="003F4857"/>
    <w:rsid w:val="003F4DD0"/>
    <w:rsid w:val="00400E89"/>
    <w:rsid w:val="00400F59"/>
    <w:rsid w:val="004060B7"/>
    <w:rsid w:val="00411C8A"/>
    <w:rsid w:val="00411F7C"/>
    <w:rsid w:val="0041707E"/>
    <w:rsid w:val="0042079E"/>
    <w:rsid w:val="004231DD"/>
    <w:rsid w:val="0043253A"/>
    <w:rsid w:val="00432ABB"/>
    <w:rsid w:val="00436E3A"/>
    <w:rsid w:val="00437400"/>
    <w:rsid w:val="00437B1E"/>
    <w:rsid w:val="00443699"/>
    <w:rsid w:val="00452C00"/>
    <w:rsid w:val="00473F16"/>
    <w:rsid w:val="0047485F"/>
    <w:rsid w:val="00476499"/>
    <w:rsid w:val="00486066"/>
    <w:rsid w:val="004869A5"/>
    <w:rsid w:val="00493B77"/>
    <w:rsid w:val="004A27F9"/>
    <w:rsid w:val="004A3C67"/>
    <w:rsid w:val="004A4198"/>
    <w:rsid w:val="004A49BF"/>
    <w:rsid w:val="004A5792"/>
    <w:rsid w:val="004B0503"/>
    <w:rsid w:val="004B0D46"/>
    <w:rsid w:val="004B147C"/>
    <w:rsid w:val="004B27D1"/>
    <w:rsid w:val="004C5646"/>
    <w:rsid w:val="004C5899"/>
    <w:rsid w:val="004C75B3"/>
    <w:rsid w:val="004C7696"/>
    <w:rsid w:val="004D45BD"/>
    <w:rsid w:val="004D465B"/>
    <w:rsid w:val="004D60A1"/>
    <w:rsid w:val="004D626D"/>
    <w:rsid w:val="004D703C"/>
    <w:rsid w:val="004E144B"/>
    <w:rsid w:val="004E3B11"/>
    <w:rsid w:val="004E43A6"/>
    <w:rsid w:val="004E467F"/>
    <w:rsid w:val="004E67D5"/>
    <w:rsid w:val="004F0497"/>
    <w:rsid w:val="004F50D6"/>
    <w:rsid w:val="004F7DBF"/>
    <w:rsid w:val="00503929"/>
    <w:rsid w:val="00506F23"/>
    <w:rsid w:val="0050770F"/>
    <w:rsid w:val="00511DEC"/>
    <w:rsid w:val="005128D3"/>
    <w:rsid w:val="00514FE6"/>
    <w:rsid w:val="00520B59"/>
    <w:rsid w:val="00521A18"/>
    <w:rsid w:val="0052443D"/>
    <w:rsid w:val="00525753"/>
    <w:rsid w:val="00532112"/>
    <w:rsid w:val="00534F95"/>
    <w:rsid w:val="00535920"/>
    <w:rsid w:val="00540993"/>
    <w:rsid w:val="0054189B"/>
    <w:rsid w:val="0054324F"/>
    <w:rsid w:val="005453AB"/>
    <w:rsid w:val="00545D52"/>
    <w:rsid w:val="0055161E"/>
    <w:rsid w:val="0055253A"/>
    <w:rsid w:val="00557139"/>
    <w:rsid w:val="00562D87"/>
    <w:rsid w:val="00564B1D"/>
    <w:rsid w:val="00571574"/>
    <w:rsid w:val="0057359E"/>
    <w:rsid w:val="00576186"/>
    <w:rsid w:val="00576513"/>
    <w:rsid w:val="00576F19"/>
    <w:rsid w:val="00577146"/>
    <w:rsid w:val="00577DEE"/>
    <w:rsid w:val="00580327"/>
    <w:rsid w:val="00582615"/>
    <w:rsid w:val="005827BE"/>
    <w:rsid w:val="005839A2"/>
    <w:rsid w:val="00587E94"/>
    <w:rsid w:val="00592A25"/>
    <w:rsid w:val="00593034"/>
    <w:rsid w:val="00595B3A"/>
    <w:rsid w:val="005A1FFE"/>
    <w:rsid w:val="005A31ED"/>
    <w:rsid w:val="005A33D2"/>
    <w:rsid w:val="005A423F"/>
    <w:rsid w:val="005A4440"/>
    <w:rsid w:val="005A631E"/>
    <w:rsid w:val="005A756C"/>
    <w:rsid w:val="005B7166"/>
    <w:rsid w:val="005C03BD"/>
    <w:rsid w:val="005C30D3"/>
    <w:rsid w:val="005D02BB"/>
    <w:rsid w:val="005D07E3"/>
    <w:rsid w:val="005D3D6A"/>
    <w:rsid w:val="005D436D"/>
    <w:rsid w:val="005D5B60"/>
    <w:rsid w:val="005D6079"/>
    <w:rsid w:val="005E055F"/>
    <w:rsid w:val="005E0A2E"/>
    <w:rsid w:val="005E44C7"/>
    <w:rsid w:val="005E4892"/>
    <w:rsid w:val="005E68F2"/>
    <w:rsid w:val="005E6A2A"/>
    <w:rsid w:val="005F0EB7"/>
    <w:rsid w:val="005F43A8"/>
    <w:rsid w:val="005F6ADA"/>
    <w:rsid w:val="0060103A"/>
    <w:rsid w:val="00601051"/>
    <w:rsid w:val="006103F6"/>
    <w:rsid w:val="006116C8"/>
    <w:rsid w:val="00612223"/>
    <w:rsid w:val="0061478E"/>
    <w:rsid w:val="00620DF3"/>
    <w:rsid w:val="00624A78"/>
    <w:rsid w:val="006252D7"/>
    <w:rsid w:val="00626052"/>
    <w:rsid w:val="006319CC"/>
    <w:rsid w:val="00640E7C"/>
    <w:rsid w:val="006416FB"/>
    <w:rsid w:val="00641DE7"/>
    <w:rsid w:val="00644974"/>
    <w:rsid w:val="00644B47"/>
    <w:rsid w:val="006544E5"/>
    <w:rsid w:val="00654EAD"/>
    <w:rsid w:val="006572B3"/>
    <w:rsid w:val="0066111A"/>
    <w:rsid w:val="00662433"/>
    <w:rsid w:val="00662E34"/>
    <w:rsid w:val="00666924"/>
    <w:rsid w:val="00667BA3"/>
    <w:rsid w:val="006731EB"/>
    <w:rsid w:val="00673201"/>
    <w:rsid w:val="0067570E"/>
    <w:rsid w:val="006759A3"/>
    <w:rsid w:val="0068170E"/>
    <w:rsid w:val="00683EA4"/>
    <w:rsid w:val="006870E4"/>
    <w:rsid w:val="00690367"/>
    <w:rsid w:val="00692103"/>
    <w:rsid w:val="00693ACF"/>
    <w:rsid w:val="00693D04"/>
    <w:rsid w:val="00696802"/>
    <w:rsid w:val="006A2201"/>
    <w:rsid w:val="006A337E"/>
    <w:rsid w:val="006B0C11"/>
    <w:rsid w:val="006B0E60"/>
    <w:rsid w:val="006B189D"/>
    <w:rsid w:val="006B48D0"/>
    <w:rsid w:val="006B60D1"/>
    <w:rsid w:val="006C2D07"/>
    <w:rsid w:val="006C7BA9"/>
    <w:rsid w:val="006D2486"/>
    <w:rsid w:val="006D5F12"/>
    <w:rsid w:val="006E36A1"/>
    <w:rsid w:val="006E52F1"/>
    <w:rsid w:val="006F21E7"/>
    <w:rsid w:val="006F7AAD"/>
    <w:rsid w:val="00710234"/>
    <w:rsid w:val="00711044"/>
    <w:rsid w:val="0071450A"/>
    <w:rsid w:val="00726915"/>
    <w:rsid w:val="00733612"/>
    <w:rsid w:val="0073484A"/>
    <w:rsid w:val="00734F1B"/>
    <w:rsid w:val="00741272"/>
    <w:rsid w:val="00744606"/>
    <w:rsid w:val="007452EB"/>
    <w:rsid w:val="007457D2"/>
    <w:rsid w:val="007528D0"/>
    <w:rsid w:val="00752F86"/>
    <w:rsid w:val="00770810"/>
    <w:rsid w:val="00772C98"/>
    <w:rsid w:val="00773AA9"/>
    <w:rsid w:val="007740F0"/>
    <w:rsid w:val="00776596"/>
    <w:rsid w:val="00776FA7"/>
    <w:rsid w:val="007774F7"/>
    <w:rsid w:val="00777A74"/>
    <w:rsid w:val="0078139D"/>
    <w:rsid w:val="00783235"/>
    <w:rsid w:val="00783F42"/>
    <w:rsid w:val="0078795A"/>
    <w:rsid w:val="007921A5"/>
    <w:rsid w:val="00793F62"/>
    <w:rsid w:val="007A256A"/>
    <w:rsid w:val="007A4877"/>
    <w:rsid w:val="007A670E"/>
    <w:rsid w:val="007B251D"/>
    <w:rsid w:val="007B406C"/>
    <w:rsid w:val="007C5B85"/>
    <w:rsid w:val="007C6D7F"/>
    <w:rsid w:val="007D2246"/>
    <w:rsid w:val="007D28C7"/>
    <w:rsid w:val="007D2D4C"/>
    <w:rsid w:val="007E13DB"/>
    <w:rsid w:val="007E3011"/>
    <w:rsid w:val="007E4508"/>
    <w:rsid w:val="007E63F7"/>
    <w:rsid w:val="007E7795"/>
    <w:rsid w:val="007F1D80"/>
    <w:rsid w:val="007F1FDC"/>
    <w:rsid w:val="007F37BD"/>
    <w:rsid w:val="007F514D"/>
    <w:rsid w:val="007F68B5"/>
    <w:rsid w:val="007F7B7F"/>
    <w:rsid w:val="00801FB0"/>
    <w:rsid w:val="00805690"/>
    <w:rsid w:val="00811E66"/>
    <w:rsid w:val="008156C8"/>
    <w:rsid w:val="008217AD"/>
    <w:rsid w:val="00824D71"/>
    <w:rsid w:val="00825DC7"/>
    <w:rsid w:val="0082736E"/>
    <w:rsid w:val="00827FA4"/>
    <w:rsid w:val="00831EA8"/>
    <w:rsid w:val="00833E42"/>
    <w:rsid w:val="00843364"/>
    <w:rsid w:val="00844DEB"/>
    <w:rsid w:val="008514C0"/>
    <w:rsid w:val="0085217B"/>
    <w:rsid w:val="00853619"/>
    <w:rsid w:val="00861BB0"/>
    <w:rsid w:val="008636A2"/>
    <w:rsid w:val="00882547"/>
    <w:rsid w:val="00883479"/>
    <w:rsid w:val="008848AC"/>
    <w:rsid w:val="00892907"/>
    <w:rsid w:val="00894371"/>
    <w:rsid w:val="0089779C"/>
    <w:rsid w:val="008A2BD5"/>
    <w:rsid w:val="008A2CA8"/>
    <w:rsid w:val="008A3B0C"/>
    <w:rsid w:val="008A57EA"/>
    <w:rsid w:val="008A6402"/>
    <w:rsid w:val="008B21FC"/>
    <w:rsid w:val="008B564A"/>
    <w:rsid w:val="008B70E3"/>
    <w:rsid w:val="008B7474"/>
    <w:rsid w:val="008C04FB"/>
    <w:rsid w:val="008C12A2"/>
    <w:rsid w:val="008C602D"/>
    <w:rsid w:val="008C7350"/>
    <w:rsid w:val="008D2923"/>
    <w:rsid w:val="008E1751"/>
    <w:rsid w:val="008F09B2"/>
    <w:rsid w:val="008F24C7"/>
    <w:rsid w:val="008F76F9"/>
    <w:rsid w:val="009101B2"/>
    <w:rsid w:val="00911379"/>
    <w:rsid w:val="00911F00"/>
    <w:rsid w:val="00914DF6"/>
    <w:rsid w:val="0091588A"/>
    <w:rsid w:val="00917792"/>
    <w:rsid w:val="0092380F"/>
    <w:rsid w:val="00933484"/>
    <w:rsid w:val="00936284"/>
    <w:rsid w:val="00940CDD"/>
    <w:rsid w:val="00946EB0"/>
    <w:rsid w:val="00946FC5"/>
    <w:rsid w:val="00951BCC"/>
    <w:rsid w:val="00953DA7"/>
    <w:rsid w:val="00955503"/>
    <w:rsid w:val="009558EE"/>
    <w:rsid w:val="00962733"/>
    <w:rsid w:val="009653EA"/>
    <w:rsid w:val="00965B06"/>
    <w:rsid w:val="009723E3"/>
    <w:rsid w:val="00973D2E"/>
    <w:rsid w:val="00976250"/>
    <w:rsid w:val="00980B02"/>
    <w:rsid w:val="009818DD"/>
    <w:rsid w:val="00990FC5"/>
    <w:rsid w:val="00992645"/>
    <w:rsid w:val="00995074"/>
    <w:rsid w:val="009A4A43"/>
    <w:rsid w:val="009A6859"/>
    <w:rsid w:val="009B04BD"/>
    <w:rsid w:val="009B3A38"/>
    <w:rsid w:val="009B5CEA"/>
    <w:rsid w:val="009B7306"/>
    <w:rsid w:val="009B7B2A"/>
    <w:rsid w:val="009C0213"/>
    <w:rsid w:val="009C0673"/>
    <w:rsid w:val="009C1525"/>
    <w:rsid w:val="009C3089"/>
    <w:rsid w:val="009C3DB3"/>
    <w:rsid w:val="009D0517"/>
    <w:rsid w:val="009D0ACD"/>
    <w:rsid w:val="009D26E3"/>
    <w:rsid w:val="009D5BEF"/>
    <w:rsid w:val="009D643F"/>
    <w:rsid w:val="009E0BBF"/>
    <w:rsid w:val="009E21EB"/>
    <w:rsid w:val="009E3D67"/>
    <w:rsid w:val="009E5F46"/>
    <w:rsid w:val="009F0C7B"/>
    <w:rsid w:val="009F26A9"/>
    <w:rsid w:val="009F5F76"/>
    <w:rsid w:val="00A02443"/>
    <w:rsid w:val="00A0500F"/>
    <w:rsid w:val="00A06294"/>
    <w:rsid w:val="00A114DF"/>
    <w:rsid w:val="00A20BC4"/>
    <w:rsid w:val="00A27CB7"/>
    <w:rsid w:val="00A27DA6"/>
    <w:rsid w:val="00A355DA"/>
    <w:rsid w:val="00A370EB"/>
    <w:rsid w:val="00A37CE9"/>
    <w:rsid w:val="00A40550"/>
    <w:rsid w:val="00A46BA4"/>
    <w:rsid w:val="00A47AD7"/>
    <w:rsid w:val="00A5443B"/>
    <w:rsid w:val="00A57E40"/>
    <w:rsid w:val="00A662B5"/>
    <w:rsid w:val="00A6644B"/>
    <w:rsid w:val="00A66FDC"/>
    <w:rsid w:val="00A70566"/>
    <w:rsid w:val="00A70EB5"/>
    <w:rsid w:val="00A72551"/>
    <w:rsid w:val="00A77EC4"/>
    <w:rsid w:val="00A80E1B"/>
    <w:rsid w:val="00A82093"/>
    <w:rsid w:val="00A8355A"/>
    <w:rsid w:val="00A836A0"/>
    <w:rsid w:val="00A85B78"/>
    <w:rsid w:val="00A91DAC"/>
    <w:rsid w:val="00A933EE"/>
    <w:rsid w:val="00A97139"/>
    <w:rsid w:val="00AA110A"/>
    <w:rsid w:val="00AA2322"/>
    <w:rsid w:val="00AA4D38"/>
    <w:rsid w:val="00AA5AEF"/>
    <w:rsid w:val="00AA6D18"/>
    <w:rsid w:val="00AA7499"/>
    <w:rsid w:val="00AA7EE1"/>
    <w:rsid w:val="00AB3483"/>
    <w:rsid w:val="00AB43C6"/>
    <w:rsid w:val="00AB715D"/>
    <w:rsid w:val="00AC068A"/>
    <w:rsid w:val="00AC3522"/>
    <w:rsid w:val="00AC3CC8"/>
    <w:rsid w:val="00AC43F7"/>
    <w:rsid w:val="00AC4463"/>
    <w:rsid w:val="00AC6D0F"/>
    <w:rsid w:val="00AC71C0"/>
    <w:rsid w:val="00AD15C1"/>
    <w:rsid w:val="00AD2BE3"/>
    <w:rsid w:val="00AD37C0"/>
    <w:rsid w:val="00AD5FF1"/>
    <w:rsid w:val="00AD7721"/>
    <w:rsid w:val="00AE0C75"/>
    <w:rsid w:val="00AE1518"/>
    <w:rsid w:val="00AE3320"/>
    <w:rsid w:val="00AE6D9D"/>
    <w:rsid w:val="00AF6EAB"/>
    <w:rsid w:val="00B04497"/>
    <w:rsid w:val="00B0587D"/>
    <w:rsid w:val="00B05E94"/>
    <w:rsid w:val="00B1492A"/>
    <w:rsid w:val="00B14F90"/>
    <w:rsid w:val="00B16C48"/>
    <w:rsid w:val="00B20B07"/>
    <w:rsid w:val="00B2408B"/>
    <w:rsid w:val="00B3263D"/>
    <w:rsid w:val="00B34BDC"/>
    <w:rsid w:val="00B34EA8"/>
    <w:rsid w:val="00B35642"/>
    <w:rsid w:val="00B35770"/>
    <w:rsid w:val="00B4083A"/>
    <w:rsid w:val="00B51ABB"/>
    <w:rsid w:val="00B525F7"/>
    <w:rsid w:val="00B5698A"/>
    <w:rsid w:val="00B62075"/>
    <w:rsid w:val="00B7019E"/>
    <w:rsid w:val="00B732D2"/>
    <w:rsid w:val="00B74102"/>
    <w:rsid w:val="00B74F6D"/>
    <w:rsid w:val="00B76F75"/>
    <w:rsid w:val="00B81CCA"/>
    <w:rsid w:val="00B850AD"/>
    <w:rsid w:val="00B860E4"/>
    <w:rsid w:val="00B87D95"/>
    <w:rsid w:val="00B93059"/>
    <w:rsid w:val="00B93B65"/>
    <w:rsid w:val="00B93E1C"/>
    <w:rsid w:val="00B94A8A"/>
    <w:rsid w:val="00BA5AE8"/>
    <w:rsid w:val="00BB0D74"/>
    <w:rsid w:val="00BC1311"/>
    <w:rsid w:val="00BC1A21"/>
    <w:rsid w:val="00BC2912"/>
    <w:rsid w:val="00BC43C2"/>
    <w:rsid w:val="00BC6EF2"/>
    <w:rsid w:val="00BC6F53"/>
    <w:rsid w:val="00BD4DC4"/>
    <w:rsid w:val="00BD7A41"/>
    <w:rsid w:val="00BE1416"/>
    <w:rsid w:val="00BE49E0"/>
    <w:rsid w:val="00BE696A"/>
    <w:rsid w:val="00BE7727"/>
    <w:rsid w:val="00BF0AD4"/>
    <w:rsid w:val="00BF5077"/>
    <w:rsid w:val="00BF6648"/>
    <w:rsid w:val="00BF7FD5"/>
    <w:rsid w:val="00C01657"/>
    <w:rsid w:val="00C02FCF"/>
    <w:rsid w:val="00C047D5"/>
    <w:rsid w:val="00C0605D"/>
    <w:rsid w:val="00C0680B"/>
    <w:rsid w:val="00C06BC8"/>
    <w:rsid w:val="00C06BE6"/>
    <w:rsid w:val="00C12534"/>
    <w:rsid w:val="00C24440"/>
    <w:rsid w:val="00C24C3A"/>
    <w:rsid w:val="00C25826"/>
    <w:rsid w:val="00C2706D"/>
    <w:rsid w:val="00C311DE"/>
    <w:rsid w:val="00C348F7"/>
    <w:rsid w:val="00C36EBE"/>
    <w:rsid w:val="00C46C53"/>
    <w:rsid w:val="00C53152"/>
    <w:rsid w:val="00C53181"/>
    <w:rsid w:val="00C57489"/>
    <w:rsid w:val="00C62251"/>
    <w:rsid w:val="00C631DA"/>
    <w:rsid w:val="00C676B6"/>
    <w:rsid w:val="00C72A15"/>
    <w:rsid w:val="00C750EF"/>
    <w:rsid w:val="00C8415A"/>
    <w:rsid w:val="00C86984"/>
    <w:rsid w:val="00C9148A"/>
    <w:rsid w:val="00C92731"/>
    <w:rsid w:val="00C93BAE"/>
    <w:rsid w:val="00C94473"/>
    <w:rsid w:val="00C94B3E"/>
    <w:rsid w:val="00C97FFC"/>
    <w:rsid w:val="00CA1A93"/>
    <w:rsid w:val="00CB0AB1"/>
    <w:rsid w:val="00CB1D7F"/>
    <w:rsid w:val="00CB315F"/>
    <w:rsid w:val="00CB3AED"/>
    <w:rsid w:val="00CB745E"/>
    <w:rsid w:val="00CC041E"/>
    <w:rsid w:val="00CC3CCC"/>
    <w:rsid w:val="00CC5B33"/>
    <w:rsid w:val="00CC7133"/>
    <w:rsid w:val="00CC78BA"/>
    <w:rsid w:val="00CD0745"/>
    <w:rsid w:val="00CD0C35"/>
    <w:rsid w:val="00CD2A8E"/>
    <w:rsid w:val="00CE4815"/>
    <w:rsid w:val="00CE5267"/>
    <w:rsid w:val="00CE73AE"/>
    <w:rsid w:val="00CF7530"/>
    <w:rsid w:val="00D00B91"/>
    <w:rsid w:val="00D03DDD"/>
    <w:rsid w:val="00D041E6"/>
    <w:rsid w:val="00D05E0B"/>
    <w:rsid w:val="00D10479"/>
    <w:rsid w:val="00D21171"/>
    <w:rsid w:val="00D213B5"/>
    <w:rsid w:val="00D36CD5"/>
    <w:rsid w:val="00D40EF6"/>
    <w:rsid w:val="00D41C12"/>
    <w:rsid w:val="00D44497"/>
    <w:rsid w:val="00D45695"/>
    <w:rsid w:val="00D45B9A"/>
    <w:rsid w:val="00D47C69"/>
    <w:rsid w:val="00D5016B"/>
    <w:rsid w:val="00D50375"/>
    <w:rsid w:val="00D50998"/>
    <w:rsid w:val="00D522AF"/>
    <w:rsid w:val="00D60502"/>
    <w:rsid w:val="00D62B8F"/>
    <w:rsid w:val="00D711B7"/>
    <w:rsid w:val="00D733D8"/>
    <w:rsid w:val="00D75A15"/>
    <w:rsid w:val="00D84F98"/>
    <w:rsid w:val="00D907AE"/>
    <w:rsid w:val="00D95761"/>
    <w:rsid w:val="00D967D0"/>
    <w:rsid w:val="00D969C4"/>
    <w:rsid w:val="00DA06CA"/>
    <w:rsid w:val="00DA3E54"/>
    <w:rsid w:val="00DA76C1"/>
    <w:rsid w:val="00DB3809"/>
    <w:rsid w:val="00DB5A54"/>
    <w:rsid w:val="00DC1342"/>
    <w:rsid w:val="00DC5E9A"/>
    <w:rsid w:val="00DD17C9"/>
    <w:rsid w:val="00DD19EB"/>
    <w:rsid w:val="00DD2D34"/>
    <w:rsid w:val="00DD5541"/>
    <w:rsid w:val="00DE00DD"/>
    <w:rsid w:val="00DE3AB9"/>
    <w:rsid w:val="00DF248A"/>
    <w:rsid w:val="00DF2CAB"/>
    <w:rsid w:val="00DF304D"/>
    <w:rsid w:val="00DF3314"/>
    <w:rsid w:val="00DF5A32"/>
    <w:rsid w:val="00DF5D50"/>
    <w:rsid w:val="00DF64F6"/>
    <w:rsid w:val="00DF6AF5"/>
    <w:rsid w:val="00DF6E8A"/>
    <w:rsid w:val="00E006A3"/>
    <w:rsid w:val="00E0241D"/>
    <w:rsid w:val="00E03175"/>
    <w:rsid w:val="00E07080"/>
    <w:rsid w:val="00E106F4"/>
    <w:rsid w:val="00E1113D"/>
    <w:rsid w:val="00E16840"/>
    <w:rsid w:val="00E17385"/>
    <w:rsid w:val="00E21A02"/>
    <w:rsid w:val="00E22353"/>
    <w:rsid w:val="00E26810"/>
    <w:rsid w:val="00E27DC8"/>
    <w:rsid w:val="00E31B7F"/>
    <w:rsid w:val="00E33189"/>
    <w:rsid w:val="00E33ADE"/>
    <w:rsid w:val="00E34AD7"/>
    <w:rsid w:val="00E42761"/>
    <w:rsid w:val="00E42A29"/>
    <w:rsid w:val="00E44F50"/>
    <w:rsid w:val="00E521F7"/>
    <w:rsid w:val="00E55249"/>
    <w:rsid w:val="00E55E18"/>
    <w:rsid w:val="00E56EAB"/>
    <w:rsid w:val="00E57BC9"/>
    <w:rsid w:val="00E62296"/>
    <w:rsid w:val="00E676C7"/>
    <w:rsid w:val="00E714F5"/>
    <w:rsid w:val="00E73B10"/>
    <w:rsid w:val="00E8139C"/>
    <w:rsid w:val="00E82084"/>
    <w:rsid w:val="00E825CB"/>
    <w:rsid w:val="00E87101"/>
    <w:rsid w:val="00EA2F59"/>
    <w:rsid w:val="00EA5092"/>
    <w:rsid w:val="00EB0C5B"/>
    <w:rsid w:val="00EB1061"/>
    <w:rsid w:val="00EB1A6D"/>
    <w:rsid w:val="00EB4C33"/>
    <w:rsid w:val="00EB76C3"/>
    <w:rsid w:val="00EC3C44"/>
    <w:rsid w:val="00ED14F6"/>
    <w:rsid w:val="00ED1932"/>
    <w:rsid w:val="00ED2A02"/>
    <w:rsid w:val="00ED3F17"/>
    <w:rsid w:val="00ED69E3"/>
    <w:rsid w:val="00EE2412"/>
    <w:rsid w:val="00EE398F"/>
    <w:rsid w:val="00EE43DD"/>
    <w:rsid w:val="00EE48C8"/>
    <w:rsid w:val="00EF4FC5"/>
    <w:rsid w:val="00EF630E"/>
    <w:rsid w:val="00EF7B12"/>
    <w:rsid w:val="00F01CD9"/>
    <w:rsid w:val="00F03A89"/>
    <w:rsid w:val="00F047A0"/>
    <w:rsid w:val="00F04F3A"/>
    <w:rsid w:val="00F05A27"/>
    <w:rsid w:val="00F100A4"/>
    <w:rsid w:val="00F13890"/>
    <w:rsid w:val="00F15A2E"/>
    <w:rsid w:val="00F16A66"/>
    <w:rsid w:val="00F205D8"/>
    <w:rsid w:val="00F20832"/>
    <w:rsid w:val="00F2438D"/>
    <w:rsid w:val="00F2468E"/>
    <w:rsid w:val="00F25A6C"/>
    <w:rsid w:val="00F34565"/>
    <w:rsid w:val="00F355EB"/>
    <w:rsid w:val="00F41153"/>
    <w:rsid w:val="00F41A65"/>
    <w:rsid w:val="00F42C9B"/>
    <w:rsid w:val="00F4767D"/>
    <w:rsid w:val="00F47C0D"/>
    <w:rsid w:val="00F51FC7"/>
    <w:rsid w:val="00F52B58"/>
    <w:rsid w:val="00F52BA4"/>
    <w:rsid w:val="00F61DD3"/>
    <w:rsid w:val="00F62D1A"/>
    <w:rsid w:val="00F62FDB"/>
    <w:rsid w:val="00F64414"/>
    <w:rsid w:val="00F72529"/>
    <w:rsid w:val="00F75AB9"/>
    <w:rsid w:val="00F806F3"/>
    <w:rsid w:val="00F80ADD"/>
    <w:rsid w:val="00F86F2F"/>
    <w:rsid w:val="00F87754"/>
    <w:rsid w:val="00F90751"/>
    <w:rsid w:val="00F92BA7"/>
    <w:rsid w:val="00F92E34"/>
    <w:rsid w:val="00F963BD"/>
    <w:rsid w:val="00FA2414"/>
    <w:rsid w:val="00FA7699"/>
    <w:rsid w:val="00FB0C6F"/>
    <w:rsid w:val="00FB2E54"/>
    <w:rsid w:val="00FB6E05"/>
    <w:rsid w:val="00FC3EC2"/>
    <w:rsid w:val="00FC48C2"/>
    <w:rsid w:val="00FC5FAA"/>
    <w:rsid w:val="00FC790D"/>
    <w:rsid w:val="00FD071D"/>
    <w:rsid w:val="00FD2224"/>
    <w:rsid w:val="00FD5E49"/>
    <w:rsid w:val="00FE4116"/>
    <w:rsid w:val="00FF05F9"/>
    <w:rsid w:val="00FF0F1C"/>
    <w:rsid w:val="00FF1513"/>
    <w:rsid w:val="00FF1A54"/>
    <w:rsid w:val="00FF43D8"/>
    <w:rsid w:val="00FF6507"/>
    <w:rsid w:val="00FF66FE"/>
    <w:rsid w:val="025012F2"/>
    <w:rsid w:val="02E53A12"/>
    <w:rsid w:val="033E7170"/>
    <w:rsid w:val="03B96DDC"/>
    <w:rsid w:val="04A346D3"/>
    <w:rsid w:val="04FB58C2"/>
    <w:rsid w:val="051D1E5D"/>
    <w:rsid w:val="0577715C"/>
    <w:rsid w:val="059F555F"/>
    <w:rsid w:val="06420713"/>
    <w:rsid w:val="06C65ADC"/>
    <w:rsid w:val="071236D8"/>
    <w:rsid w:val="073773FB"/>
    <w:rsid w:val="07BD3F52"/>
    <w:rsid w:val="081D6CF7"/>
    <w:rsid w:val="0878607A"/>
    <w:rsid w:val="09334A53"/>
    <w:rsid w:val="09FD56D8"/>
    <w:rsid w:val="0A0D1E0C"/>
    <w:rsid w:val="0A7D2579"/>
    <w:rsid w:val="0ABB3A2C"/>
    <w:rsid w:val="0B7335F2"/>
    <w:rsid w:val="0BD863F7"/>
    <w:rsid w:val="0BE31E41"/>
    <w:rsid w:val="0CAE6EDD"/>
    <w:rsid w:val="0E1A3BB0"/>
    <w:rsid w:val="0E23256B"/>
    <w:rsid w:val="0EC87B1B"/>
    <w:rsid w:val="0F231DE5"/>
    <w:rsid w:val="0FAA77A7"/>
    <w:rsid w:val="0FD45A2B"/>
    <w:rsid w:val="10304BDC"/>
    <w:rsid w:val="109E0A4B"/>
    <w:rsid w:val="10BC4D57"/>
    <w:rsid w:val="10DF3A5A"/>
    <w:rsid w:val="11CA13D9"/>
    <w:rsid w:val="12303BDD"/>
    <w:rsid w:val="12760618"/>
    <w:rsid w:val="12CC3221"/>
    <w:rsid w:val="12D92E15"/>
    <w:rsid w:val="13C52C06"/>
    <w:rsid w:val="13CB5A4F"/>
    <w:rsid w:val="14363D3C"/>
    <w:rsid w:val="14463CEB"/>
    <w:rsid w:val="15B265F6"/>
    <w:rsid w:val="1620256A"/>
    <w:rsid w:val="16BB5874"/>
    <w:rsid w:val="18706D73"/>
    <w:rsid w:val="19962A4D"/>
    <w:rsid w:val="1A4F0C4B"/>
    <w:rsid w:val="1A712D2D"/>
    <w:rsid w:val="1AC92553"/>
    <w:rsid w:val="1AE368CD"/>
    <w:rsid w:val="1AED1F8E"/>
    <w:rsid w:val="1B231008"/>
    <w:rsid w:val="1B2C60FD"/>
    <w:rsid w:val="1BA4134E"/>
    <w:rsid w:val="1BB80424"/>
    <w:rsid w:val="1C184DB5"/>
    <w:rsid w:val="1C213EFB"/>
    <w:rsid w:val="1C4909F9"/>
    <w:rsid w:val="1C4E3C99"/>
    <w:rsid w:val="1D0C34C0"/>
    <w:rsid w:val="1D8B7173"/>
    <w:rsid w:val="1E3E7A02"/>
    <w:rsid w:val="1E777294"/>
    <w:rsid w:val="1E89107B"/>
    <w:rsid w:val="1E960658"/>
    <w:rsid w:val="1EA431DA"/>
    <w:rsid w:val="1EE47A44"/>
    <w:rsid w:val="1F2E69D8"/>
    <w:rsid w:val="1F316BE8"/>
    <w:rsid w:val="1F5F1737"/>
    <w:rsid w:val="1FD94B05"/>
    <w:rsid w:val="20280331"/>
    <w:rsid w:val="20BF60DA"/>
    <w:rsid w:val="2144362E"/>
    <w:rsid w:val="21C83ECE"/>
    <w:rsid w:val="22A736C5"/>
    <w:rsid w:val="23C16AD3"/>
    <w:rsid w:val="23C9696C"/>
    <w:rsid w:val="253419D9"/>
    <w:rsid w:val="255F7F7A"/>
    <w:rsid w:val="25D971A5"/>
    <w:rsid w:val="25DA4232"/>
    <w:rsid w:val="26273822"/>
    <w:rsid w:val="277E3DF7"/>
    <w:rsid w:val="283377B7"/>
    <w:rsid w:val="295D7B3C"/>
    <w:rsid w:val="29817563"/>
    <w:rsid w:val="2A740AEF"/>
    <w:rsid w:val="2AAA33FA"/>
    <w:rsid w:val="2AF51F69"/>
    <w:rsid w:val="2B332519"/>
    <w:rsid w:val="2C4F6B65"/>
    <w:rsid w:val="2C552B12"/>
    <w:rsid w:val="2C7F56C9"/>
    <w:rsid w:val="2D22019E"/>
    <w:rsid w:val="2DA83B45"/>
    <w:rsid w:val="2DE928F1"/>
    <w:rsid w:val="2EB57067"/>
    <w:rsid w:val="2F0D5A79"/>
    <w:rsid w:val="2FA92D6A"/>
    <w:rsid w:val="2FBD0A96"/>
    <w:rsid w:val="303D7B40"/>
    <w:rsid w:val="306A2285"/>
    <w:rsid w:val="30B43B75"/>
    <w:rsid w:val="31716284"/>
    <w:rsid w:val="32B01913"/>
    <w:rsid w:val="32E153B7"/>
    <w:rsid w:val="3326278F"/>
    <w:rsid w:val="333279D3"/>
    <w:rsid w:val="33485383"/>
    <w:rsid w:val="341F74F3"/>
    <w:rsid w:val="346D4683"/>
    <w:rsid w:val="3543444C"/>
    <w:rsid w:val="355E15BB"/>
    <w:rsid w:val="356C19CE"/>
    <w:rsid w:val="356F2F7D"/>
    <w:rsid w:val="360379FA"/>
    <w:rsid w:val="36366318"/>
    <w:rsid w:val="363E3AC9"/>
    <w:rsid w:val="365C5B05"/>
    <w:rsid w:val="36843CB8"/>
    <w:rsid w:val="36B379F9"/>
    <w:rsid w:val="37090D5F"/>
    <w:rsid w:val="37E90A60"/>
    <w:rsid w:val="383D6230"/>
    <w:rsid w:val="383E51B3"/>
    <w:rsid w:val="38734F6A"/>
    <w:rsid w:val="38D546AB"/>
    <w:rsid w:val="38E97528"/>
    <w:rsid w:val="38F4655A"/>
    <w:rsid w:val="39345222"/>
    <w:rsid w:val="394E206D"/>
    <w:rsid w:val="39F363FC"/>
    <w:rsid w:val="3A973D65"/>
    <w:rsid w:val="3AD449E8"/>
    <w:rsid w:val="3BF96838"/>
    <w:rsid w:val="3C190774"/>
    <w:rsid w:val="3CB2036A"/>
    <w:rsid w:val="3D463C3D"/>
    <w:rsid w:val="3D614EC1"/>
    <w:rsid w:val="3E562994"/>
    <w:rsid w:val="3EB47B31"/>
    <w:rsid w:val="3F7569D8"/>
    <w:rsid w:val="3F893D49"/>
    <w:rsid w:val="3F8B1E8A"/>
    <w:rsid w:val="400E398B"/>
    <w:rsid w:val="41586720"/>
    <w:rsid w:val="41EE3A17"/>
    <w:rsid w:val="425D7D14"/>
    <w:rsid w:val="42750D5C"/>
    <w:rsid w:val="42D26B92"/>
    <w:rsid w:val="42E96A9C"/>
    <w:rsid w:val="430C6FB0"/>
    <w:rsid w:val="43A24101"/>
    <w:rsid w:val="443C34EF"/>
    <w:rsid w:val="44470714"/>
    <w:rsid w:val="44D16FF4"/>
    <w:rsid w:val="44E97B3C"/>
    <w:rsid w:val="46C34C0E"/>
    <w:rsid w:val="470F32CA"/>
    <w:rsid w:val="471F5C4F"/>
    <w:rsid w:val="474D1DE2"/>
    <w:rsid w:val="47690EAD"/>
    <w:rsid w:val="47B05DB2"/>
    <w:rsid w:val="47E25BAC"/>
    <w:rsid w:val="481F687B"/>
    <w:rsid w:val="4864156E"/>
    <w:rsid w:val="486B5831"/>
    <w:rsid w:val="49090634"/>
    <w:rsid w:val="49855129"/>
    <w:rsid w:val="49D258E3"/>
    <w:rsid w:val="4A852BB5"/>
    <w:rsid w:val="4BE93E3F"/>
    <w:rsid w:val="4CAF5182"/>
    <w:rsid w:val="4E80698C"/>
    <w:rsid w:val="4FE84B95"/>
    <w:rsid w:val="500D2DC3"/>
    <w:rsid w:val="504A4D9E"/>
    <w:rsid w:val="50CB48D7"/>
    <w:rsid w:val="511922CC"/>
    <w:rsid w:val="51FA0E4B"/>
    <w:rsid w:val="52BD048C"/>
    <w:rsid w:val="54A8198E"/>
    <w:rsid w:val="54BA21B5"/>
    <w:rsid w:val="54CF5B71"/>
    <w:rsid w:val="54E431FE"/>
    <w:rsid w:val="55D3123D"/>
    <w:rsid w:val="576660E5"/>
    <w:rsid w:val="581B0808"/>
    <w:rsid w:val="58C07FBE"/>
    <w:rsid w:val="58F3136B"/>
    <w:rsid w:val="5AFA0793"/>
    <w:rsid w:val="5BF96684"/>
    <w:rsid w:val="5C53262D"/>
    <w:rsid w:val="5C834E9B"/>
    <w:rsid w:val="5D972072"/>
    <w:rsid w:val="5DC96761"/>
    <w:rsid w:val="5F7B25CA"/>
    <w:rsid w:val="5F8A034C"/>
    <w:rsid w:val="5FAB6F9C"/>
    <w:rsid w:val="5FFE7C03"/>
    <w:rsid w:val="602A0149"/>
    <w:rsid w:val="6060504E"/>
    <w:rsid w:val="60BE7F8E"/>
    <w:rsid w:val="61807D51"/>
    <w:rsid w:val="619E4311"/>
    <w:rsid w:val="62241047"/>
    <w:rsid w:val="62664698"/>
    <w:rsid w:val="629A2961"/>
    <w:rsid w:val="631B1BEC"/>
    <w:rsid w:val="63974FA9"/>
    <w:rsid w:val="64487737"/>
    <w:rsid w:val="6529272E"/>
    <w:rsid w:val="65312DB1"/>
    <w:rsid w:val="657F3B9E"/>
    <w:rsid w:val="65E052B4"/>
    <w:rsid w:val="661816A2"/>
    <w:rsid w:val="66911025"/>
    <w:rsid w:val="66B91C26"/>
    <w:rsid w:val="67A10CD0"/>
    <w:rsid w:val="69F71F4D"/>
    <w:rsid w:val="6A3B038C"/>
    <w:rsid w:val="6AF553CA"/>
    <w:rsid w:val="6C464E96"/>
    <w:rsid w:val="6CA27701"/>
    <w:rsid w:val="6CB700E0"/>
    <w:rsid w:val="6D3552A7"/>
    <w:rsid w:val="6D7430C9"/>
    <w:rsid w:val="6DA1264C"/>
    <w:rsid w:val="6F3D238D"/>
    <w:rsid w:val="703374C3"/>
    <w:rsid w:val="708D6B9B"/>
    <w:rsid w:val="70A13AEB"/>
    <w:rsid w:val="70D95550"/>
    <w:rsid w:val="71606A40"/>
    <w:rsid w:val="716C3D93"/>
    <w:rsid w:val="71714635"/>
    <w:rsid w:val="724C1E02"/>
    <w:rsid w:val="74591685"/>
    <w:rsid w:val="75DE0DA6"/>
    <w:rsid w:val="75F148F5"/>
    <w:rsid w:val="76553715"/>
    <w:rsid w:val="76FB185F"/>
    <w:rsid w:val="77852348"/>
    <w:rsid w:val="778C5656"/>
    <w:rsid w:val="78DB1C0E"/>
    <w:rsid w:val="78ED5E12"/>
    <w:rsid w:val="795B3127"/>
    <w:rsid w:val="79BF4084"/>
    <w:rsid w:val="7A2E395A"/>
    <w:rsid w:val="7A86290B"/>
    <w:rsid w:val="7AB77897"/>
    <w:rsid w:val="7AE62B73"/>
    <w:rsid w:val="7AF95262"/>
    <w:rsid w:val="7C015683"/>
    <w:rsid w:val="7CF24DE2"/>
    <w:rsid w:val="7D9E5E4B"/>
    <w:rsid w:val="7E162A33"/>
    <w:rsid w:val="7E391E8A"/>
    <w:rsid w:val="7E8A7D3F"/>
    <w:rsid w:val="7F607A34"/>
    <w:rsid w:val="7FAD360A"/>
    <w:rsid w:val="7FF8138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3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rFonts w:eastAsia="宋体"/>
      <w:b/>
      <w:bCs/>
      <w:kern w:val="44"/>
      <w:sz w:val="44"/>
      <w:szCs w:val="44"/>
    </w:rPr>
  </w:style>
  <w:style w:type="character" w:default="1" w:styleId="16">
    <w:name w:val="Default Paragraph Font"/>
    <w:uiPriority w:val="0"/>
  </w:style>
  <w:style w:type="table" w:default="1" w:styleId="1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spacing w:after="120"/>
    </w:pPr>
  </w:style>
  <w:style w:type="paragraph" w:styleId="4">
    <w:name w:val="Body Text Indent"/>
    <w:basedOn w:val="1"/>
    <w:uiPriority w:val="0"/>
    <w:pPr>
      <w:spacing w:line="360" w:lineRule="auto"/>
      <w:ind w:firstLine="592" w:firstLineChars="200"/>
    </w:pPr>
    <w:rPr>
      <w:color w:val="FF6600"/>
      <w:sz w:val="30"/>
      <w:szCs w:val="24"/>
    </w:rPr>
  </w:style>
  <w:style w:type="paragraph" w:styleId="5">
    <w:name w:val="Block Text"/>
    <w:basedOn w:val="1"/>
    <w:uiPriority w:val="0"/>
    <w:pPr>
      <w:autoSpaceDE w:val="0"/>
      <w:autoSpaceDN w:val="0"/>
      <w:adjustRightInd w:val="0"/>
      <w:spacing w:line="240" w:lineRule="atLeast"/>
      <w:ind w:left="360" w:right="2134" w:firstLine="420"/>
    </w:pPr>
    <w:rPr>
      <w:rFonts w:ascii="仿宋_GB2312" w:eastAsia="仿宋_GB2312"/>
      <w:color w:val="000000"/>
      <w:kern w:val="0"/>
      <w:sz w:val="30"/>
      <w:szCs w:val="30"/>
    </w:rPr>
  </w:style>
  <w:style w:type="paragraph" w:styleId="6">
    <w:name w:val="Plain Text"/>
    <w:basedOn w:val="1"/>
    <w:link w:val="19"/>
    <w:uiPriority w:val="0"/>
    <w:rPr>
      <w:rFonts w:ascii="宋体" w:hAnsi="Courier New" w:eastAsia="宋体"/>
      <w:kern w:val="2"/>
      <w:sz w:val="21"/>
      <w:szCs w:val="21"/>
    </w:rPr>
  </w:style>
  <w:style w:type="paragraph" w:styleId="7">
    <w:name w:val="Date"/>
    <w:basedOn w:val="1"/>
    <w:next w:val="1"/>
    <w:uiPriority w:val="0"/>
    <w:pPr>
      <w:ind w:left="100" w:leftChars="2500"/>
    </w:pPr>
  </w:style>
  <w:style w:type="paragraph" w:styleId="8">
    <w:name w:val="Body Text Indent 2"/>
    <w:basedOn w:val="1"/>
    <w:uiPriority w:val="0"/>
    <w:pPr>
      <w:spacing w:after="120" w:line="480" w:lineRule="auto"/>
      <w:ind w:left="420" w:leftChars="200"/>
    </w:pPr>
  </w:style>
  <w:style w:type="paragraph" w:styleId="9">
    <w:name w:val="footer"/>
    <w:basedOn w:val="1"/>
    <w:link w:val="2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next w:val="1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customStyle="1" w:styleId="11">
    <w:name w:val="正文1"/>
    <w:basedOn w:val="1"/>
    <w:qFormat/>
    <w:uiPriority w:val="0"/>
    <w:pPr>
      <w:tabs>
        <w:tab w:val="center" w:pos="4252"/>
        <w:tab w:val="left" w:pos="7170"/>
      </w:tabs>
      <w:adjustRightInd w:val="0"/>
      <w:snapToGrid w:val="0"/>
      <w:spacing w:line="480" w:lineRule="exact"/>
      <w:ind w:firstLine="568" w:firstLineChars="200"/>
    </w:pPr>
    <w:rPr>
      <w:rFonts w:eastAsia="仿宋_GB2312"/>
      <w:bCs/>
      <w:spacing w:val="-18"/>
      <w:kern w:val="28"/>
      <w:sz w:val="32"/>
      <w:szCs w:val="32"/>
    </w:rPr>
  </w:style>
  <w:style w:type="paragraph" w:styleId="12">
    <w:name w:val="Normal (Web)"/>
    <w:basedOn w:val="1"/>
    <w:unhideWhenUsed/>
    <w:uiPriority w:val="0"/>
    <w:pPr>
      <w:jc w:val="left"/>
    </w:pPr>
    <w:rPr>
      <w:rFonts w:eastAsia="宋体"/>
      <w:kern w:val="0"/>
      <w:sz w:val="24"/>
    </w:rPr>
  </w:style>
  <w:style w:type="paragraph" w:styleId="13">
    <w:name w:val="Title"/>
    <w:basedOn w:val="1"/>
    <w:qFormat/>
    <w:uiPriority w:val="0"/>
    <w:pPr>
      <w:spacing w:line="440" w:lineRule="atLeast"/>
      <w:jc w:val="left"/>
      <w:outlineLvl w:val="0"/>
    </w:pPr>
    <w:rPr>
      <w:rFonts w:ascii="宋体" w:hAnsi="Arial"/>
      <w:b/>
      <w:sz w:val="24"/>
      <w:szCs w:val="20"/>
    </w:rPr>
  </w:style>
  <w:style w:type="table" w:styleId="15">
    <w:name w:val="Table Grid"/>
    <w:basedOn w:val="14"/>
    <w:unhideWhenUs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page number"/>
    <w:basedOn w:val="16"/>
    <w:uiPriority w:val="0"/>
  </w:style>
  <w:style w:type="character" w:styleId="18">
    <w:name w:val="Hyperlink"/>
    <w:basedOn w:val="16"/>
    <w:uiPriority w:val="0"/>
    <w:rPr>
      <w:color w:val="0000FF"/>
      <w:u w:val="single"/>
    </w:rPr>
  </w:style>
  <w:style w:type="character" w:customStyle="1" w:styleId="19">
    <w:name w:val="纯文本 Char"/>
    <w:basedOn w:val="16"/>
    <w:link w:val="6"/>
    <w:uiPriority w:val="0"/>
    <w:rPr>
      <w:rFonts w:ascii="宋体" w:hAnsi="Courier New"/>
      <w:kern w:val="2"/>
      <w:sz w:val="21"/>
      <w:szCs w:val="21"/>
    </w:rPr>
  </w:style>
  <w:style w:type="character" w:customStyle="1" w:styleId="20">
    <w:name w:val="页脚 Char1"/>
    <w:basedOn w:val="16"/>
    <w:link w:val="9"/>
    <w:uiPriority w:val="0"/>
    <w:rPr>
      <w:rFonts w:eastAsia="方正仿宋_GBK"/>
      <w:kern w:val="2"/>
      <w:sz w:val="18"/>
      <w:lang w:val="en-US" w:eastAsia="zh-CN" w:bidi="ar-SA"/>
    </w:rPr>
  </w:style>
  <w:style w:type="character" w:customStyle="1" w:styleId="21">
    <w:name w:val="页脚 Char"/>
    <w:basedOn w:val="16"/>
    <w:uiPriority w:val="0"/>
    <w:rPr>
      <w:rFonts w:eastAsia="方正仿宋_GBK"/>
      <w:kern w:val="2"/>
      <w:sz w:val="18"/>
      <w:lang w:val="en-US" w:eastAsia="zh-CN" w:bidi="ar-SA"/>
    </w:rPr>
  </w:style>
  <w:style w:type="character" w:customStyle="1" w:styleId="22">
    <w:name w:val="_Style 21"/>
    <w:basedOn w:val="16"/>
    <w:qFormat/>
    <w:uiPriority w:val="21"/>
    <w:rPr>
      <w:b/>
      <w:bCs/>
      <w:i/>
      <w:iCs/>
      <w:color w:val="4F81BD"/>
    </w:rPr>
  </w:style>
  <w:style w:type="character" w:customStyle="1" w:styleId="23">
    <w:name w:val="15"/>
    <w:basedOn w:val="16"/>
    <w:uiPriority w:val="0"/>
    <w:rPr>
      <w:rFonts w:hint="default" w:ascii="Calibri" w:hAnsi="Calibri"/>
      <w:color w:val="0000FF"/>
      <w:u w:val="single"/>
    </w:rPr>
  </w:style>
  <w:style w:type="paragraph" w:customStyle="1" w:styleId="24">
    <w:name w:val="正文 New New New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25">
    <w:name w:val="标题1"/>
    <w:basedOn w:val="1"/>
    <w:next w:val="1"/>
    <w:uiPriority w:val="0"/>
    <w:pPr>
      <w:tabs>
        <w:tab w:val="left" w:pos="9193"/>
        <w:tab w:val="left" w:pos="9827"/>
      </w:tabs>
      <w:spacing w:line="700" w:lineRule="atLeast"/>
      <w:jc w:val="center"/>
    </w:pPr>
    <w:rPr>
      <w:rFonts w:eastAsia="方正小标宋_GBK"/>
      <w:sz w:val="44"/>
    </w:rPr>
  </w:style>
  <w:style w:type="paragraph" w:customStyle="1" w:styleId="26">
    <w:name w:val="正文 New New New New New New New New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27">
    <w:name w:val="p16"/>
    <w:basedOn w:val="28"/>
    <w:uiPriority w:val="0"/>
    <w:pPr>
      <w:widowControl/>
    </w:pPr>
    <w:rPr>
      <w:kern w:val="0"/>
      <w:szCs w:val="21"/>
    </w:rPr>
  </w:style>
  <w:style w:type="paragraph" w:customStyle="1" w:styleId="28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29">
    <w:name w:val="正文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0">
    <w:name w:val="Normal"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31">
    <w:name w:val="正文(首行缩进)"/>
    <w:basedOn w:val="1"/>
    <w:uiPriority w:val="0"/>
    <w:pPr>
      <w:adjustRightInd w:val="0"/>
      <w:spacing w:line="360" w:lineRule="auto"/>
      <w:ind w:firstLine="640" w:firstLineChars="200"/>
    </w:pPr>
    <w:rPr>
      <w:rFonts w:ascii="仿宋_GB2312" w:eastAsia="仿宋_GB2312"/>
      <w:color w:val="000000"/>
      <w:kern w:val="0"/>
    </w:rPr>
  </w:style>
  <w:style w:type="paragraph" w:customStyle="1" w:styleId="32">
    <w:name w:val="List Paragraph"/>
    <w:basedOn w:val="1"/>
    <w:uiPriority w:val="0"/>
    <w:pPr>
      <w:ind w:firstLine="420" w:firstLineChars="200"/>
    </w:pPr>
    <w:rPr>
      <w:rFonts w:eastAsia="宋体"/>
      <w:kern w:val="2"/>
      <w:sz w:val="21"/>
      <w:szCs w:val="21"/>
    </w:rPr>
  </w:style>
  <w:style w:type="paragraph" w:customStyle="1" w:styleId="33">
    <w:name w:val="样式 首行缩进:  2 字符 行距: 1.5 倍行距"/>
    <w:basedOn w:val="1"/>
    <w:qFormat/>
    <w:uiPriority w:val="0"/>
    <w:pPr>
      <w:adjustRightInd w:val="0"/>
      <w:snapToGrid w:val="0"/>
      <w:spacing w:line="360" w:lineRule="auto"/>
      <w:ind w:firstLine="200" w:firstLineChars="200"/>
    </w:pPr>
    <w:rPr>
      <w:rFonts w:cs="宋体"/>
      <w:sz w:val="24"/>
      <w:szCs w:val="20"/>
    </w:rPr>
  </w:style>
  <w:style w:type="paragraph" w:customStyle="1" w:styleId="34">
    <w:name w:val="正文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35">
    <w:name w:val="p17"/>
    <w:basedOn w:val="1"/>
    <w:uiPriority w:val="0"/>
    <w:pPr>
      <w:widowControl/>
    </w:pPr>
    <w:rPr>
      <w:rFonts w:hint="eastAsia" w:ascii="宋体" w:hAnsi="宋体" w:eastAsia="宋体"/>
      <w:sz w:val="21"/>
    </w:rPr>
  </w:style>
  <w:style w:type="paragraph" w:customStyle="1" w:styleId="36">
    <w:name w:val="Char Char Char Char"/>
    <w:basedOn w:val="1"/>
    <w:uiPriority w:val="0"/>
    <w:rPr>
      <w:rFonts w:eastAsia="宋体"/>
      <w:sz w:val="21"/>
      <w:szCs w:val="24"/>
    </w:rPr>
  </w:style>
  <w:style w:type="paragraph" w:customStyle="1" w:styleId="37">
    <w:name w:val="p0"/>
    <w:basedOn w:val="1"/>
    <w:qFormat/>
    <w:uiPriority w:val="0"/>
    <w:pPr>
      <w:widowControl/>
    </w:pPr>
    <w:rPr>
      <w:rFonts w:eastAsia="宋体"/>
      <w:kern w:val="0"/>
      <w:sz w:val="21"/>
      <w:szCs w:val="21"/>
    </w:rPr>
  </w:style>
  <w:style w:type="paragraph" w:customStyle="1" w:styleId="38">
    <w:name w:val="Char2"/>
    <w:basedOn w:val="1"/>
    <w:uiPriority w:val="0"/>
    <w:rPr>
      <w:rFonts w:eastAsia="宋体"/>
      <w:sz w:val="21"/>
      <w:szCs w:val="21"/>
    </w:rPr>
  </w:style>
  <w:style w:type="paragraph" w:customStyle="1" w:styleId="39">
    <w:name w:val=" Char Char Char"/>
    <w:basedOn w:val="1"/>
    <w:uiPriority w:val="0"/>
    <w:pPr>
      <w:widowControl/>
      <w:kinsoku w:val="0"/>
      <w:jc w:val="left"/>
    </w:pPr>
    <w:rPr>
      <w:rFonts w:eastAsia="宋体"/>
      <w:kern w:val="0"/>
      <w:sz w:val="20"/>
      <w:szCs w:val="20"/>
    </w:rPr>
  </w:style>
  <w:style w:type="paragraph" w:customStyle="1" w:styleId="40">
    <w:name w:val=" Char Char Char Char Char Char Char"/>
    <w:basedOn w:val="1"/>
    <w:uiPriority w:val="0"/>
    <w:rPr>
      <w:szCs w:val="24"/>
    </w:rPr>
  </w:style>
  <w:style w:type="paragraph" w:customStyle="1" w:styleId="41">
    <w:name w:val="Plain Text1"/>
    <w:basedOn w:val="1"/>
    <w:qFormat/>
    <w:uiPriority w:val="0"/>
    <w:pPr>
      <w:adjustRightInd w:val="0"/>
    </w:pPr>
    <w:rPr>
      <w:rFonts w:hint="eastAsia" w:ascii="宋体" w:hAnsi="Courier New" w:eastAsia="宋体" w:cs="Times New Roman"/>
      <w:szCs w:val="20"/>
    </w:rPr>
  </w:style>
  <w:style w:type="paragraph" w:customStyle="1" w:styleId="42">
    <w:name w:val="111正文"/>
    <w:basedOn w:val="1"/>
    <w:qFormat/>
    <w:uiPriority w:val="99"/>
    <w:pPr>
      <w:tabs>
        <w:tab w:val="left" w:pos="600"/>
      </w:tabs>
    </w:pPr>
    <w:rPr>
      <w:rFonts w:ascii="Calibri" w:hAnsi="Calibri"/>
      <w:szCs w:val="22"/>
      <w:lang w:val="zh-CN"/>
    </w:rPr>
  </w:style>
  <w:style w:type="paragraph" w:customStyle="1" w:styleId="43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_GB2312" w:hAnsi="Times New Roman" w:eastAsia="楷体_GB2312" w:cs="楷体_GB2312"/>
      <w:color w:val="000000"/>
      <w:sz w:val="24"/>
      <w:szCs w:val="24"/>
      <w:lang w:val="en-US" w:eastAsia="zh-CN" w:bidi="ar-SA"/>
    </w:rPr>
  </w:style>
  <w:style w:type="paragraph" w:customStyle="1" w:styleId="44">
    <w:name w:val="正文 New New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45">
    <w:name w:val="正文 New New New New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2282\AppData\Local\Kingsoft\WPS%20Office\12.1.0.20305\office6\Normal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5</Pages>
  <Words>2228</Words>
  <Characters>2460</Characters>
  <Lines>18</Lines>
  <Paragraphs>5</Paragraphs>
  <TotalTime>3</TotalTime>
  <ScaleCrop>false</ScaleCrop>
  <LinksUpToDate>false</LinksUpToDate>
  <CharactersWithSpaces>2518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2017-05-19T08:16:00Z</dcterms:created>
  <dc:creator>lenovo</dc:creator>
  <cp:lastModifiedBy>郭丽娜</cp:lastModifiedBy>
  <cp:lastPrinted>2024-11-04T03:35:00Z</cp:lastPrinted>
  <dcterms:modified xsi:type="dcterms:W3CDTF">2026-07-20T07:59:20Z</dcterms:modified>
  <dc:title>2010年环境信访工作通报 </dc:title>
  <cp:revision>242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SaveFontToCloudKey">
    <vt:lpwstr>698168421_btnclosed</vt:lpwstr>
  </property>
  <property fmtid="{D5CDD505-2E9C-101B-9397-08002B2CF9AE}" pid="4" name="ICV">
    <vt:lpwstr>F7A7476AFB9E4A42861A719B1D582237_13</vt:lpwstr>
  </property>
  <property fmtid="{D5CDD505-2E9C-101B-9397-08002B2CF9AE}" pid="5" name="KSOTemplateDocerSaveRecord">
    <vt:lpwstr>eyJoZGlkIjoiYTA0OTFiNTllN2E3YTc2MDc5ZTIwYTg0ZjFlZjFlMWQiLCJ1c2VySWQiOiIzNzMyMDUyODEifQ==</vt:lpwstr>
  </property>
</Properties>
</file>