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9814" w:type="dxa"/>
        <w:tblInd w:w="-2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2246"/>
        <w:gridCol w:w="1276"/>
        <w:gridCol w:w="1378"/>
        <w:gridCol w:w="1245"/>
        <w:gridCol w:w="1913"/>
      </w:tblGrid>
      <w:tr w14:paraId="654D8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46315054">
            <w:pPr>
              <w:widowControl/>
              <w:spacing w:line="280" w:lineRule="exact"/>
              <w:jc w:val="left"/>
              <w:rPr>
                <w:rFonts w:asci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6073F">
            <w:pPr>
              <w:widowControl/>
              <w:spacing w:line="28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1"/>
                <w:szCs w:val="21"/>
                <w:lang w:eastAsia="zh-CN"/>
              </w:rPr>
              <w:t>丹凤风电场扩建项目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22ADAC66">
            <w:pPr>
              <w:widowControl/>
              <w:spacing w:line="280" w:lineRule="exact"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建设地点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D71CB">
            <w:pPr>
              <w:widowControl/>
              <w:spacing w:line="280" w:lineRule="exact"/>
              <w:jc w:val="center"/>
              <w:rPr>
                <w:rFonts w:hint="default"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1"/>
                <w:szCs w:val="21"/>
                <w:lang w:val="en-US" w:eastAsia="zh-CN"/>
              </w:rPr>
              <w:t>曲靖市师宗县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5C441088">
            <w:pPr>
              <w:widowControl/>
              <w:spacing w:line="280" w:lineRule="exact"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建设单位</w:t>
            </w:r>
          </w:p>
        </w:tc>
        <w:tc>
          <w:tcPr>
            <w:tcW w:w="1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D339F">
            <w:pPr>
              <w:widowControl/>
              <w:spacing w:line="280" w:lineRule="exact"/>
              <w:jc w:val="center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1"/>
                <w:szCs w:val="21"/>
                <w:lang w:eastAsia="zh-CN"/>
              </w:rPr>
              <w:t>师宗泰合风力发电有限公司</w:t>
            </w:r>
          </w:p>
        </w:tc>
      </w:tr>
      <w:tr w14:paraId="04960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395D1A3B">
            <w:pPr>
              <w:widowControl/>
              <w:spacing w:line="280" w:lineRule="exact"/>
              <w:jc w:val="left"/>
              <w:rPr>
                <w:rFonts w:asci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环评文件类型</w:t>
            </w:r>
          </w:p>
        </w:tc>
        <w:tc>
          <w:tcPr>
            <w:tcW w:w="2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05800">
            <w:pPr>
              <w:widowControl/>
              <w:spacing w:line="280" w:lineRule="exact"/>
              <w:jc w:val="center"/>
              <w:rPr>
                <w:rFonts w:ascii="宋体" w:hAnsi="宋体" w:eastAsia="宋体" w:cs="华文仿宋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宋体"/>
                <w:color w:val="auto"/>
                <w:kern w:val="0"/>
                <w:sz w:val="21"/>
                <w:szCs w:val="21"/>
              </w:rPr>
              <w:t>报告表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5FF20021">
            <w:pPr>
              <w:widowControl/>
              <w:spacing w:line="280" w:lineRule="exact"/>
              <w:jc w:val="left"/>
              <w:rPr>
                <w:rFonts w:asci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环境影响评价机构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08E526">
            <w:pPr>
              <w:widowControl/>
              <w:spacing w:line="280" w:lineRule="exact"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1"/>
                <w:szCs w:val="21"/>
                <w:lang w:val="en-US" w:eastAsia="zh-CN"/>
              </w:rPr>
              <w:t>云南国策环保科技有限公司</w:t>
            </w:r>
          </w:p>
        </w:tc>
      </w:tr>
      <w:tr w14:paraId="7FA37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9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0C86586D">
            <w:pPr>
              <w:widowControl/>
              <w:spacing w:line="280" w:lineRule="exact"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项目概况</w:t>
            </w:r>
          </w:p>
        </w:tc>
      </w:tr>
      <w:tr w14:paraId="3D13C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84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丹凤风电场扩建项目位于曲靖市师宗县，规划装机容量130MW，拟安装5.0MW风电机组6台和6.25MW风电机组16台，采用“一机一变”的接线方式，共22台箱变。新建1座110kV升压站，主变容量为130MWA。共设5回集电线路，电压等级采用35kV。本工程总投资57908.83万元，其中环保投资1625万元，占工程总投资的2.81%。</w:t>
            </w:r>
          </w:p>
        </w:tc>
      </w:tr>
      <w:tr w14:paraId="2D267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2B8B1DFB">
            <w:pPr>
              <w:widowControl/>
              <w:spacing w:line="280" w:lineRule="exact"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项目主要环境影响</w:t>
            </w:r>
          </w:p>
        </w:tc>
      </w:tr>
      <w:tr w14:paraId="63106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9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71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1、施工期环境影响分析</w:t>
            </w:r>
          </w:p>
          <w:p w14:paraId="193BD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（1）废气：主要包括施工作业扬尘、物料堆场和加工扬尘、运输扬尘及施工机械、运</w:t>
            </w:r>
          </w:p>
          <w:p w14:paraId="01540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输车辆尾气等。</w:t>
            </w:r>
          </w:p>
          <w:p w14:paraId="6B79B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（2）废水：施工废水及施工人员生活污水。</w:t>
            </w:r>
          </w:p>
          <w:p w14:paraId="7AF51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（3）噪声：要来自于场内道路修建，场地平整，风电机组和箱式变压站基础开挖，升</w:t>
            </w:r>
          </w:p>
          <w:p w14:paraId="4A2F6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压站土建工程施工时的施工机械噪声。</w:t>
            </w:r>
          </w:p>
          <w:p w14:paraId="06C8E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（4）固废：项目在建设期产生弃渣、施工产生的表土及生活垃圾。</w:t>
            </w:r>
          </w:p>
          <w:p w14:paraId="4D03A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（5）生态：项目建设将对区域生态环境产生一定的影响。</w:t>
            </w:r>
          </w:p>
          <w:p w14:paraId="0C2EF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2、运营期环境影响分析</w:t>
            </w:r>
          </w:p>
          <w:p w14:paraId="7015C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（1）废气：运营期升压站产生食堂油烟。</w:t>
            </w:r>
          </w:p>
          <w:p w14:paraId="4DE9D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（2）废水：主要为升压站食堂废水和办公生活污水。</w:t>
            </w:r>
          </w:p>
          <w:p w14:paraId="3F300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（3）噪声：主要来自变压器、风机运行噪声。</w:t>
            </w:r>
          </w:p>
          <w:p w14:paraId="04CFA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（4）固废：项目产生的生活垃圾、废矿物油、废旧铅蓄电池等。</w:t>
            </w:r>
          </w:p>
          <w:p w14:paraId="03DE6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（5）生态：工程运营期对临时工程占地采取植被恢复措施后，对植被的影响将得到恢复。根据现场调查和查阅文献资料记载，项目距离目前已知的鸟类集中迁徙通道较远，工程不在云南省主要鸟类迁徙通道及夜间鸟类聚集地范围内，项目运行期对迁徙鸟类影响较小。</w:t>
            </w:r>
          </w:p>
        </w:tc>
      </w:tr>
      <w:tr w14:paraId="4FBE8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0F3C68C6">
            <w:pPr>
              <w:widowControl/>
              <w:spacing w:line="280" w:lineRule="exact"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项目预防及减轻不良环境影响的对策和措施</w:t>
            </w:r>
          </w:p>
        </w:tc>
      </w:tr>
      <w:tr w14:paraId="15871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9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8B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1、施工期污染防治措施</w:t>
            </w:r>
          </w:p>
          <w:p w14:paraId="33B96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（1）废气：施工过程中加强管理，减少建筑材料露天堆放。施工期开挖的土石方，及时回填，剩余的弃渣及时运至指定渣场堆放。施工车辆进行定期检修，防止车辆行驶过程中洒落。运输粉状材料的车辆使用覆盖篷布。对机械、车辆加强维修保养，对施工现场和道路进行洒水降尘。</w:t>
            </w:r>
          </w:p>
          <w:p w14:paraId="721CB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（2）废水：施工期节约用水，合理安排施工期，避免在雨天土石方施工，施工期设置临时沉淀池，施工废水经处理后回用于现场施工及洒水降尘，不外排。施工人员粪便污水通过旱厕收集。</w:t>
            </w:r>
          </w:p>
          <w:p w14:paraId="624BD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（3）噪声：加强施工机械的维护保养。选取噪声低、振动小、能耗小的先进设备。施工车辆经过村庄采取减速慢行，严禁鸣笛。</w:t>
            </w:r>
          </w:p>
          <w:p w14:paraId="5E7D3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（4）固废：施工过程尽可能减少弃渣。施工期废弃土石方优先用于场内平衡回填，多余的土石方运至弃渣场进行堆放。施工生活垃圾设垃圾桶，统一收集后运至附近村庄垃圾收集点处理。</w:t>
            </w:r>
          </w:p>
          <w:p w14:paraId="7055F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（5）生态：不在生态保护红线、永久基本农田、菌子山自然保护区内设置施工营地、材料堆场等临时占地。禁止超计划占地。施工过程对表层土壤进行覆盖，施工结束后用于施工迹地的恢复。选取乡土植物树种为主，尽量减少对留鸟生境的破坏，做好施工人员及管理人员的教育，严禁在施工区及其猎捕和食用野生动物，按《国家级公益林管理办法》《云南省公益林管理办法》和《建设项目使用林地审核审批管理规范》的相关要求向主管部门履行手续，落实公益林补偿和保护工作。</w:t>
            </w:r>
          </w:p>
          <w:p w14:paraId="016C9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2、运营期污染防治措施</w:t>
            </w:r>
          </w:p>
          <w:p w14:paraId="114AA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（1）废气：项目食堂油烟废气经抽油烟机处理后排放。</w:t>
            </w:r>
          </w:p>
          <w:p w14:paraId="7915A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（2）废水：升压站设置1个隔油池，1个化粪池，一座一体化污水处理设备。食堂废水经隔油池隔油后，连同其它生活污水进入化粪池处理，处理后进入一体化污水处理达到《城市污水再生利用城市杂用水水质》（GB/T18920-2020）中绿化标准回用于升压站内绿化。</w:t>
            </w:r>
          </w:p>
          <w:p w14:paraId="52F45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（3）噪声：风机选用隔音防震型，减噪型变速齿轮箱，叶片用减速叶片。运营期加强对风机的维护，使其处于良好的运行状态。</w:t>
            </w:r>
          </w:p>
          <w:p w14:paraId="354C3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（4）固废：升压站内主变压器设集油坑和事故油池，底部和四周设置防渗措施，风电场每个箱式变压器旁设计1个事故油池。废蓄电池委托有资质单位清运处置。生活垃圾统一收集后运至附近村庄垃圾收集点处理。升压站设危废暂存间。</w:t>
            </w:r>
          </w:p>
          <w:p w14:paraId="30A82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（5）生态：风机基础和施工道路工程结束后，应采取绿化措施，尽快恢复植被。</w:t>
            </w:r>
          </w:p>
          <w:p w14:paraId="39B3D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（6）电磁：合理选用各种电气设备及金属配件，以减少高电位梯度点引起的放电。</w:t>
            </w:r>
          </w:p>
        </w:tc>
      </w:tr>
      <w:tr w14:paraId="51A67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9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543DD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公众参与情况</w:t>
            </w:r>
          </w:p>
        </w:tc>
      </w:tr>
      <w:tr w14:paraId="31C81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CF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建设单位依据《环境影响评价公众参与办法》（生态环境部令第4号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，2019年1月1日）的规定，公开有关环境影响评价的信息，征求公众意见。</w:t>
            </w:r>
          </w:p>
          <w:p w14:paraId="63164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（1）第一次公示：项目于2025年1月17日在师宗县人民政府网站进行了首次环境影响评价信息公示。</w:t>
            </w:r>
          </w:p>
          <w:p w14:paraId="6436E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（2）征求意见稿公示：项目征求意见稿形成后，项目于2022年1月20日在师宗县人民政府网站进行了网络公示，同时在距离项目风机较近的村委员会进行了张贴公示，在云南信息报报纸进行2次报纸公示。</w:t>
            </w:r>
          </w:p>
          <w:p w14:paraId="0F415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（3）报批前公示：项目取得曲靖市环境工程评估中心的技术评估意见后于2025年4月10日建设单位在师宗县人民政府网站对《丹凤风电场扩建项目环境影响报告表》（报批稿）全文和公众参与说明进行报批前的公示。</w:t>
            </w:r>
          </w:p>
          <w:p w14:paraId="37A07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公示期间，均未收到相关反馈信息。</w:t>
            </w:r>
          </w:p>
        </w:tc>
      </w:tr>
      <w:tr w14:paraId="4B38D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64E4D8EA">
            <w:pPr>
              <w:widowControl/>
              <w:spacing w:line="280" w:lineRule="exact"/>
              <w:jc w:val="left"/>
              <w:rPr>
                <w:rFonts w:asci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建设单位或地方政府所作出的相关承诺文件</w:t>
            </w:r>
          </w:p>
        </w:tc>
        <w:tc>
          <w:tcPr>
            <w:tcW w:w="58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68441">
            <w:pPr>
              <w:widowControl/>
              <w:spacing w:line="280" w:lineRule="exact"/>
              <w:jc w:val="center"/>
              <w:rPr>
                <w:color w:val="auto"/>
              </w:rPr>
            </w:pPr>
            <w:r>
              <w:rPr>
                <w:rFonts w:hint="eastAsia" w:ascii="宋体"/>
                <w:color w:val="auto"/>
                <w:kern w:val="0"/>
                <w:sz w:val="24"/>
                <w:szCs w:val="24"/>
                <w:lang w:val="en-US" w:eastAsia="zh-CN"/>
              </w:rPr>
              <w:t>同意全文本公开的承诺。</w:t>
            </w:r>
          </w:p>
        </w:tc>
      </w:tr>
      <w:tr w14:paraId="73C1F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14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7B13F3E">
            <w:pPr>
              <w:widowControl/>
              <w:spacing w:line="280" w:lineRule="exact"/>
              <w:jc w:val="left"/>
              <w:rPr>
                <w:rFonts w:asci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  <w:t>注:项目概况、项目主要环境影响、项目预防及减轻不良环境影响的对策和措施、公众参与情况、建设单位或地方政府所作出的相关承诺文件部分由建设单位填写。公众反馈意见联系方式部分由行政审批机关填写。</w:t>
            </w:r>
          </w:p>
        </w:tc>
      </w:tr>
    </w:tbl>
    <w:p w14:paraId="6F5ACF77">
      <w:pPr>
        <w:rPr>
          <w:rFonts w:hint="eastAsia"/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YzQ1NDY1YjQ0MjBjMWNmZDQyYjE1NzJjMWYwMDcifQ=="/>
    <w:docVar w:name="KSO_WPS_MARK_KEY" w:val="35eb7dbb-636d-44b9-95da-eb2763748947"/>
  </w:docVars>
  <w:rsids>
    <w:rsidRoot w:val="392E2078"/>
    <w:rsid w:val="0007389C"/>
    <w:rsid w:val="00150BE9"/>
    <w:rsid w:val="00156B39"/>
    <w:rsid w:val="001A0782"/>
    <w:rsid w:val="001A6B62"/>
    <w:rsid w:val="001B3A2B"/>
    <w:rsid w:val="001F034E"/>
    <w:rsid w:val="001F679B"/>
    <w:rsid w:val="00294DBA"/>
    <w:rsid w:val="002B6C2D"/>
    <w:rsid w:val="002C62B4"/>
    <w:rsid w:val="00322D57"/>
    <w:rsid w:val="00327286"/>
    <w:rsid w:val="00330F90"/>
    <w:rsid w:val="00335349"/>
    <w:rsid w:val="003C1AD7"/>
    <w:rsid w:val="003C4CF8"/>
    <w:rsid w:val="003C6F96"/>
    <w:rsid w:val="003E6693"/>
    <w:rsid w:val="00473C47"/>
    <w:rsid w:val="00485878"/>
    <w:rsid w:val="004A6061"/>
    <w:rsid w:val="004D701F"/>
    <w:rsid w:val="004E159E"/>
    <w:rsid w:val="005010C4"/>
    <w:rsid w:val="005107E1"/>
    <w:rsid w:val="005370B8"/>
    <w:rsid w:val="00542698"/>
    <w:rsid w:val="005A0DCF"/>
    <w:rsid w:val="005B283A"/>
    <w:rsid w:val="0060088D"/>
    <w:rsid w:val="0061485D"/>
    <w:rsid w:val="0062265A"/>
    <w:rsid w:val="006C6412"/>
    <w:rsid w:val="006E4B40"/>
    <w:rsid w:val="006E5771"/>
    <w:rsid w:val="00702618"/>
    <w:rsid w:val="00705F2D"/>
    <w:rsid w:val="00773626"/>
    <w:rsid w:val="007A0516"/>
    <w:rsid w:val="007C11E2"/>
    <w:rsid w:val="0081762D"/>
    <w:rsid w:val="00833B43"/>
    <w:rsid w:val="00841044"/>
    <w:rsid w:val="00863CCD"/>
    <w:rsid w:val="00871427"/>
    <w:rsid w:val="00872120"/>
    <w:rsid w:val="00873527"/>
    <w:rsid w:val="008A3643"/>
    <w:rsid w:val="008A7183"/>
    <w:rsid w:val="008C224E"/>
    <w:rsid w:val="008C796D"/>
    <w:rsid w:val="008C7996"/>
    <w:rsid w:val="008C7D47"/>
    <w:rsid w:val="008D6010"/>
    <w:rsid w:val="00906E2D"/>
    <w:rsid w:val="009B5EE1"/>
    <w:rsid w:val="009D3485"/>
    <w:rsid w:val="009D5CDC"/>
    <w:rsid w:val="00A560A2"/>
    <w:rsid w:val="00A7390A"/>
    <w:rsid w:val="00A752B3"/>
    <w:rsid w:val="00A84CD0"/>
    <w:rsid w:val="00AA08DA"/>
    <w:rsid w:val="00B22E4F"/>
    <w:rsid w:val="00B4670A"/>
    <w:rsid w:val="00B55F2A"/>
    <w:rsid w:val="00BA1007"/>
    <w:rsid w:val="00BA59BE"/>
    <w:rsid w:val="00BC32D8"/>
    <w:rsid w:val="00BD0857"/>
    <w:rsid w:val="00BD1407"/>
    <w:rsid w:val="00C36231"/>
    <w:rsid w:val="00C71183"/>
    <w:rsid w:val="00C96052"/>
    <w:rsid w:val="00CC1BB9"/>
    <w:rsid w:val="00CD2BAA"/>
    <w:rsid w:val="00CD608E"/>
    <w:rsid w:val="00D233CF"/>
    <w:rsid w:val="00DA65D2"/>
    <w:rsid w:val="00DC4E67"/>
    <w:rsid w:val="00DC7CEE"/>
    <w:rsid w:val="00E46C95"/>
    <w:rsid w:val="00E90C9E"/>
    <w:rsid w:val="00ED0EFF"/>
    <w:rsid w:val="00EE1F18"/>
    <w:rsid w:val="00EE5CE6"/>
    <w:rsid w:val="00F530BA"/>
    <w:rsid w:val="00F86E32"/>
    <w:rsid w:val="00FD24C7"/>
    <w:rsid w:val="00FD5740"/>
    <w:rsid w:val="00FF23D3"/>
    <w:rsid w:val="013830D2"/>
    <w:rsid w:val="029C1412"/>
    <w:rsid w:val="03AC38D7"/>
    <w:rsid w:val="057E55A2"/>
    <w:rsid w:val="06060DB5"/>
    <w:rsid w:val="07A56FBB"/>
    <w:rsid w:val="081E3E37"/>
    <w:rsid w:val="0881210C"/>
    <w:rsid w:val="0A9A0287"/>
    <w:rsid w:val="0B7F7B23"/>
    <w:rsid w:val="0E274886"/>
    <w:rsid w:val="0FB83603"/>
    <w:rsid w:val="12E102F2"/>
    <w:rsid w:val="19424230"/>
    <w:rsid w:val="1B020E5E"/>
    <w:rsid w:val="1B5621F1"/>
    <w:rsid w:val="1F7E7BFD"/>
    <w:rsid w:val="21602F6F"/>
    <w:rsid w:val="245D4345"/>
    <w:rsid w:val="2AF16A3D"/>
    <w:rsid w:val="2F2F1A87"/>
    <w:rsid w:val="33D77C4D"/>
    <w:rsid w:val="34185686"/>
    <w:rsid w:val="343B01DB"/>
    <w:rsid w:val="34CB5A03"/>
    <w:rsid w:val="36241A03"/>
    <w:rsid w:val="37CA01F4"/>
    <w:rsid w:val="392E2078"/>
    <w:rsid w:val="3A5E5686"/>
    <w:rsid w:val="3B2E26FF"/>
    <w:rsid w:val="3C5657A8"/>
    <w:rsid w:val="3D013572"/>
    <w:rsid w:val="3D946B9A"/>
    <w:rsid w:val="419503DB"/>
    <w:rsid w:val="42DA7950"/>
    <w:rsid w:val="43EF4B3E"/>
    <w:rsid w:val="449625B7"/>
    <w:rsid w:val="44F65053"/>
    <w:rsid w:val="494D64BE"/>
    <w:rsid w:val="4B9C7ABA"/>
    <w:rsid w:val="4D2F5EED"/>
    <w:rsid w:val="4E555EE6"/>
    <w:rsid w:val="4EB96475"/>
    <w:rsid w:val="4EE5318D"/>
    <w:rsid w:val="4F483E30"/>
    <w:rsid w:val="4F7B2ACC"/>
    <w:rsid w:val="4FA03191"/>
    <w:rsid w:val="51E81108"/>
    <w:rsid w:val="522D1654"/>
    <w:rsid w:val="54153AED"/>
    <w:rsid w:val="547D5773"/>
    <w:rsid w:val="54F2325A"/>
    <w:rsid w:val="558F6181"/>
    <w:rsid w:val="5653575C"/>
    <w:rsid w:val="56744B2B"/>
    <w:rsid w:val="577942AD"/>
    <w:rsid w:val="580D02D2"/>
    <w:rsid w:val="59CE795B"/>
    <w:rsid w:val="5B8B29C6"/>
    <w:rsid w:val="5D2E69AB"/>
    <w:rsid w:val="5DEC0CDE"/>
    <w:rsid w:val="60981AC9"/>
    <w:rsid w:val="6270290A"/>
    <w:rsid w:val="6720278B"/>
    <w:rsid w:val="6C8A7DA4"/>
    <w:rsid w:val="6CB34B3B"/>
    <w:rsid w:val="6D212325"/>
    <w:rsid w:val="70361ACE"/>
    <w:rsid w:val="714078D6"/>
    <w:rsid w:val="71E96CF5"/>
    <w:rsid w:val="72337961"/>
    <w:rsid w:val="73BE02D8"/>
    <w:rsid w:val="747E39E9"/>
    <w:rsid w:val="786F50F4"/>
    <w:rsid w:val="79377A43"/>
    <w:rsid w:val="794762A8"/>
    <w:rsid w:val="7AD36723"/>
    <w:rsid w:val="7B5E1F6D"/>
    <w:rsid w:val="7D186CED"/>
    <w:rsid w:val="7D70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仿宋_GBK" w:cs="Times New Roman"/>
      <w:kern w:val="32"/>
      <w:sz w:val="32"/>
      <w:szCs w:val="32"/>
      <w:lang w:val="en-US" w:eastAsia="zh-CN" w:bidi="ar-SA"/>
    </w:rPr>
  </w:style>
  <w:style w:type="paragraph" w:styleId="4">
    <w:name w:val="heading 2"/>
    <w:basedOn w:val="1"/>
    <w:next w:val="1"/>
    <w:link w:val="20"/>
    <w:qFormat/>
    <w:uiPriority w:val="0"/>
    <w:pPr>
      <w:tabs>
        <w:tab w:val="left" w:pos="5882"/>
      </w:tabs>
      <w:adjustRightInd w:val="0"/>
      <w:snapToGrid w:val="0"/>
      <w:spacing w:beforeLines="50"/>
      <w:jc w:val="left"/>
      <w:outlineLvl w:val="1"/>
    </w:pPr>
    <w:rPr>
      <w:rFonts w:ascii="Times New Roman" w:hAnsi="Times New Roman" w:eastAsia="宋体"/>
      <w:b/>
      <w:kern w:val="0"/>
      <w:sz w:val="24"/>
      <w:szCs w:val="24"/>
    </w:rPr>
  </w:style>
  <w:style w:type="paragraph" w:styleId="5">
    <w:name w:val="heading 3"/>
    <w:basedOn w:val="1"/>
    <w:next w:val="1"/>
    <w:link w:val="15"/>
    <w:qFormat/>
    <w:uiPriority w:val="0"/>
    <w:pPr>
      <w:topLinePunct/>
      <w:spacing w:before="120" w:line="480" w:lineRule="exact"/>
      <w:outlineLvl w:val="2"/>
    </w:pPr>
    <w:rPr>
      <w:rFonts w:ascii="Times New Roman" w:hAnsi="Times New Roman" w:eastAsia="楷体_GB2312"/>
      <w:b/>
      <w:bCs/>
      <w:color w:val="000000"/>
      <w:kern w:val="2"/>
      <w:sz w:val="28"/>
      <w:szCs w:val="28"/>
    </w:rPr>
  </w:style>
  <w:style w:type="paragraph" w:styleId="6">
    <w:name w:val="heading 4"/>
    <w:basedOn w:val="1"/>
    <w:next w:val="1"/>
    <w:link w:val="18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kern w:val="2"/>
      <w:sz w:val="28"/>
      <w:szCs w:val="28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qFormat/>
    <w:uiPriority w:val="1"/>
    <w:rPr>
      <w:sz w:val="24"/>
      <w:szCs w:val="24"/>
    </w:rPr>
  </w:style>
  <w:style w:type="paragraph" w:styleId="3">
    <w:name w:val="Title"/>
    <w:basedOn w:val="1"/>
    <w:next w:val="1"/>
    <w:qFormat/>
    <w:uiPriority w:val="0"/>
    <w:pPr>
      <w:adjustRightInd w:val="0"/>
      <w:snapToGrid w:val="0"/>
      <w:spacing w:before="240" w:after="60" w:line="360" w:lineRule="auto"/>
      <w:ind w:firstLine="200" w:firstLineChars="20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7">
    <w:name w:val="Plain Text"/>
    <w:basedOn w:val="1"/>
    <w:qFormat/>
    <w:uiPriority w:val="0"/>
    <w:rPr>
      <w:rFonts w:ascii="宋体"/>
      <w:snapToGrid w:val="0"/>
      <w:kern w:val="0"/>
      <w:szCs w:val="20"/>
    </w:rPr>
  </w:style>
  <w:style w:type="paragraph" w:styleId="8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2"/>
    <w:basedOn w:val="1"/>
    <w:next w:val="1"/>
    <w:qFormat/>
    <w:uiPriority w:val="0"/>
    <w:pPr>
      <w:ind w:left="420" w:leftChars="200"/>
    </w:pPr>
  </w:style>
  <w:style w:type="paragraph" w:styleId="11">
    <w:name w:val="Normal (Web)"/>
    <w:basedOn w:val="1"/>
    <w:qFormat/>
    <w:uiPriority w:val="0"/>
    <w:pPr>
      <w:jc w:val="left"/>
    </w:pPr>
    <w:rPr>
      <w:rFonts w:eastAsia="宋体"/>
      <w:kern w:val="0"/>
      <w:sz w:val="24"/>
    </w:rPr>
  </w:style>
  <w:style w:type="character" w:styleId="14">
    <w:name w:val="annotation reference"/>
    <w:qFormat/>
    <w:uiPriority w:val="0"/>
    <w:rPr>
      <w:sz w:val="21"/>
      <w:szCs w:val="21"/>
    </w:rPr>
  </w:style>
  <w:style w:type="character" w:customStyle="1" w:styleId="15">
    <w:name w:val="标题 3 Char1"/>
    <w:link w:val="5"/>
    <w:qFormat/>
    <w:uiPriority w:val="0"/>
    <w:rPr>
      <w:rFonts w:eastAsia="楷体_GB2312"/>
      <w:b/>
      <w:bCs/>
      <w:color w:val="000000"/>
      <w:kern w:val="2"/>
      <w:sz w:val="28"/>
      <w:szCs w:val="28"/>
    </w:rPr>
  </w:style>
  <w:style w:type="character" w:customStyle="1" w:styleId="16">
    <w:name w:val="标题 3 Char"/>
    <w:semiHidden/>
    <w:qFormat/>
    <w:uiPriority w:val="0"/>
    <w:rPr>
      <w:rFonts w:ascii="Calibri" w:hAnsi="Calibri" w:eastAsia="方正仿宋_GBK"/>
      <w:b/>
      <w:bCs/>
      <w:kern w:val="32"/>
      <w:sz w:val="32"/>
      <w:szCs w:val="32"/>
    </w:rPr>
  </w:style>
  <w:style w:type="character" w:customStyle="1" w:styleId="17">
    <w:name w:val="页眉 Char"/>
    <w:link w:val="9"/>
    <w:qFormat/>
    <w:uiPriority w:val="0"/>
    <w:rPr>
      <w:rFonts w:ascii="Calibri" w:hAnsi="Calibri" w:eastAsia="方正仿宋_GBK"/>
      <w:kern w:val="32"/>
      <w:sz w:val="18"/>
      <w:szCs w:val="18"/>
    </w:rPr>
  </w:style>
  <w:style w:type="character" w:customStyle="1" w:styleId="18">
    <w:name w:val="标题 4 Char1"/>
    <w:link w:val="6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19">
    <w:name w:val="页脚 Char"/>
    <w:link w:val="8"/>
    <w:qFormat/>
    <w:uiPriority w:val="0"/>
    <w:rPr>
      <w:rFonts w:ascii="Calibri" w:hAnsi="Calibri" w:eastAsia="方正仿宋_GBK"/>
      <w:kern w:val="32"/>
      <w:sz w:val="18"/>
      <w:szCs w:val="18"/>
    </w:rPr>
  </w:style>
  <w:style w:type="character" w:customStyle="1" w:styleId="20">
    <w:name w:val="标题 2 Char"/>
    <w:link w:val="4"/>
    <w:qFormat/>
    <w:uiPriority w:val="0"/>
    <w:rPr>
      <w:rFonts w:eastAsia="宋体"/>
      <w:b/>
      <w:sz w:val="24"/>
      <w:szCs w:val="24"/>
    </w:rPr>
  </w:style>
  <w:style w:type="character" w:customStyle="1" w:styleId="21">
    <w:name w:val="标题 4 Char"/>
    <w:semiHidden/>
    <w:qFormat/>
    <w:uiPriority w:val="0"/>
    <w:rPr>
      <w:rFonts w:ascii="Cambria" w:hAnsi="Cambria" w:eastAsia="宋体" w:cs="Times New Roman"/>
      <w:b/>
      <w:bCs/>
      <w:kern w:val="32"/>
      <w:sz w:val="28"/>
      <w:szCs w:val="28"/>
    </w:rPr>
  </w:style>
  <w:style w:type="character" w:customStyle="1" w:styleId="22">
    <w:name w:val="正文 旺源文字段落 Char"/>
    <w:link w:val="23"/>
    <w:qFormat/>
    <w:uiPriority w:val="0"/>
    <w:rPr>
      <w:rFonts w:ascii="宋体" w:hAnsi="宋体" w:cs="宋体"/>
      <w:kern w:val="24"/>
      <w:sz w:val="24"/>
      <w:szCs w:val="24"/>
    </w:rPr>
  </w:style>
  <w:style w:type="paragraph" w:customStyle="1" w:styleId="23">
    <w:name w:val="正文 旺源文字段落"/>
    <w:basedOn w:val="1"/>
    <w:link w:val="22"/>
    <w:qFormat/>
    <w:uiPriority w:val="0"/>
    <w:pPr>
      <w:spacing w:line="500" w:lineRule="exact"/>
      <w:ind w:firstLine="420"/>
    </w:pPr>
    <w:rPr>
      <w:rFonts w:ascii="宋体" w:hAnsi="宋体" w:eastAsia="宋体"/>
      <w:kern w:val="24"/>
      <w:sz w:val="24"/>
      <w:szCs w:val="24"/>
    </w:rPr>
  </w:style>
  <w:style w:type="paragraph" w:customStyle="1" w:styleId="24">
    <w:name w:val="LH样式"/>
    <w:basedOn w:val="1"/>
    <w:qFormat/>
    <w:uiPriority w:val="0"/>
    <w:pPr>
      <w:spacing w:line="480" w:lineRule="exact"/>
      <w:ind w:firstLine="520" w:firstLineChars="200"/>
    </w:pPr>
    <w:rPr>
      <w:rFonts w:ascii="Times New Roman" w:hAnsi="Times New Roman" w:eastAsia="宋体"/>
      <w:color w:val="00B0F0"/>
      <w:kern w:val="2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2026</Words>
  <Characters>2095</Characters>
  <Lines>3</Lines>
  <Paragraphs>1</Paragraphs>
  <TotalTime>8</TotalTime>
  <ScaleCrop>false</ScaleCrop>
  <LinksUpToDate>false</LinksUpToDate>
  <CharactersWithSpaces>2096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2019-10-22T01:39:00Z</dcterms:created>
  <dc:creator>lenovo</dc:creator>
  <cp:lastModifiedBy>郭丽娜</cp:lastModifiedBy>
  <cp:lastPrinted>2016-09-13T03:08:00Z</cp:lastPrinted>
  <dcterms:modified xsi:type="dcterms:W3CDTF">2026-07-20T02:01:24Z</dcterms:modified>
  <dc:title>曲靖市环境保护局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576DEC8704CE42C6AFD7A19E1C5C1A76_13</vt:lpwstr>
  </property>
  <property fmtid="{D5CDD505-2E9C-101B-9397-08002B2CF9AE}" pid="4" name="KSOTemplateDocerSaveRecord">
    <vt:lpwstr>eyJoZGlkIjoiYTA0OTFiNTllN2E3YTc2MDc5ZTIwYTg0ZjFlZjFlMWQiLCJ1c2VySWQiOiIzNzMyMDUyODEifQ==</vt:lpwstr>
  </property>
</Properties>
</file>