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9814" w:type="dxa"/>
        <w:tblInd w:w="-208" w:type="dxa"/>
        <w:tblLayout w:type="fixed"/>
        <w:tblCellMar>
          <w:top w:w="0" w:type="dxa"/>
          <w:left w:w="108" w:type="dxa"/>
          <w:bottom w:w="0" w:type="dxa"/>
          <w:right w:w="108" w:type="dxa"/>
        </w:tblCellMar>
      </w:tblPr>
      <w:tblGrid>
        <w:gridCol w:w="1756"/>
        <w:gridCol w:w="2031"/>
        <w:gridCol w:w="1365"/>
        <w:gridCol w:w="1530"/>
        <w:gridCol w:w="1350"/>
        <w:gridCol w:w="1782"/>
      </w:tblGrid>
      <w:tr w14:paraId="2E6E6376">
        <w:tblPrEx>
          <w:tblCellMar>
            <w:top w:w="0" w:type="dxa"/>
            <w:left w:w="108" w:type="dxa"/>
            <w:bottom w:w="0" w:type="dxa"/>
            <w:right w:w="108" w:type="dxa"/>
          </w:tblCellMar>
        </w:tblPrEx>
        <w:trPr>
          <w:trHeight w:val="571" w:hRule="atLeast"/>
        </w:trPr>
        <w:tc>
          <w:tcPr>
            <w:tcW w:w="1756" w:type="dxa"/>
            <w:tcBorders>
              <w:top w:val="single" w:color="auto" w:sz="4" w:space="0"/>
              <w:left w:val="single" w:color="auto" w:sz="4" w:space="0"/>
              <w:bottom w:val="single" w:color="auto" w:sz="4" w:space="0"/>
              <w:right w:val="single" w:color="auto" w:sz="4" w:space="0"/>
            </w:tcBorders>
            <w:shd w:val="clear" w:color="auto" w:fill="C0C0C0"/>
            <w:vAlign w:val="center"/>
          </w:tcPr>
          <w:p w14:paraId="1D8569AF">
            <w:pPr>
              <w:widowControl/>
              <w:spacing w:line="280" w:lineRule="exact"/>
              <w:jc w:val="left"/>
              <w:rPr>
                <w:rFonts w:ascii="宋体"/>
                <w:kern w:val="0"/>
                <w:sz w:val="24"/>
                <w:szCs w:val="24"/>
              </w:rPr>
            </w:pPr>
            <w:bookmarkStart w:id="1" w:name="_GoBack"/>
            <w:bookmarkEnd w:id="1"/>
            <w:r>
              <w:rPr>
                <w:rFonts w:hint="eastAsia" w:ascii="宋体"/>
                <w:sz w:val="24"/>
                <w:szCs w:val="24"/>
              </w:rPr>
              <w:t xml:space="preserve"> </w:t>
            </w:r>
            <w:r>
              <w:rPr>
                <w:rFonts w:hint="eastAsia" w:ascii="宋体" w:hAnsi="宋体"/>
                <w:kern w:val="0"/>
                <w:sz w:val="24"/>
                <w:szCs w:val="24"/>
              </w:rPr>
              <w:t>项目名称</w:t>
            </w:r>
          </w:p>
        </w:tc>
        <w:tc>
          <w:tcPr>
            <w:tcW w:w="2031" w:type="dxa"/>
            <w:tcBorders>
              <w:top w:val="single" w:color="auto" w:sz="4" w:space="0"/>
              <w:left w:val="nil"/>
              <w:bottom w:val="single" w:color="auto" w:sz="4" w:space="0"/>
              <w:right w:val="single" w:color="auto" w:sz="4" w:space="0"/>
            </w:tcBorders>
            <w:shd w:val="clear" w:color="auto" w:fill="auto"/>
            <w:vAlign w:val="center"/>
          </w:tcPr>
          <w:p w14:paraId="4937C58A">
            <w:pPr>
              <w:widowControl/>
              <w:spacing w:line="280" w:lineRule="exact"/>
              <w:jc w:val="center"/>
              <w:rPr>
                <w:rFonts w:hint="eastAsia" w:ascii="Times New Roman" w:hAnsi="Times New Roman"/>
                <w:sz w:val="24"/>
                <w:szCs w:val="24"/>
              </w:rPr>
            </w:pPr>
            <w:r>
              <w:rPr>
                <w:rFonts w:hint="eastAsia" w:ascii="Times New Roman" w:hAnsi="Times New Roman"/>
                <w:sz w:val="24"/>
                <w:szCs w:val="24"/>
                <w:lang w:eastAsia="zh-CN"/>
              </w:rPr>
              <w:t>海岱风电场</w:t>
            </w:r>
          </w:p>
        </w:tc>
        <w:tc>
          <w:tcPr>
            <w:tcW w:w="1365" w:type="dxa"/>
            <w:tcBorders>
              <w:top w:val="single" w:color="auto" w:sz="4" w:space="0"/>
              <w:left w:val="nil"/>
              <w:bottom w:val="single" w:color="auto" w:sz="4" w:space="0"/>
              <w:right w:val="single" w:color="auto" w:sz="4" w:space="0"/>
            </w:tcBorders>
            <w:shd w:val="clear" w:color="auto" w:fill="C0C0C0"/>
            <w:vAlign w:val="center"/>
          </w:tcPr>
          <w:p w14:paraId="557EA87A">
            <w:pPr>
              <w:widowControl/>
              <w:spacing w:line="280" w:lineRule="exact"/>
              <w:jc w:val="center"/>
              <w:rPr>
                <w:rFonts w:ascii="宋体"/>
                <w:kern w:val="0"/>
                <w:sz w:val="24"/>
                <w:szCs w:val="24"/>
              </w:rPr>
            </w:pPr>
            <w:r>
              <w:rPr>
                <w:rFonts w:hint="eastAsia" w:ascii="宋体" w:hAnsi="宋体"/>
                <w:kern w:val="0"/>
                <w:sz w:val="24"/>
                <w:szCs w:val="24"/>
              </w:rPr>
              <w:t>建设地点</w:t>
            </w:r>
          </w:p>
        </w:tc>
        <w:tc>
          <w:tcPr>
            <w:tcW w:w="1530" w:type="dxa"/>
            <w:tcBorders>
              <w:top w:val="single" w:color="auto" w:sz="4" w:space="0"/>
              <w:left w:val="nil"/>
              <w:bottom w:val="single" w:color="auto" w:sz="4" w:space="0"/>
              <w:right w:val="single" w:color="auto" w:sz="4" w:space="0"/>
            </w:tcBorders>
            <w:shd w:val="clear" w:color="auto" w:fill="auto"/>
            <w:vAlign w:val="center"/>
          </w:tcPr>
          <w:p w14:paraId="5B3ECEF6">
            <w:pPr>
              <w:widowControl/>
              <w:spacing w:line="280" w:lineRule="exact"/>
              <w:jc w:val="center"/>
              <w:rPr>
                <w:rFonts w:hint="eastAsia" w:ascii="Times New Roman" w:hAnsi="Times New Roman"/>
                <w:sz w:val="24"/>
                <w:szCs w:val="24"/>
              </w:rPr>
            </w:pPr>
            <w:r>
              <w:rPr>
                <w:rFonts w:hint="eastAsia" w:ascii="Times New Roman" w:hAnsi="Times New Roman"/>
                <w:sz w:val="24"/>
                <w:szCs w:val="24"/>
                <w:lang w:eastAsia="zh-CN"/>
              </w:rPr>
              <w:t>宣威市海岱镇、田坝镇境内</w:t>
            </w:r>
          </w:p>
        </w:tc>
        <w:tc>
          <w:tcPr>
            <w:tcW w:w="1350" w:type="dxa"/>
            <w:tcBorders>
              <w:top w:val="single" w:color="auto" w:sz="4" w:space="0"/>
              <w:left w:val="nil"/>
              <w:bottom w:val="single" w:color="auto" w:sz="4" w:space="0"/>
              <w:right w:val="single" w:color="auto" w:sz="4" w:space="0"/>
            </w:tcBorders>
            <w:shd w:val="clear" w:color="auto" w:fill="C0C0C0"/>
            <w:vAlign w:val="center"/>
          </w:tcPr>
          <w:p w14:paraId="30375919">
            <w:pPr>
              <w:widowControl/>
              <w:spacing w:line="280" w:lineRule="exact"/>
              <w:jc w:val="center"/>
              <w:rPr>
                <w:rFonts w:ascii="宋体"/>
                <w:kern w:val="0"/>
                <w:sz w:val="24"/>
                <w:szCs w:val="24"/>
              </w:rPr>
            </w:pPr>
            <w:r>
              <w:rPr>
                <w:rFonts w:hint="eastAsia" w:ascii="宋体" w:hAnsi="宋体"/>
                <w:kern w:val="0"/>
                <w:sz w:val="24"/>
                <w:szCs w:val="24"/>
              </w:rPr>
              <w:t>建设单位</w:t>
            </w:r>
          </w:p>
        </w:tc>
        <w:tc>
          <w:tcPr>
            <w:tcW w:w="1782" w:type="dxa"/>
            <w:tcBorders>
              <w:top w:val="single" w:color="auto" w:sz="4" w:space="0"/>
              <w:left w:val="nil"/>
              <w:bottom w:val="single" w:color="auto" w:sz="4" w:space="0"/>
              <w:right w:val="single" w:color="auto" w:sz="4" w:space="0"/>
            </w:tcBorders>
            <w:vAlign w:val="center"/>
          </w:tcPr>
          <w:p w14:paraId="5821A317">
            <w:pPr>
              <w:widowControl/>
              <w:spacing w:line="280" w:lineRule="exact"/>
              <w:jc w:val="center"/>
              <w:rPr>
                <w:rFonts w:hint="eastAsia" w:ascii="Times New Roman" w:hAnsi="Times New Roman"/>
                <w:sz w:val="24"/>
                <w:szCs w:val="24"/>
              </w:rPr>
            </w:pPr>
            <w:r>
              <w:rPr>
                <w:rFonts w:hint="eastAsia" w:ascii="Times New Roman" w:hAnsi="Times New Roman"/>
                <w:sz w:val="24"/>
                <w:szCs w:val="24"/>
                <w:lang w:eastAsia="zh-CN"/>
              </w:rPr>
              <w:t>华能（宣威）新能源有限公司</w:t>
            </w:r>
          </w:p>
        </w:tc>
      </w:tr>
      <w:tr w14:paraId="0C28C87D">
        <w:tblPrEx>
          <w:tblCellMar>
            <w:top w:w="0" w:type="dxa"/>
            <w:left w:w="108" w:type="dxa"/>
            <w:bottom w:w="0" w:type="dxa"/>
            <w:right w:w="108" w:type="dxa"/>
          </w:tblCellMar>
        </w:tblPrEx>
        <w:trPr>
          <w:trHeight w:val="762" w:hRule="atLeast"/>
        </w:trPr>
        <w:tc>
          <w:tcPr>
            <w:tcW w:w="1756" w:type="dxa"/>
            <w:tcBorders>
              <w:top w:val="nil"/>
              <w:left w:val="single" w:color="auto" w:sz="4" w:space="0"/>
              <w:bottom w:val="single" w:color="auto" w:sz="4" w:space="0"/>
              <w:right w:val="single" w:color="auto" w:sz="4" w:space="0"/>
            </w:tcBorders>
            <w:shd w:val="clear" w:color="auto" w:fill="C0C0C0"/>
            <w:vAlign w:val="center"/>
          </w:tcPr>
          <w:p w14:paraId="285487F0">
            <w:pPr>
              <w:widowControl/>
              <w:spacing w:line="280" w:lineRule="exact"/>
              <w:jc w:val="left"/>
              <w:rPr>
                <w:rFonts w:ascii="宋体"/>
                <w:kern w:val="0"/>
                <w:sz w:val="24"/>
                <w:szCs w:val="24"/>
              </w:rPr>
            </w:pPr>
            <w:r>
              <w:rPr>
                <w:rFonts w:hint="eastAsia" w:ascii="宋体" w:hAnsi="宋体"/>
                <w:kern w:val="0"/>
                <w:sz w:val="24"/>
                <w:szCs w:val="24"/>
              </w:rPr>
              <w:t>环评文件类型</w:t>
            </w:r>
          </w:p>
        </w:tc>
        <w:tc>
          <w:tcPr>
            <w:tcW w:w="2031" w:type="dxa"/>
            <w:tcBorders>
              <w:top w:val="nil"/>
              <w:left w:val="nil"/>
              <w:bottom w:val="single" w:color="auto" w:sz="4" w:space="0"/>
              <w:right w:val="single" w:color="auto" w:sz="4" w:space="0"/>
            </w:tcBorders>
            <w:shd w:val="clear" w:color="auto" w:fill="auto"/>
            <w:vAlign w:val="center"/>
          </w:tcPr>
          <w:p w14:paraId="001E7694">
            <w:pPr>
              <w:widowControl/>
              <w:spacing w:line="280" w:lineRule="exact"/>
              <w:jc w:val="center"/>
              <w:rPr>
                <w:rFonts w:hint="default" w:ascii="宋体" w:hAnsi="宋体" w:eastAsia="宋体" w:cs="华文仿宋"/>
                <w:kern w:val="0"/>
                <w:sz w:val="24"/>
                <w:szCs w:val="24"/>
                <w:lang w:val="en-US" w:eastAsia="zh-CN"/>
              </w:rPr>
            </w:pPr>
            <w:r>
              <w:rPr>
                <w:rFonts w:hint="eastAsia" w:ascii="宋体" w:cs="Times New Roman"/>
                <w:kern w:val="0"/>
                <w:sz w:val="24"/>
                <w:szCs w:val="24"/>
                <w:lang w:val="en-US" w:eastAsia="zh-CN"/>
              </w:rPr>
              <w:t>报告表</w:t>
            </w:r>
          </w:p>
        </w:tc>
        <w:tc>
          <w:tcPr>
            <w:tcW w:w="1365" w:type="dxa"/>
            <w:tcBorders>
              <w:top w:val="nil"/>
              <w:left w:val="nil"/>
              <w:bottom w:val="single" w:color="auto" w:sz="4" w:space="0"/>
              <w:right w:val="single" w:color="auto" w:sz="4" w:space="0"/>
            </w:tcBorders>
            <w:shd w:val="clear" w:color="auto" w:fill="C0C0C0"/>
            <w:vAlign w:val="center"/>
          </w:tcPr>
          <w:p w14:paraId="63FD5744">
            <w:pPr>
              <w:widowControl/>
              <w:spacing w:line="280" w:lineRule="exact"/>
              <w:jc w:val="center"/>
              <w:rPr>
                <w:rFonts w:ascii="宋体"/>
                <w:kern w:val="0"/>
                <w:sz w:val="24"/>
                <w:szCs w:val="24"/>
              </w:rPr>
            </w:pPr>
            <w:r>
              <w:rPr>
                <w:rFonts w:hint="eastAsia" w:ascii="宋体" w:hAnsi="宋体"/>
                <w:kern w:val="0"/>
                <w:sz w:val="24"/>
                <w:szCs w:val="24"/>
              </w:rPr>
              <w:t>环境影响评价机构</w:t>
            </w:r>
          </w:p>
        </w:tc>
        <w:tc>
          <w:tcPr>
            <w:tcW w:w="4662" w:type="dxa"/>
            <w:gridSpan w:val="3"/>
            <w:tcBorders>
              <w:top w:val="single" w:color="auto" w:sz="4" w:space="0"/>
              <w:left w:val="nil"/>
              <w:bottom w:val="single" w:color="auto" w:sz="4" w:space="0"/>
              <w:right w:val="single" w:color="000000" w:sz="4" w:space="0"/>
            </w:tcBorders>
            <w:vAlign w:val="center"/>
          </w:tcPr>
          <w:p w14:paraId="70CD292A">
            <w:pPr>
              <w:widowControl/>
              <w:spacing w:line="280" w:lineRule="exact"/>
              <w:jc w:val="center"/>
              <w:rPr>
                <w:rFonts w:ascii="宋体"/>
                <w:kern w:val="0"/>
                <w:sz w:val="24"/>
                <w:szCs w:val="24"/>
              </w:rPr>
            </w:pPr>
            <w:r>
              <w:rPr>
                <w:rFonts w:hint="eastAsia" w:ascii="宋体"/>
                <w:kern w:val="0"/>
                <w:sz w:val="24"/>
                <w:szCs w:val="24"/>
              </w:rPr>
              <w:t>北京中咨华宇环保技术有限公司</w:t>
            </w:r>
          </w:p>
        </w:tc>
      </w:tr>
      <w:tr w14:paraId="45D43C84">
        <w:tblPrEx>
          <w:tblCellMar>
            <w:top w:w="0" w:type="dxa"/>
            <w:left w:w="108" w:type="dxa"/>
            <w:bottom w:w="0" w:type="dxa"/>
            <w:right w:w="108" w:type="dxa"/>
          </w:tblCellMar>
        </w:tblPrEx>
        <w:trPr>
          <w:trHeight w:val="461"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4017439E">
            <w:pPr>
              <w:widowControl/>
              <w:spacing w:line="280" w:lineRule="exact"/>
              <w:jc w:val="center"/>
              <w:rPr>
                <w:rFonts w:ascii="宋体"/>
                <w:kern w:val="0"/>
                <w:sz w:val="24"/>
                <w:szCs w:val="24"/>
              </w:rPr>
            </w:pPr>
            <w:r>
              <w:rPr>
                <w:rFonts w:hint="eastAsia" w:ascii="宋体" w:hAnsi="宋体"/>
                <w:kern w:val="0"/>
                <w:sz w:val="24"/>
                <w:szCs w:val="24"/>
              </w:rPr>
              <w:t>项目概况</w:t>
            </w:r>
          </w:p>
        </w:tc>
      </w:tr>
      <w:tr w14:paraId="6CBE06D0">
        <w:tblPrEx>
          <w:tblCellMar>
            <w:top w:w="0" w:type="dxa"/>
            <w:left w:w="108" w:type="dxa"/>
            <w:bottom w:w="0" w:type="dxa"/>
            <w:right w:w="108" w:type="dxa"/>
          </w:tblCellMar>
        </w:tblPrEx>
        <w:trPr>
          <w:trHeight w:val="606"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143A24BC">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rPr>
            </w:pPr>
            <w:r>
              <w:rPr>
                <w:rFonts w:hint="eastAsia" w:ascii="Times New Roman" w:hAnsi="Times New Roman"/>
                <w:sz w:val="24"/>
                <w:szCs w:val="24"/>
              </w:rPr>
              <w:t>项目总装机容量</w:t>
            </w:r>
            <w:r>
              <w:rPr>
                <w:rFonts w:hint="eastAsia" w:ascii="Times New Roman" w:hAnsi="Times New Roman"/>
                <w:sz w:val="24"/>
                <w:szCs w:val="24"/>
                <w:lang w:eastAsia="zh-CN"/>
              </w:rPr>
              <w:t>99MW，</w:t>
            </w:r>
            <w:r>
              <w:rPr>
                <w:rFonts w:hint="eastAsia" w:ascii="Times New Roman" w:hAnsi="Times New Roman"/>
                <w:sz w:val="24"/>
                <w:szCs w:val="24"/>
              </w:rPr>
              <w:t>拟安装</w:t>
            </w:r>
            <w:r>
              <w:rPr>
                <w:rFonts w:hint="eastAsia" w:ascii="Times New Roman" w:hAnsi="Times New Roman"/>
                <w:sz w:val="24"/>
                <w:szCs w:val="24"/>
                <w:lang w:eastAsia="zh-CN"/>
              </w:rPr>
              <w:t>16台</w:t>
            </w:r>
            <w:r>
              <w:rPr>
                <w:rFonts w:hint="eastAsia" w:ascii="Times New Roman" w:hAnsi="Times New Roman"/>
                <w:sz w:val="24"/>
                <w:szCs w:val="24"/>
              </w:rPr>
              <w:t>风电机组，其中</w:t>
            </w:r>
            <w:r>
              <w:rPr>
                <w:rFonts w:hint="eastAsia" w:ascii="Times New Roman" w:hAnsi="Times New Roman"/>
                <w:sz w:val="24"/>
                <w:szCs w:val="24"/>
                <w:lang w:eastAsia="zh-CN"/>
              </w:rPr>
              <w:t>2台7.7MW风机、8台6.7MW风机和6台5.0MW风机</w:t>
            </w:r>
            <w:r>
              <w:rPr>
                <w:rFonts w:hint="eastAsia" w:ascii="Times New Roman" w:hAnsi="Times New Roman"/>
                <w:sz w:val="24"/>
                <w:szCs w:val="24"/>
              </w:rPr>
              <w:t>，采用“一机一变”的接线方式，共设</w:t>
            </w:r>
            <w:r>
              <w:rPr>
                <w:rFonts w:hint="eastAsia" w:ascii="Times New Roman" w:hAnsi="Times New Roman"/>
                <w:sz w:val="24"/>
                <w:szCs w:val="24"/>
                <w:lang w:eastAsia="zh-CN"/>
              </w:rPr>
              <w:t>16台</w:t>
            </w:r>
            <w:r>
              <w:rPr>
                <w:rFonts w:hint="eastAsia" w:ascii="Times New Roman" w:hAnsi="Times New Roman"/>
                <w:sz w:val="24"/>
                <w:szCs w:val="24"/>
              </w:rPr>
              <w:t>箱变。</w:t>
            </w:r>
            <w:r>
              <w:rPr>
                <w:rFonts w:hint="eastAsia" w:ascii="Times New Roman" w:hAnsi="Times New Roman"/>
                <w:sz w:val="24"/>
                <w:szCs w:val="24"/>
                <w:lang w:val="en-US" w:eastAsia="zh-CN"/>
              </w:rPr>
              <w:t>工程配套新建1座220kV升压站，</w:t>
            </w:r>
            <w:r>
              <w:rPr>
                <w:rFonts w:hint="eastAsia" w:ascii="Times New Roman" w:hAnsi="Times New Roman"/>
                <w:sz w:val="24"/>
                <w:szCs w:val="24"/>
              </w:rPr>
              <w:t>全部风机容量</w:t>
            </w:r>
            <w:r>
              <w:rPr>
                <w:rFonts w:hint="eastAsia" w:ascii="Times New Roman" w:hAnsi="Times New Roman"/>
                <w:sz w:val="24"/>
                <w:szCs w:val="24"/>
                <w:lang w:val="en-US" w:eastAsia="zh-CN"/>
              </w:rPr>
              <w:t>以4回35kV集电线路接入本项目配套建设的220kV升压站。</w:t>
            </w:r>
          </w:p>
        </w:tc>
      </w:tr>
      <w:tr w14:paraId="088DA8D9">
        <w:tblPrEx>
          <w:tblCellMar>
            <w:top w:w="0" w:type="dxa"/>
            <w:left w:w="108" w:type="dxa"/>
            <w:bottom w:w="0" w:type="dxa"/>
            <w:right w:w="108" w:type="dxa"/>
          </w:tblCellMar>
        </w:tblPrEx>
        <w:trPr>
          <w:trHeight w:val="448"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1AD5ADA0">
            <w:pPr>
              <w:widowControl/>
              <w:spacing w:line="280" w:lineRule="exact"/>
              <w:jc w:val="center"/>
              <w:rPr>
                <w:rFonts w:ascii="宋体"/>
                <w:kern w:val="0"/>
                <w:sz w:val="24"/>
                <w:szCs w:val="24"/>
              </w:rPr>
            </w:pPr>
            <w:r>
              <w:rPr>
                <w:rFonts w:hint="eastAsia" w:ascii="宋体" w:hAnsi="宋体"/>
                <w:kern w:val="0"/>
                <w:sz w:val="24"/>
                <w:szCs w:val="24"/>
              </w:rPr>
              <w:t>项目主要环境影响</w:t>
            </w:r>
          </w:p>
        </w:tc>
      </w:tr>
      <w:tr w14:paraId="6AD1242C">
        <w:tblPrEx>
          <w:tblCellMar>
            <w:top w:w="0" w:type="dxa"/>
            <w:left w:w="108" w:type="dxa"/>
            <w:bottom w:w="0" w:type="dxa"/>
            <w:right w:w="108" w:type="dxa"/>
          </w:tblCellMar>
        </w:tblPrEx>
        <w:trPr>
          <w:trHeight w:val="535"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27F8D11F">
            <w:pPr>
              <w:keepNext w:val="0"/>
              <w:keepLines w:val="0"/>
              <w:pageBreakBefore w:val="0"/>
              <w:widowControl/>
              <w:numPr>
                <w:ilvl w:val="0"/>
                <w:numId w:val="1"/>
              </w:numPr>
              <w:kinsoku/>
              <w:wordWrap/>
              <w:overflowPunct/>
              <w:topLinePunct w:val="0"/>
              <w:autoSpaceDE/>
              <w:autoSpaceDN/>
              <w:bidi w:val="0"/>
              <w:adjustRightInd/>
              <w:snapToGrid/>
              <w:spacing w:line="360" w:lineRule="exact"/>
              <w:jc w:val="left"/>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施工期</w:t>
            </w:r>
            <w:r>
              <w:rPr>
                <w:rFonts w:hint="eastAsia" w:ascii="方正仿宋_GBK" w:hAnsi="方正仿宋_GBK" w:eastAsia="方正仿宋_GBK" w:cs="方正仿宋_GBK"/>
                <w:b/>
                <w:bCs/>
                <w:color w:val="auto"/>
                <w:spacing w:val="0"/>
                <w:sz w:val="24"/>
                <w:szCs w:val="24"/>
                <w:highlight w:val="none"/>
              </w:rPr>
              <w:t>环境影响</w:t>
            </w:r>
          </w:p>
          <w:p w14:paraId="5CB02E95">
            <w:pPr>
              <w:keepNext w:val="0"/>
              <w:keepLines w:val="0"/>
              <w:pageBreakBefore w:val="0"/>
              <w:widowControl/>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val="0"/>
                <w:bCs w:val="0"/>
                <w:sz w:val="24"/>
                <w:szCs w:val="24"/>
                <w:lang w:val="en-US" w:eastAsia="zh-CN"/>
              </w:rPr>
              <w:t>①</w:t>
            </w:r>
            <w:r>
              <w:rPr>
                <w:color w:val="auto"/>
                <w:sz w:val="24"/>
                <w:highlight w:val="none"/>
              </w:rPr>
              <w:t>项目区内主要的占地类型</w:t>
            </w:r>
            <w:r>
              <w:rPr>
                <w:rFonts w:hint="eastAsia"/>
                <w:color w:val="auto"/>
                <w:sz w:val="24"/>
                <w:highlight w:val="none"/>
                <w:lang w:val="en-US" w:eastAsia="zh-CN"/>
              </w:rPr>
              <w:t>为暖温性针叶林和暖性石灰岩灌丛</w:t>
            </w:r>
            <w:r>
              <w:rPr>
                <w:rFonts w:hint="eastAsia"/>
                <w:color w:val="auto"/>
                <w:sz w:val="24"/>
                <w:highlight w:val="none"/>
              </w:rPr>
              <w:t>。</w:t>
            </w:r>
            <w:r>
              <w:rPr>
                <w:color w:val="auto"/>
                <w:sz w:val="24"/>
                <w:highlight w:val="none"/>
              </w:rPr>
              <w:t>项目建设伴随着土石方开挖、项目区场地平整等施工活动，这些活动都将占用一定面积的土地，破坏原有地貌，使原来生态防护体系遭到破坏，势必造</w:t>
            </w:r>
            <w:r>
              <w:rPr>
                <w:color w:val="auto"/>
                <w:sz w:val="24"/>
              </w:rPr>
              <w:t>成加大水土流失的潜在危险性</w:t>
            </w:r>
            <w:r>
              <w:rPr>
                <w:rFonts w:hint="eastAsia" w:ascii="宋体" w:hAnsi="宋体"/>
                <w:color w:val="auto"/>
                <w:kern w:val="0"/>
                <w:sz w:val="24"/>
                <w:szCs w:val="24"/>
              </w:rPr>
              <w:t>。</w:t>
            </w:r>
          </w:p>
          <w:p w14:paraId="1C8588E8">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auto"/>
                <w:kern w:val="0"/>
                <w:sz w:val="24"/>
                <w:szCs w:val="24"/>
              </w:rPr>
            </w:pPr>
            <w:r>
              <w:rPr>
                <w:rFonts w:hint="eastAsia" w:ascii="宋体" w:hAnsi="宋体"/>
                <w:color w:val="auto"/>
                <w:kern w:val="0"/>
                <w:sz w:val="24"/>
                <w:szCs w:val="24"/>
              </w:rPr>
              <w:t>②项目施工期废气主要包括施工作业扬尘、物料堆场和加工扬尘、运输扬尘及施工机械、运输车辆尾气等。</w:t>
            </w:r>
          </w:p>
          <w:p w14:paraId="680B75E1">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ascii="宋体" w:hAnsi="宋体"/>
                <w:color w:val="auto"/>
                <w:kern w:val="0"/>
                <w:sz w:val="24"/>
                <w:szCs w:val="24"/>
              </w:rPr>
            </w:pPr>
            <w:r>
              <w:rPr>
                <w:rFonts w:hint="eastAsia" w:ascii="宋体" w:hAnsi="宋体"/>
                <w:color w:val="auto"/>
                <w:kern w:val="0"/>
                <w:sz w:val="24"/>
                <w:szCs w:val="24"/>
              </w:rPr>
              <w:t>③施工期间产生的废水主要为施工废水、施工人员生活污水</w:t>
            </w:r>
            <w:r>
              <w:rPr>
                <w:rFonts w:hint="eastAsia" w:ascii="宋体" w:hAnsi="宋体"/>
                <w:color w:val="auto"/>
                <w:kern w:val="0"/>
                <w:sz w:val="24"/>
                <w:szCs w:val="24"/>
                <w:lang w:val="en-US" w:eastAsia="zh-CN"/>
              </w:rPr>
              <w:t>和雨天地表径流</w:t>
            </w:r>
            <w:r>
              <w:rPr>
                <w:rFonts w:hint="eastAsia" w:ascii="宋体" w:hAnsi="宋体"/>
                <w:color w:val="auto"/>
                <w:kern w:val="0"/>
                <w:sz w:val="24"/>
                <w:szCs w:val="24"/>
              </w:rPr>
              <w:t>。</w:t>
            </w:r>
          </w:p>
          <w:p w14:paraId="25963AC4">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auto"/>
                <w:kern w:val="0"/>
                <w:sz w:val="24"/>
                <w:szCs w:val="24"/>
              </w:rPr>
            </w:pPr>
            <w:r>
              <w:rPr>
                <w:rFonts w:hint="eastAsia" w:ascii="宋体" w:hAnsi="宋体"/>
                <w:color w:val="auto"/>
                <w:kern w:val="0"/>
                <w:sz w:val="24"/>
                <w:szCs w:val="24"/>
              </w:rPr>
              <w:t>④风电场施工期噪声主要</w:t>
            </w:r>
            <w:r>
              <w:rPr>
                <w:rFonts w:hint="eastAsia" w:ascii="宋体" w:hAnsi="宋体"/>
                <w:color w:val="auto"/>
                <w:kern w:val="0"/>
                <w:sz w:val="24"/>
                <w:szCs w:val="24"/>
                <w:lang w:eastAsia="zh-CN"/>
              </w:rPr>
              <w:t>来自</w:t>
            </w:r>
            <w:r>
              <w:rPr>
                <w:rFonts w:hint="eastAsia" w:ascii="宋体" w:hAnsi="宋体"/>
                <w:color w:val="auto"/>
                <w:kern w:val="0"/>
                <w:sz w:val="24"/>
                <w:szCs w:val="24"/>
              </w:rPr>
              <w:t>场内道路修建，场地平整，风电机组和箱式变压站基础开挖，升压站土建工程施工时的施工机械噪声，运输车辆的交通噪声，风电机组吊装机械噪声等。</w:t>
            </w:r>
          </w:p>
          <w:p w14:paraId="66E450C7">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ascii="宋体" w:hAnsi="宋体"/>
                <w:color w:val="auto"/>
                <w:kern w:val="0"/>
                <w:sz w:val="24"/>
                <w:szCs w:val="24"/>
              </w:rPr>
            </w:pPr>
            <w:r>
              <w:rPr>
                <w:rFonts w:hint="eastAsia" w:ascii="宋体" w:hAnsi="宋体"/>
                <w:color w:val="auto"/>
                <w:kern w:val="0"/>
                <w:sz w:val="24"/>
                <w:szCs w:val="24"/>
              </w:rPr>
              <w:t>⑤项目施工期固体废物主要为项目施工期固体废物主要为土石方</w:t>
            </w:r>
            <w:r>
              <w:rPr>
                <w:rFonts w:hint="eastAsia" w:ascii="宋体" w:hAnsi="宋体"/>
                <w:color w:val="auto"/>
                <w:kern w:val="0"/>
                <w:sz w:val="24"/>
                <w:szCs w:val="24"/>
                <w:lang w:eastAsia="zh-CN"/>
              </w:rPr>
              <w:t>、</w:t>
            </w:r>
            <w:r>
              <w:rPr>
                <w:rFonts w:hint="eastAsia" w:ascii="宋体" w:hAnsi="宋体"/>
                <w:color w:val="auto"/>
                <w:kern w:val="0"/>
                <w:sz w:val="24"/>
                <w:szCs w:val="24"/>
                <w:lang w:val="en-US" w:eastAsia="zh-CN"/>
              </w:rPr>
              <w:t>建筑垃圾</w:t>
            </w:r>
            <w:r>
              <w:rPr>
                <w:rFonts w:hint="eastAsia" w:ascii="宋体" w:hAnsi="宋体"/>
                <w:color w:val="auto"/>
                <w:kern w:val="0"/>
                <w:sz w:val="24"/>
                <w:szCs w:val="24"/>
              </w:rPr>
              <w:t>和施工人员生活垃圾。</w:t>
            </w:r>
          </w:p>
          <w:p w14:paraId="55D418F5">
            <w:pPr>
              <w:keepNext w:val="0"/>
              <w:keepLines w:val="0"/>
              <w:pageBreakBefore w:val="0"/>
              <w:widowControl/>
              <w:numPr>
                <w:ilvl w:val="0"/>
                <w:numId w:val="1"/>
              </w:numPr>
              <w:kinsoku/>
              <w:wordWrap/>
              <w:overflowPunct/>
              <w:topLinePunct w:val="0"/>
              <w:autoSpaceDE/>
              <w:autoSpaceDN/>
              <w:bidi w:val="0"/>
              <w:adjustRightInd/>
              <w:snapToGrid/>
              <w:spacing w:line="360" w:lineRule="exact"/>
              <w:jc w:val="left"/>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运营期环境影响</w:t>
            </w:r>
          </w:p>
          <w:p w14:paraId="022F0A02">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s="Times New Roman"/>
                <w:color w:val="auto"/>
                <w:kern w:val="0"/>
                <w:sz w:val="24"/>
                <w:szCs w:val="24"/>
              </w:rPr>
            </w:pPr>
            <w:r>
              <w:rPr>
                <w:rFonts w:hint="eastAsia" w:ascii="宋体" w:hAnsi="宋体" w:cs="Times New Roman"/>
                <w:color w:val="auto"/>
                <w:kern w:val="0"/>
                <w:sz w:val="24"/>
                <w:szCs w:val="24"/>
              </w:rPr>
              <w:t>①项目使用清洁能源电、液化气，产生的废气主要为食堂油烟、生活污水处理设施的异味、车辆进入厂区产生的尾气。</w:t>
            </w:r>
          </w:p>
          <w:p w14:paraId="3E63EB22">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s="Times New Roman"/>
                <w:color w:val="auto"/>
                <w:kern w:val="0"/>
                <w:sz w:val="24"/>
                <w:szCs w:val="24"/>
              </w:rPr>
            </w:pPr>
            <w:r>
              <w:rPr>
                <w:rFonts w:hint="eastAsia" w:ascii="宋体" w:hAnsi="宋体" w:cs="Times New Roman"/>
                <w:color w:val="auto"/>
                <w:kern w:val="0"/>
                <w:sz w:val="24"/>
                <w:szCs w:val="24"/>
              </w:rPr>
              <w:t>②</w:t>
            </w:r>
            <w:bookmarkStart w:id="0" w:name="_Hlk93392787"/>
            <w:r>
              <w:rPr>
                <w:rFonts w:hint="eastAsia" w:ascii="宋体" w:hAnsi="宋体" w:cs="Times New Roman"/>
                <w:color w:val="auto"/>
                <w:kern w:val="0"/>
                <w:sz w:val="24"/>
                <w:szCs w:val="24"/>
              </w:rPr>
              <w:t>项目产生的废水主要为升压站食堂废水和办公生活污水。</w:t>
            </w:r>
            <w:bookmarkEnd w:id="0"/>
          </w:p>
          <w:p w14:paraId="5E070BDC">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s="Times New Roman"/>
                <w:color w:val="auto"/>
                <w:kern w:val="0"/>
                <w:sz w:val="24"/>
                <w:szCs w:val="24"/>
              </w:rPr>
            </w:pPr>
            <w:r>
              <w:rPr>
                <w:rFonts w:hint="eastAsia" w:ascii="宋体" w:hAnsi="宋体" w:cs="Times New Roman"/>
                <w:color w:val="auto"/>
                <w:kern w:val="0"/>
                <w:sz w:val="24"/>
                <w:szCs w:val="24"/>
              </w:rPr>
              <w:t>③项目运营期的噪声源主要为风机噪声、升压站噪声。</w:t>
            </w:r>
          </w:p>
          <w:p w14:paraId="1954F70B">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s="Times New Roman"/>
                <w:color w:val="auto"/>
                <w:kern w:val="0"/>
                <w:sz w:val="24"/>
                <w:szCs w:val="24"/>
              </w:rPr>
            </w:pPr>
            <w:r>
              <w:rPr>
                <w:rFonts w:hint="eastAsia" w:ascii="宋体" w:hAnsi="宋体" w:cs="Times New Roman"/>
                <w:color w:val="auto"/>
                <w:kern w:val="0"/>
                <w:sz w:val="24"/>
                <w:szCs w:val="24"/>
              </w:rPr>
              <w:t>④项目项目运营期固废包括生活垃圾、污水处理设施污泥、检修废油、变压器废油、废蓄电池、退役风机叶片。</w:t>
            </w:r>
          </w:p>
          <w:p w14:paraId="1C29D98E">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s="Times New Roman"/>
                <w:color w:val="auto"/>
                <w:kern w:val="0"/>
                <w:sz w:val="24"/>
                <w:szCs w:val="24"/>
              </w:rPr>
            </w:pPr>
            <w:r>
              <w:rPr>
                <w:rFonts w:hint="eastAsia" w:ascii="宋体" w:hAnsi="宋体" w:cs="Times New Roman"/>
                <w:color w:val="auto"/>
                <w:kern w:val="0"/>
                <w:sz w:val="24"/>
                <w:szCs w:val="24"/>
              </w:rPr>
              <w:t>⑤</w:t>
            </w:r>
            <w:r>
              <w:rPr>
                <w:rFonts w:hint="eastAsia" w:ascii="宋体" w:hAnsi="宋体" w:cs="Times New Roman"/>
                <w:color w:val="auto"/>
                <w:kern w:val="0"/>
                <w:sz w:val="24"/>
                <w:szCs w:val="24"/>
                <w:lang w:val="en-US" w:eastAsia="zh-CN"/>
              </w:rPr>
              <w:t>本项目运营期间污水均回用，不外排。固体废物均按照相关要求处理，不乱丢乱弃。因此，运营期间不会对当地生态环境造成影响</w:t>
            </w:r>
            <w:r>
              <w:rPr>
                <w:rFonts w:hint="eastAsia" w:ascii="宋体" w:hAnsi="宋体" w:cs="Times New Roman"/>
                <w:color w:val="auto"/>
                <w:kern w:val="0"/>
                <w:sz w:val="24"/>
                <w:szCs w:val="24"/>
              </w:rPr>
              <w:t>。</w:t>
            </w:r>
          </w:p>
          <w:p w14:paraId="47B12D98">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s="Times New Roman"/>
                <w:color w:val="auto"/>
                <w:kern w:val="0"/>
                <w:sz w:val="24"/>
                <w:szCs w:val="24"/>
              </w:rPr>
            </w:pPr>
            <w:r>
              <w:rPr>
                <w:rFonts w:hint="eastAsia" w:ascii="宋体" w:hAnsi="宋体" w:cs="Times New Roman"/>
                <w:color w:val="auto"/>
                <w:kern w:val="0"/>
                <w:sz w:val="24"/>
                <w:szCs w:val="24"/>
              </w:rPr>
              <w:t>⑥</w:t>
            </w:r>
            <w:r>
              <w:rPr>
                <w:rFonts w:hint="eastAsia" w:ascii="宋体" w:hAnsi="宋体" w:cs="Times New Roman"/>
                <w:color w:val="auto"/>
                <w:kern w:val="0"/>
                <w:sz w:val="24"/>
                <w:szCs w:val="24"/>
                <w:lang w:eastAsia="zh-CN"/>
              </w:rPr>
              <w:t>根据类比分析预测，</w:t>
            </w:r>
            <w:r>
              <w:rPr>
                <w:rFonts w:hint="eastAsia" w:ascii="宋体" w:hAnsi="宋体" w:cs="Times New Roman"/>
                <w:color w:val="auto"/>
                <w:kern w:val="0"/>
                <w:sz w:val="24"/>
                <w:szCs w:val="24"/>
                <w:lang w:val="en-US" w:eastAsia="zh-CN"/>
              </w:rPr>
              <w:t>本项目拟建22</w:t>
            </w:r>
            <w:r>
              <w:rPr>
                <w:rFonts w:hint="eastAsia" w:ascii="宋体" w:hAnsi="宋体" w:cs="Times New Roman"/>
                <w:color w:val="auto"/>
                <w:kern w:val="0"/>
                <w:sz w:val="24"/>
                <w:szCs w:val="24"/>
                <w:lang w:eastAsia="zh-CN"/>
              </w:rPr>
              <w:t>0kV</w:t>
            </w:r>
            <w:r>
              <w:rPr>
                <w:rFonts w:hint="eastAsia" w:ascii="宋体" w:hAnsi="宋体" w:cs="Times New Roman"/>
                <w:color w:val="auto"/>
                <w:kern w:val="0"/>
                <w:sz w:val="24"/>
                <w:szCs w:val="24"/>
                <w:lang w:val="en-US" w:eastAsia="zh-CN"/>
              </w:rPr>
              <w:t>升压站后，升压站</w:t>
            </w:r>
            <w:r>
              <w:rPr>
                <w:rFonts w:hint="eastAsia" w:ascii="宋体" w:hAnsi="宋体" w:cs="Times New Roman"/>
                <w:color w:val="auto"/>
                <w:kern w:val="0"/>
                <w:sz w:val="24"/>
                <w:szCs w:val="24"/>
                <w:lang w:eastAsia="zh-CN"/>
              </w:rPr>
              <w:t>厂界的工频电场、工频磁感应强度满足《电磁环境控制限值》（GB8702-2014）中标准限值要求。</w:t>
            </w:r>
            <w:r>
              <w:rPr>
                <w:rFonts w:hint="eastAsia" w:ascii="宋体" w:hAnsi="宋体" w:cs="Times New Roman"/>
                <w:color w:val="auto"/>
                <w:kern w:val="0"/>
                <w:sz w:val="24"/>
                <w:szCs w:val="24"/>
              </w:rPr>
              <w:t>同时设计的升压站项目满足《电力设施保护条例》和《云南省电力设施保护条例》的要求。</w:t>
            </w:r>
          </w:p>
          <w:p w14:paraId="3B78BBB0">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rPr>
            </w:pPr>
            <w:r>
              <w:rPr>
                <w:rFonts w:hint="eastAsia" w:ascii="宋体" w:hAnsi="宋体" w:cs="Times New Roman"/>
                <w:color w:val="auto"/>
                <w:kern w:val="0"/>
                <w:sz w:val="24"/>
                <w:szCs w:val="24"/>
              </w:rPr>
              <w:t>⑦本项目存在的危险物质主要有检修废油、箱变变压器事故废油</w:t>
            </w:r>
            <w:r>
              <w:rPr>
                <w:rFonts w:hint="eastAsia" w:ascii="宋体" w:hAnsi="宋体" w:cs="Times New Roman"/>
                <w:color w:val="auto"/>
                <w:kern w:val="0"/>
                <w:sz w:val="24"/>
                <w:szCs w:val="24"/>
                <w:lang w:eastAsia="zh-CN"/>
              </w:rPr>
              <w:t>、升压站主变压器事故废油以及</w:t>
            </w:r>
            <w:r>
              <w:rPr>
                <w:rFonts w:hint="eastAsia" w:ascii="宋体" w:hAnsi="宋体" w:cs="Times New Roman"/>
                <w:color w:val="auto"/>
                <w:kern w:val="0"/>
                <w:sz w:val="24"/>
                <w:szCs w:val="24"/>
              </w:rPr>
              <w:t>废铅蓄电池中含有的硫酸。其中变压器油主要存储于升压站主变油箱</w:t>
            </w:r>
            <w:r>
              <w:rPr>
                <w:rFonts w:hint="eastAsia" w:ascii="宋体" w:hAnsi="宋体" w:cs="Times New Roman"/>
                <w:color w:val="auto"/>
                <w:kern w:val="0"/>
                <w:sz w:val="24"/>
                <w:szCs w:val="24"/>
                <w:lang w:val="en-US" w:eastAsia="zh-CN"/>
              </w:rPr>
              <w:t>和箱变</w:t>
            </w:r>
            <w:r>
              <w:rPr>
                <w:rFonts w:hint="eastAsia" w:ascii="宋体" w:hAnsi="宋体" w:cs="Times New Roman"/>
                <w:color w:val="auto"/>
                <w:kern w:val="0"/>
                <w:sz w:val="24"/>
                <w:szCs w:val="24"/>
              </w:rPr>
              <w:t>油箱内；废油、废</w:t>
            </w:r>
            <w:r>
              <w:rPr>
                <w:rFonts w:hint="eastAsia" w:ascii="宋体" w:hAnsi="宋体" w:cs="Times New Roman"/>
                <w:color w:val="auto"/>
                <w:kern w:val="0"/>
                <w:sz w:val="24"/>
                <w:szCs w:val="24"/>
                <w:lang w:val="en-US" w:eastAsia="zh-CN"/>
              </w:rPr>
              <w:t>铅酸</w:t>
            </w:r>
            <w:r>
              <w:rPr>
                <w:rFonts w:hint="eastAsia" w:ascii="宋体" w:hAnsi="宋体" w:cs="Times New Roman"/>
                <w:color w:val="auto"/>
                <w:kern w:val="0"/>
                <w:sz w:val="24"/>
                <w:szCs w:val="24"/>
              </w:rPr>
              <w:t>电池主要存储于危废贮存库内。</w:t>
            </w:r>
          </w:p>
        </w:tc>
      </w:tr>
      <w:tr w14:paraId="77157C98">
        <w:tblPrEx>
          <w:tblCellMar>
            <w:top w:w="0" w:type="dxa"/>
            <w:left w:w="108" w:type="dxa"/>
            <w:bottom w:w="0" w:type="dxa"/>
            <w:right w:w="108" w:type="dxa"/>
          </w:tblCellMar>
        </w:tblPrEx>
        <w:trPr>
          <w:trHeight w:val="381"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3730556A">
            <w:pPr>
              <w:widowControl/>
              <w:spacing w:line="280" w:lineRule="exact"/>
              <w:jc w:val="center"/>
              <w:rPr>
                <w:rFonts w:ascii="宋体"/>
                <w:kern w:val="0"/>
                <w:sz w:val="24"/>
                <w:szCs w:val="24"/>
              </w:rPr>
            </w:pPr>
            <w:r>
              <w:rPr>
                <w:rFonts w:hint="eastAsia" w:ascii="宋体" w:hAnsi="宋体"/>
                <w:kern w:val="0"/>
                <w:sz w:val="24"/>
                <w:szCs w:val="24"/>
              </w:rPr>
              <w:t>项目预防及减轻不良环境影响的对策和措施</w:t>
            </w:r>
          </w:p>
        </w:tc>
      </w:tr>
      <w:tr w14:paraId="4D28A8A1">
        <w:tblPrEx>
          <w:tblCellMar>
            <w:top w:w="0" w:type="dxa"/>
            <w:left w:w="108" w:type="dxa"/>
            <w:bottom w:w="0" w:type="dxa"/>
            <w:right w:w="108" w:type="dxa"/>
          </w:tblCellMar>
        </w:tblPrEx>
        <w:trPr>
          <w:trHeight w:val="437"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54B75623">
            <w:pPr>
              <w:keepNext w:val="0"/>
              <w:keepLines w:val="0"/>
              <w:pageBreakBefore w:val="0"/>
              <w:widowControl/>
              <w:numPr>
                <w:ilvl w:val="0"/>
                <w:numId w:val="0"/>
              </w:numPr>
              <w:kinsoku/>
              <w:wordWrap/>
              <w:overflowPunct/>
              <w:topLinePunct w:val="0"/>
              <w:autoSpaceDE/>
              <w:autoSpaceDN/>
              <w:bidi w:val="0"/>
              <w:adjustRightInd/>
              <w:snapToGrid/>
              <w:spacing w:line="360" w:lineRule="exact"/>
              <w:jc w:val="left"/>
              <w:textAlignment w:val="auto"/>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1、施工期环境保护措施</w:t>
            </w:r>
          </w:p>
          <w:p w14:paraId="737B02FC">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color w:val="auto"/>
                <w:kern w:val="0"/>
                <w:sz w:val="24"/>
                <w:szCs w:val="24"/>
              </w:rPr>
            </w:pPr>
            <w:r>
              <w:rPr>
                <w:rFonts w:hint="eastAsia" w:ascii="Times New Roman" w:hAnsi="Times New Roman"/>
                <w:sz w:val="24"/>
                <w:szCs w:val="24"/>
              </w:rPr>
              <w:t>（1）严格按照施工总体平面布置开展施工，禁止超计划占地及越界施工，禁止在生态保护红线范围内建设施工道路、施工营地、材料堆场等</w:t>
            </w:r>
            <w:r>
              <w:rPr>
                <w:rFonts w:hint="eastAsia" w:ascii="Times New Roman" w:hAnsi="Times New Roman"/>
                <w:sz w:val="24"/>
                <w:szCs w:val="24"/>
                <w:lang w:eastAsia="zh-CN"/>
              </w:rPr>
              <w:t>；</w:t>
            </w:r>
            <w:r>
              <w:rPr>
                <w:rFonts w:hint="eastAsia" w:ascii="Times New Roman" w:hAnsi="Times New Roman"/>
                <w:sz w:val="24"/>
                <w:szCs w:val="24"/>
              </w:rPr>
              <w:t>禁止在生态保护红线范围内存放建筑垃圾和生活垃圾，建筑垃圾、生态垃圾等固体废物</w:t>
            </w:r>
            <w:r>
              <w:rPr>
                <w:rFonts w:hint="eastAsia" w:ascii="Times New Roman" w:hAnsi="Times New Roman"/>
                <w:sz w:val="24"/>
                <w:szCs w:val="24"/>
                <w:lang w:eastAsia="zh-CN"/>
              </w:rPr>
              <w:t>；</w:t>
            </w:r>
            <w:r>
              <w:rPr>
                <w:rFonts w:hint="eastAsia" w:ascii="Times New Roman" w:hAnsi="Times New Roman"/>
                <w:sz w:val="24"/>
                <w:szCs w:val="24"/>
                <w:lang w:val="en-US" w:eastAsia="zh-CN"/>
              </w:rPr>
              <w:t>风机、箱变基坑布设临时排水挡土设施；场内道路采用窄幅半挖半填施工，配套边坡排水；吊装平台、弃渣场完善截排水设施，规范堆土弃渣，减轻坡面冲刷；分段施工、随挖随护，避开雨季土方作业，常态化洒水抑尘，防控水土流失；</w:t>
            </w:r>
            <w:r>
              <w:rPr>
                <w:rFonts w:hint="eastAsia" w:ascii="Times New Roman" w:hAnsi="Times New Roman"/>
                <w:sz w:val="24"/>
                <w:szCs w:val="24"/>
              </w:rPr>
              <w:t>施工结束后应尽快对临时占地、弃渣场及施工场地进行植被恢复</w:t>
            </w:r>
            <w:r>
              <w:rPr>
                <w:color w:val="auto"/>
                <w:sz w:val="24"/>
                <w:highlight w:val="none"/>
              </w:rPr>
              <w:t>，不得造成污染和破坏。</w:t>
            </w:r>
          </w:p>
          <w:p w14:paraId="7524A299">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sz w:val="24"/>
                <w:szCs w:val="24"/>
              </w:rPr>
            </w:pPr>
            <w:r>
              <w:rPr>
                <w:rFonts w:hint="eastAsia" w:ascii="Times New Roman" w:hAnsi="Times New Roman"/>
                <w:sz w:val="24"/>
                <w:szCs w:val="24"/>
              </w:rPr>
              <w:t>（2）加强施工期环境管理。施工过程中文明施工，加强管理，施工区域实施洒水降尘作业，减少建筑材料露天堆放，减少扬尘对周围环境的污染</w:t>
            </w:r>
            <w:r>
              <w:rPr>
                <w:rFonts w:hint="eastAsia" w:ascii="Times New Roman" w:hAnsi="Times New Roman"/>
                <w:sz w:val="24"/>
                <w:szCs w:val="24"/>
                <w:lang w:eastAsia="zh-CN"/>
              </w:rPr>
              <w:t>；</w:t>
            </w:r>
            <w:r>
              <w:rPr>
                <w:rFonts w:hint="eastAsia" w:ascii="Times New Roman" w:hAnsi="Times New Roman"/>
                <w:sz w:val="24"/>
                <w:szCs w:val="24"/>
              </w:rPr>
              <w:t>施工期开挖的土石方，及时回填，剩余的弃渣及时运至指定渣场堆放，对临时堆土点的弃土弃渣应尽快回填利用或运至弃渣场，暂时不能利用的，应采取临时遮盖措施，减少风蚀产生的扬尘</w:t>
            </w:r>
            <w:r>
              <w:rPr>
                <w:rFonts w:hint="eastAsia" w:ascii="Times New Roman" w:hAnsi="Times New Roman"/>
                <w:sz w:val="24"/>
                <w:szCs w:val="24"/>
                <w:lang w:eastAsia="zh-CN"/>
              </w:rPr>
              <w:t>；</w:t>
            </w:r>
            <w:r>
              <w:rPr>
                <w:rFonts w:hint="eastAsia" w:ascii="Times New Roman" w:hAnsi="Times New Roman"/>
                <w:sz w:val="24"/>
                <w:szCs w:val="24"/>
              </w:rPr>
              <w:t>施工车辆进行定期检修、维护，破损的车厢及时修补，防止车辆行驶过程中洒落。运输石灰、中砂、水泥等粉状材料的车辆使用覆盖</w:t>
            </w:r>
            <w:r>
              <w:rPr>
                <w:rFonts w:hint="eastAsia" w:ascii="Times New Roman" w:hAnsi="Times New Roman"/>
                <w:sz w:val="24"/>
                <w:szCs w:val="24"/>
                <w:lang w:eastAsia="zh-CN"/>
              </w:rPr>
              <w:t>篷布</w:t>
            </w:r>
            <w:r>
              <w:rPr>
                <w:rFonts w:hint="eastAsia" w:ascii="Times New Roman" w:hAnsi="Times New Roman"/>
                <w:sz w:val="24"/>
                <w:szCs w:val="24"/>
              </w:rPr>
              <w:t>，以减少撒落和飞灰</w:t>
            </w:r>
            <w:r>
              <w:rPr>
                <w:rFonts w:hint="eastAsia" w:ascii="Times New Roman" w:hAnsi="Times New Roman"/>
                <w:sz w:val="24"/>
                <w:szCs w:val="24"/>
                <w:lang w:eastAsia="zh-CN"/>
              </w:rPr>
              <w:t>；</w:t>
            </w:r>
            <w:r>
              <w:rPr>
                <w:rFonts w:hint="eastAsia" w:ascii="Times New Roman" w:hAnsi="Times New Roman"/>
                <w:sz w:val="24"/>
                <w:szCs w:val="24"/>
              </w:rPr>
              <w:t>对机械、车辆加强维修保养，禁止施工机械超负荷工作，同时使用先进设备和优质燃料油</w:t>
            </w:r>
            <w:r>
              <w:rPr>
                <w:rFonts w:hint="eastAsia" w:ascii="Times New Roman" w:hAnsi="Times New Roman"/>
                <w:sz w:val="24"/>
                <w:szCs w:val="24"/>
                <w:lang w:eastAsia="zh-CN"/>
              </w:rPr>
              <w:t>；</w:t>
            </w:r>
            <w:r>
              <w:rPr>
                <w:rFonts w:hint="eastAsia" w:ascii="Times New Roman" w:hAnsi="Times New Roman"/>
                <w:sz w:val="24"/>
                <w:szCs w:val="24"/>
              </w:rPr>
              <w:t>对施工现场和道路进行洒水降尘，在春季干旱多风日适当增加洒水次数。</w:t>
            </w:r>
          </w:p>
          <w:p w14:paraId="2E83B462">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sz w:val="24"/>
                <w:szCs w:val="24"/>
                <w:lang w:eastAsia="zh-CN"/>
              </w:rPr>
            </w:pPr>
            <w:r>
              <w:rPr>
                <w:rFonts w:hint="eastAsia" w:ascii="Times New Roman" w:hAnsi="Times New Roman"/>
                <w:sz w:val="24"/>
                <w:szCs w:val="24"/>
              </w:rPr>
              <w:t>（3）施工期节约用水，减少废水的产生，合理安排施工期，避免在雨天土石方施工，暴雨期间停止施工</w:t>
            </w:r>
            <w:r>
              <w:rPr>
                <w:rFonts w:hint="eastAsia" w:ascii="Times New Roman" w:hAnsi="Times New Roman"/>
                <w:sz w:val="24"/>
                <w:szCs w:val="24"/>
                <w:lang w:eastAsia="zh-CN"/>
              </w:rPr>
              <w:t>；</w:t>
            </w:r>
            <w:r>
              <w:rPr>
                <w:rFonts w:hint="eastAsia" w:ascii="Times New Roman" w:hAnsi="Times New Roman"/>
                <w:sz w:val="24"/>
                <w:szCs w:val="24"/>
              </w:rPr>
              <w:t>施工期设置临时简易沉淀池，施工废水经处理后回用于施工现场施工及洒水降尘，不外排</w:t>
            </w:r>
            <w:r>
              <w:rPr>
                <w:rFonts w:hint="eastAsia" w:ascii="Times New Roman" w:hAnsi="Times New Roman"/>
                <w:sz w:val="24"/>
                <w:szCs w:val="24"/>
                <w:lang w:eastAsia="zh-CN"/>
              </w:rPr>
              <w:t>；施工期间通过设计排水沟、沉砂池等措施将汇集雨水沉淀后用于施工场区洒水降尘，确保不因项目建设造成</w:t>
            </w:r>
            <w:r>
              <w:rPr>
                <w:rFonts w:hint="eastAsia" w:ascii="Times New Roman" w:hAnsi="Times New Roman"/>
                <w:sz w:val="24"/>
                <w:szCs w:val="24"/>
                <w:lang w:val="en-US" w:eastAsia="zh-CN"/>
              </w:rPr>
              <w:t>周边地表水体</w:t>
            </w:r>
            <w:r>
              <w:rPr>
                <w:rFonts w:hint="eastAsia" w:ascii="Times New Roman" w:hAnsi="Times New Roman"/>
                <w:sz w:val="24"/>
                <w:szCs w:val="24"/>
                <w:lang w:eastAsia="zh-CN"/>
              </w:rPr>
              <w:t>污染。</w:t>
            </w:r>
          </w:p>
          <w:p w14:paraId="486A6EBB">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sz w:val="24"/>
                <w:szCs w:val="24"/>
              </w:rPr>
            </w:pPr>
            <w:r>
              <w:rPr>
                <w:rFonts w:hint="eastAsia" w:ascii="Times New Roman" w:hAnsi="Times New Roman"/>
                <w:sz w:val="24"/>
                <w:szCs w:val="24"/>
              </w:rPr>
              <w:t>（4）选用低噪声、低振动、符合国家噪声标准的新型施工机械优化施工平面布置</w:t>
            </w:r>
            <w:r>
              <w:rPr>
                <w:rFonts w:hint="eastAsia" w:ascii="Times New Roman" w:hAnsi="Times New Roman"/>
                <w:sz w:val="24"/>
                <w:szCs w:val="24"/>
                <w:lang w:eastAsia="zh-CN"/>
              </w:rPr>
              <w:t>，</w:t>
            </w:r>
            <w:r>
              <w:rPr>
                <w:rFonts w:hint="eastAsia" w:ascii="Times New Roman" w:hAnsi="Times New Roman"/>
                <w:sz w:val="24"/>
                <w:szCs w:val="24"/>
              </w:rPr>
              <w:t>将高噪声固定作业点远离周边居民点；合理安排施工时段严格禁止夜间（22:00~ 次日 6:00） 进行强噪声施工作业</w:t>
            </w:r>
            <w:r>
              <w:rPr>
                <w:rFonts w:hint="eastAsia" w:ascii="Times New Roman" w:hAnsi="Times New Roman"/>
                <w:sz w:val="24"/>
                <w:szCs w:val="24"/>
                <w:lang w:eastAsia="zh-CN"/>
              </w:rPr>
              <w:t>；</w:t>
            </w:r>
            <w:r>
              <w:rPr>
                <w:rFonts w:hint="eastAsia" w:ascii="Times New Roman" w:hAnsi="Times New Roman"/>
                <w:sz w:val="24"/>
                <w:szCs w:val="24"/>
              </w:rPr>
              <w:t>高噪声工序分散错峰作业，避免多台大型设备同时集中轰鸣</w:t>
            </w:r>
            <w:r>
              <w:rPr>
                <w:rFonts w:hint="eastAsia" w:ascii="Times New Roman" w:hAnsi="Times New Roman"/>
                <w:sz w:val="24"/>
                <w:szCs w:val="24"/>
                <w:lang w:eastAsia="zh-CN"/>
              </w:rPr>
              <w:t>；</w:t>
            </w:r>
            <w:r>
              <w:rPr>
                <w:rFonts w:hint="eastAsia" w:ascii="Times New Roman" w:hAnsi="Times New Roman"/>
                <w:sz w:val="24"/>
                <w:szCs w:val="24"/>
                <w:lang w:val="en-US" w:eastAsia="zh-CN"/>
              </w:rPr>
              <w:t>升压站夜间禁止施工，减小对62m处昔腊嘟散户的噪声影响；</w:t>
            </w:r>
            <w:r>
              <w:rPr>
                <w:rFonts w:hint="eastAsia" w:ascii="Times New Roman" w:hAnsi="Times New Roman"/>
                <w:sz w:val="24"/>
                <w:szCs w:val="24"/>
              </w:rPr>
              <w:t>加强施工人员环保教育，文明施工，减少人为大声喧哗、野蛮作业产生的额外噪声</w:t>
            </w:r>
            <w:r>
              <w:rPr>
                <w:rFonts w:hint="eastAsia" w:ascii="Times New Roman" w:hAnsi="Times New Roman"/>
                <w:sz w:val="24"/>
                <w:szCs w:val="24"/>
                <w:lang w:eastAsia="zh-CN"/>
              </w:rPr>
              <w:t>；对施工运输车辆行驶时间、行驶路线进行严格控制和管理，在运输车辆经过的村庄附近路段设置限速禁鸣标志；</w:t>
            </w:r>
            <w:r>
              <w:rPr>
                <w:rFonts w:hint="eastAsia" w:ascii="Times New Roman" w:hAnsi="Times New Roman"/>
                <w:sz w:val="24"/>
                <w:szCs w:val="24"/>
              </w:rPr>
              <w:t>确保施工场界噪声排放满足《建筑施工环境噪声排放标准》要求。</w:t>
            </w:r>
          </w:p>
          <w:p w14:paraId="207C5FB4">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sz w:val="24"/>
                <w:szCs w:val="24"/>
              </w:rPr>
            </w:pPr>
            <w:r>
              <w:rPr>
                <w:rFonts w:hint="eastAsia" w:ascii="Times New Roman" w:hAnsi="Times New Roman"/>
                <w:sz w:val="24"/>
                <w:szCs w:val="24"/>
              </w:rPr>
              <w:t>（5）施工过程进一步优化土石方平衡，尽可能减少弃渣。施工期废弃土石方尽量考虑进行场内平衡回填，或用于道路修筑，多余的土石方按规定运至弃渣场进行堆放</w:t>
            </w:r>
            <w:r>
              <w:rPr>
                <w:rFonts w:hint="eastAsia" w:ascii="Times New Roman" w:hAnsi="Times New Roman"/>
                <w:sz w:val="24"/>
                <w:szCs w:val="24"/>
                <w:lang w:eastAsia="zh-CN"/>
              </w:rPr>
              <w:t>；</w:t>
            </w:r>
            <w:r>
              <w:rPr>
                <w:rFonts w:hint="eastAsia" w:ascii="Times New Roman" w:hAnsi="Times New Roman"/>
                <w:sz w:val="24"/>
                <w:szCs w:val="24"/>
              </w:rPr>
              <w:t>出渣严格按水土保持方案和后续设计指定的渣场集中堆放，不得随意倾倒</w:t>
            </w:r>
            <w:r>
              <w:rPr>
                <w:rFonts w:hint="eastAsia" w:ascii="Times New Roman" w:hAnsi="Times New Roman"/>
                <w:sz w:val="24"/>
                <w:szCs w:val="24"/>
                <w:lang w:eastAsia="zh-CN"/>
              </w:rPr>
              <w:t>；</w:t>
            </w:r>
            <w:r>
              <w:rPr>
                <w:rFonts w:hint="eastAsia" w:ascii="Times New Roman" w:hAnsi="Times New Roman"/>
                <w:sz w:val="24"/>
                <w:szCs w:val="24"/>
              </w:rPr>
              <w:t>弃渣运到渣场指定地点应及时完成摊铺、碾压，对渣体边坡进行修整。</w:t>
            </w:r>
            <w:r>
              <w:rPr>
                <w:rFonts w:hint="eastAsia" w:ascii="Times New Roman" w:hAnsi="Times New Roman"/>
                <w:sz w:val="24"/>
                <w:szCs w:val="24"/>
                <w:lang w:val="en-US" w:eastAsia="zh-CN"/>
              </w:rPr>
              <w:t>弃土结束后，马上进行覆土和植物恢复措施的施工，避免坡面场面长时间裸露；</w:t>
            </w:r>
            <w:r>
              <w:rPr>
                <w:rFonts w:hint="eastAsia" w:ascii="Times New Roman" w:hAnsi="Times New Roman"/>
                <w:sz w:val="24"/>
                <w:szCs w:val="24"/>
              </w:rPr>
              <w:t>施工生活垃圾设垃圾桶，统一收集后运至附近村庄垃圾收集点处理。。</w:t>
            </w:r>
          </w:p>
          <w:p w14:paraId="3DAC1D2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b/>
                <w:bCs/>
                <w:sz w:val="24"/>
                <w:szCs w:val="24"/>
                <w:lang w:val="en-US" w:eastAsia="zh-CN"/>
              </w:rPr>
            </w:pPr>
            <w:r>
              <w:rPr>
                <w:rFonts w:hint="eastAsia" w:ascii="Times New Roman" w:hAnsi="Times New Roman"/>
                <w:b/>
                <w:bCs/>
                <w:sz w:val="24"/>
                <w:szCs w:val="24"/>
                <w:lang w:val="en-US" w:eastAsia="zh-CN"/>
              </w:rPr>
              <w:t>2、运营期环境保护措施</w:t>
            </w:r>
          </w:p>
          <w:p w14:paraId="6E9212C8">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sz w:val="24"/>
              </w:rPr>
            </w:pPr>
            <w:r>
              <w:rPr>
                <w:rFonts w:hint="default" w:ascii="Times New Roman" w:hAnsi="Times New Roman" w:cs="Times New Roman"/>
                <w:sz w:val="24"/>
              </w:rPr>
              <w:t>（1）尽快恢复植被。风机基础和施工道路工程结束后</w:t>
            </w:r>
            <w:r>
              <w:rPr>
                <w:rFonts w:hint="default" w:ascii="Times New Roman" w:hAnsi="Times New Roman" w:cs="Times New Roman"/>
                <w:color w:val="auto"/>
                <w:kern w:val="0"/>
                <w:sz w:val="24"/>
                <w:highlight w:val="none"/>
              </w:rPr>
              <w:t>树种、草种的选择应以当地优良的乡土树种草种为主</w:t>
            </w:r>
            <w:r>
              <w:rPr>
                <w:rFonts w:hint="default" w:ascii="Times New Roman" w:hAnsi="Times New Roman" w:cs="Times New Roman"/>
                <w:sz w:val="24"/>
              </w:rPr>
              <w:t>，尽快恢复植被。尽量避免人工痕迹，使路域植被与周围环境融为一体。植被恢复和绿化以保护区域自然环境，避免对周边景观造成明显不利影响</w:t>
            </w:r>
            <w:r>
              <w:rPr>
                <w:rFonts w:hint="default" w:ascii="Times New Roman" w:hAnsi="Times New Roman" w:cs="Times New Roman"/>
                <w:sz w:val="24"/>
                <w:lang w:eastAsia="zh-CN"/>
              </w:rPr>
              <w:t>；</w:t>
            </w:r>
            <w:r>
              <w:rPr>
                <w:rFonts w:hint="default" w:ascii="Times New Roman" w:hAnsi="Times New Roman" w:cs="Times New Roman"/>
                <w:sz w:val="24"/>
              </w:rPr>
              <w:t>加强对绿化植物的管理与养护，尤其是吊装平台植被的恢复，应注重表土的保存，加强植被恢复后的管养，保证成活率。</w:t>
            </w:r>
          </w:p>
          <w:p w14:paraId="7A91088D">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sz w:val="24"/>
              </w:rPr>
            </w:pPr>
            <w:r>
              <w:rPr>
                <w:rFonts w:hint="default" w:ascii="Times New Roman" w:hAnsi="Times New Roman" w:cs="Times New Roman"/>
                <w:sz w:val="24"/>
              </w:rPr>
              <w:t>（2）</w:t>
            </w:r>
            <w:r>
              <w:rPr>
                <w:rFonts w:hint="default" w:ascii="Times New Roman" w:hAnsi="Times New Roman" w:cs="Times New Roman"/>
                <w:color w:val="auto"/>
                <w:sz w:val="24"/>
                <w:highlight w:val="none"/>
                <w:lang w:eastAsia="zh-CN"/>
              </w:rPr>
              <w:t>升压站</w:t>
            </w:r>
            <w:r>
              <w:rPr>
                <w:rFonts w:hint="default" w:ascii="Times New Roman" w:hAnsi="Times New Roman" w:cs="Times New Roman"/>
                <w:color w:val="auto"/>
                <w:sz w:val="24"/>
                <w:highlight w:val="none"/>
              </w:rPr>
              <w:t>实行雨污分流，</w:t>
            </w:r>
            <w:r>
              <w:rPr>
                <w:rFonts w:hint="default" w:ascii="Times New Roman" w:hAnsi="Times New Roman" w:cs="Times New Roman"/>
                <w:sz w:val="24"/>
              </w:rPr>
              <w:t>升压站内食堂废水经隔油池隔油后，连同</w:t>
            </w:r>
            <w:r>
              <w:rPr>
                <w:rFonts w:hint="default" w:ascii="Times New Roman" w:hAnsi="Times New Roman" w:cs="Times New Roman"/>
                <w:sz w:val="24"/>
                <w:lang w:eastAsia="zh-CN"/>
              </w:rPr>
              <w:t>其他生活</w:t>
            </w:r>
            <w:r>
              <w:rPr>
                <w:rFonts w:hint="default" w:ascii="Times New Roman" w:hAnsi="Times New Roman" w:cs="Times New Roman"/>
                <w:sz w:val="24"/>
              </w:rPr>
              <w:t>污水进入化粪池处理，处理后进入</w:t>
            </w:r>
            <w:r>
              <w:rPr>
                <w:rFonts w:hint="default" w:ascii="Times New Roman" w:hAnsi="Times New Roman" w:cs="Times New Roman"/>
                <w:sz w:val="24"/>
                <w:lang w:val="en-US" w:eastAsia="zh-CN"/>
              </w:rPr>
              <w:t>污水</w:t>
            </w:r>
            <w:r>
              <w:rPr>
                <w:rFonts w:hint="default" w:ascii="Times New Roman" w:hAnsi="Times New Roman" w:cs="Times New Roman"/>
                <w:sz w:val="24"/>
              </w:rPr>
              <w:t>处理站处理达到《城市污水再生利用城市杂用水水质》（GB/T18920-2020）中绿化标准后晴天全部回用于升压站内绿化。</w:t>
            </w:r>
          </w:p>
          <w:p w14:paraId="2A8CB740">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color w:val="auto"/>
                <w:kern w:val="0"/>
                <w:sz w:val="24"/>
                <w:highlight w:val="none"/>
              </w:rPr>
            </w:pPr>
            <w:r>
              <w:rPr>
                <w:rFonts w:hint="default" w:ascii="Times New Roman" w:hAnsi="Times New Roman" w:cs="Times New Roman"/>
                <w:sz w:val="24"/>
              </w:rPr>
              <w:t>（</w:t>
            </w:r>
            <w:r>
              <w:rPr>
                <w:rFonts w:hint="default" w:ascii="Times New Roman" w:hAnsi="Times New Roman" w:cs="Times New Roman"/>
                <w:sz w:val="24"/>
                <w:lang w:val="en-US" w:eastAsia="zh-CN"/>
              </w:rPr>
              <w:t>3</w:t>
            </w:r>
            <w:r>
              <w:rPr>
                <w:rFonts w:hint="default" w:ascii="Times New Roman" w:hAnsi="Times New Roman" w:cs="Times New Roman"/>
                <w:sz w:val="24"/>
              </w:rPr>
              <w:t>）生活垃圾统一收集后运至附近村庄垃圾收集点处理</w:t>
            </w:r>
            <w:r>
              <w:rPr>
                <w:rFonts w:hint="default" w:ascii="Times New Roman" w:hAnsi="Times New Roman" w:cs="Times New Roman"/>
                <w:sz w:val="24"/>
                <w:lang w:eastAsia="zh-CN"/>
              </w:rPr>
              <w:t>；退役后的风机叶片交由厂家回收，不得弃置；</w:t>
            </w:r>
            <w:r>
              <w:rPr>
                <w:rFonts w:hint="default" w:ascii="Times New Roman" w:hAnsi="Times New Roman" w:cs="Times New Roman"/>
                <w:sz w:val="24"/>
              </w:rPr>
              <w:t>事故废油、检修废油集中收集后暂存于</w:t>
            </w:r>
            <w:r>
              <w:rPr>
                <w:rFonts w:hint="default" w:ascii="Times New Roman" w:hAnsi="Times New Roman" w:cs="Times New Roman"/>
                <w:sz w:val="24"/>
                <w:lang w:eastAsia="zh-CN"/>
              </w:rPr>
              <w:t>危废暂存库</w:t>
            </w:r>
            <w:r>
              <w:rPr>
                <w:rFonts w:hint="default" w:ascii="Times New Roman" w:hAnsi="Times New Roman" w:cs="Times New Roman"/>
                <w:sz w:val="24"/>
              </w:rPr>
              <w:t>，后期委托有资质的单位处置</w:t>
            </w:r>
            <w:r>
              <w:rPr>
                <w:rFonts w:hint="default" w:ascii="Times New Roman" w:hAnsi="Times New Roman" w:cs="Times New Roman"/>
                <w:sz w:val="24"/>
                <w:lang w:eastAsia="zh-CN"/>
              </w:rPr>
              <w:t>；</w:t>
            </w:r>
            <w:r>
              <w:rPr>
                <w:rFonts w:hint="default" w:ascii="Times New Roman" w:hAnsi="Times New Roman" w:cs="Times New Roman"/>
                <w:sz w:val="24"/>
              </w:rPr>
              <w:t>事故油池、箱变集油池、危废暂存间按照</w:t>
            </w:r>
            <w:r>
              <w:rPr>
                <w:rFonts w:hint="default" w:ascii="Times New Roman" w:hAnsi="Times New Roman" w:cs="Times New Roman"/>
                <w:sz w:val="24"/>
                <w:lang w:eastAsia="zh-CN"/>
              </w:rPr>
              <w:t>《</w:t>
            </w:r>
            <w:r>
              <w:rPr>
                <w:rFonts w:hint="default" w:ascii="Times New Roman" w:hAnsi="Times New Roman" w:cs="Times New Roman"/>
                <w:color w:val="auto"/>
                <w:kern w:val="0"/>
                <w:sz w:val="24"/>
                <w:highlight w:val="none"/>
              </w:rPr>
              <w:t>危险废物贮存污染控制标准》（GB18597-2</w:t>
            </w:r>
          </w:p>
          <w:p w14:paraId="57F5295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sz w:val="24"/>
              </w:rPr>
            </w:pPr>
            <w:r>
              <w:rPr>
                <w:rFonts w:hint="default" w:ascii="Times New Roman" w:hAnsi="Times New Roman" w:cs="Times New Roman"/>
                <w:color w:val="auto"/>
                <w:kern w:val="0"/>
                <w:sz w:val="24"/>
                <w:highlight w:val="none"/>
              </w:rPr>
              <w:t>023）</w:t>
            </w:r>
            <w:r>
              <w:rPr>
                <w:rFonts w:hint="default" w:ascii="Times New Roman" w:hAnsi="Times New Roman" w:cs="Times New Roman"/>
                <w:color w:val="auto"/>
                <w:sz w:val="24"/>
                <w:highlight w:val="none"/>
              </w:rPr>
              <w:t>相关</w:t>
            </w:r>
            <w:r>
              <w:rPr>
                <w:rFonts w:hint="default" w:ascii="Times New Roman" w:hAnsi="Times New Roman" w:cs="Times New Roman"/>
                <w:sz w:val="24"/>
              </w:rPr>
              <w:t>要求进行建设。险废物定期委托具备相应危废处置资质的单位进行处置，其转移严格按照《危险废物转移管理办法》要求执行</w:t>
            </w:r>
            <w:r>
              <w:rPr>
                <w:rFonts w:hint="default" w:ascii="Times New Roman" w:hAnsi="Times New Roman" w:cs="Times New Roman"/>
                <w:sz w:val="24"/>
                <w:lang w:eastAsia="zh-CN"/>
              </w:rPr>
              <w:t>，</w:t>
            </w:r>
            <w:r>
              <w:rPr>
                <w:rFonts w:hint="default" w:ascii="Times New Roman" w:hAnsi="Times New Roman" w:cs="Times New Roman"/>
                <w:sz w:val="24"/>
              </w:rPr>
              <w:t>建立危险废物产生记录台账。</w:t>
            </w:r>
          </w:p>
          <w:p w14:paraId="17F77953">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eastAsia="方正仿宋_GBK" w:cs="Times New Roman"/>
                <w:color w:val="auto"/>
                <w:kern w:val="0"/>
                <w:sz w:val="24"/>
                <w:szCs w:val="24"/>
                <w:lang w:eastAsia="zh-CN"/>
              </w:rPr>
            </w:pPr>
            <w:r>
              <w:rPr>
                <w:rFonts w:hint="default" w:ascii="Times New Roman" w:hAnsi="Times New Roman" w:cs="Times New Roman"/>
                <w:sz w:val="24"/>
              </w:rPr>
              <w:t>（</w:t>
            </w:r>
            <w:r>
              <w:rPr>
                <w:rFonts w:hint="default" w:ascii="Times New Roman" w:hAnsi="Times New Roman" w:cs="Times New Roman"/>
                <w:sz w:val="24"/>
                <w:lang w:val="en-US" w:eastAsia="zh-CN"/>
              </w:rPr>
              <w:t>4</w:t>
            </w:r>
            <w:r>
              <w:rPr>
                <w:rFonts w:hint="default" w:ascii="Times New Roman" w:hAnsi="Times New Roman" w:cs="Times New Roman"/>
                <w:sz w:val="24"/>
              </w:rPr>
              <w:t>）</w:t>
            </w:r>
            <w:r>
              <w:rPr>
                <w:color w:val="auto"/>
                <w:sz w:val="24"/>
                <w:highlight w:val="none"/>
              </w:rPr>
              <w:t>在设备选型上选用低噪声设备</w:t>
            </w:r>
            <w:r>
              <w:rPr>
                <w:rFonts w:hint="eastAsia"/>
                <w:color w:val="auto"/>
                <w:sz w:val="24"/>
                <w:highlight w:val="none"/>
                <w:lang w:eastAsia="zh-CN"/>
              </w:rPr>
              <w:t>；</w:t>
            </w:r>
            <w:r>
              <w:rPr>
                <w:rFonts w:hint="eastAsia" w:cs="宋体"/>
                <w:color w:val="auto"/>
                <w:kern w:val="0"/>
                <w:sz w:val="24"/>
                <w:highlight w:val="none"/>
              </w:rPr>
              <w:t>升压站主变压器采取相应的隔声、减振措施，</w:t>
            </w:r>
            <w:r>
              <w:rPr>
                <w:rFonts w:hint="eastAsia" w:cs="宋体"/>
                <w:color w:val="auto"/>
                <w:sz w:val="24"/>
                <w:highlight w:val="none"/>
              </w:rPr>
              <w:t>外围应设置围墙进行隔声</w:t>
            </w:r>
            <w:r>
              <w:rPr>
                <w:rFonts w:hint="eastAsia" w:cs="宋体"/>
                <w:color w:val="auto"/>
                <w:sz w:val="24"/>
                <w:highlight w:val="none"/>
                <w:lang w:eastAsia="zh-CN"/>
              </w:rPr>
              <w:t>；</w:t>
            </w:r>
            <w:r>
              <w:rPr>
                <w:color w:val="auto"/>
                <w:sz w:val="24"/>
                <w:highlight w:val="none"/>
              </w:rPr>
              <w:t>加强项目内的绿化，在美化环境的同时还能起到一定的降噪作用</w:t>
            </w:r>
            <w:r>
              <w:rPr>
                <w:rFonts w:hint="eastAsia" w:ascii="宋体" w:hAnsi="宋体" w:cs="Times New Roman"/>
                <w:color w:val="auto"/>
                <w:kern w:val="0"/>
                <w:sz w:val="24"/>
                <w:szCs w:val="24"/>
                <w:lang w:eastAsia="zh-CN"/>
              </w:rPr>
              <w:t>。</w:t>
            </w:r>
          </w:p>
          <w:p w14:paraId="092FF4DA">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pPr>
            <w:r>
              <w:rPr>
                <w:rFonts w:hint="default" w:ascii="Times New Roman" w:hAnsi="Times New Roman" w:cs="Times New Roman"/>
                <w:sz w:val="24"/>
              </w:rPr>
              <w:t>（</w:t>
            </w:r>
            <w:r>
              <w:rPr>
                <w:rFonts w:hint="default" w:ascii="Times New Roman" w:hAnsi="Times New Roman" w:cs="Times New Roman"/>
                <w:sz w:val="24"/>
                <w:lang w:val="en-US" w:eastAsia="zh-CN"/>
              </w:rPr>
              <w:t>5</w:t>
            </w:r>
            <w:r>
              <w:rPr>
                <w:rFonts w:hint="default" w:ascii="Times New Roman" w:hAnsi="Times New Roman" w:cs="Times New Roman"/>
                <w:sz w:val="24"/>
              </w:rPr>
              <w:t>）加强升压站主变等设备运行维护管理，在危险区域设立相应的警示标志，并做好警示宣传工作，</w:t>
            </w:r>
            <w:r>
              <w:rPr>
                <w:rFonts w:hint="default" w:ascii="Times New Roman" w:hAnsi="Times New Roman" w:cs="Times New Roman"/>
                <w:sz w:val="24"/>
                <w:lang w:val="en-US" w:eastAsia="zh-CN"/>
              </w:rPr>
              <w:t>在</w:t>
            </w:r>
            <w:r>
              <w:rPr>
                <w:rFonts w:hint="default" w:ascii="Times New Roman" w:hAnsi="Times New Roman" w:cs="Times New Roman"/>
                <w:sz w:val="24"/>
              </w:rPr>
              <w:t>醒目位置设置安全警示图文标志</w:t>
            </w:r>
            <w:r>
              <w:rPr>
                <w:rFonts w:hint="eastAsia" w:ascii="Times New Roman" w:hAnsi="Times New Roman" w:cs="Times New Roman"/>
                <w:sz w:val="24"/>
                <w:lang w:eastAsia="zh-CN"/>
              </w:rPr>
              <w:t>，</w:t>
            </w:r>
            <w:r>
              <w:rPr>
                <w:rFonts w:hint="default" w:ascii="Times New Roman" w:hAnsi="Times New Roman" w:cs="Times New Roman"/>
                <w:sz w:val="24"/>
              </w:rPr>
              <w:t>确保升压站厂界电场强度、磁感应强度满足《电磁环境控制限值》的要求</w:t>
            </w:r>
            <w:r>
              <w:rPr>
                <w:rFonts w:hint="eastAsia"/>
                <w:sz w:val="24"/>
              </w:rPr>
              <w:t>。</w:t>
            </w:r>
          </w:p>
        </w:tc>
      </w:tr>
      <w:tr w14:paraId="7F1660CA">
        <w:tblPrEx>
          <w:tblCellMar>
            <w:top w:w="0" w:type="dxa"/>
            <w:left w:w="108" w:type="dxa"/>
            <w:bottom w:w="0" w:type="dxa"/>
            <w:right w:w="108" w:type="dxa"/>
          </w:tblCellMar>
        </w:tblPrEx>
        <w:trPr>
          <w:trHeight w:val="386"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06646DF2">
            <w:pPr>
              <w:widowControl/>
              <w:spacing w:line="280" w:lineRule="exact"/>
              <w:jc w:val="center"/>
              <w:rPr>
                <w:rFonts w:ascii="宋体"/>
                <w:kern w:val="0"/>
                <w:sz w:val="24"/>
                <w:szCs w:val="24"/>
              </w:rPr>
            </w:pPr>
            <w:r>
              <w:rPr>
                <w:rFonts w:hint="eastAsia" w:ascii="宋体" w:hAnsi="宋体"/>
                <w:kern w:val="0"/>
                <w:sz w:val="24"/>
                <w:szCs w:val="24"/>
              </w:rPr>
              <w:t>公众参与情况</w:t>
            </w:r>
          </w:p>
        </w:tc>
      </w:tr>
      <w:tr w14:paraId="5330ABFA">
        <w:tblPrEx>
          <w:tblCellMar>
            <w:top w:w="0" w:type="dxa"/>
            <w:left w:w="108" w:type="dxa"/>
            <w:bottom w:w="0" w:type="dxa"/>
            <w:right w:w="108" w:type="dxa"/>
          </w:tblCellMar>
        </w:tblPrEx>
        <w:trPr>
          <w:trHeight w:val="449"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416DDCFE">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sz w:val="24"/>
                <w:szCs w:val="24"/>
              </w:rPr>
            </w:pPr>
            <w:r>
              <w:rPr>
                <w:rFonts w:hint="eastAsia" w:ascii="Times New Roman" w:hAnsi="Times New Roman"/>
                <w:sz w:val="24"/>
                <w:szCs w:val="24"/>
                <w:lang w:val="en-US" w:eastAsia="zh-CN"/>
              </w:rPr>
              <w:t>2025</w:t>
            </w:r>
            <w:r>
              <w:rPr>
                <w:rFonts w:hint="eastAsia" w:ascii="Times New Roman" w:hAnsi="Times New Roman"/>
                <w:sz w:val="24"/>
                <w:szCs w:val="24"/>
              </w:rPr>
              <w:t>年</w:t>
            </w:r>
            <w:r>
              <w:rPr>
                <w:rFonts w:hint="eastAsia" w:ascii="Times New Roman" w:hAnsi="Times New Roman"/>
                <w:sz w:val="24"/>
                <w:szCs w:val="24"/>
                <w:lang w:val="en-US" w:eastAsia="zh-CN"/>
              </w:rPr>
              <w:t>10</w:t>
            </w:r>
            <w:r>
              <w:rPr>
                <w:rFonts w:hint="eastAsia" w:ascii="Times New Roman" w:hAnsi="Times New Roman"/>
                <w:sz w:val="24"/>
                <w:szCs w:val="24"/>
              </w:rPr>
              <w:t>月</w:t>
            </w:r>
            <w:r>
              <w:rPr>
                <w:rFonts w:hint="eastAsia" w:ascii="Times New Roman" w:hAnsi="Times New Roman"/>
                <w:sz w:val="24"/>
                <w:szCs w:val="24"/>
                <w:lang w:val="en-US" w:eastAsia="zh-CN"/>
              </w:rPr>
              <w:t>10</w:t>
            </w:r>
            <w:r>
              <w:rPr>
                <w:rFonts w:hint="eastAsia" w:ascii="Times New Roman" w:hAnsi="Times New Roman"/>
                <w:sz w:val="24"/>
                <w:szCs w:val="24"/>
              </w:rPr>
              <w:t>日至</w:t>
            </w:r>
            <w:r>
              <w:rPr>
                <w:rFonts w:hint="eastAsia" w:ascii="Times New Roman" w:hAnsi="Times New Roman"/>
                <w:sz w:val="24"/>
                <w:szCs w:val="24"/>
                <w:lang w:val="en-US" w:eastAsia="zh-CN"/>
              </w:rPr>
              <w:t>2025</w:t>
            </w:r>
            <w:r>
              <w:rPr>
                <w:rFonts w:hint="eastAsia" w:ascii="Times New Roman" w:hAnsi="Times New Roman"/>
                <w:sz w:val="24"/>
                <w:szCs w:val="24"/>
              </w:rPr>
              <w:t>年</w:t>
            </w:r>
            <w:r>
              <w:rPr>
                <w:rFonts w:hint="eastAsia" w:ascii="Times New Roman" w:hAnsi="Times New Roman"/>
                <w:sz w:val="24"/>
                <w:szCs w:val="24"/>
                <w:lang w:val="en-US" w:eastAsia="zh-CN"/>
              </w:rPr>
              <w:t>10</w:t>
            </w:r>
            <w:r>
              <w:rPr>
                <w:rFonts w:hint="eastAsia" w:ascii="Times New Roman" w:hAnsi="Times New Roman"/>
                <w:sz w:val="24"/>
                <w:szCs w:val="24"/>
              </w:rPr>
              <w:t>月</w:t>
            </w:r>
            <w:r>
              <w:rPr>
                <w:rFonts w:hint="eastAsia" w:ascii="Times New Roman" w:hAnsi="Times New Roman"/>
                <w:sz w:val="24"/>
                <w:szCs w:val="24"/>
                <w:lang w:val="en-US" w:eastAsia="zh-CN"/>
              </w:rPr>
              <w:t>22</w:t>
            </w:r>
            <w:r>
              <w:rPr>
                <w:rFonts w:hint="eastAsia" w:ascii="Times New Roman" w:hAnsi="Times New Roman"/>
                <w:sz w:val="24"/>
                <w:szCs w:val="24"/>
              </w:rPr>
              <w:t>日在曲靖信息网进行了第一次环境影响评价信息公示。第一次公示主要内容包括建设项目的基本情况、建设单位和环评单位的名称及其联系方式、公众意见表的网络链接、提交公众意见表的方式和途径、公示时间等。</w:t>
            </w:r>
          </w:p>
          <w:p w14:paraId="053545DE">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sz w:val="24"/>
                <w:szCs w:val="24"/>
              </w:rPr>
            </w:pPr>
            <w:r>
              <w:rPr>
                <w:rFonts w:hint="eastAsia" w:ascii="Times New Roman" w:hAnsi="Times New Roman"/>
                <w:sz w:val="24"/>
                <w:szCs w:val="24"/>
              </w:rPr>
              <w:t>项目征求意见稿形成后，建设</w:t>
            </w:r>
            <w:r>
              <w:rPr>
                <w:rFonts w:hint="eastAsia" w:ascii="Times New Roman" w:hAnsi="Times New Roman"/>
                <w:sz w:val="24"/>
                <w:szCs w:val="24"/>
                <w:lang w:eastAsia="zh-CN"/>
              </w:rPr>
              <w:t>单位</w:t>
            </w:r>
            <w:r>
              <w:rPr>
                <w:rFonts w:hint="eastAsia" w:ascii="Times New Roman" w:hAnsi="Times New Roman"/>
                <w:sz w:val="24"/>
                <w:szCs w:val="24"/>
              </w:rPr>
              <w:t>在距离项目风机较近的海岱镇腊谷村委员会和</w:t>
            </w:r>
            <w:r>
              <w:rPr>
                <w:rFonts w:hint="eastAsia" w:ascii="Times New Roman" w:hAnsi="Times New Roman"/>
                <w:sz w:val="24"/>
                <w:szCs w:val="24"/>
                <w:lang w:val="en-US" w:eastAsia="zh-CN"/>
              </w:rPr>
              <w:t>海岱镇人民政府</w:t>
            </w:r>
            <w:r>
              <w:rPr>
                <w:rFonts w:hint="eastAsia" w:ascii="Times New Roman" w:hAnsi="Times New Roman"/>
                <w:sz w:val="24"/>
                <w:szCs w:val="24"/>
              </w:rPr>
              <w:t>进行了张贴公示，在云南信息报报纸进行2次报纸公示（</w:t>
            </w:r>
            <w:r>
              <w:rPr>
                <w:rFonts w:hint="eastAsia" w:ascii="Times New Roman" w:hAnsi="Times New Roman"/>
                <w:sz w:val="24"/>
                <w:szCs w:val="24"/>
                <w:lang w:val="en-US" w:eastAsia="zh-CN"/>
              </w:rPr>
              <w:t>2026年3</w:t>
            </w:r>
            <w:r>
              <w:rPr>
                <w:rFonts w:hint="eastAsia" w:ascii="Times New Roman" w:hAnsi="Times New Roman"/>
                <w:sz w:val="24"/>
                <w:szCs w:val="24"/>
              </w:rPr>
              <w:t>月</w:t>
            </w:r>
            <w:r>
              <w:rPr>
                <w:rFonts w:hint="eastAsia" w:ascii="Times New Roman" w:hAnsi="Times New Roman"/>
                <w:sz w:val="24"/>
                <w:szCs w:val="24"/>
                <w:lang w:val="en-US" w:eastAsia="zh-CN"/>
              </w:rPr>
              <w:t>3</w:t>
            </w:r>
            <w:r>
              <w:rPr>
                <w:rFonts w:hint="eastAsia" w:ascii="Times New Roman" w:hAnsi="Times New Roman"/>
                <w:sz w:val="24"/>
                <w:szCs w:val="24"/>
              </w:rPr>
              <w:t>日及</w:t>
            </w:r>
            <w:r>
              <w:rPr>
                <w:rFonts w:hint="eastAsia" w:ascii="Times New Roman" w:hAnsi="Times New Roman"/>
                <w:sz w:val="24"/>
                <w:szCs w:val="24"/>
                <w:lang w:val="en-US" w:eastAsia="zh-CN"/>
              </w:rPr>
              <w:t>3</w:t>
            </w:r>
            <w:r>
              <w:rPr>
                <w:rFonts w:hint="eastAsia" w:ascii="Times New Roman" w:hAnsi="Times New Roman"/>
                <w:sz w:val="24"/>
                <w:szCs w:val="24"/>
              </w:rPr>
              <w:t>月</w:t>
            </w:r>
            <w:r>
              <w:rPr>
                <w:rFonts w:hint="eastAsia" w:ascii="Times New Roman" w:hAnsi="Times New Roman"/>
                <w:sz w:val="24"/>
                <w:szCs w:val="24"/>
                <w:lang w:val="en-US" w:eastAsia="zh-CN"/>
              </w:rPr>
              <w:t>6</w:t>
            </w:r>
            <w:r>
              <w:rPr>
                <w:rFonts w:hint="eastAsia" w:ascii="Times New Roman" w:hAnsi="Times New Roman"/>
                <w:sz w:val="24"/>
                <w:szCs w:val="24"/>
              </w:rPr>
              <w:t>日各一次），在曲靖市信息网进行了网络公示，三种方式同步进行征求意见稿环境影响评价信息公示，公示时</w:t>
            </w:r>
            <w:r>
              <w:rPr>
                <w:rFonts w:hint="eastAsia" w:ascii="Times New Roman" w:hAnsi="Times New Roman"/>
                <w:sz w:val="24"/>
                <w:szCs w:val="24"/>
                <w:lang w:eastAsia="zh-CN"/>
              </w:rPr>
              <w:t>间为</w:t>
            </w:r>
            <w:r>
              <w:rPr>
                <w:rFonts w:hint="eastAsia" w:ascii="Times New Roman" w:hAnsi="Times New Roman"/>
                <w:sz w:val="24"/>
                <w:szCs w:val="24"/>
                <w:lang w:val="en-US" w:eastAsia="zh-CN"/>
              </w:rPr>
              <w:t>2026</w:t>
            </w:r>
            <w:r>
              <w:rPr>
                <w:rFonts w:hint="eastAsia" w:ascii="Times New Roman" w:hAnsi="Times New Roman"/>
                <w:sz w:val="24"/>
                <w:szCs w:val="24"/>
              </w:rPr>
              <w:t>年</w:t>
            </w:r>
            <w:r>
              <w:rPr>
                <w:rFonts w:hint="eastAsia" w:ascii="Times New Roman" w:hAnsi="Times New Roman"/>
                <w:sz w:val="24"/>
                <w:szCs w:val="24"/>
                <w:lang w:val="en-US" w:eastAsia="zh-CN"/>
              </w:rPr>
              <w:t>3</w:t>
            </w:r>
            <w:r>
              <w:rPr>
                <w:rFonts w:hint="eastAsia" w:ascii="Times New Roman" w:hAnsi="Times New Roman"/>
                <w:sz w:val="24"/>
                <w:szCs w:val="24"/>
              </w:rPr>
              <w:t>月</w:t>
            </w:r>
            <w:r>
              <w:rPr>
                <w:rFonts w:hint="eastAsia" w:ascii="Times New Roman" w:hAnsi="Times New Roman"/>
                <w:sz w:val="24"/>
                <w:szCs w:val="24"/>
                <w:lang w:val="en-US" w:eastAsia="zh-CN"/>
              </w:rPr>
              <w:t>3</w:t>
            </w:r>
            <w:r>
              <w:rPr>
                <w:rFonts w:hint="eastAsia" w:ascii="Times New Roman" w:hAnsi="Times New Roman"/>
                <w:sz w:val="24"/>
                <w:szCs w:val="24"/>
              </w:rPr>
              <w:t>日至</w:t>
            </w:r>
            <w:r>
              <w:rPr>
                <w:rFonts w:hint="eastAsia" w:ascii="Times New Roman" w:hAnsi="Times New Roman"/>
                <w:sz w:val="24"/>
                <w:szCs w:val="24"/>
                <w:lang w:val="en-US" w:eastAsia="zh-CN"/>
              </w:rPr>
              <w:t>3</w:t>
            </w:r>
            <w:r>
              <w:rPr>
                <w:rFonts w:hint="eastAsia" w:ascii="Times New Roman" w:hAnsi="Times New Roman"/>
                <w:sz w:val="24"/>
                <w:szCs w:val="24"/>
              </w:rPr>
              <w:t>月</w:t>
            </w:r>
            <w:r>
              <w:rPr>
                <w:rFonts w:hint="eastAsia" w:ascii="Times New Roman" w:hAnsi="Times New Roman"/>
                <w:sz w:val="24"/>
                <w:szCs w:val="24"/>
                <w:lang w:val="en-US" w:eastAsia="zh-CN"/>
              </w:rPr>
              <w:t>13</w:t>
            </w:r>
            <w:r>
              <w:rPr>
                <w:rFonts w:hint="eastAsia" w:ascii="Times New Roman" w:hAnsi="Times New Roman"/>
                <w:sz w:val="24"/>
                <w:szCs w:val="24"/>
              </w:rPr>
              <w:t>日（公示时间共10个工作日），环境影响报告征求意见稿公示内容包含报告网络链接及公众查阅纸质报告的方式和途径、公众意见表的网络链接、公众意见提出的起止时间、公众提出意见的方式和途径等，两次公示期间均未收到公众意见。</w:t>
            </w:r>
          </w:p>
          <w:p w14:paraId="5FEEC31F">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pPr>
            <w:r>
              <w:rPr>
                <w:rFonts w:hint="eastAsia" w:ascii="Times New Roman" w:hAnsi="Times New Roman"/>
                <w:sz w:val="24"/>
                <w:szCs w:val="24"/>
              </w:rPr>
              <w:t>环境影响报告</w:t>
            </w:r>
            <w:r>
              <w:rPr>
                <w:rFonts w:hint="eastAsia" w:ascii="Times New Roman" w:hAnsi="Times New Roman"/>
                <w:sz w:val="24"/>
                <w:szCs w:val="24"/>
                <w:lang w:val="en-US" w:eastAsia="zh-CN"/>
              </w:rPr>
              <w:t>表取得曲靖市环境工程评估中心关于《海岱风电场环境影响报告表》的技术评估意见。建设单位编制项目环境影响评价公众参与说明并通过网络平台</w:t>
            </w:r>
            <w:r>
              <w:rPr>
                <w:rFonts w:hint="eastAsia" w:ascii="Times New Roman" w:hAnsi="Times New Roman"/>
                <w:sz w:val="24"/>
                <w:szCs w:val="24"/>
              </w:rPr>
              <w:t>曲靖信息网</w:t>
            </w:r>
            <w:r>
              <w:rPr>
                <w:rFonts w:hint="eastAsia" w:ascii="Times New Roman" w:hAnsi="Times New Roman"/>
                <w:sz w:val="24"/>
                <w:szCs w:val="24"/>
                <w:lang w:val="en-US" w:eastAsia="zh-CN"/>
              </w:rPr>
              <w:t>对《海岱风电场环境影响报告表》（报批稿）全文和公众参与说明进行报批前的公示。</w:t>
            </w:r>
          </w:p>
        </w:tc>
      </w:tr>
      <w:tr w14:paraId="44773E70">
        <w:tblPrEx>
          <w:tblCellMar>
            <w:top w:w="0" w:type="dxa"/>
            <w:left w:w="108" w:type="dxa"/>
            <w:bottom w:w="0" w:type="dxa"/>
            <w:right w:w="108" w:type="dxa"/>
          </w:tblCellMar>
        </w:tblPrEx>
        <w:trPr>
          <w:trHeight w:val="429" w:hRule="atLeast"/>
        </w:trPr>
        <w:tc>
          <w:tcPr>
            <w:tcW w:w="3787" w:type="dxa"/>
            <w:gridSpan w:val="2"/>
            <w:tcBorders>
              <w:top w:val="single" w:color="auto" w:sz="4" w:space="0"/>
              <w:left w:val="single" w:color="auto" w:sz="4" w:space="0"/>
              <w:bottom w:val="single" w:color="auto" w:sz="4" w:space="0"/>
              <w:right w:val="single" w:color="auto" w:sz="4" w:space="0"/>
            </w:tcBorders>
            <w:shd w:val="clear" w:color="auto" w:fill="C0C0C0"/>
            <w:vAlign w:val="center"/>
          </w:tcPr>
          <w:p w14:paraId="3CDF5342">
            <w:pPr>
              <w:widowControl/>
              <w:spacing w:line="280" w:lineRule="exact"/>
              <w:jc w:val="left"/>
              <w:rPr>
                <w:rFonts w:ascii="宋体"/>
                <w:kern w:val="0"/>
                <w:sz w:val="24"/>
                <w:szCs w:val="24"/>
              </w:rPr>
            </w:pPr>
            <w:r>
              <w:rPr>
                <w:rFonts w:hint="eastAsia" w:ascii="宋体" w:hAnsi="宋体"/>
                <w:kern w:val="0"/>
                <w:sz w:val="24"/>
                <w:szCs w:val="24"/>
              </w:rPr>
              <w:t>建设单位或地方政府所作出的相关承诺文件</w:t>
            </w:r>
          </w:p>
        </w:tc>
        <w:tc>
          <w:tcPr>
            <w:tcW w:w="6027" w:type="dxa"/>
            <w:gridSpan w:val="4"/>
            <w:tcBorders>
              <w:top w:val="single" w:color="auto" w:sz="4" w:space="0"/>
              <w:left w:val="nil"/>
              <w:bottom w:val="single" w:color="auto" w:sz="4" w:space="0"/>
              <w:right w:val="single" w:color="auto" w:sz="4" w:space="0"/>
            </w:tcBorders>
            <w:vAlign w:val="center"/>
          </w:tcPr>
          <w:p w14:paraId="2EFC629B">
            <w:pPr>
              <w:pStyle w:val="7"/>
            </w:pPr>
            <w:r>
              <w:rPr>
                <w:rFonts w:hint="eastAsia" w:ascii="Times New Roman" w:hAnsi="Times New Roman" w:eastAsia="方正仿宋_GBK" w:cs="Times New Roman"/>
                <w:snapToGrid/>
                <w:kern w:val="32"/>
                <w:sz w:val="24"/>
                <w:szCs w:val="24"/>
                <w:lang w:val="en-US" w:eastAsia="zh-CN" w:bidi="ar-SA"/>
              </w:rPr>
              <w:t>同意公开的情况说明。</w:t>
            </w:r>
          </w:p>
        </w:tc>
      </w:tr>
      <w:tr w14:paraId="3D890382">
        <w:tblPrEx>
          <w:tblCellMar>
            <w:top w:w="0" w:type="dxa"/>
            <w:left w:w="108" w:type="dxa"/>
            <w:bottom w:w="0" w:type="dxa"/>
            <w:right w:w="108" w:type="dxa"/>
          </w:tblCellMar>
        </w:tblPrEx>
        <w:trPr>
          <w:trHeight w:val="570" w:hRule="atLeast"/>
        </w:trPr>
        <w:tc>
          <w:tcPr>
            <w:tcW w:w="9814" w:type="dxa"/>
            <w:gridSpan w:val="6"/>
            <w:tcBorders>
              <w:top w:val="single" w:color="auto" w:sz="4" w:space="0"/>
              <w:left w:val="nil"/>
              <w:bottom w:val="nil"/>
              <w:right w:val="nil"/>
            </w:tcBorders>
            <w:vAlign w:val="center"/>
          </w:tcPr>
          <w:p w14:paraId="06A54C2A">
            <w:pPr>
              <w:widowControl/>
              <w:spacing w:line="280" w:lineRule="exact"/>
              <w:jc w:val="left"/>
              <w:rPr>
                <w:rFonts w:ascii="宋体"/>
                <w:kern w:val="0"/>
                <w:sz w:val="24"/>
                <w:szCs w:val="24"/>
              </w:rPr>
            </w:pPr>
            <w:r>
              <w:rPr>
                <w:rFonts w:hint="eastAsia" w:ascii="宋体" w:hAnsi="宋体"/>
                <w:kern w:val="0"/>
                <w:sz w:val="24"/>
                <w:szCs w:val="24"/>
              </w:rPr>
              <w:t>注:项目概况、项目主要环境影响、项目预防及减轻不良环境影响的对策和措施、公众参与情况、建设单位或地方政府所作出的相关承诺文件部分由建设单位填写。公众反馈意见联系方式部分由行政审批机关填写。</w:t>
            </w:r>
          </w:p>
        </w:tc>
      </w:tr>
    </w:tbl>
    <w:p w14:paraId="71C63548">
      <w:pPr>
        <w:rPr>
          <w:color w:val="FF000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script"/>
    <w:pitch w:val="default"/>
    <w:sig w:usb0="A00002BF" w:usb1="38CF7CFA" w:usb2="00082016" w:usb3="00000000" w:csb0="00040001" w:csb1="00000000"/>
    <w:embedRegular r:id="rId1" w:fontKey="{046EAF93-6364-4C9E-B014-413829975301}"/>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embedRegular r:id="rId2" w:fontKey="{E8A301EA-D4E0-455D-8F5E-01B73DF05856}"/>
  </w:font>
  <w:font w:name="KSOF8080F95D">
    <w:panose1 w:val="020B0503020204020204"/>
    <w:charset w:val="86"/>
    <w:family w:val="auto"/>
    <w:pitch w:val="default"/>
    <w:sig w:usb0="00000001" w:usb1="00000000" w:usb2="00000000" w:usb3="00000000" w:csb0="00040001" w:csb1="00000000"/>
  </w:font>
  <w:font w:name="WPSEMBED1">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E5C66E"/>
    <w:multiLevelType w:val="singleLevel"/>
    <w:tmpl w:val="5CE5C66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392E2078"/>
    <w:rsid w:val="0007389C"/>
    <w:rsid w:val="00150BE9"/>
    <w:rsid w:val="00156B39"/>
    <w:rsid w:val="001A0782"/>
    <w:rsid w:val="001A6B62"/>
    <w:rsid w:val="001B3A2B"/>
    <w:rsid w:val="001F034E"/>
    <w:rsid w:val="001F679B"/>
    <w:rsid w:val="00294DBA"/>
    <w:rsid w:val="002B6C2D"/>
    <w:rsid w:val="002C62B4"/>
    <w:rsid w:val="00322D57"/>
    <w:rsid w:val="00327286"/>
    <w:rsid w:val="00330F90"/>
    <w:rsid w:val="00335349"/>
    <w:rsid w:val="003C1AD7"/>
    <w:rsid w:val="003C4CF8"/>
    <w:rsid w:val="003C6F96"/>
    <w:rsid w:val="003E6693"/>
    <w:rsid w:val="00473C47"/>
    <w:rsid w:val="00485878"/>
    <w:rsid w:val="004A6061"/>
    <w:rsid w:val="004D701F"/>
    <w:rsid w:val="004E159E"/>
    <w:rsid w:val="005010C4"/>
    <w:rsid w:val="005107E1"/>
    <w:rsid w:val="005370B8"/>
    <w:rsid w:val="00542698"/>
    <w:rsid w:val="005A0DCF"/>
    <w:rsid w:val="005B283A"/>
    <w:rsid w:val="0060088D"/>
    <w:rsid w:val="0061485D"/>
    <w:rsid w:val="0062265A"/>
    <w:rsid w:val="006C6412"/>
    <w:rsid w:val="006D5270"/>
    <w:rsid w:val="006E4B40"/>
    <w:rsid w:val="006E5771"/>
    <w:rsid w:val="00702618"/>
    <w:rsid w:val="00705F2D"/>
    <w:rsid w:val="00773626"/>
    <w:rsid w:val="007A0516"/>
    <w:rsid w:val="007C11E2"/>
    <w:rsid w:val="0081762D"/>
    <w:rsid w:val="00833B43"/>
    <w:rsid w:val="00841044"/>
    <w:rsid w:val="00863CCD"/>
    <w:rsid w:val="00871427"/>
    <w:rsid w:val="00872120"/>
    <w:rsid w:val="00873527"/>
    <w:rsid w:val="008A3643"/>
    <w:rsid w:val="008A7183"/>
    <w:rsid w:val="008C224E"/>
    <w:rsid w:val="008C796D"/>
    <w:rsid w:val="008C7996"/>
    <w:rsid w:val="008C7D47"/>
    <w:rsid w:val="008D6010"/>
    <w:rsid w:val="00906E2D"/>
    <w:rsid w:val="009B5EE1"/>
    <w:rsid w:val="009D1793"/>
    <w:rsid w:val="009D3485"/>
    <w:rsid w:val="009D5CDC"/>
    <w:rsid w:val="00A560A2"/>
    <w:rsid w:val="00A7390A"/>
    <w:rsid w:val="00A752B3"/>
    <w:rsid w:val="00A84CD0"/>
    <w:rsid w:val="00AA08DA"/>
    <w:rsid w:val="00B22E4F"/>
    <w:rsid w:val="00B4670A"/>
    <w:rsid w:val="00B547C9"/>
    <w:rsid w:val="00B55F2A"/>
    <w:rsid w:val="00BA1007"/>
    <w:rsid w:val="00BA59BE"/>
    <w:rsid w:val="00BA7231"/>
    <w:rsid w:val="00BC32D8"/>
    <w:rsid w:val="00BD0857"/>
    <w:rsid w:val="00BD1407"/>
    <w:rsid w:val="00C36231"/>
    <w:rsid w:val="00C71183"/>
    <w:rsid w:val="00C96052"/>
    <w:rsid w:val="00CC1BB9"/>
    <w:rsid w:val="00CD2BAA"/>
    <w:rsid w:val="00CD608E"/>
    <w:rsid w:val="00D233CF"/>
    <w:rsid w:val="00DA65D2"/>
    <w:rsid w:val="00DC4E67"/>
    <w:rsid w:val="00DC7CEE"/>
    <w:rsid w:val="00E46C95"/>
    <w:rsid w:val="00E90C9E"/>
    <w:rsid w:val="00ED0EFF"/>
    <w:rsid w:val="00EE1F18"/>
    <w:rsid w:val="00EE5CE6"/>
    <w:rsid w:val="00F530BA"/>
    <w:rsid w:val="00F86E32"/>
    <w:rsid w:val="00FD24C7"/>
    <w:rsid w:val="00FD5740"/>
    <w:rsid w:val="00FF23D3"/>
    <w:rsid w:val="013830D2"/>
    <w:rsid w:val="01437794"/>
    <w:rsid w:val="03344A05"/>
    <w:rsid w:val="05275651"/>
    <w:rsid w:val="05B86C53"/>
    <w:rsid w:val="081E3E37"/>
    <w:rsid w:val="0870623F"/>
    <w:rsid w:val="0BC77789"/>
    <w:rsid w:val="0E7539A2"/>
    <w:rsid w:val="13B34670"/>
    <w:rsid w:val="17FC2877"/>
    <w:rsid w:val="1A3C46BC"/>
    <w:rsid w:val="1B020E5E"/>
    <w:rsid w:val="1C8733A0"/>
    <w:rsid w:val="201D4921"/>
    <w:rsid w:val="20547DB6"/>
    <w:rsid w:val="21602F6F"/>
    <w:rsid w:val="22862C6A"/>
    <w:rsid w:val="245D4345"/>
    <w:rsid w:val="24694EB2"/>
    <w:rsid w:val="25502092"/>
    <w:rsid w:val="292F5527"/>
    <w:rsid w:val="2B002CE4"/>
    <w:rsid w:val="2CA10B4F"/>
    <w:rsid w:val="2CAD1D69"/>
    <w:rsid w:val="2EE11733"/>
    <w:rsid w:val="2F400C4E"/>
    <w:rsid w:val="2F923676"/>
    <w:rsid w:val="2FC57EA9"/>
    <w:rsid w:val="301D5EC7"/>
    <w:rsid w:val="33682ACB"/>
    <w:rsid w:val="34185686"/>
    <w:rsid w:val="35313D1A"/>
    <w:rsid w:val="359B1171"/>
    <w:rsid w:val="38002C65"/>
    <w:rsid w:val="392E2078"/>
    <w:rsid w:val="39984AC7"/>
    <w:rsid w:val="3B020811"/>
    <w:rsid w:val="3B2E26FF"/>
    <w:rsid w:val="3C272C37"/>
    <w:rsid w:val="3EDD372A"/>
    <w:rsid w:val="4155672C"/>
    <w:rsid w:val="426C2071"/>
    <w:rsid w:val="43BD5ED1"/>
    <w:rsid w:val="449625B7"/>
    <w:rsid w:val="45BD33BC"/>
    <w:rsid w:val="47F24AD5"/>
    <w:rsid w:val="4866291F"/>
    <w:rsid w:val="4B402719"/>
    <w:rsid w:val="4B9C7ABA"/>
    <w:rsid w:val="4C6B5D4E"/>
    <w:rsid w:val="4C985FBF"/>
    <w:rsid w:val="4D2F5EED"/>
    <w:rsid w:val="4DC60339"/>
    <w:rsid w:val="4EC40453"/>
    <w:rsid w:val="4F7B2ACC"/>
    <w:rsid w:val="50153BC8"/>
    <w:rsid w:val="51E81108"/>
    <w:rsid w:val="52385E17"/>
    <w:rsid w:val="54752240"/>
    <w:rsid w:val="555D267C"/>
    <w:rsid w:val="5653575C"/>
    <w:rsid w:val="577942AD"/>
    <w:rsid w:val="58FF0EBE"/>
    <w:rsid w:val="5998453C"/>
    <w:rsid w:val="5A834766"/>
    <w:rsid w:val="5BED57C7"/>
    <w:rsid w:val="5D2E69AB"/>
    <w:rsid w:val="5DCC4393"/>
    <w:rsid w:val="5E42134A"/>
    <w:rsid w:val="5E951367"/>
    <w:rsid w:val="5F257633"/>
    <w:rsid w:val="60EA0DC0"/>
    <w:rsid w:val="614E3CA3"/>
    <w:rsid w:val="62AD298C"/>
    <w:rsid w:val="63D77671"/>
    <w:rsid w:val="64CE0A00"/>
    <w:rsid w:val="65A00C47"/>
    <w:rsid w:val="66336F03"/>
    <w:rsid w:val="66B00A67"/>
    <w:rsid w:val="675B2367"/>
    <w:rsid w:val="6AB93F9D"/>
    <w:rsid w:val="6C8A7DA4"/>
    <w:rsid w:val="6C8C120F"/>
    <w:rsid w:val="714078D6"/>
    <w:rsid w:val="715F713D"/>
    <w:rsid w:val="730F6181"/>
    <w:rsid w:val="747E39E9"/>
    <w:rsid w:val="74857523"/>
    <w:rsid w:val="77533B6A"/>
    <w:rsid w:val="78CD4DAD"/>
    <w:rsid w:val="79377A43"/>
    <w:rsid w:val="79CC62C5"/>
    <w:rsid w:val="79EF4D86"/>
    <w:rsid w:val="7D6D37CE"/>
    <w:rsid w:val="7E5F2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方正仿宋_GBK" w:cs="Times New Roman"/>
      <w:kern w:val="32"/>
      <w:sz w:val="32"/>
      <w:szCs w:val="32"/>
      <w:lang w:val="en-US" w:eastAsia="zh-CN" w:bidi="ar-SA"/>
    </w:rPr>
  </w:style>
  <w:style w:type="paragraph" w:styleId="2">
    <w:name w:val="heading 2"/>
    <w:basedOn w:val="1"/>
    <w:next w:val="1"/>
    <w:link w:val="24"/>
    <w:qFormat/>
    <w:uiPriority w:val="0"/>
    <w:pPr>
      <w:tabs>
        <w:tab w:val="left" w:pos="5882"/>
      </w:tabs>
      <w:adjustRightInd w:val="0"/>
      <w:snapToGrid w:val="0"/>
      <w:spacing w:beforeLines="50"/>
      <w:jc w:val="left"/>
      <w:outlineLvl w:val="1"/>
    </w:pPr>
    <w:rPr>
      <w:rFonts w:ascii="Times New Roman" w:hAnsi="Times New Roman" w:eastAsia="宋体"/>
      <w:b/>
      <w:kern w:val="0"/>
      <w:sz w:val="24"/>
      <w:szCs w:val="24"/>
    </w:rPr>
  </w:style>
  <w:style w:type="paragraph" w:styleId="3">
    <w:name w:val="heading 3"/>
    <w:basedOn w:val="1"/>
    <w:next w:val="1"/>
    <w:link w:val="19"/>
    <w:qFormat/>
    <w:uiPriority w:val="0"/>
    <w:pPr>
      <w:topLinePunct/>
      <w:spacing w:before="120" w:line="480" w:lineRule="exact"/>
      <w:outlineLvl w:val="2"/>
    </w:pPr>
    <w:rPr>
      <w:rFonts w:ascii="Times New Roman" w:hAnsi="Times New Roman" w:eastAsia="楷体_GB2312"/>
      <w:b/>
      <w:bCs/>
      <w:color w:val="000000"/>
      <w:kern w:val="2"/>
      <w:sz w:val="28"/>
      <w:szCs w:val="28"/>
    </w:rPr>
  </w:style>
  <w:style w:type="paragraph" w:styleId="4">
    <w:name w:val="heading 4"/>
    <w:basedOn w:val="1"/>
    <w:next w:val="1"/>
    <w:link w:val="22"/>
    <w:qFormat/>
    <w:uiPriority w:val="0"/>
    <w:pPr>
      <w:keepNext/>
      <w:keepLines/>
      <w:spacing w:before="280" w:after="290" w:line="376" w:lineRule="auto"/>
      <w:outlineLvl w:val="3"/>
    </w:pPr>
    <w:rPr>
      <w:rFonts w:ascii="Arial" w:hAnsi="Arial" w:eastAsia="黑体"/>
      <w:b/>
      <w:bCs/>
      <w:kern w:val="2"/>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6"/>
    <w:next w:val="6"/>
    <w:qFormat/>
    <w:uiPriority w:val="1"/>
    <w:rPr>
      <w:sz w:val="24"/>
      <w:szCs w:val="24"/>
    </w:rPr>
  </w:style>
  <w:style w:type="paragraph" w:styleId="6">
    <w:name w:val="Title"/>
    <w:basedOn w:val="1"/>
    <w:next w:val="1"/>
    <w:qFormat/>
    <w:uiPriority w:val="0"/>
    <w:pPr>
      <w:adjustRightInd w:val="0"/>
      <w:snapToGrid w:val="0"/>
      <w:spacing w:before="240" w:after="60" w:line="360" w:lineRule="auto"/>
      <w:ind w:firstLine="200" w:firstLineChars="200"/>
      <w:jc w:val="center"/>
      <w:outlineLvl w:val="0"/>
    </w:pPr>
    <w:rPr>
      <w:rFonts w:ascii="Cambria" w:hAnsi="Cambria"/>
      <w:b/>
      <w:bCs/>
    </w:rPr>
  </w:style>
  <w:style w:type="paragraph" w:styleId="7">
    <w:name w:val="Plain Text"/>
    <w:basedOn w:val="1"/>
    <w:qFormat/>
    <w:uiPriority w:val="0"/>
    <w:rPr>
      <w:rFonts w:ascii="宋体"/>
      <w:snapToGrid w:val="0"/>
      <w:kern w:val="0"/>
      <w:szCs w:val="20"/>
    </w:rPr>
  </w:style>
  <w:style w:type="paragraph" w:styleId="8">
    <w:name w:val="footer"/>
    <w:basedOn w:val="1"/>
    <w:link w:val="23"/>
    <w:qFormat/>
    <w:uiPriority w:val="0"/>
    <w:pPr>
      <w:tabs>
        <w:tab w:val="center" w:pos="4153"/>
        <w:tab w:val="right" w:pos="8306"/>
      </w:tabs>
      <w:snapToGrid w:val="0"/>
      <w:jc w:val="left"/>
    </w:pPr>
    <w:rPr>
      <w:sz w:val="18"/>
      <w:szCs w:val="18"/>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jc w:val="left"/>
    </w:pPr>
    <w:rPr>
      <w:rFonts w:eastAsia="宋体"/>
      <w:kern w:val="0"/>
      <w:sz w:val="24"/>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paragraph" w:customStyle="1" w:styleId="15">
    <w:name w:val="Normal Indent1"/>
    <w:basedOn w:val="1"/>
    <w:next w:val="1"/>
    <w:qFormat/>
    <w:uiPriority w:val="99"/>
    <w:pPr>
      <w:ind w:firstLine="420"/>
    </w:pPr>
  </w:style>
  <w:style w:type="paragraph" w:customStyle="1" w:styleId="16">
    <w:name w:val="Default"/>
    <w:basedOn w:val="17"/>
    <w:qFormat/>
    <w:uiPriority w:val="99"/>
    <w:pPr>
      <w:widowControl w:val="0"/>
      <w:autoSpaceDE w:val="0"/>
      <w:autoSpaceDN w:val="0"/>
      <w:adjustRightInd w:val="0"/>
    </w:pPr>
    <w:rPr>
      <w:rFonts w:ascii="宋体" w:cs="宋体"/>
      <w:color w:val="000000"/>
      <w:sz w:val="24"/>
      <w:szCs w:val="24"/>
      <w:lang w:val="en-US" w:eastAsia="zh-CN" w:bidi="ar-SA"/>
    </w:rPr>
  </w:style>
  <w:style w:type="paragraph" w:customStyle="1" w:styleId="17">
    <w:name w:val="纯文本1"/>
    <w:basedOn w:val="1"/>
    <w:qFormat/>
    <w:uiPriority w:val="0"/>
    <w:pPr>
      <w:suppressAutoHyphens/>
    </w:pPr>
    <w:rPr>
      <w:rFonts w:ascii="宋体" w:hAnsi="宋体" w:eastAsia="宋体" w:cs="Times New Roman"/>
      <w:kern w:val="1"/>
      <w:sz w:val="28"/>
      <w:lang w:eastAsia="ar-SA"/>
    </w:rPr>
  </w:style>
  <w:style w:type="paragraph" w:customStyle="1" w:styleId="18">
    <w:name w:val="正本文字"/>
    <w:basedOn w:val="1"/>
    <w:autoRedefine/>
    <w:qFormat/>
    <w:uiPriority w:val="0"/>
    <w:pPr>
      <w:adjustRightInd w:val="0"/>
      <w:snapToGrid w:val="0"/>
      <w:spacing w:line="360" w:lineRule="auto"/>
      <w:ind w:firstLine="480" w:firstLineChars="200"/>
      <w:jc w:val="left"/>
    </w:pPr>
    <w:rPr>
      <w:rFonts w:cs="宋体"/>
      <w:kern w:val="18"/>
      <w:sz w:val="24"/>
    </w:rPr>
  </w:style>
  <w:style w:type="character" w:customStyle="1" w:styleId="19">
    <w:name w:val="标题 3 字符"/>
    <w:link w:val="3"/>
    <w:qFormat/>
    <w:uiPriority w:val="0"/>
    <w:rPr>
      <w:rFonts w:eastAsia="楷体_GB2312"/>
      <w:b/>
      <w:bCs/>
      <w:color w:val="000000"/>
      <w:kern w:val="2"/>
      <w:sz w:val="28"/>
      <w:szCs w:val="28"/>
    </w:rPr>
  </w:style>
  <w:style w:type="character" w:customStyle="1" w:styleId="20">
    <w:name w:val="标题 3 Char"/>
    <w:semiHidden/>
    <w:qFormat/>
    <w:uiPriority w:val="0"/>
    <w:rPr>
      <w:rFonts w:ascii="Calibri" w:hAnsi="Calibri" w:eastAsia="方正仿宋_GBK"/>
      <w:b/>
      <w:bCs/>
      <w:kern w:val="32"/>
      <w:sz w:val="32"/>
      <w:szCs w:val="32"/>
    </w:rPr>
  </w:style>
  <w:style w:type="character" w:customStyle="1" w:styleId="21">
    <w:name w:val="页眉 字符"/>
    <w:link w:val="9"/>
    <w:qFormat/>
    <w:uiPriority w:val="0"/>
    <w:rPr>
      <w:rFonts w:ascii="Calibri" w:hAnsi="Calibri" w:eastAsia="方正仿宋_GBK"/>
      <w:kern w:val="32"/>
      <w:sz w:val="18"/>
      <w:szCs w:val="18"/>
    </w:rPr>
  </w:style>
  <w:style w:type="character" w:customStyle="1" w:styleId="22">
    <w:name w:val="标题 4 字符"/>
    <w:link w:val="4"/>
    <w:qFormat/>
    <w:uiPriority w:val="0"/>
    <w:rPr>
      <w:rFonts w:ascii="Arial" w:hAnsi="Arial" w:eastAsia="黑体"/>
      <w:b/>
      <w:bCs/>
      <w:kern w:val="2"/>
      <w:sz w:val="28"/>
      <w:szCs w:val="28"/>
    </w:rPr>
  </w:style>
  <w:style w:type="character" w:customStyle="1" w:styleId="23">
    <w:name w:val="页脚 字符"/>
    <w:link w:val="8"/>
    <w:qFormat/>
    <w:uiPriority w:val="0"/>
    <w:rPr>
      <w:rFonts w:ascii="Calibri" w:hAnsi="Calibri" w:eastAsia="方正仿宋_GBK"/>
      <w:kern w:val="32"/>
      <w:sz w:val="18"/>
      <w:szCs w:val="18"/>
    </w:rPr>
  </w:style>
  <w:style w:type="character" w:customStyle="1" w:styleId="24">
    <w:name w:val="标题 2 字符"/>
    <w:link w:val="2"/>
    <w:qFormat/>
    <w:uiPriority w:val="0"/>
    <w:rPr>
      <w:rFonts w:eastAsia="宋体"/>
      <w:b/>
      <w:sz w:val="24"/>
      <w:szCs w:val="24"/>
    </w:rPr>
  </w:style>
  <w:style w:type="character" w:customStyle="1" w:styleId="25">
    <w:name w:val="标题 4 Char"/>
    <w:semiHidden/>
    <w:qFormat/>
    <w:uiPriority w:val="0"/>
    <w:rPr>
      <w:rFonts w:ascii="Cambria" w:hAnsi="Cambria" w:eastAsia="宋体" w:cs="Times New Roman"/>
      <w:b/>
      <w:bCs/>
      <w:kern w:val="32"/>
      <w:sz w:val="28"/>
      <w:szCs w:val="28"/>
    </w:rPr>
  </w:style>
  <w:style w:type="character" w:customStyle="1" w:styleId="26">
    <w:name w:val="正文 旺源文字段落 Char"/>
    <w:link w:val="27"/>
    <w:qFormat/>
    <w:uiPriority w:val="0"/>
    <w:rPr>
      <w:rFonts w:ascii="宋体" w:hAnsi="宋体" w:cs="宋体"/>
      <w:kern w:val="24"/>
      <w:sz w:val="24"/>
      <w:szCs w:val="24"/>
    </w:rPr>
  </w:style>
  <w:style w:type="paragraph" w:customStyle="1" w:styleId="27">
    <w:name w:val="正文 旺源文字段落"/>
    <w:basedOn w:val="1"/>
    <w:link w:val="26"/>
    <w:qFormat/>
    <w:uiPriority w:val="0"/>
    <w:pPr>
      <w:spacing w:line="500" w:lineRule="exact"/>
      <w:ind w:firstLine="420"/>
    </w:pPr>
    <w:rPr>
      <w:rFonts w:ascii="宋体" w:hAnsi="宋体" w:eastAsia="宋体"/>
      <w:kern w:val="24"/>
      <w:sz w:val="24"/>
      <w:szCs w:val="24"/>
    </w:rPr>
  </w:style>
  <w:style w:type="paragraph" w:customStyle="1" w:styleId="28">
    <w:name w:val="LH样式"/>
    <w:basedOn w:val="1"/>
    <w:qFormat/>
    <w:uiPriority w:val="0"/>
    <w:pPr>
      <w:spacing w:line="480" w:lineRule="exact"/>
      <w:ind w:firstLine="520" w:firstLineChars="200"/>
    </w:pPr>
    <w:rPr>
      <w:rFonts w:ascii="Times New Roman" w:hAnsi="Times New Roman" w:eastAsia="宋体"/>
      <w:color w:val="00B0F0"/>
      <w:kern w:val="2"/>
      <w:sz w:val="26"/>
      <w:szCs w:val="26"/>
    </w:rPr>
  </w:style>
  <w:style w:type="paragraph" w:customStyle="1" w:styleId="29">
    <w:name w:val="正文2"/>
    <w:basedOn w:val="1"/>
    <w:qFormat/>
    <w:uiPriority w:val="0"/>
    <w:pPr>
      <w:spacing w:line="360" w:lineRule="auto"/>
      <w:ind w:firstLine="200" w:firstLineChars="200"/>
    </w:pPr>
    <w:rPr>
      <w:rFonts w:ascii="Times New Roman" w:hAnsi="Times New Roman" w:eastAsia="宋体"/>
      <w:sz w:val="24"/>
      <w:szCs w:val="20"/>
    </w:rPr>
  </w:style>
  <w:style w:type="paragraph" w:customStyle="1" w:styleId="30">
    <w:name w:val="Table Text"/>
    <w:basedOn w:val="1"/>
    <w:semiHidden/>
    <w:qFormat/>
    <w:uiPriority w:val="0"/>
    <w:rPr>
      <w:rFonts w:ascii="宋体" w:hAnsi="宋体" w:eastAsia="宋体" w:cs="宋体"/>
      <w:sz w:val="21"/>
      <w:szCs w:val="21"/>
      <w:lang w:val="en-US" w:eastAsia="en-US" w:bidi="ar-SA"/>
    </w:rPr>
  </w:style>
  <w:style w:type="paragraph" w:customStyle="1" w:styleId="31">
    <w:name w:val="H正文"/>
    <w:basedOn w:val="1"/>
    <w:qFormat/>
    <w:uiPriority w:val="0"/>
    <w:pPr>
      <w:adjustRightInd w:val="0"/>
      <w:spacing w:line="400" w:lineRule="exact"/>
      <w:ind w:firstLine="200" w:firstLineChars="200"/>
      <w:textAlignment w:val="baseline"/>
    </w:pPr>
    <w:rPr>
      <w:rFonts w:ascii="Times New Roman" w:hAnsi="Times New Roman" w:eastAsia="宋体"/>
      <w:snapToGrid w:val="0"/>
      <w:spacing w:val="6"/>
      <w:kern w:val="2"/>
      <w:sz w:val="21"/>
      <w:szCs w:val="24"/>
    </w:rPr>
  </w:style>
  <w:style w:type="paragraph" w:customStyle="1" w:styleId="32">
    <w:name w:val="正缩1"/>
    <w:basedOn w:val="1"/>
    <w:qFormat/>
    <w:uiPriority w:val="0"/>
    <w:pPr>
      <w:adjustRightInd w:val="0"/>
      <w:snapToGrid w:val="0"/>
      <w:spacing w:line="500" w:lineRule="exact"/>
      <w:ind w:firstLine="567"/>
    </w:pPr>
    <w:rPr>
      <w:rFonts w:ascii="Times New Roman" w:eastAsia="仿宋_GB2312"/>
      <w:color w:val="000000"/>
      <w:kern w:val="2"/>
      <w:sz w:val="28"/>
    </w:rPr>
  </w:style>
  <w:style w:type="paragraph" w:customStyle="1" w:styleId="33">
    <w:name w:val="【正文】"/>
    <w:basedOn w:val="1"/>
    <w:qFormat/>
    <w:uiPriority w:val="0"/>
    <w:rPr>
      <w:rFonts w:cs="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Pages>
  <Words>2961</Words>
  <Characters>3066</Characters>
  <Lines>97</Lines>
  <Paragraphs>85</Paragraphs>
  <TotalTime>0</TotalTime>
  <ScaleCrop>false</ScaleCrop>
  <LinksUpToDate>false</LinksUpToDate>
  <CharactersWithSpaces>3071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2019-10-22T01:39:00Z</dcterms:created>
  <dc:creator>lenovo</dc:creator>
  <cp:lastModifiedBy>郭丽娜</cp:lastModifiedBy>
  <cp:lastPrinted>2016-09-13T03:08:00Z</cp:lastPrinted>
  <dcterms:modified xsi:type="dcterms:W3CDTF">2026-07-16T08:19:40Z</dcterms:modified>
  <dc:title>曲靖市环境保护局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CCE79308CC544FB2BBDEEABE3B76B783_13</vt:lpwstr>
  </property>
  <property fmtid="{D5CDD505-2E9C-101B-9397-08002B2CF9AE}" pid="4" name="KSOTemplateDocerSaveRecord">
    <vt:lpwstr>eyJoZGlkIjoiYTA0OTFiNTllN2E3YTc2MDc5ZTIwYTg0ZjFlZjFlMWQiLCJ1c2VySWQiOiIzNzMyMDUyODEifQ==</vt:lpwstr>
  </property>
</Properties>
</file>