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81253">
      <w:pPr>
        <w:adjustRightInd w:val="0"/>
        <w:snapToGrid w:val="0"/>
        <w:jc w:val="center"/>
        <w:rPr>
          <w:b/>
          <w:color w:val="000000"/>
          <w:sz w:val="72"/>
          <w:szCs w:val="72"/>
        </w:rPr>
      </w:pPr>
      <w:bookmarkStart w:id="0" w:name="_Toc225952985"/>
      <w:bookmarkStart w:id="1" w:name="_Toc227764325"/>
      <w:bookmarkStart w:id="2" w:name="_Hlk57883707"/>
    </w:p>
    <w:p w14:paraId="5D09F3AE">
      <w:pPr>
        <w:adjustRightInd w:val="0"/>
        <w:snapToGrid w:val="0"/>
        <w:jc w:val="center"/>
        <w:rPr>
          <w:b/>
          <w:color w:val="000000"/>
          <w:sz w:val="72"/>
          <w:szCs w:val="72"/>
        </w:rPr>
      </w:pPr>
      <w:bookmarkStart w:id="384" w:name="_GoBack"/>
      <w:bookmarkEnd w:id="384"/>
    </w:p>
    <w:p w14:paraId="6626BAE3">
      <w:pPr>
        <w:adjustRightInd w:val="0"/>
        <w:snapToGrid w:val="0"/>
        <w:jc w:val="center"/>
        <w:outlineLvl w:val="0"/>
        <w:rPr>
          <w:b/>
          <w:color w:val="000000"/>
          <w:sz w:val="72"/>
          <w:szCs w:val="72"/>
        </w:rPr>
      </w:pPr>
      <w:r>
        <w:rPr>
          <w:b/>
          <w:color w:val="000000"/>
          <w:sz w:val="72"/>
          <w:szCs w:val="72"/>
        </w:rPr>
        <w:t>建设项目环境影响报告表</w:t>
      </w:r>
      <w:bookmarkEnd w:id="0"/>
      <w:bookmarkEnd w:id="1"/>
    </w:p>
    <w:p w14:paraId="76DC715A">
      <w:pPr>
        <w:adjustRightInd w:val="0"/>
        <w:snapToGrid w:val="0"/>
        <w:jc w:val="center"/>
        <w:rPr>
          <w:b/>
          <w:color w:val="000000"/>
          <w:sz w:val="48"/>
          <w:szCs w:val="48"/>
        </w:rPr>
      </w:pPr>
      <w:r>
        <w:rPr>
          <w:b/>
          <w:color w:val="000000"/>
          <w:sz w:val="48"/>
          <w:szCs w:val="48"/>
        </w:rPr>
        <w:t>（生态影响类）</w:t>
      </w:r>
    </w:p>
    <w:p w14:paraId="01F57034">
      <w:pPr>
        <w:jc w:val="center"/>
        <w:rPr>
          <w:b/>
          <w:color w:val="000000"/>
          <w:sz w:val="44"/>
          <w:szCs w:val="44"/>
        </w:rPr>
      </w:pPr>
      <w:bookmarkStart w:id="3" w:name="_Hlk57883728"/>
    </w:p>
    <w:p w14:paraId="3FDE1A96">
      <w:pPr>
        <w:ind w:firstLine="1040"/>
        <w:rPr>
          <w:b/>
          <w:color w:val="000000"/>
          <w:sz w:val="44"/>
          <w:szCs w:val="44"/>
        </w:rPr>
      </w:pPr>
    </w:p>
    <w:p w14:paraId="46AEBFF7">
      <w:pPr>
        <w:ind w:firstLine="1040"/>
        <w:rPr>
          <w:b/>
          <w:color w:val="000000"/>
          <w:sz w:val="44"/>
          <w:szCs w:val="44"/>
        </w:rPr>
      </w:pPr>
    </w:p>
    <w:p w14:paraId="39073E8C">
      <w:pPr>
        <w:ind w:firstLine="1040"/>
        <w:rPr>
          <w:b/>
          <w:color w:val="000000"/>
          <w:sz w:val="44"/>
          <w:szCs w:val="44"/>
        </w:rPr>
      </w:pPr>
    </w:p>
    <w:p w14:paraId="65F75633">
      <w:pPr>
        <w:ind w:firstLine="1040"/>
        <w:rPr>
          <w:b/>
          <w:color w:val="000000"/>
          <w:sz w:val="44"/>
          <w:szCs w:val="44"/>
        </w:rPr>
      </w:pPr>
    </w:p>
    <w:p w14:paraId="5CB2DE75">
      <w:pPr>
        <w:ind w:firstLine="1040"/>
        <w:rPr>
          <w:b/>
          <w:color w:val="000000"/>
          <w:sz w:val="44"/>
          <w:szCs w:val="44"/>
        </w:rPr>
      </w:pPr>
    </w:p>
    <w:p w14:paraId="550D18FA">
      <w:pPr>
        <w:ind w:firstLine="1040"/>
        <w:rPr>
          <w:b/>
          <w:color w:val="000000"/>
          <w:sz w:val="44"/>
          <w:szCs w:val="44"/>
        </w:rPr>
      </w:pPr>
    </w:p>
    <w:p w14:paraId="72840CED">
      <w:pPr>
        <w:ind w:firstLine="1040"/>
        <w:rPr>
          <w:b/>
          <w:color w:val="000000"/>
          <w:sz w:val="44"/>
          <w:szCs w:val="44"/>
        </w:rPr>
      </w:pPr>
    </w:p>
    <w:bookmarkEnd w:id="3"/>
    <w:p w14:paraId="4EF0E5B2">
      <w:pPr>
        <w:adjustRightInd w:val="0"/>
        <w:snapToGrid w:val="0"/>
        <w:spacing w:line="288" w:lineRule="auto"/>
        <w:rPr>
          <w:bCs/>
          <w:color w:val="000000"/>
          <w:spacing w:val="-20"/>
          <w:sz w:val="36"/>
          <w:szCs w:val="36"/>
          <w:u w:val="single"/>
        </w:rPr>
      </w:pPr>
      <w:r>
        <w:rPr>
          <w:bCs/>
          <w:color w:val="000000"/>
          <w:sz w:val="36"/>
          <w:szCs w:val="36"/>
        </w:rPr>
        <w:t>项目名称：</w:t>
      </w:r>
      <w:r>
        <w:rPr>
          <w:bCs/>
          <w:color w:val="000000"/>
          <w:sz w:val="36"/>
          <w:szCs w:val="36"/>
          <w:u w:val="single"/>
        </w:rPr>
        <w:t xml:space="preserve">     </w:t>
      </w:r>
      <w:r>
        <w:rPr>
          <w:rFonts w:hint="eastAsia"/>
          <w:bCs/>
          <w:color w:val="000000"/>
          <w:sz w:val="36"/>
          <w:szCs w:val="36"/>
          <w:u w:val="single"/>
        </w:rPr>
        <w:t>南冲风电场110kV送出线路工程</w:t>
      </w:r>
      <w:r>
        <w:rPr>
          <w:bCs/>
          <w:color w:val="000000"/>
          <w:spacing w:val="-20"/>
          <w:sz w:val="36"/>
          <w:szCs w:val="36"/>
          <w:u w:val="single"/>
        </w:rPr>
        <w:t xml:space="preserve">     </w:t>
      </w:r>
    </w:p>
    <w:p w14:paraId="0AA8B269">
      <w:pPr>
        <w:adjustRightInd w:val="0"/>
        <w:snapToGrid w:val="0"/>
        <w:spacing w:line="288" w:lineRule="auto"/>
        <w:ind w:firstLine="1040"/>
        <w:rPr>
          <w:bCs/>
          <w:color w:val="000000"/>
          <w:sz w:val="36"/>
          <w:szCs w:val="36"/>
          <w:u w:val="single"/>
        </w:rPr>
      </w:pPr>
    </w:p>
    <w:p w14:paraId="04D12A55">
      <w:pPr>
        <w:spacing w:line="288" w:lineRule="auto"/>
        <w:contextualSpacing/>
        <w:rPr>
          <w:bCs/>
          <w:color w:val="000000"/>
          <w:sz w:val="36"/>
          <w:szCs w:val="36"/>
          <w:u w:val="single"/>
        </w:rPr>
      </w:pPr>
      <w:r>
        <w:rPr>
          <w:bCs/>
          <w:color w:val="000000"/>
          <w:sz w:val="36"/>
          <w:szCs w:val="36"/>
        </w:rPr>
        <w:t>建设单位（盖章）：</w:t>
      </w:r>
      <w:r>
        <w:rPr>
          <w:rFonts w:hint="eastAsia"/>
          <w:bCs/>
          <w:color w:val="000000"/>
          <w:sz w:val="36"/>
          <w:szCs w:val="36"/>
          <w:u w:val="single"/>
        </w:rPr>
        <w:t xml:space="preserve"> </w:t>
      </w:r>
      <w:r>
        <w:rPr>
          <w:bCs/>
          <w:color w:val="000000"/>
          <w:sz w:val="36"/>
          <w:szCs w:val="36"/>
          <w:u w:val="single"/>
        </w:rPr>
        <w:t xml:space="preserve">  </w:t>
      </w:r>
      <w:bookmarkStart w:id="4" w:name="_Hlk227766443"/>
      <w:r>
        <w:rPr>
          <w:rFonts w:hint="eastAsia"/>
          <w:color w:val="000000"/>
          <w:sz w:val="36"/>
          <w:szCs w:val="36"/>
          <w:u w:val="single"/>
        </w:rPr>
        <w:t>富源云能新能源有限公司</w:t>
      </w:r>
      <w:bookmarkEnd w:id="4"/>
      <w:r>
        <w:rPr>
          <w:rFonts w:hint="eastAsia"/>
          <w:color w:val="000000"/>
          <w:sz w:val="36"/>
          <w:szCs w:val="36"/>
          <w:u w:val="single"/>
        </w:rPr>
        <w:t xml:space="preserve"> </w:t>
      </w:r>
      <w:r>
        <w:rPr>
          <w:color w:val="000000"/>
          <w:sz w:val="36"/>
          <w:szCs w:val="36"/>
          <w:u w:val="single"/>
        </w:rPr>
        <w:t xml:space="preserve"> </w:t>
      </w:r>
      <w:r>
        <w:rPr>
          <w:rFonts w:hint="eastAsia"/>
          <w:color w:val="000000"/>
          <w:sz w:val="36"/>
          <w:szCs w:val="36"/>
          <w:u w:val="single"/>
        </w:rPr>
        <w:t xml:space="preserve"> </w:t>
      </w:r>
      <w:r>
        <w:rPr>
          <w:color w:val="000000"/>
          <w:sz w:val="36"/>
          <w:szCs w:val="36"/>
          <w:u w:val="single"/>
        </w:rPr>
        <w:t xml:space="preserve">  </w:t>
      </w:r>
    </w:p>
    <w:p w14:paraId="6751BD98">
      <w:pPr>
        <w:adjustRightInd w:val="0"/>
        <w:snapToGrid w:val="0"/>
        <w:spacing w:line="288" w:lineRule="auto"/>
        <w:ind w:firstLine="1040"/>
        <w:rPr>
          <w:bCs/>
          <w:color w:val="000000"/>
          <w:sz w:val="36"/>
          <w:szCs w:val="36"/>
          <w:u w:val="single"/>
        </w:rPr>
      </w:pPr>
    </w:p>
    <w:p w14:paraId="45E34B55">
      <w:pPr>
        <w:adjustRightInd w:val="0"/>
        <w:snapToGrid w:val="0"/>
        <w:spacing w:line="288" w:lineRule="auto"/>
        <w:rPr>
          <w:bCs/>
          <w:color w:val="000000"/>
          <w:sz w:val="36"/>
          <w:szCs w:val="36"/>
          <w:u w:val="single"/>
        </w:rPr>
      </w:pPr>
      <w:r>
        <w:rPr>
          <w:bCs/>
          <w:color w:val="000000"/>
          <w:sz w:val="36"/>
          <w:szCs w:val="36"/>
        </w:rPr>
        <w:t>编制日期：</w:t>
      </w:r>
      <w:r>
        <w:rPr>
          <w:bCs/>
          <w:color w:val="000000"/>
          <w:sz w:val="36"/>
          <w:szCs w:val="36"/>
          <w:u w:val="single"/>
        </w:rPr>
        <w:t xml:space="preserve">             2026年7月               </w:t>
      </w:r>
    </w:p>
    <w:p w14:paraId="3BCDD0EC">
      <w:pPr>
        <w:adjustRightInd w:val="0"/>
        <w:snapToGrid w:val="0"/>
        <w:spacing w:line="288" w:lineRule="auto"/>
        <w:ind w:firstLine="1040"/>
        <w:rPr>
          <w:b/>
          <w:color w:val="000000"/>
          <w:sz w:val="40"/>
          <w:szCs w:val="40"/>
          <w:u w:val="single"/>
        </w:rPr>
      </w:pPr>
    </w:p>
    <w:p w14:paraId="61D4CDCA">
      <w:pPr>
        <w:adjustRightInd w:val="0"/>
        <w:snapToGrid w:val="0"/>
        <w:spacing w:line="288" w:lineRule="auto"/>
        <w:jc w:val="center"/>
        <w:rPr>
          <w:b/>
          <w:color w:val="000000"/>
          <w:sz w:val="36"/>
          <w:szCs w:val="36"/>
        </w:rPr>
      </w:pPr>
    </w:p>
    <w:p w14:paraId="3BE7B957">
      <w:pPr>
        <w:adjustRightInd w:val="0"/>
        <w:snapToGrid w:val="0"/>
        <w:spacing w:line="288" w:lineRule="auto"/>
        <w:jc w:val="center"/>
        <w:rPr>
          <w:b/>
          <w:color w:val="000000"/>
          <w:sz w:val="36"/>
          <w:szCs w:val="36"/>
        </w:rPr>
      </w:pPr>
    </w:p>
    <w:p w14:paraId="43BE1B38">
      <w:pPr>
        <w:adjustRightInd w:val="0"/>
        <w:snapToGrid w:val="0"/>
        <w:spacing w:line="288" w:lineRule="auto"/>
        <w:jc w:val="center"/>
        <w:rPr>
          <w:b/>
          <w:color w:val="000000"/>
          <w:sz w:val="36"/>
          <w:szCs w:val="36"/>
        </w:rPr>
      </w:pPr>
    </w:p>
    <w:p w14:paraId="1126E2C7">
      <w:pPr>
        <w:adjustRightInd w:val="0"/>
        <w:snapToGrid w:val="0"/>
        <w:spacing w:line="288" w:lineRule="auto"/>
        <w:jc w:val="center"/>
        <w:rPr>
          <w:b/>
          <w:color w:val="000000"/>
          <w:sz w:val="36"/>
          <w:szCs w:val="36"/>
        </w:rPr>
      </w:pPr>
    </w:p>
    <w:p w14:paraId="23FA5D7B">
      <w:pPr>
        <w:adjustRightInd w:val="0"/>
        <w:snapToGrid w:val="0"/>
        <w:spacing w:line="288" w:lineRule="auto"/>
        <w:jc w:val="center"/>
        <w:rPr>
          <w:b/>
          <w:color w:val="000000"/>
          <w:sz w:val="36"/>
          <w:szCs w:val="36"/>
        </w:rPr>
      </w:pPr>
      <w:r>
        <w:rPr>
          <w:b/>
          <w:color w:val="000000"/>
          <w:sz w:val="36"/>
          <w:szCs w:val="36"/>
        </w:rPr>
        <w:t>中华人民共和国生态环境部制</w:t>
      </w:r>
    </w:p>
    <w:bookmarkEnd w:id="2"/>
    <w:p w14:paraId="56E10229">
      <w:pPr>
        <w:pStyle w:val="189"/>
        <w:ind w:firstLine="560"/>
        <w:sectPr>
          <w:headerReference r:id="rId3" w:type="default"/>
          <w:footerReference r:id="rId4" w:type="default"/>
          <w:footerReference r:id="rId5" w:type="even"/>
          <w:pgSz w:w="11906" w:h="16838"/>
          <w:pgMar w:top="1701" w:right="1531" w:bottom="1701" w:left="1531" w:header="851" w:footer="1077" w:gutter="0"/>
          <w:pgNumType w:start="21"/>
          <w:cols w:space="720" w:num="1"/>
          <w:docGrid w:linePitch="312" w:charSpace="0"/>
        </w:sectPr>
      </w:pPr>
    </w:p>
    <w:p w14:paraId="1A1BD2FA">
      <w:pPr>
        <w:adjustRightInd w:val="0"/>
        <w:snapToGrid w:val="0"/>
        <w:spacing w:line="360" w:lineRule="auto"/>
        <w:jc w:val="center"/>
        <w:rPr>
          <w:rFonts w:ascii="宋体" w:hAnsi="宋体"/>
          <w:b/>
          <w:sz w:val="28"/>
          <w:szCs w:val="28"/>
        </w:rPr>
      </w:pPr>
    </w:p>
    <w:p w14:paraId="111CCDDE">
      <w:pPr>
        <w:adjustRightInd w:val="0"/>
        <w:snapToGrid w:val="0"/>
        <w:spacing w:line="360" w:lineRule="auto"/>
        <w:jc w:val="center"/>
        <w:rPr>
          <w:rFonts w:ascii="宋体" w:hAnsi="宋体"/>
          <w:b/>
          <w:sz w:val="28"/>
          <w:szCs w:val="28"/>
        </w:rPr>
      </w:pPr>
      <w:r>
        <w:rPr>
          <w:rFonts w:ascii="宋体" w:hAnsi="宋体"/>
          <w:b/>
          <w:sz w:val="28"/>
          <w:szCs w:val="28"/>
        </w:rPr>
        <w:t>项目区现场照片</w:t>
      </w:r>
    </w:p>
    <w:tbl>
      <w:tblPr>
        <w:tblStyle w:val="45"/>
        <w:tblW w:w="8971"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515"/>
        <w:gridCol w:w="4456"/>
      </w:tblGrid>
      <w:tr w14:paraId="5114107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0" w:hRule="atLeast"/>
          <w:jc w:val="center"/>
        </w:trPr>
        <w:tc>
          <w:tcPr>
            <w:tcW w:w="4515" w:type="dxa"/>
            <w:vAlign w:val="center"/>
          </w:tcPr>
          <w:p w14:paraId="19127180">
            <w:pPr>
              <w:widowControl/>
              <w:adjustRightInd w:val="0"/>
              <w:snapToGrid w:val="0"/>
              <w:jc w:val="center"/>
            </w:pPr>
            <w:r>
              <w:drawing>
                <wp:inline distT="0" distB="0" distL="0" distR="0">
                  <wp:extent cx="2729865" cy="204724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29865" cy="2047240"/>
                          </a:xfrm>
                          <a:prstGeom prst="rect">
                            <a:avLst/>
                          </a:prstGeom>
                          <a:noFill/>
                          <a:ln>
                            <a:noFill/>
                          </a:ln>
                        </pic:spPr>
                      </pic:pic>
                    </a:graphicData>
                  </a:graphic>
                </wp:inline>
              </w:drawing>
            </w:r>
          </w:p>
        </w:tc>
        <w:tc>
          <w:tcPr>
            <w:tcW w:w="4456" w:type="dxa"/>
            <w:vAlign w:val="center"/>
          </w:tcPr>
          <w:p w14:paraId="739909A6">
            <w:pPr>
              <w:widowControl/>
              <w:adjustRightInd w:val="0"/>
              <w:snapToGrid w:val="0"/>
              <w:jc w:val="center"/>
            </w:pPr>
            <w:r>
              <w:drawing>
                <wp:inline distT="0" distB="0" distL="0" distR="0">
                  <wp:extent cx="2692400" cy="20262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692400" cy="2026285"/>
                          </a:xfrm>
                          <a:prstGeom prst="rect">
                            <a:avLst/>
                          </a:prstGeom>
                          <a:noFill/>
                          <a:ln>
                            <a:noFill/>
                          </a:ln>
                        </pic:spPr>
                      </pic:pic>
                    </a:graphicData>
                  </a:graphic>
                </wp:inline>
              </w:drawing>
            </w:r>
          </w:p>
        </w:tc>
      </w:tr>
      <w:tr w14:paraId="68CE51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0" w:hRule="atLeast"/>
          <w:jc w:val="center"/>
        </w:trPr>
        <w:tc>
          <w:tcPr>
            <w:tcW w:w="4515" w:type="dxa"/>
            <w:vAlign w:val="center"/>
          </w:tcPr>
          <w:p w14:paraId="09C80264">
            <w:pPr>
              <w:widowControl/>
              <w:adjustRightInd w:val="0"/>
              <w:snapToGrid w:val="0"/>
              <w:jc w:val="center"/>
            </w:pPr>
            <w:r>
              <w:t>铜厂变电站</w:t>
            </w:r>
            <w:r>
              <w:rPr>
                <w:rFonts w:hint="eastAsia"/>
              </w:rPr>
              <w:t>（接入升压站）</w:t>
            </w:r>
          </w:p>
        </w:tc>
        <w:tc>
          <w:tcPr>
            <w:tcW w:w="4456" w:type="dxa"/>
            <w:vAlign w:val="center"/>
          </w:tcPr>
          <w:p w14:paraId="59107E68">
            <w:pPr>
              <w:widowControl/>
              <w:adjustRightInd w:val="0"/>
              <w:snapToGrid w:val="0"/>
              <w:jc w:val="center"/>
            </w:pPr>
            <w:r>
              <w:t>N3</w:t>
            </w:r>
            <w:r>
              <w:rPr>
                <w:rFonts w:hint="eastAsia"/>
              </w:rPr>
              <w:t>塔基</w:t>
            </w:r>
          </w:p>
        </w:tc>
      </w:tr>
      <w:tr w14:paraId="00D3EC5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4E2A758C">
            <w:pPr>
              <w:widowControl/>
              <w:adjustRightInd w:val="0"/>
              <w:snapToGrid w:val="0"/>
              <w:jc w:val="center"/>
              <w:rPr>
                <w:b/>
                <w:bCs/>
                <w:kern w:val="0"/>
              </w:rPr>
            </w:pPr>
            <w:r>
              <w:drawing>
                <wp:inline distT="0" distB="0" distL="0" distR="0">
                  <wp:extent cx="2718435" cy="2038350"/>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38913" cy="2053388"/>
                          </a:xfrm>
                          <a:prstGeom prst="rect">
                            <a:avLst/>
                          </a:prstGeom>
                          <a:noFill/>
                          <a:ln>
                            <a:noFill/>
                          </a:ln>
                        </pic:spPr>
                      </pic:pic>
                    </a:graphicData>
                  </a:graphic>
                </wp:inline>
              </w:drawing>
            </w:r>
          </w:p>
        </w:tc>
        <w:tc>
          <w:tcPr>
            <w:tcW w:w="4456" w:type="dxa"/>
            <w:vAlign w:val="center"/>
          </w:tcPr>
          <w:p w14:paraId="4DEC6462">
            <w:pPr>
              <w:widowControl/>
              <w:adjustRightInd w:val="0"/>
              <w:snapToGrid w:val="0"/>
              <w:jc w:val="center"/>
              <w:rPr>
                <w:rFonts w:eastAsia="黑体"/>
                <w:sz w:val="20"/>
              </w:rPr>
            </w:pPr>
            <w:r>
              <w:drawing>
                <wp:inline distT="0" distB="0" distL="0" distR="0">
                  <wp:extent cx="2660650" cy="1995170"/>
                  <wp:effectExtent l="0" t="0" r="635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668848" cy="2001635"/>
                          </a:xfrm>
                          <a:prstGeom prst="rect">
                            <a:avLst/>
                          </a:prstGeom>
                          <a:noFill/>
                          <a:ln>
                            <a:noFill/>
                          </a:ln>
                        </pic:spPr>
                      </pic:pic>
                    </a:graphicData>
                  </a:graphic>
                </wp:inline>
              </w:drawing>
            </w:r>
          </w:p>
        </w:tc>
      </w:tr>
      <w:tr w14:paraId="3FC63A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5D1F0FFC">
            <w:pPr>
              <w:widowControl/>
              <w:adjustRightInd w:val="0"/>
              <w:snapToGrid w:val="0"/>
              <w:jc w:val="center"/>
            </w:pPr>
            <w:r>
              <w:t>N4</w:t>
            </w:r>
            <w:r>
              <w:rPr>
                <w:rFonts w:hint="eastAsia"/>
              </w:rPr>
              <w:t>塔基</w:t>
            </w:r>
          </w:p>
        </w:tc>
        <w:tc>
          <w:tcPr>
            <w:tcW w:w="4456" w:type="dxa"/>
            <w:vAlign w:val="center"/>
          </w:tcPr>
          <w:p w14:paraId="0BB527D8">
            <w:pPr>
              <w:widowControl/>
              <w:adjustRightInd w:val="0"/>
              <w:snapToGrid w:val="0"/>
              <w:jc w:val="center"/>
            </w:pPr>
            <w:r>
              <w:t>N5</w:t>
            </w:r>
            <w:r>
              <w:rPr>
                <w:rFonts w:hint="eastAsia"/>
              </w:rPr>
              <w:t>塔基</w:t>
            </w:r>
          </w:p>
        </w:tc>
      </w:tr>
      <w:tr w14:paraId="21E1C6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32C3C599">
            <w:pPr>
              <w:widowControl/>
              <w:adjustRightInd w:val="0"/>
              <w:snapToGrid w:val="0"/>
              <w:jc w:val="center"/>
            </w:pPr>
            <w:r>
              <w:drawing>
                <wp:inline distT="0" distB="0" distL="0" distR="0">
                  <wp:extent cx="2743200" cy="20574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51745" cy="2063648"/>
                          </a:xfrm>
                          <a:prstGeom prst="rect">
                            <a:avLst/>
                          </a:prstGeom>
                          <a:noFill/>
                          <a:ln>
                            <a:noFill/>
                          </a:ln>
                        </pic:spPr>
                      </pic:pic>
                    </a:graphicData>
                  </a:graphic>
                </wp:inline>
              </w:drawing>
            </w:r>
          </w:p>
        </w:tc>
        <w:tc>
          <w:tcPr>
            <w:tcW w:w="4456" w:type="dxa"/>
            <w:vAlign w:val="center"/>
          </w:tcPr>
          <w:p w14:paraId="1B803E46">
            <w:pPr>
              <w:widowControl/>
              <w:adjustRightInd w:val="0"/>
              <w:snapToGrid w:val="0"/>
              <w:jc w:val="center"/>
            </w:pPr>
            <w:r>
              <w:drawing>
                <wp:inline distT="0" distB="0" distL="0" distR="0">
                  <wp:extent cx="2781300" cy="20859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784930" cy="2088697"/>
                          </a:xfrm>
                          <a:prstGeom prst="rect">
                            <a:avLst/>
                          </a:prstGeom>
                          <a:noFill/>
                          <a:ln>
                            <a:noFill/>
                          </a:ln>
                        </pic:spPr>
                      </pic:pic>
                    </a:graphicData>
                  </a:graphic>
                </wp:inline>
              </w:drawing>
            </w:r>
          </w:p>
        </w:tc>
      </w:tr>
      <w:tr w14:paraId="11EA57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6D7759D4">
            <w:pPr>
              <w:widowControl/>
              <w:adjustRightInd w:val="0"/>
              <w:snapToGrid w:val="0"/>
              <w:jc w:val="center"/>
            </w:pPr>
            <w:r>
              <w:t>N7</w:t>
            </w:r>
            <w:r>
              <w:rPr>
                <w:rFonts w:hint="eastAsia"/>
              </w:rPr>
              <w:t>塔基</w:t>
            </w:r>
          </w:p>
        </w:tc>
        <w:tc>
          <w:tcPr>
            <w:tcW w:w="4456" w:type="dxa"/>
            <w:vAlign w:val="center"/>
          </w:tcPr>
          <w:p w14:paraId="16BDFEF2">
            <w:pPr>
              <w:widowControl/>
              <w:adjustRightInd w:val="0"/>
              <w:snapToGrid w:val="0"/>
              <w:jc w:val="center"/>
            </w:pPr>
            <w:r>
              <w:t>N9</w:t>
            </w:r>
            <w:r>
              <w:rPr>
                <w:rFonts w:hint="eastAsia"/>
              </w:rPr>
              <w:t>塔基</w:t>
            </w:r>
          </w:p>
        </w:tc>
      </w:tr>
      <w:tr w14:paraId="67AE54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661ECA83">
            <w:pPr>
              <w:widowControl/>
              <w:adjustRightInd w:val="0"/>
              <w:snapToGrid w:val="0"/>
              <w:jc w:val="center"/>
            </w:pPr>
            <w:r>
              <w:drawing>
                <wp:inline distT="0" distB="0" distL="0" distR="0">
                  <wp:extent cx="2844800" cy="2133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847940" cy="2135789"/>
                          </a:xfrm>
                          <a:prstGeom prst="rect">
                            <a:avLst/>
                          </a:prstGeom>
                          <a:noFill/>
                          <a:ln>
                            <a:noFill/>
                          </a:ln>
                        </pic:spPr>
                      </pic:pic>
                    </a:graphicData>
                  </a:graphic>
                </wp:inline>
              </w:drawing>
            </w:r>
          </w:p>
        </w:tc>
        <w:tc>
          <w:tcPr>
            <w:tcW w:w="4456" w:type="dxa"/>
            <w:vAlign w:val="center"/>
          </w:tcPr>
          <w:p w14:paraId="464BDEC7">
            <w:pPr>
              <w:widowControl/>
              <w:adjustRightInd w:val="0"/>
              <w:snapToGrid w:val="0"/>
              <w:jc w:val="center"/>
            </w:pPr>
            <w:r>
              <w:drawing>
                <wp:inline distT="0" distB="0" distL="0" distR="0">
                  <wp:extent cx="2794000" cy="209550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95633" cy="2096725"/>
                          </a:xfrm>
                          <a:prstGeom prst="rect">
                            <a:avLst/>
                          </a:prstGeom>
                          <a:noFill/>
                          <a:ln>
                            <a:noFill/>
                          </a:ln>
                        </pic:spPr>
                      </pic:pic>
                    </a:graphicData>
                  </a:graphic>
                </wp:inline>
              </w:drawing>
            </w:r>
          </w:p>
        </w:tc>
      </w:tr>
      <w:tr w14:paraId="366A7C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0" w:hRule="atLeast"/>
          <w:jc w:val="center"/>
        </w:trPr>
        <w:tc>
          <w:tcPr>
            <w:tcW w:w="4515" w:type="dxa"/>
            <w:vAlign w:val="center"/>
          </w:tcPr>
          <w:p w14:paraId="25E51046">
            <w:pPr>
              <w:widowControl/>
              <w:adjustRightInd w:val="0"/>
              <w:snapToGrid w:val="0"/>
              <w:jc w:val="center"/>
            </w:pPr>
            <w:r>
              <w:t>N10</w:t>
            </w:r>
            <w:r>
              <w:rPr>
                <w:rFonts w:hint="eastAsia"/>
              </w:rPr>
              <w:t>塔基</w:t>
            </w:r>
          </w:p>
        </w:tc>
        <w:tc>
          <w:tcPr>
            <w:tcW w:w="4456" w:type="dxa"/>
            <w:vAlign w:val="center"/>
          </w:tcPr>
          <w:p w14:paraId="5FAE2266">
            <w:pPr>
              <w:widowControl/>
              <w:adjustRightInd w:val="0"/>
              <w:snapToGrid w:val="0"/>
              <w:jc w:val="center"/>
            </w:pPr>
            <w:r>
              <w:t>N13</w:t>
            </w:r>
            <w:r>
              <w:rPr>
                <w:rFonts w:hint="eastAsia"/>
              </w:rPr>
              <w:t>塔基</w:t>
            </w:r>
          </w:p>
        </w:tc>
      </w:tr>
      <w:tr w14:paraId="2398720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2E297028">
            <w:pPr>
              <w:widowControl/>
              <w:adjustRightInd w:val="0"/>
              <w:snapToGrid w:val="0"/>
              <w:jc w:val="center"/>
            </w:pPr>
            <w:r>
              <w:drawing>
                <wp:inline distT="0" distB="0" distL="0" distR="0">
                  <wp:extent cx="2729865" cy="20472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29865" cy="2047240"/>
                          </a:xfrm>
                          <a:prstGeom prst="rect">
                            <a:avLst/>
                          </a:prstGeom>
                          <a:noFill/>
                          <a:ln>
                            <a:noFill/>
                          </a:ln>
                        </pic:spPr>
                      </pic:pic>
                    </a:graphicData>
                  </a:graphic>
                </wp:inline>
              </w:drawing>
            </w:r>
          </w:p>
        </w:tc>
        <w:tc>
          <w:tcPr>
            <w:tcW w:w="4456" w:type="dxa"/>
            <w:vAlign w:val="center"/>
          </w:tcPr>
          <w:p w14:paraId="06C08AC6">
            <w:pPr>
              <w:widowControl/>
              <w:adjustRightInd w:val="0"/>
              <w:snapToGrid w:val="0"/>
              <w:jc w:val="center"/>
            </w:pPr>
            <w:r>
              <w:drawing>
                <wp:inline distT="0" distB="0" distL="0" distR="0">
                  <wp:extent cx="2768600" cy="2076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769035" cy="2076776"/>
                          </a:xfrm>
                          <a:prstGeom prst="rect">
                            <a:avLst/>
                          </a:prstGeom>
                          <a:noFill/>
                          <a:ln>
                            <a:noFill/>
                          </a:ln>
                        </pic:spPr>
                      </pic:pic>
                    </a:graphicData>
                  </a:graphic>
                </wp:inline>
              </w:drawing>
            </w:r>
          </w:p>
        </w:tc>
      </w:tr>
      <w:tr w14:paraId="11DCC9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2A5BFEF7">
            <w:pPr>
              <w:widowControl/>
              <w:adjustRightInd w:val="0"/>
              <w:snapToGrid w:val="0"/>
              <w:jc w:val="center"/>
            </w:pPr>
            <w:r>
              <w:t>N14</w:t>
            </w:r>
            <w:r>
              <w:rPr>
                <w:rFonts w:hint="eastAsia"/>
              </w:rPr>
              <w:t>塔基</w:t>
            </w:r>
          </w:p>
        </w:tc>
        <w:tc>
          <w:tcPr>
            <w:tcW w:w="4456" w:type="dxa"/>
            <w:vAlign w:val="center"/>
          </w:tcPr>
          <w:p w14:paraId="265123F2">
            <w:pPr>
              <w:widowControl/>
              <w:adjustRightInd w:val="0"/>
              <w:snapToGrid w:val="0"/>
              <w:jc w:val="center"/>
            </w:pPr>
            <w:r>
              <w:t>N18</w:t>
            </w:r>
            <w:r>
              <w:rPr>
                <w:rFonts w:hint="eastAsia"/>
              </w:rPr>
              <w:t>塔基</w:t>
            </w:r>
          </w:p>
        </w:tc>
      </w:tr>
      <w:tr w14:paraId="1A464BB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5E1A55F5">
            <w:pPr>
              <w:widowControl/>
              <w:adjustRightInd w:val="0"/>
              <w:snapToGrid w:val="0"/>
              <w:jc w:val="center"/>
            </w:pPr>
            <w:r>
              <w:drawing>
                <wp:inline distT="0" distB="0" distL="0" distR="0">
                  <wp:extent cx="2729865" cy="204724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29865" cy="2047240"/>
                          </a:xfrm>
                          <a:prstGeom prst="rect">
                            <a:avLst/>
                          </a:prstGeom>
                          <a:noFill/>
                          <a:ln>
                            <a:noFill/>
                          </a:ln>
                        </pic:spPr>
                      </pic:pic>
                    </a:graphicData>
                  </a:graphic>
                </wp:inline>
              </w:drawing>
            </w:r>
          </w:p>
        </w:tc>
        <w:tc>
          <w:tcPr>
            <w:tcW w:w="4456" w:type="dxa"/>
            <w:vAlign w:val="center"/>
          </w:tcPr>
          <w:p w14:paraId="33608E77">
            <w:pPr>
              <w:widowControl/>
              <w:adjustRightInd w:val="0"/>
              <w:snapToGrid w:val="0"/>
              <w:jc w:val="center"/>
            </w:pPr>
            <w:r>
              <w:drawing>
                <wp:inline distT="0" distB="0" distL="0" distR="0">
                  <wp:extent cx="2686050" cy="1942465"/>
                  <wp:effectExtent l="0" t="0" r="0"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696659" cy="1950579"/>
                          </a:xfrm>
                          <a:prstGeom prst="rect">
                            <a:avLst/>
                          </a:prstGeom>
                          <a:noFill/>
                          <a:ln>
                            <a:noFill/>
                          </a:ln>
                        </pic:spPr>
                      </pic:pic>
                    </a:graphicData>
                  </a:graphic>
                </wp:inline>
              </w:drawing>
            </w:r>
          </w:p>
        </w:tc>
      </w:tr>
      <w:tr w14:paraId="2AE0870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0" w:hRule="atLeast"/>
          <w:jc w:val="center"/>
        </w:trPr>
        <w:tc>
          <w:tcPr>
            <w:tcW w:w="4515" w:type="dxa"/>
            <w:vAlign w:val="center"/>
          </w:tcPr>
          <w:p w14:paraId="15D469B4">
            <w:pPr>
              <w:widowControl/>
              <w:adjustRightInd w:val="0"/>
              <w:snapToGrid w:val="0"/>
              <w:jc w:val="center"/>
            </w:pPr>
            <w:r>
              <w:t>N23</w:t>
            </w:r>
            <w:r>
              <w:rPr>
                <w:rFonts w:hint="eastAsia"/>
              </w:rPr>
              <w:t>塔基</w:t>
            </w:r>
          </w:p>
        </w:tc>
        <w:tc>
          <w:tcPr>
            <w:tcW w:w="4456" w:type="dxa"/>
            <w:vAlign w:val="center"/>
          </w:tcPr>
          <w:p w14:paraId="10E7E247">
            <w:pPr>
              <w:widowControl/>
              <w:adjustRightInd w:val="0"/>
              <w:snapToGrid w:val="0"/>
              <w:jc w:val="center"/>
            </w:pPr>
            <w:r>
              <w:rPr>
                <w:rFonts w:hint="eastAsia"/>
              </w:rPr>
              <w:t>南冲风电场升压站</w:t>
            </w:r>
          </w:p>
        </w:tc>
      </w:tr>
      <w:tr w14:paraId="37FA26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971" w:type="dxa"/>
            <w:gridSpan w:val="2"/>
            <w:vAlign w:val="center"/>
          </w:tcPr>
          <w:p w14:paraId="138387B7">
            <w:pPr>
              <w:widowControl/>
              <w:adjustRightInd w:val="0"/>
              <w:snapToGrid w:val="0"/>
              <w:jc w:val="center"/>
            </w:pPr>
            <w:r>
              <w:t xml:space="preserve"> </w:t>
            </w:r>
            <w:r>
              <w:drawing>
                <wp:inline distT="0" distB="0" distL="0" distR="0">
                  <wp:extent cx="5359400" cy="40195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6"/>
                          <a:stretch>
                            <a:fillRect/>
                          </a:stretch>
                        </pic:blipFill>
                        <pic:spPr>
                          <a:xfrm>
                            <a:off x="0" y="0"/>
                            <a:ext cx="5359400" cy="4019550"/>
                          </a:xfrm>
                          <a:prstGeom prst="rect">
                            <a:avLst/>
                          </a:prstGeom>
                        </pic:spPr>
                      </pic:pic>
                    </a:graphicData>
                  </a:graphic>
                </wp:inline>
              </w:drawing>
            </w:r>
          </w:p>
        </w:tc>
      </w:tr>
      <w:tr w14:paraId="464371B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90" w:hRule="atLeast"/>
          <w:jc w:val="center"/>
        </w:trPr>
        <w:tc>
          <w:tcPr>
            <w:tcW w:w="8971" w:type="dxa"/>
            <w:gridSpan w:val="2"/>
            <w:vAlign w:val="center"/>
          </w:tcPr>
          <w:p w14:paraId="3105CAD7">
            <w:pPr>
              <w:widowControl/>
              <w:adjustRightInd w:val="0"/>
              <w:snapToGrid w:val="0"/>
              <w:jc w:val="center"/>
            </w:pPr>
            <w:r>
              <w:rPr>
                <w:rFonts w:hint="eastAsia"/>
              </w:rPr>
              <w:t>S204公路居民点散户</w:t>
            </w:r>
            <w:r>
              <w:t>（</w:t>
            </w:r>
            <w:r>
              <w:rPr>
                <w:rFonts w:hint="eastAsia"/>
              </w:rPr>
              <w:t>送出线路中心线</w:t>
            </w:r>
            <w:r>
              <w:t>南面37m）</w:t>
            </w:r>
          </w:p>
        </w:tc>
      </w:tr>
      <w:tr w14:paraId="51469D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3314804E">
            <w:pPr>
              <w:widowControl/>
              <w:adjustRightInd w:val="0"/>
              <w:snapToGrid w:val="0"/>
              <w:jc w:val="center"/>
            </w:pPr>
            <w:r>
              <w:drawing>
                <wp:inline distT="0" distB="0" distL="0" distR="0">
                  <wp:extent cx="2729865" cy="36398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729865" cy="3639820"/>
                          </a:xfrm>
                          <a:prstGeom prst="rect">
                            <a:avLst/>
                          </a:prstGeom>
                          <a:noFill/>
                          <a:ln>
                            <a:noFill/>
                          </a:ln>
                        </pic:spPr>
                      </pic:pic>
                    </a:graphicData>
                  </a:graphic>
                </wp:inline>
              </w:drawing>
            </w:r>
          </w:p>
        </w:tc>
        <w:tc>
          <w:tcPr>
            <w:tcW w:w="4456" w:type="dxa"/>
            <w:vAlign w:val="center"/>
          </w:tcPr>
          <w:p w14:paraId="348AF0DA">
            <w:pPr>
              <w:widowControl/>
              <w:adjustRightInd w:val="0"/>
              <w:snapToGrid w:val="0"/>
              <w:jc w:val="center"/>
            </w:pPr>
            <w:r>
              <w:drawing>
                <wp:inline distT="0" distB="0" distL="0" distR="0">
                  <wp:extent cx="2692400" cy="358965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692400" cy="3589655"/>
                          </a:xfrm>
                          <a:prstGeom prst="rect">
                            <a:avLst/>
                          </a:prstGeom>
                          <a:noFill/>
                          <a:ln>
                            <a:noFill/>
                          </a:ln>
                        </pic:spPr>
                      </pic:pic>
                    </a:graphicData>
                  </a:graphic>
                </wp:inline>
              </w:drawing>
            </w:r>
          </w:p>
        </w:tc>
      </w:tr>
      <w:tr w14:paraId="69A6E26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4515" w:type="dxa"/>
            <w:vAlign w:val="center"/>
          </w:tcPr>
          <w:p w14:paraId="4AB35DB7">
            <w:pPr>
              <w:widowControl/>
              <w:adjustRightInd w:val="0"/>
              <w:snapToGrid w:val="0"/>
              <w:jc w:val="center"/>
            </w:pPr>
            <w:r>
              <w:rPr>
                <w:rFonts w:hint="eastAsia"/>
              </w:rPr>
              <w:t>项目主持人现场照片</w:t>
            </w:r>
          </w:p>
        </w:tc>
        <w:tc>
          <w:tcPr>
            <w:tcW w:w="4456" w:type="dxa"/>
            <w:vAlign w:val="center"/>
          </w:tcPr>
          <w:p w14:paraId="5E1F1649">
            <w:pPr>
              <w:widowControl/>
              <w:adjustRightInd w:val="0"/>
              <w:snapToGrid w:val="0"/>
              <w:jc w:val="center"/>
            </w:pPr>
            <w:r>
              <w:rPr>
                <w:rFonts w:hint="eastAsia"/>
              </w:rPr>
              <w:t>项目主持人现场照片</w:t>
            </w:r>
          </w:p>
        </w:tc>
      </w:tr>
    </w:tbl>
    <w:p w14:paraId="246DA078">
      <w:pPr>
        <w:adjustRightInd w:val="0"/>
        <w:snapToGrid w:val="0"/>
        <w:spacing w:line="288" w:lineRule="auto"/>
        <w:ind w:firstLine="1040"/>
        <w:rPr>
          <w:rFonts w:eastAsia="仿宋_GB2312"/>
          <w:sz w:val="36"/>
          <w:szCs w:val="36"/>
        </w:rPr>
        <w:sectPr>
          <w:footerReference r:id="rId6" w:type="default"/>
          <w:pgSz w:w="11906" w:h="16838"/>
          <w:pgMar w:top="1701" w:right="1531" w:bottom="1701" w:left="1531" w:header="851" w:footer="1077" w:gutter="0"/>
          <w:pgNumType w:start="21"/>
          <w:cols w:space="720" w:num="1"/>
          <w:docGrid w:linePitch="312" w:charSpace="0"/>
        </w:sectPr>
      </w:pPr>
    </w:p>
    <w:p w14:paraId="0B6EC869">
      <w:pPr>
        <w:widowControl/>
        <w:snapToGrid w:val="0"/>
        <w:spacing w:before="60" w:after="160" w:line="259" w:lineRule="auto"/>
        <w:ind w:right="113"/>
        <w:jc w:val="center"/>
        <w:rPr>
          <w:b/>
          <w:bCs/>
          <w:snapToGrid w:val="0"/>
          <w:color w:val="000000" w:themeColor="text1"/>
          <w:kern w:val="0"/>
          <w:sz w:val="30"/>
          <w:szCs w:val="30"/>
          <w14:textFill>
            <w14:solidFill>
              <w14:schemeClr w14:val="tx1"/>
            </w14:solidFill>
          </w14:textFill>
        </w:rPr>
      </w:pPr>
      <w:bookmarkStart w:id="5" w:name="_Toc20971"/>
      <w:bookmarkStart w:id="6" w:name="_Toc21703"/>
      <w:bookmarkStart w:id="7" w:name="_Toc854"/>
      <w:r>
        <w:rPr>
          <w:b/>
          <w:bCs/>
          <w:snapToGrid w:val="0"/>
          <w:color w:val="000000" w:themeColor="text1"/>
          <w:kern w:val="0"/>
          <w:sz w:val="30"/>
          <w:szCs w:val="30"/>
          <w14:textFill>
            <w14:solidFill>
              <w14:schemeClr w14:val="tx1"/>
            </w14:solidFill>
          </w14:textFill>
        </w:rPr>
        <w:t>前言</w:t>
      </w:r>
    </w:p>
    <w:p w14:paraId="340B0EDB">
      <w:pPr>
        <w:spacing w:line="360" w:lineRule="auto"/>
        <w:ind w:firstLine="723" w:firstLineChars="3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项目由来：</w:t>
      </w:r>
      <w:r>
        <w:rPr>
          <w:snapToGrid w:val="0"/>
          <w:color w:val="000000" w:themeColor="text1"/>
          <w:kern w:val="0"/>
          <w:sz w:val="24"/>
          <w14:textFill>
            <w14:solidFill>
              <w14:schemeClr w14:val="tx1"/>
            </w14:solidFill>
          </w14:textFill>
        </w:rPr>
        <w:t>2025年3月1日，云南省发展和改革委员会、云南省能源局印发了《云南省发展和改革委员会云南省能源局关于印发云南省2025年第一批新能源项目开发建设方案的通知》（云能源新能〔2025〕51号），</w:t>
      </w:r>
      <w:r>
        <w:rPr>
          <w:rFonts w:hint="eastAsia"/>
          <w:snapToGrid w:val="0"/>
          <w:color w:val="000000" w:themeColor="text1"/>
          <w:kern w:val="0"/>
          <w:sz w:val="24"/>
          <w14:textFill>
            <w14:solidFill>
              <w14:schemeClr w14:val="tx1"/>
            </w14:solidFill>
          </w14:textFill>
        </w:rPr>
        <w:t>“</w:t>
      </w:r>
      <w:r>
        <w:rPr>
          <w:snapToGrid w:val="0"/>
          <w:color w:val="000000" w:themeColor="text1"/>
          <w:kern w:val="0"/>
          <w:sz w:val="24"/>
          <w14:textFill>
            <w14:solidFill>
              <w14:schemeClr w14:val="tx1"/>
            </w14:solidFill>
          </w14:textFill>
        </w:rPr>
        <w:t>南冲风电场</w:t>
      </w:r>
      <w:r>
        <w:rPr>
          <w:rFonts w:hint="eastAsia"/>
          <w:snapToGrid w:val="0"/>
          <w:color w:val="000000" w:themeColor="text1"/>
          <w:kern w:val="0"/>
          <w:sz w:val="24"/>
          <w14:textFill>
            <w14:solidFill>
              <w14:schemeClr w14:val="tx1"/>
            </w14:solidFill>
          </w14:textFill>
        </w:rPr>
        <w:t>”</w:t>
      </w:r>
      <w:r>
        <w:rPr>
          <w:snapToGrid w:val="0"/>
          <w:color w:val="000000" w:themeColor="text1"/>
          <w:kern w:val="0"/>
          <w:sz w:val="24"/>
          <w14:textFill>
            <w14:solidFill>
              <w14:schemeClr w14:val="tx1"/>
            </w14:solidFill>
          </w14:textFill>
        </w:rPr>
        <w:t>是下发的项目建设清单中的32个风电项目之一</w:t>
      </w:r>
      <w:r>
        <w:rPr>
          <w:rFonts w:hint="eastAsia"/>
          <w:snapToGrid w:val="0"/>
          <w:color w:val="000000" w:themeColor="text1"/>
          <w:kern w:val="0"/>
          <w:sz w:val="24"/>
          <w14:textFill>
            <w14:solidFill>
              <w14:schemeClr w14:val="tx1"/>
            </w14:solidFill>
          </w14:textFill>
        </w:rPr>
        <w:t>，本项目为南冲风电场送出线路工程</w:t>
      </w:r>
      <w:r>
        <w:rPr>
          <w:snapToGrid w:val="0"/>
          <w:color w:val="000000" w:themeColor="text1"/>
          <w:kern w:val="0"/>
          <w:sz w:val="24"/>
          <w14:textFill>
            <w14:solidFill>
              <w14:schemeClr w14:val="tx1"/>
            </w14:solidFill>
          </w14:textFill>
        </w:rPr>
        <w:t>。根据《建设项目环境影响评价分类管理名录（2021年版）》，项目</w:t>
      </w:r>
      <w:r>
        <w:rPr>
          <w:rFonts w:hint="eastAsia"/>
          <w:snapToGrid w:val="0"/>
          <w:color w:val="000000" w:themeColor="text1"/>
          <w:kern w:val="0"/>
          <w:sz w:val="24"/>
          <w14:textFill>
            <w14:solidFill>
              <w14:schemeClr w14:val="tx1"/>
            </w14:solidFill>
          </w14:textFill>
        </w:rPr>
        <w:t>不涉及变电工程建设，属输电线路工程项目</w:t>
      </w:r>
      <w:r>
        <w:rPr>
          <w:snapToGrid w:val="0"/>
          <w:color w:val="000000" w:themeColor="text1"/>
          <w:kern w:val="0"/>
          <w:sz w:val="24"/>
          <w14:textFill>
            <w14:solidFill>
              <w14:schemeClr w14:val="tx1"/>
            </w14:solidFill>
          </w14:textFill>
        </w:rPr>
        <w:t>，</w:t>
      </w:r>
      <w:r>
        <w:rPr>
          <w:rFonts w:hint="eastAsia"/>
          <w:snapToGrid w:val="0"/>
          <w:color w:val="000000" w:themeColor="text1"/>
          <w:kern w:val="0"/>
          <w:sz w:val="24"/>
          <w14:textFill>
            <w14:solidFill>
              <w14:schemeClr w14:val="tx1"/>
            </w14:solidFill>
          </w14:textFill>
        </w:rPr>
        <w:t>电压等级为110kV</w:t>
      </w:r>
      <w:r>
        <w:rPr>
          <w:snapToGrid w:val="0"/>
          <w:color w:val="000000" w:themeColor="text1"/>
          <w:kern w:val="0"/>
          <w:sz w:val="24"/>
          <w14:textFill>
            <w14:solidFill>
              <w14:schemeClr w14:val="tx1"/>
            </w14:solidFill>
          </w14:textFill>
        </w:rPr>
        <w:t>，</w:t>
      </w:r>
      <w:r>
        <w:rPr>
          <w:rFonts w:hint="eastAsia"/>
          <w:snapToGrid w:val="0"/>
          <w:color w:val="000000" w:themeColor="text1"/>
          <w:kern w:val="0"/>
          <w:sz w:val="24"/>
          <w14:textFill>
            <w14:solidFill>
              <w14:schemeClr w14:val="tx1"/>
            </w14:solidFill>
          </w14:textFill>
        </w:rPr>
        <w:t>需</w:t>
      </w:r>
      <w:r>
        <w:rPr>
          <w:snapToGrid w:val="0"/>
          <w:color w:val="000000" w:themeColor="text1"/>
          <w:kern w:val="0"/>
          <w:sz w:val="24"/>
          <w14:textFill>
            <w14:solidFill>
              <w14:schemeClr w14:val="tx1"/>
            </w14:solidFill>
          </w14:textFill>
        </w:rPr>
        <w:t>编制</w:t>
      </w:r>
      <w:r>
        <w:rPr>
          <w:rFonts w:hint="eastAsia"/>
          <w:snapToGrid w:val="0"/>
          <w:color w:val="000000" w:themeColor="text1"/>
          <w:kern w:val="0"/>
          <w:sz w:val="24"/>
          <w14:textFill>
            <w14:solidFill>
              <w14:schemeClr w14:val="tx1"/>
            </w14:solidFill>
          </w14:textFill>
        </w:rPr>
        <w:t>环境影响</w:t>
      </w:r>
      <w:r>
        <w:rPr>
          <w:snapToGrid w:val="0"/>
          <w:color w:val="000000" w:themeColor="text1"/>
          <w:kern w:val="0"/>
          <w:sz w:val="24"/>
          <w14:textFill>
            <w14:solidFill>
              <w14:schemeClr w14:val="tx1"/>
            </w14:solidFill>
          </w14:textFill>
        </w:rPr>
        <w:t>报告表。2025年10月5日，富源云能新能源有限公司委托中国电建集团昆明勘测设计研究院有限公司编制《</w:t>
      </w:r>
      <w:r>
        <w:rPr>
          <w:rFonts w:hint="eastAsia"/>
          <w:snapToGrid w:val="0"/>
          <w:color w:val="000000" w:themeColor="text1"/>
          <w:kern w:val="0"/>
          <w:sz w:val="24"/>
          <w14:textFill>
            <w14:solidFill>
              <w14:schemeClr w14:val="tx1"/>
            </w14:solidFill>
          </w14:textFill>
        </w:rPr>
        <w:t>南冲风电场110 kV送出线路工程</w:t>
      </w:r>
      <w:r>
        <w:rPr>
          <w:snapToGrid w:val="0"/>
          <w:color w:val="000000" w:themeColor="text1"/>
          <w:kern w:val="0"/>
          <w:sz w:val="24"/>
          <w14:textFill>
            <w14:solidFill>
              <w14:schemeClr w14:val="tx1"/>
            </w14:solidFill>
          </w14:textFill>
        </w:rPr>
        <w:t>环境影响报告表》。</w:t>
      </w:r>
    </w:p>
    <w:p w14:paraId="366FF075">
      <w:pPr>
        <w:spacing w:line="360" w:lineRule="auto"/>
        <w:ind w:firstLine="482" w:firstLineChars="2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项目基本情况：</w:t>
      </w:r>
      <w:bookmarkStart w:id="8" w:name="_Hlk206934534"/>
      <w:r>
        <w:rPr>
          <w:rFonts w:hint="eastAsia"/>
          <w:snapToGrid w:val="0"/>
          <w:color w:val="000000" w:themeColor="text1"/>
          <w:kern w:val="0"/>
          <w:sz w:val="24"/>
          <w14:textFill>
            <w14:solidFill>
              <w14:schemeClr w14:val="tx1"/>
            </w14:solidFill>
          </w14:textFill>
        </w:rPr>
        <w:t>南冲风电场110kV送出线路工程</w:t>
      </w:r>
      <w:r>
        <w:rPr>
          <w:snapToGrid w:val="0"/>
          <w:color w:val="000000" w:themeColor="text1"/>
          <w:kern w:val="0"/>
          <w:sz w:val="24"/>
          <w14:textFill>
            <w14:solidFill>
              <w14:schemeClr w14:val="tx1"/>
            </w14:solidFill>
          </w14:textFill>
        </w:rPr>
        <w:t>（以下简称本项目）</w:t>
      </w:r>
      <w:bookmarkEnd w:id="8"/>
      <w:r>
        <w:rPr>
          <w:rFonts w:hint="eastAsia"/>
          <w:snapToGrid w:val="0"/>
          <w:color w:val="000000" w:themeColor="text1"/>
          <w:kern w:val="0"/>
          <w:sz w:val="24"/>
          <w14:textFill>
            <w14:solidFill>
              <w14:schemeClr w14:val="tx1"/>
            </w14:solidFill>
          </w14:textFill>
        </w:rPr>
        <w:t>位于曲靖市富源县境内，线路从南冲风电场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线路全长约4.851km，线路曲折系数1.1，架空线路使用铁塔23基（其中直线塔8基，占34.8%，耐张塔15基，占65.2%）。根据《云南电网有限责任公司关于曲靖市富源县南冲风电场接入系统方案的意见》（云电规划〔2025〕549号）批复意见，</w:t>
      </w:r>
      <w:r>
        <w:rPr>
          <w:rFonts w:hint="eastAsia"/>
          <w:snapToGrid w:val="0"/>
          <w:color w:val="000000"/>
          <w:kern w:val="0"/>
          <w:sz w:val="24"/>
        </w:rPr>
        <w:t>本项目原路径长度约17.22km。经深化设计及现场踏勘论证，方案经合理优化后，新建路径为4.851km，目前，对应接入系统批复变更文件正在办理过程中</w:t>
      </w:r>
      <w:r>
        <w:rPr>
          <w:rFonts w:hint="eastAsia"/>
          <w:snapToGrid w:val="0"/>
          <w:color w:val="000000" w:themeColor="text1"/>
          <w:kern w:val="0"/>
          <w:sz w:val="24"/>
          <w14:textFill>
            <w14:solidFill>
              <w14:schemeClr w14:val="tx1"/>
            </w14:solidFill>
          </w14:textFill>
        </w:rPr>
        <w:t>。</w:t>
      </w:r>
      <w:r>
        <w:rPr>
          <w:snapToGrid w:val="0"/>
          <w:color w:val="000000" w:themeColor="text1"/>
          <w:kern w:val="0"/>
          <w:sz w:val="24"/>
          <w14:textFill>
            <w14:solidFill>
              <w14:schemeClr w14:val="tx1"/>
            </w14:solidFill>
          </w14:textFill>
        </w:rPr>
        <w:t>项目性质为：</w:t>
      </w:r>
      <w:r>
        <w:rPr>
          <w:b/>
          <w:bCs/>
          <w:snapToGrid w:val="0"/>
          <w:color w:val="000000" w:themeColor="text1"/>
          <w:kern w:val="0"/>
          <w:sz w:val="24"/>
          <w14:textFill>
            <w14:solidFill>
              <w14:schemeClr w14:val="tx1"/>
            </w14:solidFill>
          </w14:textFill>
        </w:rPr>
        <w:t>新建</w:t>
      </w:r>
      <w:r>
        <w:rPr>
          <w:snapToGrid w:val="0"/>
          <w:color w:val="000000" w:themeColor="text1"/>
          <w:kern w:val="0"/>
          <w:sz w:val="24"/>
          <w14:textFill>
            <w14:solidFill>
              <w14:schemeClr w14:val="tx1"/>
            </w14:solidFill>
          </w14:textFill>
        </w:rPr>
        <w:t>。</w:t>
      </w:r>
    </w:p>
    <w:p w14:paraId="376D1682">
      <w:pPr>
        <w:spacing w:line="360" w:lineRule="auto"/>
        <w:ind w:firstLine="482" w:firstLineChars="2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项目敏感性因素分析：</w:t>
      </w:r>
      <w:r>
        <w:rPr>
          <w:snapToGrid w:val="0"/>
          <w:color w:val="000000" w:themeColor="text1"/>
          <w:kern w:val="0"/>
          <w:sz w:val="24"/>
          <w14:textFill>
            <w14:solidFill>
              <w14:schemeClr w14:val="tx1"/>
            </w14:solidFill>
          </w14:textFill>
        </w:rPr>
        <w:t>项目不</w:t>
      </w:r>
      <w:r>
        <w:rPr>
          <w:rFonts w:hint="eastAsia"/>
          <w:snapToGrid w:val="0"/>
          <w:color w:val="000000" w:themeColor="text1"/>
          <w:kern w:val="0"/>
          <w:sz w:val="24"/>
          <w14:textFill>
            <w14:solidFill>
              <w14:schemeClr w14:val="tx1"/>
            </w14:solidFill>
          </w14:textFill>
        </w:rPr>
        <w:t>跨越</w:t>
      </w:r>
      <w:r>
        <w:rPr>
          <w:snapToGrid w:val="0"/>
          <w:color w:val="000000" w:themeColor="text1"/>
          <w:kern w:val="0"/>
          <w:sz w:val="24"/>
          <w14:textFill>
            <w14:solidFill>
              <w14:schemeClr w14:val="tx1"/>
            </w14:solidFill>
          </w14:textFill>
        </w:rPr>
        <w:t>自然保护区、风景名胜区、集中式饮用水源保护区、基本草原</w:t>
      </w:r>
      <w:r>
        <w:rPr>
          <w:rFonts w:hint="eastAsia"/>
          <w:snapToGrid w:val="0"/>
          <w:color w:val="000000" w:themeColor="text1"/>
          <w:kern w:val="0"/>
          <w:sz w:val="24"/>
          <w14:textFill>
            <w14:solidFill>
              <w14:schemeClr w14:val="tx1"/>
            </w14:solidFill>
          </w14:textFill>
        </w:rPr>
        <w:t>、生态保护红线</w:t>
      </w:r>
      <w:r>
        <w:rPr>
          <w:snapToGrid w:val="0"/>
          <w:color w:val="000000" w:themeColor="text1"/>
          <w:kern w:val="0"/>
          <w:sz w:val="24"/>
          <w14:textFill>
            <w14:solidFill>
              <w14:schemeClr w14:val="tx1"/>
            </w14:solidFill>
          </w14:textFill>
        </w:rPr>
        <w:t>等各类环境敏感区，不涉及占用永久基本农田</w:t>
      </w:r>
      <w:r>
        <w:rPr>
          <w:rFonts w:hint="eastAsia"/>
          <w:bCs/>
          <w:sz w:val="24"/>
          <w:szCs w:val="24"/>
        </w:rPr>
        <w:t>、国家级和省级公益林</w:t>
      </w:r>
      <w:r>
        <w:rPr>
          <w:snapToGrid w:val="0"/>
          <w:color w:val="000000" w:themeColor="text1"/>
          <w:kern w:val="0"/>
          <w:sz w:val="24"/>
          <w14:textFill>
            <w14:solidFill>
              <w14:schemeClr w14:val="tx1"/>
            </w14:solidFill>
          </w14:textFill>
        </w:rPr>
        <w:t>。项目已取得富源县自然资源局、林业和草原局、水利局及</w:t>
      </w:r>
      <w:r>
        <w:rPr>
          <w:rFonts w:hint="eastAsia"/>
          <w:snapToGrid w:val="0"/>
          <w:color w:val="000000" w:themeColor="text1"/>
          <w:kern w:val="0"/>
          <w:sz w:val="24"/>
          <w14:textFill>
            <w14:solidFill>
              <w14:schemeClr w14:val="tx1"/>
            </w14:solidFill>
          </w14:textFill>
        </w:rPr>
        <w:t>曲靖</w:t>
      </w:r>
      <w:r>
        <w:rPr>
          <w:snapToGrid w:val="0"/>
          <w:color w:val="000000" w:themeColor="text1"/>
          <w:kern w:val="0"/>
          <w:sz w:val="24"/>
          <w14:textFill>
            <w14:solidFill>
              <w14:schemeClr w14:val="tx1"/>
            </w14:solidFill>
          </w14:textFill>
        </w:rPr>
        <w:t>市生态环境局富源分局等</w:t>
      </w:r>
      <w:r>
        <w:rPr>
          <w:rFonts w:hint="eastAsia"/>
          <w:snapToGrid w:val="0"/>
          <w:color w:val="000000" w:themeColor="text1"/>
          <w:kern w:val="0"/>
          <w:sz w:val="24"/>
          <w14:textFill>
            <w14:solidFill>
              <w14:schemeClr w14:val="tx1"/>
            </w14:solidFill>
          </w14:textFill>
        </w:rPr>
        <w:t>相关部门</w:t>
      </w:r>
      <w:r>
        <w:rPr>
          <w:snapToGrid w:val="0"/>
          <w:color w:val="000000" w:themeColor="text1"/>
          <w:kern w:val="0"/>
          <w:sz w:val="24"/>
          <w14:textFill>
            <w14:solidFill>
              <w14:schemeClr w14:val="tx1"/>
            </w14:solidFill>
          </w14:textFill>
        </w:rPr>
        <w:t>关于项目的选址意见，均同意项目的</w:t>
      </w:r>
      <w:r>
        <w:rPr>
          <w:rFonts w:hint="eastAsia"/>
          <w:snapToGrid w:val="0"/>
          <w:color w:val="000000" w:themeColor="text1"/>
          <w:kern w:val="0"/>
          <w:sz w:val="24"/>
          <w14:textFill>
            <w14:solidFill>
              <w14:schemeClr w14:val="tx1"/>
            </w14:solidFill>
          </w14:textFill>
        </w:rPr>
        <w:t>路径</w:t>
      </w:r>
      <w:r>
        <w:rPr>
          <w:snapToGrid w:val="0"/>
          <w:color w:val="000000" w:themeColor="text1"/>
          <w:kern w:val="0"/>
          <w:sz w:val="24"/>
          <w14:textFill>
            <w14:solidFill>
              <w14:schemeClr w14:val="tx1"/>
            </w14:solidFill>
          </w14:textFill>
        </w:rPr>
        <w:t>方案。</w:t>
      </w:r>
    </w:p>
    <w:p w14:paraId="6F0541FB">
      <w:pPr>
        <w:spacing w:line="360" w:lineRule="auto"/>
        <w:ind w:firstLine="482" w:firstLineChars="2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环评开展情况：</w:t>
      </w:r>
      <w:r>
        <w:rPr>
          <w:snapToGrid w:val="0"/>
          <w:color w:val="000000" w:themeColor="text1"/>
          <w:kern w:val="0"/>
          <w:sz w:val="24"/>
          <w14:textFill>
            <w14:solidFill>
              <w14:schemeClr w14:val="tx1"/>
            </w14:solidFill>
          </w14:textFill>
        </w:rPr>
        <w:t>2025年10月5日，我公司接受建设单位委托后，立即开展了本项目环评报告的编制工作。项目组成员于2025年10月21~23日、2026年2月26日~28日对项目区域进行了现场调查</w:t>
      </w:r>
      <w:r>
        <w:rPr>
          <w:rFonts w:hint="eastAsia"/>
          <w:snapToGrid w:val="0"/>
          <w:color w:val="000000" w:themeColor="text1"/>
          <w:kern w:val="0"/>
          <w:sz w:val="24"/>
          <w14:textFill>
            <w14:solidFill>
              <w14:schemeClr w14:val="tx1"/>
            </w14:solidFill>
          </w14:textFill>
        </w:rPr>
        <w:t>（包括陆生生态调查），</w:t>
      </w:r>
      <w:r>
        <w:rPr>
          <w:snapToGrid w:val="0"/>
          <w:color w:val="000000" w:themeColor="text1"/>
          <w:kern w:val="0"/>
          <w:sz w:val="24"/>
          <w14:textFill>
            <w14:solidFill>
              <w14:schemeClr w14:val="tx1"/>
            </w14:solidFill>
          </w14:textFill>
        </w:rPr>
        <w:t>并委托云南科环环境工程咨询有限公司于</w:t>
      </w:r>
      <w:r>
        <w:rPr>
          <w:color w:val="000000" w:themeColor="text1"/>
          <w:sz w:val="24"/>
          <w14:textFill>
            <w14:solidFill>
              <w14:schemeClr w14:val="tx1"/>
            </w14:solidFill>
          </w14:textFill>
        </w:rPr>
        <w:t>2025年11月20日~11月22日对项目区域环境现状进行了监测</w:t>
      </w:r>
      <w:r>
        <w:rPr>
          <w:rFonts w:hint="eastAsia"/>
          <w:color w:val="000000" w:themeColor="text1"/>
          <w:sz w:val="24"/>
          <w14:textFill>
            <w14:solidFill>
              <w14:schemeClr w14:val="tx1"/>
            </w14:solidFill>
          </w14:textFill>
        </w:rPr>
        <w:t>，后因本项目升压站选址发生改变，因此我公司</w:t>
      </w:r>
      <w:r>
        <w:rPr>
          <w:snapToGrid w:val="0"/>
          <w:color w:val="000000" w:themeColor="text1"/>
          <w:kern w:val="0"/>
          <w:sz w:val="24"/>
          <w14:textFill>
            <w14:solidFill>
              <w14:schemeClr w14:val="tx1"/>
            </w14:solidFill>
          </w14:textFill>
        </w:rPr>
        <w:t>委托云南科环环境工程咨询有限公司</w:t>
      </w:r>
      <w:r>
        <w:rPr>
          <w:rFonts w:hint="eastAsia"/>
          <w:snapToGrid w:val="0"/>
          <w:color w:val="000000" w:themeColor="text1"/>
          <w:kern w:val="0"/>
          <w:sz w:val="24"/>
          <w14:textFill>
            <w14:solidFill>
              <w14:schemeClr w14:val="tx1"/>
            </w14:solidFill>
          </w14:textFill>
        </w:rPr>
        <w:t>于</w:t>
      </w:r>
      <w:r>
        <w:rPr>
          <w:snapToGrid w:val="0"/>
          <w:color w:val="000000" w:themeColor="text1"/>
          <w:kern w:val="0"/>
          <w:sz w:val="24"/>
          <w14:textFill>
            <w14:solidFill>
              <w14:schemeClr w14:val="tx1"/>
            </w14:solidFill>
          </w14:textFill>
        </w:rPr>
        <w:t>2026年3月11日~12日</w:t>
      </w:r>
      <w:r>
        <w:rPr>
          <w:rFonts w:hint="eastAsia"/>
          <w:snapToGrid w:val="0"/>
          <w:color w:val="000000" w:themeColor="text1"/>
          <w:kern w:val="0"/>
          <w:sz w:val="24"/>
          <w14:textFill>
            <w14:solidFill>
              <w14:schemeClr w14:val="tx1"/>
            </w14:solidFill>
          </w14:textFill>
        </w:rPr>
        <w:t>对新的升压站选址进行了环境现状补充监测，</w:t>
      </w:r>
      <w:r>
        <w:rPr>
          <w:rFonts w:hint="eastAsia"/>
          <w:color w:val="000000"/>
          <w:sz w:val="24"/>
        </w:rPr>
        <w:t>在上述工作基础上</w:t>
      </w:r>
      <w:r>
        <w:rPr>
          <w:color w:val="000000"/>
          <w:sz w:val="24"/>
        </w:rPr>
        <w:t>编制完成</w:t>
      </w:r>
      <w:r>
        <w:rPr>
          <w:rFonts w:hint="eastAsia"/>
          <w:color w:val="000000"/>
          <w:sz w:val="24"/>
        </w:rPr>
        <w:t>《南冲风电场110kV送出线路工程</w:t>
      </w:r>
      <w:r>
        <w:rPr>
          <w:color w:val="000000"/>
          <w:sz w:val="24"/>
        </w:rPr>
        <w:t>环境影响</w:t>
      </w:r>
      <w:r>
        <w:rPr>
          <w:rFonts w:hint="eastAsia"/>
          <w:color w:val="000000"/>
          <w:sz w:val="24"/>
        </w:rPr>
        <w:t>报告表</w:t>
      </w:r>
      <w:r>
        <w:rPr>
          <w:color w:val="000000"/>
          <w:sz w:val="24"/>
        </w:rPr>
        <w:t>》</w:t>
      </w:r>
      <w:r>
        <w:rPr>
          <w:rFonts w:hint="eastAsia"/>
          <w:color w:val="000000"/>
          <w:sz w:val="24"/>
        </w:rPr>
        <w:t>报</w:t>
      </w:r>
      <w:r>
        <w:rPr>
          <w:color w:val="000000"/>
          <w:sz w:val="24"/>
        </w:rPr>
        <w:t>送曲靖市生态环境局进行审查</w:t>
      </w:r>
      <w:r>
        <w:rPr>
          <w:color w:val="000000" w:themeColor="text1"/>
          <w:sz w:val="24"/>
          <w14:textFill>
            <w14:solidFill>
              <w14:schemeClr w14:val="tx1"/>
            </w14:solidFill>
          </w14:textFill>
        </w:rPr>
        <w:t>。</w:t>
      </w:r>
    </w:p>
    <w:p w14:paraId="37C12256">
      <w:pPr>
        <w:spacing w:line="360" w:lineRule="auto"/>
        <w:ind w:firstLine="482" w:firstLineChars="2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项目前期工作：</w:t>
      </w:r>
      <w:r>
        <w:rPr>
          <w:snapToGrid w:val="0"/>
          <w:color w:val="000000" w:themeColor="text1"/>
          <w:kern w:val="0"/>
          <w:sz w:val="24"/>
          <w14:textFill>
            <w14:solidFill>
              <w14:schemeClr w14:val="tx1"/>
            </w14:solidFill>
          </w14:textFill>
        </w:rPr>
        <w:t>2026年3月，项目可行性研究报告由</w:t>
      </w:r>
      <w:r>
        <w:rPr>
          <w:rFonts w:hint="eastAsia"/>
          <w:snapToGrid w:val="0"/>
          <w:color w:val="000000" w:themeColor="text1"/>
          <w:kern w:val="0"/>
          <w:sz w:val="24"/>
          <w14:textFill>
            <w14:solidFill>
              <w14:schemeClr w14:val="tx1"/>
            </w14:solidFill>
          </w14:textFill>
        </w:rPr>
        <w:t>中国能源建设集团云南省电力设计院有限公司</w:t>
      </w:r>
      <w:r>
        <w:rPr>
          <w:snapToGrid w:val="0"/>
          <w:color w:val="000000" w:themeColor="text1"/>
          <w:kern w:val="0"/>
          <w:sz w:val="24"/>
          <w14:textFill>
            <w14:solidFill>
              <w14:schemeClr w14:val="tx1"/>
            </w14:solidFill>
          </w14:textFill>
        </w:rPr>
        <w:t>编制完成。</w:t>
      </w:r>
      <w:r>
        <w:rPr>
          <w:rFonts w:hint="eastAsia"/>
          <w:snapToGrid w:val="0"/>
          <w:color w:val="000000" w:themeColor="text1"/>
          <w:kern w:val="0"/>
          <w:sz w:val="24"/>
          <w14:textFill>
            <w14:solidFill>
              <w14:schemeClr w14:val="tx1"/>
            </w14:solidFill>
          </w14:textFill>
        </w:rPr>
        <w:t>2</w:t>
      </w:r>
      <w:r>
        <w:rPr>
          <w:snapToGrid w:val="0"/>
          <w:color w:val="000000" w:themeColor="text1"/>
          <w:kern w:val="0"/>
          <w:sz w:val="24"/>
          <w14:textFill>
            <w14:solidFill>
              <w14:schemeClr w14:val="tx1"/>
            </w14:solidFill>
          </w14:textFill>
        </w:rPr>
        <w:t>026</w:t>
      </w:r>
      <w:r>
        <w:rPr>
          <w:rFonts w:hint="eastAsia"/>
          <w:snapToGrid w:val="0"/>
          <w:color w:val="000000" w:themeColor="text1"/>
          <w:kern w:val="0"/>
          <w:sz w:val="24"/>
          <w14:textFill>
            <w14:solidFill>
              <w14:schemeClr w14:val="tx1"/>
            </w14:solidFill>
          </w14:textFill>
        </w:rPr>
        <w:t>年7月8日，本项目取得曲靖市发展和改革委员会下发的《曲靖市发展和改革委员会关于南冲风电场110kV送出线路工程核准的批复》（曲发改基础〔2026〕19号）。</w:t>
      </w:r>
      <w:r>
        <w:rPr>
          <w:snapToGrid w:val="0"/>
          <w:color w:val="000000" w:themeColor="text1"/>
          <w:kern w:val="0"/>
          <w:sz w:val="24"/>
          <w14:textFill>
            <w14:solidFill>
              <w14:schemeClr w14:val="tx1"/>
            </w14:solidFill>
          </w14:textFill>
        </w:rPr>
        <w:t>目前，</w:t>
      </w:r>
      <w:r>
        <w:rPr>
          <w:rFonts w:hint="eastAsia"/>
          <w:snapToGrid w:val="0"/>
          <w:color w:val="000000" w:themeColor="text1"/>
          <w:kern w:val="0"/>
          <w:sz w:val="24"/>
          <w14:textFill>
            <w14:solidFill>
              <w14:schemeClr w14:val="tx1"/>
            </w14:solidFill>
          </w14:textFill>
        </w:rPr>
        <w:t>项目</w:t>
      </w:r>
      <w:r>
        <w:rPr>
          <w:snapToGrid w:val="0"/>
          <w:color w:val="000000" w:themeColor="text1"/>
          <w:kern w:val="0"/>
          <w:sz w:val="24"/>
          <w14:textFill>
            <w14:solidFill>
              <w14:schemeClr w14:val="tx1"/>
            </w14:solidFill>
          </w14:textFill>
        </w:rPr>
        <w:t>水土保持方案报告书、地质灾害报告、林业调查等相关专题报告正在办理过程中。</w:t>
      </w:r>
    </w:p>
    <w:p w14:paraId="074F034E">
      <w:pPr>
        <w:spacing w:line="360" w:lineRule="auto"/>
        <w:ind w:firstLine="482" w:firstLineChars="200"/>
        <w:rPr>
          <w:snapToGrid w:val="0"/>
          <w:color w:val="000000" w:themeColor="text1"/>
          <w:kern w:val="0"/>
          <w:sz w:val="24"/>
          <w14:textFill>
            <w14:solidFill>
              <w14:schemeClr w14:val="tx1"/>
            </w14:solidFill>
          </w14:textFill>
        </w:rPr>
      </w:pPr>
      <w:r>
        <w:rPr>
          <w:b/>
          <w:bCs/>
          <w:snapToGrid w:val="0"/>
          <w:color w:val="000000" w:themeColor="text1"/>
          <w:kern w:val="0"/>
          <w:sz w:val="24"/>
          <w14:textFill>
            <w14:solidFill>
              <w14:schemeClr w14:val="tx1"/>
            </w14:solidFill>
          </w14:textFill>
        </w:rPr>
        <w:t>项目开工和投诉情况：</w:t>
      </w:r>
      <w:r>
        <w:rPr>
          <w:snapToGrid w:val="0"/>
          <w:color w:val="000000" w:themeColor="text1"/>
          <w:kern w:val="0"/>
          <w:sz w:val="24"/>
          <w14:textFill>
            <w14:solidFill>
              <w14:schemeClr w14:val="tx1"/>
            </w14:solidFill>
          </w14:textFill>
        </w:rPr>
        <w:t>本项目尚未开工建设，未收到有关信访投诉。</w:t>
      </w:r>
    </w:p>
    <w:p w14:paraId="2B5DD4A1">
      <w:pPr>
        <w:spacing w:line="360" w:lineRule="auto"/>
        <w:jc w:val="center"/>
        <w:rPr>
          <w:b/>
          <w:bCs/>
          <w:sz w:val="30"/>
          <w:szCs w:val="30"/>
          <w:lang w:val="zh-CN"/>
        </w:rPr>
        <w:sectPr>
          <w:footerReference r:id="rId7" w:type="default"/>
          <w:pgSz w:w="11907" w:h="16840"/>
          <w:pgMar w:top="1418" w:right="1474" w:bottom="1440" w:left="1701" w:header="851" w:footer="992" w:gutter="0"/>
          <w:pgNumType w:fmt="lowerRoman" w:start="1"/>
          <w:cols w:space="720" w:num="1"/>
          <w:docGrid w:type="lines" w:linePitch="312" w:charSpace="0"/>
        </w:sectPr>
      </w:pPr>
    </w:p>
    <w:p w14:paraId="689B042F">
      <w:pPr>
        <w:spacing w:line="360" w:lineRule="auto"/>
        <w:jc w:val="center"/>
      </w:pPr>
      <w:r>
        <w:rPr>
          <w:b/>
          <w:bCs/>
          <w:sz w:val="30"/>
          <w:szCs w:val="30"/>
          <w:lang w:val="zh-CN"/>
        </w:rPr>
        <w:t>目</w:t>
      </w:r>
      <w:r>
        <w:rPr>
          <w:b/>
          <w:bCs/>
          <w:sz w:val="30"/>
          <w:szCs w:val="30"/>
        </w:rPr>
        <w:t xml:space="preserve">  </w:t>
      </w:r>
      <w:r>
        <w:rPr>
          <w:b/>
          <w:bCs/>
          <w:sz w:val="30"/>
          <w:szCs w:val="30"/>
          <w:lang w:val="zh-CN"/>
        </w:rPr>
        <w:t>录</w:t>
      </w:r>
      <w:bookmarkEnd w:id="5"/>
      <w:r>
        <w:rPr>
          <w:b/>
          <w:bCs/>
          <w:sz w:val="30"/>
          <w:szCs w:val="30"/>
          <w:lang w:val="zh-CN"/>
        </w:rPr>
        <w:fldChar w:fldCharType="begin"/>
      </w:r>
      <w:r>
        <w:rPr>
          <w:b/>
          <w:bCs/>
          <w:sz w:val="30"/>
          <w:szCs w:val="30"/>
          <w:lang w:val="zh-CN"/>
        </w:rPr>
        <w:instrText xml:space="preserve"> TOC \o "1-1" \u </w:instrText>
      </w:r>
      <w:r>
        <w:rPr>
          <w:b/>
          <w:bCs/>
          <w:sz w:val="30"/>
          <w:szCs w:val="30"/>
          <w:lang w:val="zh-CN"/>
        </w:rPr>
        <w:fldChar w:fldCharType="separate"/>
      </w:r>
    </w:p>
    <w:p w14:paraId="36016650">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一、 建设项目基本情况</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_Toc225952988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1</w:t>
      </w:r>
      <w:r>
        <w:rPr>
          <w:rFonts w:eastAsia="黑体"/>
          <w:snapToGrid w:val="0"/>
          <w:color w:val="000000" w:themeColor="text1"/>
          <w:sz w:val="24"/>
          <w:szCs w:val="24"/>
          <w14:textFill>
            <w14:solidFill>
              <w14:schemeClr w14:val="tx1"/>
            </w14:solidFill>
          </w14:textFill>
        </w:rPr>
        <w:fldChar w:fldCharType="end"/>
      </w:r>
    </w:p>
    <w:p w14:paraId="6EBED7F0">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二、建设内容</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_Toc225952989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22</w:t>
      </w:r>
      <w:r>
        <w:rPr>
          <w:rFonts w:eastAsia="黑体"/>
          <w:snapToGrid w:val="0"/>
          <w:color w:val="000000" w:themeColor="text1"/>
          <w:sz w:val="24"/>
          <w:szCs w:val="24"/>
          <w14:textFill>
            <w14:solidFill>
              <w14:schemeClr w14:val="tx1"/>
            </w14:solidFill>
          </w14:textFill>
        </w:rPr>
        <w:fldChar w:fldCharType="end"/>
      </w:r>
    </w:p>
    <w:p w14:paraId="2A6EF9F7">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三、生态环境现状、保护目标及评价标准</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_Toc225952990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42</w:t>
      </w:r>
      <w:r>
        <w:rPr>
          <w:rFonts w:eastAsia="黑体"/>
          <w:snapToGrid w:val="0"/>
          <w:color w:val="000000" w:themeColor="text1"/>
          <w:sz w:val="24"/>
          <w:szCs w:val="24"/>
          <w14:textFill>
            <w14:solidFill>
              <w14:schemeClr w14:val="tx1"/>
            </w14:solidFill>
          </w14:textFill>
        </w:rPr>
        <w:fldChar w:fldCharType="end"/>
      </w:r>
    </w:p>
    <w:p w14:paraId="7E78423B">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四、生态环境影响分析</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_Toc225952991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60</w:t>
      </w:r>
      <w:r>
        <w:rPr>
          <w:rFonts w:eastAsia="黑体"/>
          <w:snapToGrid w:val="0"/>
          <w:color w:val="000000" w:themeColor="text1"/>
          <w:sz w:val="24"/>
          <w:szCs w:val="24"/>
          <w14:textFill>
            <w14:solidFill>
              <w14:schemeClr w14:val="tx1"/>
            </w14:solidFill>
          </w14:textFill>
        </w:rPr>
        <w:fldChar w:fldCharType="end"/>
      </w:r>
    </w:p>
    <w:p w14:paraId="6691D8E7">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五、主要生态环境保护措施</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_Toc225952992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76</w:t>
      </w:r>
      <w:r>
        <w:rPr>
          <w:rFonts w:eastAsia="黑体"/>
          <w:snapToGrid w:val="0"/>
          <w:color w:val="000000" w:themeColor="text1"/>
          <w:sz w:val="24"/>
          <w:szCs w:val="24"/>
          <w14:textFill>
            <w14:solidFill>
              <w14:schemeClr w14:val="tx1"/>
            </w14:solidFill>
          </w14:textFill>
        </w:rPr>
        <w:fldChar w:fldCharType="end"/>
      </w:r>
    </w:p>
    <w:p w14:paraId="043AFF59">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六、生态环境保护措施监督检查清单</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_Toc225952993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87</w:t>
      </w:r>
      <w:r>
        <w:rPr>
          <w:rFonts w:eastAsia="黑体"/>
          <w:snapToGrid w:val="0"/>
          <w:color w:val="000000" w:themeColor="text1"/>
          <w:sz w:val="24"/>
          <w:szCs w:val="24"/>
          <w14:textFill>
            <w14:solidFill>
              <w14:schemeClr w14:val="tx1"/>
            </w14:solidFill>
          </w14:textFill>
        </w:rPr>
        <w:fldChar w:fldCharType="end"/>
      </w:r>
    </w:p>
    <w:p w14:paraId="66629C3F">
      <w:pPr>
        <w:pStyle w:val="32"/>
        <w:tabs>
          <w:tab w:val="right" w:leader="dot" w:pos="8844"/>
        </w:tabs>
        <w:spacing w:line="360" w:lineRule="auto"/>
        <w:rPr>
          <w:rFonts w:eastAsia="黑体"/>
          <w:snapToGrid w:val="0"/>
          <w:color w:val="000000" w:themeColor="text1"/>
          <w:sz w:val="24"/>
          <w:szCs w:val="24"/>
          <w14:textFill>
            <w14:solidFill>
              <w14:schemeClr w14:val="tx1"/>
            </w14:solidFill>
          </w14:textFill>
        </w:rPr>
      </w:pPr>
      <w:r>
        <w:rPr>
          <w:rFonts w:eastAsia="黑体"/>
          <w:snapToGrid w:val="0"/>
          <w:color w:val="000000" w:themeColor="text1"/>
          <w:sz w:val="24"/>
          <w:szCs w:val="24"/>
          <w14:textFill>
            <w14:solidFill>
              <w14:schemeClr w14:val="tx1"/>
            </w14:solidFill>
          </w14:textFill>
        </w:rPr>
        <w:t>七、结论</w:t>
      </w:r>
      <w:r>
        <w:rPr>
          <w:rFonts w:eastAsia="黑体"/>
          <w:snapToGrid w:val="0"/>
          <w:color w:val="000000" w:themeColor="text1"/>
          <w:sz w:val="24"/>
          <w:szCs w:val="24"/>
          <w14:textFill>
            <w14:solidFill>
              <w14:schemeClr w14:val="tx1"/>
            </w14:solidFill>
          </w14:textFill>
        </w:rPr>
        <w:tab/>
      </w:r>
      <w:r>
        <w:rPr>
          <w:rFonts w:eastAsia="黑体"/>
          <w:snapToGrid w:val="0"/>
          <w:color w:val="000000" w:themeColor="text1"/>
          <w:sz w:val="24"/>
          <w:szCs w:val="24"/>
          <w14:textFill>
            <w14:solidFill>
              <w14:schemeClr w14:val="tx1"/>
            </w14:solidFill>
          </w14:textFill>
        </w:rPr>
        <w:fldChar w:fldCharType="begin"/>
      </w:r>
      <w:r>
        <w:rPr>
          <w:rFonts w:eastAsia="黑体"/>
          <w:snapToGrid w:val="0"/>
          <w:color w:val="000000" w:themeColor="text1"/>
          <w:sz w:val="24"/>
          <w:szCs w:val="24"/>
          <w14:textFill>
            <w14:solidFill>
              <w14:schemeClr w14:val="tx1"/>
            </w14:solidFill>
          </w14:textFill>
        </w:rPr>
        <w:instrText xml:space="preserve"> PAGEREF _Toc225952994 \h </w:instrText>
      </w:r>
      <w:r>
        <w:rPr>
          <w:rFonts w:eastAsia="黑体"/>
          <w:snapToGrid w:val="0"/>
          <w:color w:val="000000" w:themeColor="text1"/>
          <w:sz w:val="24"/>
          <w:szCs w:val="24"/>
          <w14:textFill>
            <w14:solidFill>
              <w14:schemeClr w14:val="tx1"/>
            </w14:solidFill>
          </w14:textFill>
        </w:rPr>
        <w:fldChar w:fldCharType="separate"/>
      </w:r>
      <w:r>
        <w:rPr>
          <w:rFonts w:eastAsia="黑体"/>
          <w:snapToGrid w:val="0"/>
          <w:color w:val="000000" w:themeColor="text1"/>
          <w:sz w:val="24"/>
          <w:szCs w:val="24"/>
          <w14:textFill>
            <w14:solidFill>
              <w14:schemeClr w14:val="tx1"/>
            </w14:solidFill>
          </w14:textFill>
        </w:rPr>
        <w:t>90</w:t>
      </w:r>
      <w:r>
        <w:rPr>
          <w:rFonts w:eastAsia="黑体"/>
          <w:snapToGrid w:val="0"/>
          <w:color w:val="000000" w:themeColor="text1"/>
          <w:sz w:val="24"/>
          <w:szCs w:val="24"/>
          <w14:textFill>
            <w14:solidFill>
              <w14:schemeClr w14:val="tx1"/>
            </w14:solidFill>
          </w14:textFill>
        </w:rPr>
        <w:fldChar w:fldCharType="end"/>
      </w:r>
    </w:p>
    <w:p w14:paraId="4D740322">
      <w:pPr>
        <w:pStyle w:val="39"/>
        <w:spacing w:line="360" w:lineRule="auto"/>
        <w:jc w:val="center"/>
        <w:rPr>
          <w:b/>
          <w:bCs/>
          <w:sz w:val="30"/>
          <w:szCs w:val="30"/>
          <w:lang w:val="zh-CN"/>
        </w:rPr>
      </w:pPr>
      <w:r>
        <w:rPr>
          <w:b/>
          <w:bCs/>
          <w:sz w:val="30"/>
          <w:szCs w:val="30"/>
          <w:lang w:val="zh-CN"/>
        </w:rPr>
        <w:fldChar w:fldCharType="end"/>
      </w:r>
      <w:bookmarkStart w:id="9" w:name="_Toc28937_WPSOffice_Level1"/>
      <w:bookmarkStart w:id="10" w:name="_Toc16551_WPSOffice_Level1"/>
      <w:bookmarkStart w:id="11" w:name="_Toc13981_WPSOffice_Level1"/>
      <w:bookmarkStart w:id="12" w:name="_Toc13446_WPSOffice_Level1"/>
      <w:bookmarkStart w:id="13" w:name="_Toc26239_WPSOffice_Level1"/>
    </w:p>
    <w:p w14:paraId="24B7C543">
      <w:pPr>
        <w:pStyle w:val="39"/>
        <w:spacing w:line="360" w:lineRule="auto"/>
        <w:jc w:val="center"/>
        <w:rPr>
          <w:rFonts w:ascii="Times New Roman" w:hAnsi="Times New Roman"/>
          <w:bCs/>
          <w:color w:val="000000" w:themeColor="text1"/>
          <w:sz w:val="28"/>
          <w:szCs w:val="28"/>
          <w:lang w:val="zh-CN"/>
          <w14:textFill>
            <w14:solidFill>
              <w14:schemeClr w14:val="tx1"/>
            </w14:solidFill>
          </w14:textFill>
        </w:rPr>
      </w:pPr>
      <w:r>
        <w:rPr>
          <w:rFonts w:ascii="Times New Roman" w:hAnsi="Times New Roman"/>
          <w:bCs/>
          <w:color w:val="000000" w:themeColor="text1"/>
          <w:sz w:val="28"/>
          <w:szCs w:val="28"/>
          <w:lang w:val="zh-CN"/>
          <w14:textFill>
            <w14:solidFill>
              <w14:schemeClr w14:val="tx1"/>
            </w14:solidFill>
          </w14:textFill>
        </w:rPr>
        <w:t>专  项</w:t>
      </w:r>
    </w:p>
    <w:p w14:paraId="391761FF">
      <w:pPr>
        <w:spacing w:line="360" w:lineRule="auto"/>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专项1：</w:t>
      </w:r>
      <w:r>
        <w:rPr>
          <w:color w:val="000000" w:themeColor="text1"/>
          <w:sz w:val="24"/>
          <w14:textFill>
            <w14:solidFill>
              <w14:schemeClr w14:val="tx1"/>
            </w14:solidFill>
          </w14:textFill>
        </w:rPr>
        <w:t>南冲风电场</w:t>
      </w: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10</w:t>
      </w:r>
      <w:r>
        <w:rPr>
          <w:rFonts w:hint="eastAsia"/>
          <w:color w:val="000000" w:themeColor="text1"/>
          <w:sz w:val="24"/>
          <w14:textFill>
            <w14:solidFill>
              <w14:schemeClr w14:val="tx1"/>
            </w14:solidFill>
          </w14:textFill>
        </w:rPr>
        <w:t>k</w:t>
      </w:r>
      <w:r>
        <w:rPr>
          <w:color w:val="000000" w:themeColor="text1"/>
          <w:sz w:val="24"/>
          <w14:textFill>
            <w14:solidFill>
              <w14:schemeClr w14:val="tx1"/>
            </w14:solidFill>
          </w14:textFill>
        </w:rPr>
        <w:t>V</w:t>
      </w:r>
      <w:r>
        <w:rPr>
          <w:rFonts w:hint="eastAsia"/>
          <w:color w:val="000000" w:themeColor="text1"/>
          <w:sz w:val="24"/>
          <w14:textFill>
            <w14:solidFill>
              <w14:schemeClr w14:val="tx1"/>
            </w14:solidFill>
          </w14:textFill>
        </w:rPr>
        <w:t>送出线路工程</w:t>
      </w:r>
      <w:r>
        <w:rPr>
          <w:color w:val="000000" w:themeColor="text1"/>
          <w:sz w:val="24"/>
          <w14:textFill>
            <w14:solidFill>
              <w14:schemeClr w14:val="tx1"/>
            </w14:solidFill>
          </w14:textFill>
        </w:rPr>
        <w:t>电磁环境影响</w:t>
      </w:r>
      <w:r>
        <w:rPr>
          <w:rFonts w:hint="eastAsia"/>
          <w:color w:val="000000" w:themeColor="text1"/>
          <w:sz w:val="24"/>
          <w14:textFill>
            <w14:solidFill>
              <w14:schemeClr w14:val="tx1"/>
            </w14:solidFill>
          </w14:textFill>
        </w:rPr>
        <w:t>专题</w:t>
      </w:r>
      <w:r>
        <w:rPr>
          <w:color w:val="000000" w:themeColor="text1"/>
          <w:sz w:val="24"/>
          <w14:textFill>
            <w14:solidFill>
              <w14:schemeClr w14:val="tx1"/>
            </w14:solidFill>
          </w14:textFill>
        </w:rPr>
        <w:t>评价</w:t>
      </w:r>
      <w:r>
        <w:rPr>
          <w:rFonts w:hint="eastAsia"/>
          <w:color w:val="000000" w:themeColor="text1"/>
          <w:sz w:val="24"/>
          <w14:textFill>
            <w14:solidFill>
              <w14:schemeClr w14:val="tx1"/>
            </w14:solidFill>
          </w14:textFill>
        </w:rPr>
        <w:t>报告</w:t>
      </w:r>
    </w:p>
    <w:bookmarkEnd w:id="9"/>
    <w:bookmarkEnd w:id="10"/>
    <w:bookmarkEnd w:id="11"/>
    <w:bookmarkEnd w:id="12"/>
    <w:bookmarkEnd w:id="13"/>
    <w:p w14:paraId="7246D486">
      <w:pPr>
        <w:spacing w:line="360" w:lineRule="auto"/>
        <w:jc w:val="center"/>
        <w:rPr>
          <w:b/>
          <w:bCs/>
          <w:sz w:val="30"/>
          <w:szCs w:val="30"/>
        </w:rPr>
      </w:pPr>
    </w:p>
    <w:p w14:paraId="1CB1D72A">
      <w:pPr>
        <w:spacing w:line="360" w:lineRule="auto"/>
        <w:jc w:val="center"/>
        <w:rPr>
          <w:b/>
          <w:bCs/>
          <w:lang w:val="zh-CN"/>
        </w:rPr>
      </w:pPr>
      <w:r>
        <w:fldChar w:fldCharType="begin"/>
      </w:r>
      <w:r>
        <w:instrText xml:space="preserve">TOC\o"1-3"\h\z\u</w:instrText>
      </w:r>
      <w:r>
        <w:fldChar w:fldCharType="separate"/>
      </w:r>
      <w:bookmarkEnd w:id="6"/>
      <w:bookmarkEnd w:id="7"/>
    </w:p>
    <w:p w14:paraId="6D98293E">
      <w:pPr>
        <w:pStyle w:val="32"/>
        <w:tabs>
          <w:tab w:val="right" w:leader="dot" w:pos="8732"/>
        </w:tabs>
        <w:spacing w:line="360" w:lineRule="auto"/>
        <w:rPr>
          <w:sz w:val="28"/>
          <w:szCs w:val="28"/>
        </w:rPr>
      </w:pPr>
      <w:r>
        <w:fldChar w:fldCharType="begin"/>
      </w:r>
      <w:r>
        <w:instrText xml:space="preserve"> HYPERLINK \l "_Toc135" </w:instrText>
      </w:r>
      <w:r>
        <w:fldChar w:fldCharType="separate"/>
      </w:r>
      <w:r>
        <w:rPr>
          <w:rFonts w:eastAsia="黑体"/>
          <w:snapToGrid w:val="0"/>
          <w:sz w:val="28"/>
          <w:szCs w:val="40"/>
        </w:rPr>
        <w:t>一、建设项目基本情况</w:t>
      </w:r>
      <w:r>
        <w:rPr>
          <w:sz w:val="28"/>
          <w:szCs w:val="28"/>
        </w:rPr>
        <w:tab/>
      </w:r>
      <w:r>
        <w:rPr>
          <w:sz w:val="28"/>
          <w:szCs w:val="28"/>
        </w:rPr>
        <w:fldChar w:fldCharType="begin"/>
      </w:r>
      <w:r>
        <w:rPr>
          <w:sz w:val="28"/>
          <w:szCs w:val="28"/>
        </w:rPr>
        <w:instrText xml:space="preserve"> PAGEREF _Toc135 \h </w:instrText>
      </w:r>
      <w:r>
        <w:rPr>
          <w:sz w:val="28"/>
          <w:szCs w:val="28"/>
        </w:rPr>
        <w:fldChar w:fldCharType="separate"/>
      </w:r>
      <w:r>
        <w:rPr>
          <w:sz w:val="28"/>
          <w:szCs w:val="28"/>
        </w:rPr>
        <w:t>1</w:t>
      </w:r>
      <w:r>
        <w:rPr>
          <w:sz w:val="28"/>
          <w:szCs w:val="28"/>
        </w:rPr>
        <w:fldChar w:fldCharType="end"/>
      </w:r>
      <w:r>
        <w:rPr>
          <w:sz w:val="28"/>
          <w:szCs w:val="28"/>
        </w:rPr>
        <w:fldChar w:fldCharType="end"/>
      </w:r>
    </w:p>
    <w:p w14:paraId="01731834">
      <w:pPr>
        <w:pStyle w:val="32"/>
        <w:tabs>
          <w:tab w:val="right" w:leader="dot" w:pos="8732"/>
        </w:tabs>
        <w:spacing w:line="360" w:lineRule="auto"/>
        <w:rPr>
          <w:sz w:val="28"/>
          <w:szCs w:val="28"/>
        </w:rPr>
      </w:pPr>
      <w:r>
        <w:fldChar w:fldCharType="begin"/>
      </w:r>
      <w:r>
        <w:instrText xml:space="preserve"> HYPERLINK \l "_Toc19799" </w:instrText>
      </w:r>
      <w:r>
        <w:fldChar w:fldCharType="separate"/>
      </w:r>
      <w:r>
        <w:rPr>
          <w:rFonts w:eastAsia="黑体"/>
          <w:snapToGrid w:val="0"/>
          <w:sz w:val="28"/>
          <w:szCs w:val="40"/>
        </w:rPr>
        <w:t>二、建设内容</w:t>
      </w:r>
      <w:r>
        <w:rPr>
          <w:sz w:val="28"/>
          <w:szCs w:val="28"/>
        </w:rPr>
        <w:tab/>
      </w:r>
      <w:r>
        <w:rPr>
          <w:sz w:val="28"/>
          <w:szCs w:val="28"/>
        </w:rPr>
        <w:fldChar w:fldCharType="begin"/>
      </w:r>
      <w:r>
        <w:rPr>
          <w:sz w:val="28"/>
          <w:szCs w:val="28"/>
        </w:rPr>
        <w:instrText xml:space="preserve"> PAGEREF _Toc19799 \h </w:instrText>
      </w:r>
      <w:r>
        <w:rPr>
          <w:sz w:val="28"/>
          <w:szCs w:val="28"/>
        </w:rPr>
        <w:fldChar w:fldCharType="separate"/>
      </w:r>
      <w:r>
        <w:rPr>
          <w:sz w:val="28"/>
          <w:szCs w:val="28"/>
        </w:rPr>
        <w:t>14</w:t>
      </w:r>
      <w:r>
        <w:rPr>
          <w:sz w:val="28"/>
          <w:szCs w:val="28"/>
        </w:rPr>
        <w:fldChar w:fldCharType="end"/>
      </w:r>
      <w:r>
        <w:rPr>
          <w:sz w:val="28"/>
          <w:szCs w:val="28"/>
        </w:rPr>
        <w:fldChar w:fldCharType="end"/>
      </w:r>
    </w:p>
    <w:p w14:paraId="37742CED">
      <w:pPr>
        <w:pStyle w:val="32"/>
        <w:tabs>
          <w:tab w:val="right" w:leader="dot" w:pos="8732"/>
        </w:tabs>
        <w:spacing w:line="360" w:lineRule="auto"/>
        <w:rPr>
          <w:sz w:val="28"/>
          <w:szCs w:val="28"/>
        </w:rPr>
      </w:pPr>
      <w:r>
        <w:fldChar w:fldCharType="begin"/>
      </w:r>
      <w:r>
        <w:instrText xml:space="preserve"> HYPERLINK \l "_Toc32554" </w:instrText>
      </w:r>
      <w:r>
        <w:fldChar w:fldCharType="separate"/>
      </w:r>
      <w:r>
        <w:rPr>
          <w:rFonts w:eastAsia="黑体"/>
          <w:snapToGrid w:val="0"/>
          <w:sz w:val="28"/>
          <w:szCs w:val="40"/>
        </w:rPr>
        <w:t>三、生态环境现状、保护目标及评价标准</w:t>
      </w:r>
      <w:r>
        <w:rPr>
          <w:sz w:val="28"/>
          <w:szCs w:val="28"/>
        </w:rPr>
        <w:tab/>
      </w:r>
      <w:r>
        <w:rPr>
          <w:sz w:val="28"/>
          <w:szCs w:val="28"/>
        </w:rPr>
        <w:fldChar w:fldCharType="begin"/>
      </w:r>
      <w:r>
        <w:rPr>
          <w:sz w:val="28"/>
          <w:szCs w:val="28"/>
        </w:rPr>
        <w:instrText xml:space="preserve"> PAGEREF _Toc32554 \h </w:instrText>
      </w:r>
      <w:r>
        <w:rPr>
          <w:sz w:val="28"/>
          <w:szCs w:val="28"/>
        </w:rPr>
        <w:fldChar w:fldCharType="separate"/>
      </w:r>
      <w:r>
        <w:rPr>
          <w:sz w:val="28"/>
          <w:szCs w:val="28"/>
        </w:rPr>
        <w:t>35</w:t>
      </w:r>
      <w:r>
        <w:rPr>
          <w:sz w:val="28"/>
          <w:szCs w:val="28"/>
        </w:rPr>
        <w:fldChar w:fldCharType="end"/>
      </w:r>
      <w:r>
        <w:rPr>
          <w:sz w:val="28"/>
          <w:szCs w:val="28"/>
        </w:rPr>
        <w:fldChar w:fldCharType="end"/>
      </w:r>
    </w:p>
    <w:p w14:paraId="7EEC561D">
      <w:pPr>
        <w:pStyle w:val="32"/>
        <w:tabs>
          <w:tab w:val="right" w:leader="dot" w:pos="8732"/>
        </w:tabs>
        <w:spacing w:line="360" w:lineRule="auto"/>
        <w:rPr>
          <w:sz w:val="28"/>
          <w:szCs w:val="28"/>
        </w:rPr>
      </w:pPr>
      <w:r>
        <w:fldChar w:fldCharType="begin"/>
      </w:r>
      <w:r>
        <w:instrText xml:space="preserve"> HYPERLINK \l "_Toc30554" </w:instrText>
      </w:r>
      <w:r>
        <w:fldChar w:fldCharType="separate"/>
      </w:r>
      <w:r>
        <w:rPr>
          <w:rFonts w:eastAsia="黑体"/>
          <w:snapToGrid w:val="0"/>
          <w:sz w:val="28"/>
          <w:szCs w:val="40"/>
        </w:rPr>
        <w:t>四、生态环境影响分析</w:t>
      </w:r>
      <w:r>
        <w:rPr>
          <w:sz w:val="28"/>
          <w:szCs w:val="28"/>
        </w:rPr>
        <w:tab/>
      </w:r>
      <w:r>
        <w:rPr>
          <w:sz w:val="28"/>
          <w:szCs w:val="28"/>
        </w:rPr>
        <w:fldChar w:fldCharType="begin"/>
      </w:r>
      <w:r>
        <w:rPr>
          <w:sz w:val="28"/>
          <w:szCs w:val="28"/>
        </w:rPr>
        <w:instrText xml:space="preserve"> PAGEREF _Toc30554 \h </w:instrText>
      </w:r>
      <w:r>
        <w:rPr>
          <w:sz w:val="28"/>
          <w:szCs w:val="28"/>
        </w:rPr>
        <w:fldChar w:fldCharType="separate"/>
      </w:r>
      <w:r>
        <w:rPr>
          <w:sz w:val="28"/>
          <w:szCs w:val="28"/>
        </w:rPr>
        <w:t>62</w:t>
      </w:r>
      <w:r>
        <w:rPr>
          <w:sz w:val="28"/>
          <w:szCs w:val="28"/>
        </w:rPr>
        <w:fldChar w:fldCharType="end"/>
      </w:r>
      <w:r>
        <w:rPr>
          <w:sz w:val="28"/>
          <w:szCs w:val="28"/>
        </w:rPr>
        <w:fldChar w:fldCharType="end"/>
      </w:r>
    </w:p>
    <w:p w14:paraId="4BB08FEB">
      <w:pPr>
        <w:pStyle w:val="32"/>
        <w:tabs>
          <w:tab w:val="right" w:leader="dot" w:pos="8732"/>
        </w:tabs>
        <w:spacing w:line="360" w:lineRule="auto"/>
        <w:rPr>
          <w:sz w:val="28"/>
          <w:szCs w:val="28"/>
        </w:rPr>
      </w:pPr>
      <w:r>
        <w:fldChar w:fldCharType="begin"/>
      </w:r>
      <w:r>
        <w:instrText xml:space="preserve"> HYPERLINK \l "_Toc8836" </w:instrText>
      </w:r>
      <w:r>
        <w:fldChar w:fldCharType="separate"/>
      </w:r>
      <w:r>
        <w:rPr>
          <w:rFonts w:eastAsia="黑体"/>
          <w:snapToGrid w:val="0"/>
          <w:sz w:val="28"/>
          <w:szCs w:val="40"/>
        </w:rPr>
        <w:t>五、主要生态环境保护措施</w:t>
      </w:r>
      <w:r>
        <w:rPr>
          <w:sz w:val="28"/>
          <w:szCs w:val="28"/>
        </w:rPr>
        <w:tab/>
      </w:r>
      <w:r>
        <w:rPr>
          <w:sz w:val="28"/>
          <w:szCs w:val="28"/>
        </w:rPr>
        <w:fldChar w:fldCharType="begin"/>
      </w:r>
      <w:r>
        <w:rPr>
          <w:sz w:val="28"/>
          <w:szCs w:val="28"/>
        </w:rPr>
        <w:instrText xml:space="preserve"> PAGEREF _Toc8836 \h </w:instrText>
      </w:r>
      <w:r>
        <w:rPr>
          <w:sz w:val="28"/>
          <w:szCs w:val="28"/>
        </w:rPr>
        <w:fldChar w:fldCharType="separate"/>
      </w:r>
      <w:r>
        <w:rPr>
          <w:sz w:val="28"/>
          <w:szCs w:val="28"/>
        </w:rPr>
        <w:t>87</w:t>
      </w:r>
      <w:r>
        <w:rPr>
          <w:sz w:val="28"/>
          <w:szCs w:val="28"/>
        </w:rPr>
        <w:fldChar w:fldCharType="end"/>
      </w:r>
      <w:r>
        <w:rPr>
          <w:sz w:val="28"/>
          <w:szCs w:val="28"/>
        </w:rPr>
        <w:fldChar w:fldCharType="end"/>
      </w:r>
    </w:p>
    <w:p w14:paraId="4F8E0E1A">
      <w:pPr>
        <w:pStyle w:val="32"/>
        <w:tabs>
          <w:tab w:val="right" w:leader="dot" w:pos="8732"/>
        </w:tabs>
        <w:spacing w:line="360" w:lineRule="auto"/>
        <w:rPr>
          <w:sz w:val="28"/>
          <w:szCs w:val="28"/>
        </w:rPr>
      </w:pPr>
      <w:r>
        <w:fldChar w:fldCharType="begin"/>
      </w:r>
      <w:r>
        <w:instrText xml:space="preserve"> HYPERLINK \l "_Toc16890" </w:instrText>
      </w:r>
      <w:r>
        <w:fldChar w:fldCharType="separate"/>
      </w:r>
      <w:r>
        <w:rPr>
          <w:rFonts w:eastAsia="黑体"/>
          <w:snapToGrid w:val="0"/>
          <w:sz w:val="28"/>
          <w:szCs w:val="40"/>
        </w:rPr>
        <w:t>六、生态环境保护措施监督检查清单</w:t>
      </w:r>
      <w:r>
        <w:rPr>
          <w:sz w:val="28"/>
          <w:szCs w:val="28"/>
        </w:rPr>
        <w:tab/>
      </w:r>
      <w:r>
        <w:rPr>
          <w:sz w:val="28"/>
          <w:szCs w:val="28"/>
        </w:rPr>
        <w:fldChar w:fldCharType="begin"/>
      </w:r>
      <w:r>
        <w:rPr>
          <w:sz w:val="28"/>
          <w:szCs w:val="28"/>
        </w:rPr>
        <w:instrText xml:space="preserve"> PAGEREF _Toc16890 \h </w:instrText>
      </w:r>
      <w:r>
        <w:rPr>
          <w:sz w:val="28"/>
          <w:szCs w:val="28"/>
        </w:rPr>
        <w:fldChar w:fldCharType="separate"/>
      </w:r>
      <w:r>
        <w:rPr>
          <w:sz w:val="28"/>
          <w:szCs w:val="28"/>
        </w:rPr>
        <w:t>99</w:t>
      </w:r>
      <w:r>
        <w:rPr>
          <w:sz w:val="28"/>
          <w:szCs w:val="28"/>
        </w:rPr>
        <w:fldChar w:fldCharType="end"/>
      </w:r>
      <w:r>
        <w:rPr>
          <w:sz w:val="28"/>
          <w:szCs w:val="28"/>
        </w:rPr>
        <w:fldChar w:fldCharType="end"/>
      </w:r>
    </w:p>
    <w:p w14:paraId="17BFCC39">
      <w:pPr>
        <w:pStyle w:val="32"/>
        <w:tabs>
          <w:tab w:val="right" w:leader="dot" w:pos="8732"/>
        </w:tabs>
        <w:spacing w:line="360" w:lineRule="auto"/>
        <w:rPr>
          <w:sz w:val="28"/>
          <w:szCs w:val="28"/>
        </w:rPr>
      </w:pPr>
      <w:r>
        <w:fldChar w:fldCharType="begin"/>
      </w:r>
      <w:r>
        <w:instrText xml:space="preserve"> HYPERLINK \l "_Toc24055" </w:instrText>
      </w:r>
      <w:r>
        <w:fldChar w:fldCharType="separate"/>
      </w:r>
      <w:r>
        <w:rPr>
          <w:rFonts w:eastAsia="黑体"/>
          <w:snapToGrid w:val="0"/>
          <w:sz w:val="28"/>
          <w:szCs w:val="40"/>
        </w:rPr>
        <w:t>七、结论</w:t>
      </w:r>
      <w:r>
        <w:rPr>
          <w:sz w:val="28"/>
          <w:szCs w:val="28"/>
        </w:rPr>
        <w:tab/>
      </w:r>
      <w:r>
        <w:rPr>
          <w:sz w:val="28"/>
          <w:szCs w:val="28"/>
        </w:rPr>
        <w:fldChar w:fldCharType="begin"/>
      </w:r>
      <w:r>
        <w:rPr>
          <w:sz w:val="28"/>
          <w:szCs w:val="28"/>
        </w:rPr>
        <w:instrText xml:space="preserve"> PAGEREF _Toc24055 \h </w:instrText>
      </w:r>
      <w:r>
        <w:rPr>
          <w:sz w:val="28"/>
          <w:szCs w:val="28"/>
        </w:rPr>
        <w:fldChar w:fldCharType="separate"/>
      </w:r>
      <w:r>
        <w:rPr>
          <w:sz w:val="28"/>
          <w:szCs w:val="28"/>
        </w:rPr>
        <w:t>101</w:t>
      </w:r>
      <w:r>
        <w:rPr>
          <w:sz w:val="28"/>
          <w:szCs w:val="28"/>
        </w:rPr>
        <w:fldChar w:fldCharType="end"/>
      </w:r>
      <w:r>
        <w:rPr>
          <w:sz w:val="28"/>
          <w:szCs w:val="28"/>
        </w:rPr>
        <w:fldChar w:fldCharType="end"/>
      </w:r>
    </w:p>
    <w:p w14:paraId="340A52D7">
      <w:pPr>
        <w:pStyle w:val="276"/>
        <w:spacing w:line="360" w:lineRule="auto"/>
        <w:jc w:val="center"/>
        <w:rPr>
          <w:rFonts w:ascii="Times New Roman" w:hAnsi="Times New Roman"/>
          <w:b/>
          <w:bCs/>
          <w:color w:val="auto"/>
          <w:lang w:val="zh-CN"/>
        </w:rPr>
        <w:sectPr>
          <w:pgSz w:w="11907" w:h="16840"/>
          <w:pgMar w:top="1418" w:right="1474" w:bottom="1440" w:left="1701" w:header="851" w:footer="992" w:gutter="0"/>
          <w:pgNumType w:fmt="lowerRoman" w:start="1"/>
          <w:cols w:space="720" w:num="1"/>
          <w:docGrid w:type="lines" w:linePitch="312" w:charSpace="0"/>
        </w:sectPr>
      </w:pPr>
      <w:r>
        <w:rPr>
          <w:rFonts w:ascii="Times New Roman" w:hAnsi="Times New Roman"/>
          <w:b/>
          <w:bCs/>
          <w:color w:val="auto"/>
          <w:lang w:val="zh-CN"/>
        </w:rPr>
        <w:fldChar w:fldCharType="end"/>
      </w:r>
    </w:p>
    <w:p w14:paraId="577FDA9D">
      <w:pPr>
        <w:spacing w:line="360" w:lineRule="auto"/>
        <w:rPr>
          <w:bCs/>
          <w:sz w:val="24"/>
          <w:lang w:val="zh-CN"/>
        </w:rPr>
        <w:sectPr>
          <w:footerReference r:id="rId8" w:type="default"/>
          <w:pgSz w:w="11907" w:h="16840"/>
          <w:pgMar w:top="1418" w:right="1474" w:bottom="1440" w:left="1701" w:header="851" w:footer="992" w:gutter="0"/>
          <w:pgNumType w:fmt="lowerRoman"/>
          <w:cols w:space="720" w:num="1"/>
          <w:docGrid w:type="lines" w:linePitch="312" w:charSpace="0"/>
        </w:sectPr>
      </w:pPr>
    </w:p>
    <w:p w14:paraId="5EF29977">
      <w:pPr>
        <w:pStyle w:val="39"/>
        <w:numPr>
          <w:ilvl w:val="0"/>
          <w:numId w:val="2"/>
        </w:numPr>
        <w:jc w:val="center"/>
        <w:outlineLvl w:val="0"/>
        <w:rPr>
          <w:rFonts w:ascii="Times New Roman" w:hAnsi="Times New Roman" w:eastAsia="黑体"/>
          <w:snapToGrid w:val="0"/>
          <w:sz w:val="30"/>
          <w:szCs w:val="30"/>
        </w:rPr>
      </w:pPr>
      <w:bookmarkStart w:id="14" w:name="_Toc21075"/>
      <w:bookmarkStart w:id="15" w:name="_Toc135"/>
      <w:bookmarkStart w:id="16" w:name="_Toc21508"/>
      <w:bookmarkStart w:id="17" w:name="_Toc15589"/>
      <w:bookmarkStart w:id="18" w:name="_Toc9656"/>
      <w:bookmarkStart w:id="19" w:name="_Toc225952988"/>
      <w:bookmarkStart w:id="20" w:name="_Toc9206"/>
      <w:bookmarkStart w:id="21" w:name="_Toc227764328"/>
      <w:bookmarkStart w:id="22" w:name="_Toc10974"/>
      <w:r>
        <w:rPr>
          <w:rFonts w:ascii="Times New Roman" w:hAnsi="Times New Roman" w:eastAsia="黑体"/>
          <w:snapToGrid w:val="0"/>
          <w:sz w:val="30"/>
          <w:szCs w:val="30"/>
        </w:rPr>
        <w:t>建设项目基本情况</w:t>
      </w:r>
      <w:bookmarkEnd w:id="14"/>
      <w:bookmarkEnd w:id="15"/>
      <w:bookmarkEnd w:id="16"/>
      <w:bookmarkEnd w:id="17"/>
      <w:bookmarkEnd w:id="18"/>
      <w:bookmarkEnd w:id="19"/>
      <w:bookmarkEnd w:id="20"/>
      <w:bookmarkEnd w:id="21"/>
      <w:bookmarkEnd w:id="22"/>
    </w:p>
    <w:tbl>
      <w:tblPr>
        <w:tblStyle w:val="45"/>
        <w:tblpPr w:leftFromText="180" w:rightFromText="180" w:vertAnchor="text" w:tblpXSpec="center" w:tblpY="1"/>
        <w:tblOverlap w:val="never"/>
        <w:tblW w:w="497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35"/>
        <w:gridCol w:w="1959"/>
        <w:gridCol w:w="1933"/>
        <w:gridCol w:w="3611"/>
      </w:tblGrid>
      <w:tr w14:paraId="50C06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1BF661AB">
            <w:pPr>
              <w:adjustRightInd w:val="0"/>
              <w:snapToGrid w:val="0"/>
              <w:jc w:val="center"/>
              <w:rPr>
                <w:sz w:val="24"/>
              </w:rPr>
            </w:pPr>
            <w:r>
              <w:rPr>
                <w:sz w:val="24"/>
              </w:rPr>
              <w:t>建设项目</w:t>
            </w:r>
          </w:p>
          <w:p w14:paraId="560DA520">
            <w:pPr>
              <w:adjustRightInd w:val="0"/>
              <w:snapToGrid w:val="0"/>
              <w:jc w:val="center"/>
              <w:rPr>
                <w:sz w:val="24"/>
              </w:rPr>
            </w:pPr>
            <w:r>
              <w:rPr>
                <w:sz w:val="24"/>
              </w:rPr>
              <w:t>名称</w:t>
            </w:r>
          </w:p>
        </w:tc>
        <w:tc>
          <w:tcPr>
            <w:tcW w:w="7240" w:type="dxa"/>
            <w:gridSpan w:val="3"/>
            <w:vAlign w:val="center"/>
          </w:tcPr>
          <w:p w14:paraId="6484ABD1">
            <w:pPr>
              <w:adjustRightInd w:val="0"/>
              <w:snapToGrid w:val="0"/>
              <w:jc w:val="center"/>
              <w:rPr>
                <w:sz w:val="24"/>
              </w:rPr>
            </w:pPr>
            <w:r>
              <w:rPr>
                <w:sz w:val="24"/>
              </w:rPr>
              <w:t>南冲风电场110kV送出线路工程</w:t>
            </w:r>
          </w:p>
        </w:tc>
      </w:tr>
      <w:tr w14:paraId="1C8CC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7F316E25">
            <w:pPr>
              <w:adjustRightInd w:val="0"/>
              <w:snapToGrid w:val="0"/>
              <w:jc w:val="center"/>
              <w:rPr>
                <w:sz w:val="24"/>
              </w:rPr>
            </w:pPr>
            <w:r>
              <w:rPr>
                <w:sz w:val="24"/>
              </w:rPr>
              <w:t>项目代码</w:t>
            </w:r>
          </w:p>
        </w:tc>
        <w:tc>
          <w:tcPr>
            <w:tcW w:w="7240" w:type="dxa"/>
            <w:gridSpan w:val="3"/>
            <w:vAlign w:val="center"/>
          </w:tcPr>
          <w:p w14:paraId="265B6DB7">
            <w:pPr>
              <w:adjustRightInd w:val="0"/>
              <w:snapToGrid w:val="0"/>
              <w:jc w:val="center"/>
              <w:rPr>
                <w:sz w:val="24"/>
              </w:rPr>
            </w:pPr>
            <w:r>
              <w:rPr>
                <w:sz w:val="24"/>
              </w:rPr>
              <w:t>2603-530300-04-01-477248</w:t>
            </w:r>
          </w:p>
        </w:tc>
      </w:tr>
      <w:tr w14:paraId="78BEC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60580161">
            <w:pPr>
              <w:adjustRightInd w:val="0"/>
              <w:snapToGrid w:val="0"/>
              <w:jc w:val="center"/>
              <w:rPr>
                <w:sz w:val="24"/>
              </w:rPr>
            </w:pPr>
            <w:r>
              <w:rPr>
                <w:sz w:val="24"/>
              </w:rPr>
              <w:t>建设单位</w:t>
            </w:r>
          </w:p>
          <w:p w14:paraId="2B39BFC7">
            <w:pPr>
              <w:adjustRightInd w:val="0"/>
              <w:snapToGrid w:val="0"/>
              <w:jc w:val="center"/>
              <w:rPr>
                <w:sz w:val="24"/>
              </w:rPr>
            </w:pPr>
            <w:r>
              <w:rPr>
                <w:sz w:val="24"/>
              </w:rPr>
              <w:t>联系人</w:t>
            </w:r>
          </w:p>
        </w:tc>
        <w:tc>
          <w:tcPr>
            <w:tcW w:w="2145" w:type="dxa"/>
            <w:vAlign w:val="center"/>
          </w:tcPr>
          <w:p w14:paraId="617F1174">
            <w:pPr>
              <w:adjustRightInd w:val="0"/>
              <w:snapToGrid w:val="0"/>
              <w:jc w:val="center"/>
              <w:rPr>
                <w:sz w:val="24"/>
              </w:rPr>
            </w:pPr>
          </w:p>
        </w:tc>
        <w:tc>
          <w:tcPr>
            <w:tcW w:w="1749" w:type="dxa"/>
            <w:vAlign w:val="center"/>
          </w:tcPr>
          <w:p w14:paraId="62CD7903">
            <w:pPr>
              <w:adjustRightInd w:val="0"/>
              <w:snapToGrid w:val="0"/>
              <w:jc w:val="center"/>
            </w:pPr>
            <w:r>
              <w:rPr>
                <w:sz w:val="24"/>
              </w:rPr>
              <w:t>联系方式</w:t>
            </w:r>
          </w:p>
        </w:tc>
        <w:tc>
          <w:tcPr>
            <w:tcW w:w="3346" w:type="dxa"/>
            <w:vAlign w:val="center"/>
          </w:tcPr>
          <w:p w14:paraId="7FA85B2D">
            <w:pPr>
              <w:adjustRightInd w:val="0"/>
              <w:snapToGrid w:val="0"/>
              <w:jc w:val="center"/>
            </w:pPr>
          </w:p>
        </w:tc>
      </w:tr>
      <w:tr w14:paraId="37FDB1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4AE06BF8">
            <w:pPr>
              <w:adjustRightInd w:val="0"/>
              <w:snapToGrid w:val="0"/>
              <w:jc w:val="center"/>
              <w:rPr>
                <w:sz w:val="24"/>
              </w:rPr>
            </w:pPr>
            <w:r>
              <w:rPr>
                <w:sz w:val="24"/>
              </w:rPr>
              <w:t>建设地点</w:t>
            </w:r>
          </w:p>
        </w:tc>
        <w:tc>
          <w:tcPr>
            <w:tcW w:w="7240" w:type="dxa"/>
            <w:gridSpan w:val="3"/>
            <w:vAlign w:val="center"/>
          </w:tcPr>
          <w:p w14:paraId="1E9AE987">
            <w:pPr>
              <w:adjustRightInd w:val="0"/>
              <w:snapToGrid w:val="0"/>
              <w:jc w:val="center"/>
              <w:rPr>
                <w:sz w:val="24"/>
              </w:rPr>
            </w:pPr>
            <w:r>
              <w:rPr>
                <w:sz w:val="24"/>
                <w:u w:val="single"/>
              </w:rPr>
              <w:t>云南</w:t>
            </w:r>
            <w:r>
              <w:rPr>
                <w:sz w:val="24"/>
              </w:rPr>
              <w:t>省（自治区）</w:t>
            </w:r>
            <w:r>
              <w:rPr>
                <w:sz w:val="24"/>
                <w:u w:val="single"/>
              </w:rPr>
              <w:t>曲靖</w:t>
            </w:r>
            <w:r>
              <w:rPr>
                <w:rFonts w:hint="eastAsia"/>
                <w:sz w:val="24"/>
              </w:rPr>
              <w:t>市</w:t>
            </w:r>
            <w:r>
              <w:rPr>
                <w:sz w:val="24"/>
                <w:u w:val="single"/>
              </w:rPr>
              <w:t>富源</w:t>
            </w:r>
            <w:r>
              <w:rPr>
                <w:sz w:val="24"/>
              </w:rPr>
              <w:t>县（区）</w:t>
            </w:r>
            <w:r>
              <w:rPr>
                <w:rFonts w:hint="eastAsia"/>
                <w:sz w:val="24"/>
                <w:u w:val="single"/>
              </w:rPr>
              <w:t xml:space="preserve"> </w:t>
            </w:r>
            <w:r>
              <w:rPr>
                <w:sz w:val="24"/>
                <w:u w:val="single"/>
              </w:rPr>
              <w:t xml:space="preserve"> </w:t>
            </w:r>
            <w:r>
              <w:rPr>
                <w:rFonts w:hint="eastAsia"/>
                <w:sz w:val="24"/>
                <w:u w:val="single"/>
              </w:rPr>
              <w:t xml:space="preserve">营上镇大达村东北侧至岩头村东侧 </w:t>
            </w:r>
            <w:r>
              <w:rPr>
                <w:sz w:val="24"/>
              </w:rPr>
              <w:t>（具体地址）</w:t>
            </w:r>
          </w:p>
        </w:tc>
      </w:tr>
      <w:tr w14:paraId="42009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1A8093E8">
            <w:pPr>
              <w:adjustRightInd w:val="0"/>
              <w:snapToGrid w:val="0"/>
              <w:jc w:val="center"/>
              <w:rPr>
                <w:sz w:val="24"/>
              </w:rPr>
            </w:pPr>
            <w:r>
              <w:rPr>
                <w:sz w:val="24"/>
              </w:rPr>
              <w:t>地理坐标</w:t>
            </w:r>
          </w:p>
        </w:tc>
        <w:tc>
          <w:tcPr>
            <w:tcW w:w="7240" w:type="dxa"/>
            <w:gridSpan w:val="3"/>
            <w:vAlign w:val="center"/>
          </w:tcPr>
          <w:p w14:paraId="51B6F41C">
            <w:pPr>
              <w:adjustRightInd w:val="0"/>
              <w:snapToGrid w:val="0"/>
              <w:rPr>
                <w:sz w:val="24"/>
              </w:rPr>
            </w:pPr>
            <w:r>
              <w:rPr>
                <w:sz w:val="24"/>
              </w:rPr>
              <w:t>起点</w:t>
            </w:r>
            <w:r>
              <w:rPr>
                <w:rFonts w:hint="eastAsia"/>
                <w:sz w:val="24"/>
              </w:rPr>
              <w:t>（N</w:t>
            </w:r>
            <w:r>
              <w:rPr>
                <w:sz w:val="24"/>
              </w:rPr>
              <w:t>1</w:t>
            </w:r>
            <w:r>
              <w:rPr>
                <w:rFonts w:hint="eastAsia"/>
                <w:sz w:val="24"/>
              </w:rPr>
              <w:t>）</w:t>
            </w:r>
            <w:r>
              <w:rPr>
                <w:sz w:val="24"/>
              </w:rPr>
              <w:t>：东经</w:t>
            </w:r>
            <w:r>
              <w:rPr>
                <w:sz w:val="24"/>
                <w:u w:val="single"/>
              </w:rPr>
              <w:t>104</w:t>
            </w:r>
            <w:r>
              <w:rPr>
                <w:sz w:val="24"/>
              </w:rPr>
              <w:t>度</w:t>
            </w:r>
            <w:r>
              <w:rPr>
                <w:sz w:val="24"/>
                <w:u w:val="single"/>
              </w:rPr>
              <w:t>25</w:t>
            </w:r>
            <w:r>
              <w:rPr>
                <w:sz w:val="24"/>
              </w:rPr>
              <w:t>分</w:t>
            </w:r>
            <w:r>
              <w:rPr>
                <w:rFonts w:hint="eastAsia"/>
                <w:sz w:val="24"/>
                <w:u w:val="single"/>
              </w:rPr>
              <w:t>2</w:t>
            </w:r>
            <w:r>
              <w:rPr>
                <w:sz w:val="24"/>
                <w:u w:val="single"/>
              </w:rPr>
              <w:t>0.552</w:t>
            </w:r>
            <w:r>
              <w:rPr>
                <w:sz w:val="24"/>
              </w:rPr>
              <w:t>秒，北纬</w:t>
            </w:r>
            <w:r>
              <w:rPr>
                <w:sz w:val="24"/>
                <w:u w:val="single"/>
              </w:rPr>
              <w:t>25</w:t>
            </w:r>
            <w:r>
              <w:rPr>
                <w:sz w:val="24"/>
              </w:rPr>
              <w:t>度</w:t>
            </w:r>
            <w:r>
              <w:rPr>
                <w:sz w:val="24"/>
                <w:u w:val="single"/>
              </w:rPr>
              <w:t>26</w:t>
            </w:r>
            <w:r>
              <w:rPr>
                <w:sz w:val="24"/>
              </w:rPr>
              <w:t>分</w:t>
            </w:r>
            <w:r>
              <w:rPr>
                <w:sz w:val="24"/>
                <w:u w:val="single"/>
              </w:rPr>
              <w:t>59.521</w:t>
            </w:r>
            <w:r>
              <w:rPr>
                <w:sz w:val="24"/>
              </w:rPr>
              <w:t>秒，</w:t>
            </w:r>
          </w:p>
          <w:p w14:paraId="2B206DBA">
            <w:pPr>
              <w:adjustRightInd w:val="0"/>
              <w:snapToGrid w:val="0"/>
              <w:rPr>
                <w:sz w:val="24"/>
              </w:rPr>
            </w:pPr>
            <w:r>
              <w:rPr>
                <w:sz w:val="24"/>
              </w:rPr>
              <w:t>终点</w:t>
            </w:r>
            <w:r>
              <w:rPr>
                <w:rFonts w:hint="eastAsia"/>
                <w:sz w:val="24"/>
              </w:rPr>
              <w:t>（N</w:t>
            </w:r>
            <w:r>
              <w:rPr>
                <w:sz w:val="24"/>
              </w:rPr>
              <w:t>23</w:t>
            </w:r>
            <w:r>
              <w:rPr>
                <w:rFonts w:hint="eastAsia"/>
                <w:sz w:val="24"/>
              </w:rPr>
              <w:t>）</w:t>
            </w:r>
            <w:r>
              <w:rPr>
                <w:sz w:val="24"/>
              </w:rPr>
              <w:t>：东经</w:t>
            </w:r>
            <w:r>
              <w:rPr>
                <w:sz w:val="24"/>
                <w:u w:val="single"/>
              </w:rPr>
              <w:t>104</w:t>
            </w:r>
            <w:r>
              <w:rPr>
                <w:sz w:val="24"/>
              </w:rPr>
              <w:t>度</w:t>
            </w:r>
            <w:r>
              <w:rPr>
                <w:sz w:val="24"/>
                <w:u w:val="single"/>
              </w:rPr>
              <w:t>22</w:t>
            </w:r>
            <w:r>
              <w:rPr>
                <w:sz w:val="24"/>
              </w:rPr>
              <w:t>分</w:t>
            </w:r>
            <w:r>
              <w:rPr>
                <w:sz w:val="24"/>
                <w:u w:val="single"/>
              </w:rPr>
              <w:t>43.035</w:t>
            </w:r>
            <w:r>
              <w:rPr>
                <w:sz w:val="24"/>
              </w:rPr>
              <w:t>秒，北纬</w:t>
            </w:r>
            <w:r>
              <w:rPr>
                <w:sz w:val="24"/>
                <w:u w:val="single"/>
              </w:rPr>
              <w:t>25</w:t>
            </w:r>
            <w:r>
              <w:rPr>
                <w:sz w:val="24"/>
              </w:rPr>
              <w:t>度</w:t>
            </w:r>
            <w:r>
              <w:rPr>
                <w:sz w:val="24"/>
                <w:u w:val="single"/>
              </w:rPr>
              <w:t>26</w:t>
            </w:r>
            <w:r>
              <w:rPr>
                <w:sz w:val="24"/>
              </w:rPr>
              <w:t>分</w:t>
            </w:r>
            <w:r>
              <w:rPr>
                <w:sz w:val="24"/>
                <w:u w:val="single"/>
              </w:rPr>
              <w:t>53.412</w:t>
            </w:r>
            <w:r>
              <w:rPr>
                <w:sz w:val="24"/>
              </w:rPr>
              <w:t>秒</w:t>
            </w:r>
          </w:p>
          <w:p w14:paraId="72BFC54A">
            <w:pPr>
              <w:pStyle w:val="2"/>
              <w:spacing w:before="0" w:after="0" w:line="240" w:lineRule="auto"/>
              <w:ind w:right="0"/>
            </w:pPr>
            <w:r>
              <w:rPr>
                <w:rFonts w:hint="eastAsia"/>
                <w:kern w:val="2"/>
                <w:sz w:val="24"/>
                <w:szCs w:val="21"/>
              </w:rPr>
              <w:t>工程地理坐标介于</w:t>
            </w:r>
            <w:r>
              <w:rPr>
                <w:rFonts w:hint="eastAsia"/>
                <w:kern w:val="2"/>
                <w:sz w:val="24"/>
                <w:szCs w:val="21"/>
                <w:u w:val="single"/>
              </w:rPr>
              <w:t>104°22'4</w:t>
            </w:r>
            <w:r>
              <w:rPr>
                <w:kern w:val="2"/>
                <w:sz w:val="24"/>
                <w:szCs w:val="21"/>
                <w:u w:val="single"/>
              </w:rPr>
              <w:t>43.035</w:t>
            </w:r>
            <w:r>
              <w:rPr>
                <w:rFonts w:hint="eastAsia"/>
                <w:kern w:val="2"/>
                <w:sz w:val="24"/>
                <w:szCs w:val="21"/>
                <w:u w:val="single"/>
              </w:rPr>
              <w:t>"~104°25'20.5</w:t>
            </w:r>
            <w:r>
              <w:rPr>
                <w:kern w:val="2"/>
                <w:sz w:val="24"/>
                <w:szCs w:val="21"/>
                <w:u w:val="single"/>
              </w:rPr>
              <w:t>52</w:t>
            </w:r>
            <w:r>
              <w:rPr>
                <w:rFonts w:hint="eastAsia"/>
                <w:kern w:val="2"/>
                <w:sz w:val="24"/>
                <w:szCs w:val="21"/>
                <w:u w:val="single"/>
              </w:rPr>
              <w:t>"</w:t>
            </w:r>
            <w:r>
              <w:rPr>
                <w:rFonts w:hint="eastAsia"/>
                <w:kern w:val="2"/>
                <w:sz w:val="24"/>
                <w:szCs w:val="21"/>
              </w:rPr>
              <w:t>，</w:t>
            </w:r>
            <w:r>
              <w:rPr>
                <w:rFonts w:hint="eastAsia"/>
                <w:kern w:val="2"/>
                <w:sz w:val="24"/>
                <w:szCs w:val="21"/>
                <w:u w:val="single"/>
              </w:rPr>
              <w:t>25°26'35.231"~25°2</w:t>
            </w:r>
            <w:r>
              <w:rPr>
                <w:kern w:val="2"/>
                <w:sz w:val="24"/>
                <w:szCs w:val="21"/>
                <w:u w:val="single"/>
              </w:rPr>
              <w:t>6</w:t>
            </w:r>
            <w:r>
              <w:rPr>
                <w:rFonts w:hint="eastAsia"/>
                <w:kern w:val="2"/>
                <w:sz w:val="24"/>
                <w:szCs w:val="21"/>
                <w:u w:val="single"/>
              </w:rPr>
              <w:t>'</w:t>
            </w:r>
            <w:r>
              <w:rPr>
                <w:kern w:val="2"/>
                <w:sz w:val="24"/>
                <w:szCs w:val="21"/>
                <w:u w:val="single"/>
              </w:rPr>
              <w:t>59.521</w:t>
            </w:r>
            <w:r>
              <w:rPr>
                <w:rFonts w:hint="eastAsia"/>
                <w:kern w:val="2"/>
                <w:sz w:val="24"/>
                <w:szCs w:val="21"/>
                <w:u w:val="single"/>
              </w:rPr>
              <w:t>"</w:t>
            </w:r>
            <w:r>
              <w:rPr>
                <w:rFonts w:hint="eastAsia"/>
                <w:kern w:val="2"/>
                <w:sz w:val="24"/>
                <w:szCs w:val="21"/>
              </w:rPr>
              <w:t>之间</w:t>
            </w:r>
          </w:p>
        </w:tc>
      </w:tr>
      <w:tr w14:paraId="0D638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2AA26F54">
            <w:pPr>
              <w:adjustRightInd w:val="0"/>
              <w:snapToGrid w:val="0"/>
              <w:jc w:val="center"/>
              <w:rPr>
                <w:sz w:val="24"/>
              </w:rPr>
            </w:pPr>
            <w:r>
              <w:rPr>
                <w:sz w:val="24"/>
              </w:rPr>
              <w:t>建设项目行业类别</w:t>
            </w:r>
          </w:p>
        </w:tc>
        <w:tc>
          <w:tcPr>
            <w:tcW w:w="2145" w:type="dxa"/>
            <w:vAlign w:val="center"/>
          </w:tcPr>
          <w:p w14:paraId="3495BCFD">
            <w:pPr>
              <w:adjustRightInd w:val="0"/>
              <w:snapToGrid w:val="0"/>
              <w:jc w:val="center"/>
              <w:rPr>
                <w:sz w:val="24"/>
              </w:rPr>
            </w:pPr>
            <w:r>
              <w:rPr>
                <w:sz w:val="24"/>
              </w:rPr>
              <w:t>输变电工程</w:t>
            </w:r>
          </w:p>
        </w:tc>
        <w:tc>
          <w:tcPr>
            <w:tcW w:w="1749" w:type="dxa"/>
            <w:vAlign w:val="center"/>
          </w:tcPr>
          <w:p w14:paraId="6F7FF6B8">
            <w:pPr>
              <w:adjustRightInd w:val="0"/>
              <w:snapToGrid w:val="0"/>
              <w:jc w:val="center"/>
            </w:pPr>
            <w:r>
              <w:rPr>
                <w:sz w:val="24"/>
              </w:rPr>
              <w:t>用地（用海）面积（hm</w:t>
            </w:r>
            <w:r>
              <w:rPr>
                <w:sz w:val="24"/>
                <w:vertAlign w:val="superscript"/>
              </w:rPr>
              <w:t>2</w:t>
            </w:r>
            <w:r>
              <w:rPr>
                <w:sz w:val="24"/>
              </w:rPr>
              <w:t>）/长度（km）</w:t>
            </w:r>
          </w:p>
        </w:tc>
        <w:tc>
          <w:tcPr>
            <w:tcW w:w="3346" w:type="dxa"/>
            <w:vAlign w:val="center"/>
          </w:tcPr>
          <w:p w14:paraId="37561C0E">
            <w:pPr>
              <w:adjustRightInd w:val="0"/>
              <w:snapToGrid w:val="0"/>
              <w:rPr>
                <w:sz w:val="24"/>
                <w:vertAlign w:val="superscript"/>
              </w:rPr>
            </w:pPr>
            <w:r>
              <w:rPr>
                <w:sz w:val="24"/>
              </w:rPr>
              <w:t>用地面积</w:t>
            </w:r>
            <w:r>
              <w:rPr>
                <w:sz w:val="24"/>
                <w:u w:val="single"/>
              </w:rPr>
              <w:t>0.6836hm</w:t>
            </w:r>
            <w:r>
              <w:rPr>
                <w:sz w:val="24"/>
                <w:u w:val="single"/>
                <w:vertAlign w:val="superscript"/>
              </w:rPr>
              <w:t>2</w:t>
            </w:r>
            <w:r>
              <w:rPr>
                <w:rFonts w:hint="eastAsia"/>
                <w:sz w:val="24"/>
              </w:rPr>
              <w:t>（永久占地</w:t>
            </w:r>
            <w:r>
              <w:rPr>
                <w:rFonts w:hint="eastAsia"/>
                <w:sz w:val="24"/>
                <w:u w:val="single"/>
              </w:rPr>
              <w:t>0</w:t>
            </w:r>
            <w:r>
              <w:rPr>
                <w:sz w:val="24"/>
                <w:u w:val="single"/>
              </w:rPr>
              <w:t>.145</w:t>
            </w:r>
            <w:r>
              <w:rPr>
                <w:rFonts w:hint="eastAsia"/>
                <w:sz w:val="24"/>
                <w:u w:val="single"/>
              </w:rPr>
              <w:t>hm</w:t>
            </w:r>
            <w:r>
              <w:rPr>
                <w:sz w:val="24"/>
                <w:u w:val="single"/>
                <w:vertAlign w:val="superscript"/>
              </w:rPr>
              <w:t>2</w:t>
            </w:r>
            <w:r>
              <w:rPr>
                <w:rFonts w:hint="eastAsia"/>
                <w:sz w:val="24"/>
              </w:rPr>
              <w:t>，临时占地</w:t>
            </w:r>
            <w:r>
              <w:rPr>
                <w:rFonts w:hint="eastAsia"/>
                <w:sz w:val="24"/>
                <w:u w:val="single"/>
              </w:rPr>
              <w:t>0</w:t>
            </w:r>
            <w:r>
              <w:rPr>
                <w:sz w:val="24"/>
                <w:u w:val="single"/>
              </w:rPr>
              <w:t>.5386</w:t>
            </w:r>
            <w:r>
              <w:rPr>
                <w:rFonts w:hint="eastAsia"/>
                <w:sz w:val="24"/>
                <w:u w:val="single"/>
              </w:rPr>
              <w:t>hm</w:t>
            </w:r>
            <w:r>
              <w:rPr>
                <w:sz w:val="24"/>
                <w:u w:val="single"/>
                <w:vertAlign w:val="superscript"/>
              </w:rPr>
              <w:t>2</w:t>
            </w:r>
            <w:r>
              <w:rPr>
                <w:rFonts w:hint="eastAsia"/>
                <w:sz w:val="24"/>
              </w:rPr>
              <w:t>）；</w:t>
            </w:r>
          </w:p>
          <w:p w14:paraId="1B28F59F">
            <w:pPr>
              <w:adjustRightInd w:val="0"/>
              <w:snapToGrid w:val="0"/>
            </w:pPr>
            <w:r>
              <w:rPr>
                <w:sz w:val="24"/>
              </w:rPr>
              <w:t>线路工程长</w:t>
            </w:r>
            <w:r>
              <w:rPr>
                <w:sz w:val="24"/>
                <w:u w:val="single"/>
              </w:rPr>
              <w:t>4.851km</w:t>
            </w:r>
          </w:p>
        </w:tc>
      </w:tr>
      <w:tr w14:paraId="2E151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3DAAE6A0">
            <w:pPr>
              <w:adjustRightInd w:val="0"/>
              <w:snapToGrid w:val="0"/>
              <w:jc w:val="center"/>
              <w:rPr>
                <w:sz w:val="24"/>
              </w:rPr>
            </w:pPr>
            <w:r>
              <w:rPr>
                <w:sz w:val="24"/>
              </w:rPr>
              <w:t>建设性质</w:t>
            </w:r>
          </w:p>
        </w:tc>
        <w:tc>
          <w:tcPr>
            <w:tcW w:w="2145" w:type="dxa"/>
            <w:vAlign w:val="center"/>
          </w:tcPr>
          <w:p w14:paraId="605E6D34">
            <w:pPr>
              <w:adjustRightInd w:val="0"/>
              <w:snapToGrid w:val="0"/>
              <w:jc w:val="left"/>
              <w:rPr>
                <w:sz w:val="24"/>
              </w:rPr>
            </w:pPr>
            <w:r>
              <w:rPr>
                <w:sz w:val="24"/>
              </w:rPr>
              <w:sym w:font="Wingdings 2" w:char="F052"/>
            </w:r>
            <w:r>
              <w:rPr>
                <w:sz w:val="24"/>
              </w:rPr>
              <w:t>新建（迁建）</w:t>
            </w:r>
          </w:p>
          <w:p w14:paraId="21903F01">
            <w:pPr>
              <w:adjustRightInd w:val="0"/>
              <w:snapToGrid w:val="0"/>
              <w:jc w:val="left"/>
              <w:rPr>
                <w:sz w:val="24"/>
              </w:rPr>
            </w:pPr>
            <w:r>
              <w:rPr>
                <w:sz w:val="24"/>
              </w:rPr>
              <w:sym w:font="Wingdings 2" w:char="00A3"/>
            </w:r>
            <w:r>
              <w:rPr>
                <w:sz w:val="24"/>
              </w:rPr>
              <w:t>改建</w:t>
            </w:r>
          </w:p>
          <w:p w14:paraId="35CDDE68">
            <w:pPr>
              <w:adjustRightInd w:val="0"/>
              <w:snapToGrid w:val="0"/>
              <w:jc w:val="left"/>
              <w:rPr>
                <w:sz w:val="24"/>
              </w:rPr>
            </w:pPr>
            <w:r>
              <w:rPr>
                <w:sz w:val="24"/>
              </w:rPr>
              <w:sym w:font="Wingdings 2" w:char="00A3"/>
            </w:r>
            <w:r>
              <w:rPr>
                <w:sz w:val="24"/>
              </w:rPr>
              <w:t>扩建</w:t>
            </w:r>
          </w:p>
          <w:p w14:paraId="35DA1BD7">
            <w:pPr>
              <w:adjustRightInd w:val="0"/>
              <w:snapToGrid w:val="0"/>
              <w:jc w:val="left"/>
              <w:rPr>
                <w:sz w:val="24"/>
              </w:rPr>
            </w:pPr>
            <w:r>
              <w:rPr>
                <w:sz w:val="24"/>
              </w:rPr>
              <w:sym w:font="Wingdings 2" w:char="00A3"/>
            </w:r>
            <w:r>
              <w:rPr>
                <w:sz w:val="24"/>
              </w:rPr>
              <w:t>技术改造</w:t>
            </w:r>
          </w:p>
        </w:tc>
        <w:tc>
          <w:tcPr>
            <w:tcW w:w="1749" w:type="dxa"/>
            <w:vAlign w:val="center"/>
          </w:tcPr>
          <w:p w14:paraId="0B6ADBB4">
            <w:pPr>
              <w:adjustRightInd w:val="0"/>
              <w:snapToGrid w:val="0"/>
              <w:jc w:val="center"/>
              <w:rPr>
                <w:sz w:val="24"/>
              </w:rPr>
            </w:pPr>
            <w:r>
              <w:rPr>
                <w:sz w:val="24"/>
              </w:rPr>
              <w:t>建设项目</w:t>
            </w:r>
          </w:p>
          <w:p w14:paraId="1D7B3EA4">
            <w:pPr>
              <w:adjustRightInd w:val="0"/>
              <w:snapToGrid w:val="0"/>
              <w:jc w:val="center"/>
            </w:pPr>
            <w:r>
              <w:rPr>
                <w:sz w:val="24"/>
              </w:rPr>
              <w:t>申报情形</w:t>
            </w:r>
          </w:p>
        </w:tc>
        <w:tc>
          <w:tcPr>
            <w:tcW w:w="3346" w:type="dxa"/>
            <w:vAlign w:val="center"/>
          </w:tcPr>
          <w:p w14:paraId="1C1EE08A">
            <w:pPr>
              <w:adjustRightInd w:val="0"/>
              <w:snapToGrid w:val="0"/>
              <w:jc w:val="left"/>
              <w:rPr>
                <w:sz w:val="24"/>
              </w:rPr>
            </w:pPr>
            <w:r>
              <w:rPr>
                <w:sz w:val="24"/>
              </w:rPr>
              <w:sym w:font="Wingdings 2" w:char="0052"/>
            </w:r>
            <w:r>
              <w:rPr>
                <w:sz w:val="24"/>
              </w:rPr>
              <w:t>首次申报项目</w:t>
            </w:r>
          </w:p>
          <w:p w14:paraId="6798C222">
            <w:pPr>
              <w:adjustRightInd w:val="0"/>
              <w:snapToGrid w:val="0"/>
              <w:jc w:val="left"/>
              <w:rPr>
                <w:sz w:val="24"/>
              </w:rPr>
            </w:pPr>
            <w:r>
              <w:rPr>
                <w:sz w:val="24"/>
              </w:rPr>
              <w:sym w:font="Wingdings 2" w:char="00A3"/>
            </w:r>
            <w:r>
              <w:rPr>
                <w:sz w:val="24"/>
              </w:rPr>
              <w:t>不予批准后再次申报项目</w:t>
            </w:r>
          </w:p>
          <w:p w14:paraId="6A5C6E70">
            <w:pPr>
              <w:adjustRightInd w:val="0"/>
              <w:snapToGrid w:val="0"/>
              <w:jc w:val="left"/>
              <w:rPr>
                <w:sz w:val="24"/>
              </w:rPr>
            </w:pPr>
            <w:r>
              <w:rPr>
                <w:sz w:val="24"/>
              </w:rPr>
              <w:sym w:font="Wingdings 2" w:char="00A3"/>
            </w:r>
            <w:r>
              <w:rPr>
                <w:sz w:val="24"/>
              </w:rPr>
              <w:t>超五年重新审核项目</w:t>
            </w:r>
          </w:p>
          <w:p w14:paraId="7705A197">
            <w:pPr>
              <w:adjustRightInd w:val="0"/>
              <w:snapToGrid w:val="0"/>
            </w:pPr>
            <w:r>
              <w:rPr>
                <w:sz w:val="24"/>
              </w:rPr>
              <w:sym w:font="Wingdings 2" w:char="00A3"/>
            </w:r>
            <w:r>
              <w:rPr>
                <w:sz w:val="24"/>
              </w:rPr>
              <w:t>重大变动重新报批项目</w:t>
            </w:r>
          </w:p>
        </w:tc>
      </w:tr>
      <w:tr w14:paraId="035EF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79D606B6">
            <w:pPr>
              <w:adjustRightInd w:val="0"/>
              <w:snapToGrid w:val="0"/>
              <w:jc w:val="center"/>
              <w:rPr>
                <w:sz w:val="24"/>
              </w:rPr>
            </w:pPr>
            <w:r>
              <w:rPr>
                <w:sz w:val="24"/>
              </w:rPr>
              <w:t>项目审批（核准/备案）部门（选填）</w:t>
            </w:r>
          </w:p>
        </w:tc>
        <w:tc>
          <w:tcPr>
            <w:tcW w:w="2145" w:type="dxa"/>
            <w:vAlign w:val="center"/>
          </w:tcPr>
          <w:p w14:paraId="22CC76A5">
            <w:pPr>
              <w:adjustRightInd w:val="0"/>
              <w:snapToGrid w:val="0"/>
              <w:jc w:val="center"/>
              <w:rPr>
                <w:sz w:val="24"/>
              </w:rPr>
            </w:pPr>
            <w:r>
              <w:rPr>
                <w:rFonts w:hint="eastAsia"/>
                <w:sz w:val="24"/>
              </w:rPr>
              <w:t>曲靖市发展和改革委员会</w:t>
            </w:r>
          </w:p>
        </w:tc>
        <w:tc>
          <w:tcPr>
            <w:tcW w:w="1749" w:type="dxa"/>
            <w:vAlign w:val="center"/>
          </w:tcPr>
          <w:p w14:paraId="18F05B9B">
            <w:pPr>
              <w:adjustRightInd w:val="0"/>
              <w:snapToGrid w:val="0"/>
              <w:jc w:val="center"/>
              <w:rPr>
                <w:sz w:val="24"/>
              </w:rPr>
            </w:pPr>
            <w:r>
              <w:rPr>
                <w:sz w:val="24"/>
              </w:rPr>
              <w:t>项目审批（核准/</w:t>
            </w:r>
          </w:p>
          <w:p w14:paraId="57F6FD9B">
            <w:pPr>
              <w:adjustRightInd w:val="0"/>
              <w:snapToGrid w:val="0"/>
              <w:jc w:val="center"/>
            </w:pPr>
            <w:r>
              <w:rPr>
                <w:sz w:val="24"/>
              </w:rPr>
              <w:t>备案）文号（选填）</w:t>
            </w:r>
          </w:p>
        </w:tc>
        <w:tc>
          <w:tcPr>
            <w:tcW w:w="3346" w:type="dxa"/>
            <w:vAlign w:val="center"/>
          </w:tcPr>
          <w:p w14:paraId="396C1B45">
            <w:pPr>
              <w:adjustRightInd w:val="0"/>
              <w:snapToGrid w:val="0"/>
              <w:jc w:val="center"/>
              <w:rPr>
                <w:sz w:val="24"/>
                <w:szCs w:val="24"/>
              </w:rPr>
            </w:pPr>
            <w:r>
              <w:rPr>
                <w:rFonts w:hint="eastAsia"/>
                <w:sz w:val="24"/>
                <w:szCs w:val="24"/>
              </w:rPr>
              <w:t>曲发改基础〔2026〕19号</w:t>
            </w:r>
          </w:p>
        </w:tc>
      </w:tr>
      <w:tr w14:paraId="74F11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6D6FA5C1">
            <w:pPr>
              <w:adjustRightInd w:val="0"/>
              <w:snapToGrid w:val="0"/>
              <w:jc w:val="center"/>
              <w:rPr>
                <w:sz w:val="24"/>
              </w:rPr>
            </w:pPr>
            <w:r>
              <w:rPr>
                <w:sz w:val="24"/>
              </w:rPr>
              <w:t>总投资（万元）</w:t>
            </w:r>
          </w:p>
        </w:tc>
        <w:tc>
          <w:tcPr>
            <w:tcW w:w="2145" w:type="dxa"/>
            <w:vAlign w:val="center"/>
          </w:tcPr>
          <w:p w14:paraId="6F36CEDA">
            <w:pPr>
              <w:adjustRightInd w:val="0"/>
              <w:snapToGrid w:val="0"/>
              <w:jc w:val="center"/>
              <w:rPr>
                <w:sz w:val="24"/>
              </w:rPr>
            </w:pPr>
            <w:r>
              <w:rPr>
                <w:sz w:val="24"/>
              </w:rPr>
              <w:t>969</w:t>
            </w:r>
          </w:p>
        </w:tc>
        <w:tc>
          <w:tcPr>
            <w:tcW w:w="1749" w:type="dxa"/>
            <w:vAlign w:val="center"/>
          </w:tcPr>
          <w:p w14:paraId="24AA7736">
            <w:pPr>
              <w:adjustRightInd w:val="0"/>
              <w:snapToGrid w:val="0"/>
              <w:jc w:val="center"/>
            </w:pPr>
            <w:r>
              <w:rPr>
                <w:sz w:val="24"/>
              </w:rPr>
              <w:t>环保投资（万元）</w:t>
            </w:r>
          </w:p>
        </w:tc>
        <w:tc>
          <w:tcPr>
            <w:tcW w:w="3346" w:type="dxa"/>
            <w:vAlign w:val="center"/>
          </w:tcPr>
          <w:p w14:paraId="3AAC0964">
            <w:pPr>
              <w:adjustRightInd w:val="0"/>
              <w:snapToGrid w:val="0"/>
              <w:jc w:val="center"/>
            </w:pPr>
            <w:r>
              <w:rPr>
                <w:sz w:val="24"/>
              </w:rPr>
              <w:t>38.5</w:t>
            </w:r>
          </w:p>
        </w:tc>
      </w:tr>
      <w:tr w14:paraId="20E87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5F6740E8">
            <w:pPr>
              <w:adjustRightInd w:val="0"/>
              <w:snapToGrid w:val="0"/>
              <w:jc w:val="center"/>
              <w:rPr>
                <w:sz w:val="24"/>
              </w:rPr>
            </w:pPr>
            <w:r>
              <w:rPr>
                <w:sz w:val="24"/>
              </w:rPr>
              <w:t>环保投资占比（%）</w:t>
            </w:r>
          </w:p>
        </w:tc>
        <w:tc>
          <w:tcPr>
            <w:tcW w:w="2145" w:type="dxa"/>
            <w:vAlign w:val="center"/>
          </w:tcPr>
          <w:p w14:paraId="1731E311">
            <w:pPr>
              <w:adjustRightInd w:val="0"/>
              <w:snapToGrid w:val="0"/>
              <w:jc w:val="center"/>
              <w:rPr>
                <w:sz w:val="24"/>
              </w:rPr>
            </w:pPr>
            <w:r>
              <w:rPr>
                <w:sz w:val="24"/>
              </w:rPr>
              <w:t>3.97</w:t>
            </w:r>
          </w:p>
        </w:tc>
        <w:tc>
          <w:tcPr>
            <w:tcW w:w="1749" w:type="dxa"/>
            <w:vAlign w:val="center"/>
          </w:tcPr>
          <w:p w14:paraId="6FE0D465">
            <w:pPr>
              <w:adjustRightInd w:val="0"/>
              <w:snapToGrid w:val="0"/>
              <w:jc w:val="center"/>
            </w:pPr>
            <w:r>
              <w:rPr>
                <w:sz w:val="24"/>
              </w:rPr>
              <w:t>施工工期</w:t>
            </w:r>
          </w:p>
        </w:tc>
        <w:tc>
          <w:tcPr>
            <w:tcW w:w="3346" w:type="dxa"/>
            <w:vAlign w:val="center"/>
          </w:tcPr>
          <w:p w14:paraId="1F412300">
            <w:pPr>
              <w:adjustRightInd w:val="0"/>
              <w:snapToGrid w:val="0"/>
              <w:jc w:val="center"/>
            </w:pPr>
            <w:r>
              <w:rPr>
                <w:sz w:val="24"/>
              </w:rPr>
              <w:t>6个月</w:t>
            </w:r>
          </w:p>
        </w:tc>
      </w:tr>
      <w:tr w14:paraId="0BBE63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1143853C">
            <w:pPr>
              <w:adjustRightInd w:val="0"/>
              <w:snapToGrid w:val="0"/>
              <w:jc w:val="center"/>
              <w:rPr>
                <w:sz w:val="24"/>
              </w:rPr>
            </w:pPr>
            <w:r>
              <w:rPr>
                <w:sz w:val="24"/>
              </w:rPr>
              <w:t>是否开工建设</w:t>
            </w:r>
          </w:p>
        </w:tc>
        <w:tc>
          <w:tcPr>
            <w:tcW w:w="7240" w:type="dxa"/>
            <w:gridSpan w:val="3"/>
            <w:vAlign w:val="center"/>
          </w:tcPr>
          <w:p w14:paraId="665B056B">
            <w:pPr>
              <w:adjustRightInd w:val="0"/>
              <w:snapToGrid w:val="0"/>
              <w:ind w:firstLine="105"/>
              <w:jc w:val="left"/>
              <w:rPr>
                <w:sz w:val="24"/>
              </w:rPr>
            </w:pPr>
            <w:r>
              <w:rPr>
                <w:sz w:val="24"/>
              </w:rPr>
              <w:sym w:font="Wingdings 2" w:char="0052"/>
            </w:r>
            <w:r>
              <w:rPr>
                <w:sz w:val="24"/>
              </w:rPr>
              <w:t>否</w:t>
            </w:r>
          </w:p>
          <w:p w14:paraId="4CEBC3AB">
            <w:pPr>
              <w:adjustRightInd w:val="0"/>
              <w:snapToGrid w:val="0"/>
              <w:ind w:firstLine="92"/>
              <w:jc w:val="left"/>
              <w:rPr>
                <w:sz w:val="24"/>
              </w:rPr>
            </w:pPr>
            <w:r>
              <w:rPr>
                <w:sz w:val="24"/>
              </w:rPr>
              <w:sym w:font="Wingdings 2" w:char="00A3"/>
            </w:r>
            <w:r>
              <w:rPr>
                <w:sz w:val="24"/>
              </w:rPr>
              <w:t>是</w:t>
            </w:r>
          </w:p>
        </w:tc>
      </w:tr>
      <w:tr w14:paraId="53A9D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21F21F7C">
            <w:pPr>
              <w:autoSpaceDE w:val="0"/>
              <w:autoSpaceDN w:val="0"/>
              <w:adjustRightInd w:val="0"/>
              <w:snapToGrid w:val="0"/>
              <w:jc w:val="center"/>
              <w:rPr>
                <w:sz w:val="24"/>
              </w:rPr>
            </w:pPr>
            <w:r>
              <w:rPr>
                <w:kern w:val="0"/>
                <w:sz w:val="24"/>
              </w:rPr>
              <w:t>专项评价设置情况</w:t>
            </w:r>
          </w:p>
        </w:tc>
        <w:tc>
          <w:tcPr>
            <w:tcW w:w="7240" w:type="dxa"/>
            <w:gridSpan w:val="3"/>
            <w:vAlign w:val="center"/>
          </w:tcPr>
          <w:p w14:paraId="60AEA958">
            <w:pPr>
              <w:spacing w:line="360" w:lineRule="auto"/>
              <w:ind w:left="17" w:firstLine="480" w:firstLineChars="200"/>
              <w:jc w:val="left"/>
              <w:rPr>
                <w:rFonts w:eastAsia="Times New Roman"/>
                <w:b/>
                <w:bCs/>
                <w:color w:val="000000"/>
                <w:sz w:val="24"/>
                <w:lang w:val="zh-CN" w:bidi="zh-CN"/>
              </w:rPr>
            </w:pPr>
            <w:r>
              <w:rPr>
                <w:color w:val="000000"/>
                <w:sz w:val="24"/>
                <w:lang w:bidi="zh-CN"/>
              </w:rPr>
              <w:t>1、</w:t>
            </w:r>
            <w:r>
              <w:rPr>
                <w:color w:val="000000"/>
                <w:sz w:val="24"/>
                <w:lang w:val="zh-CN" w:bidi="zh-CN"/>
              </w:rPr>
              <w:t>根据《建设项目环境影响报告表编制技术指南（生态影响类）（试行）》中表</w:t>
            </w:r>
            <w:r>
              <w:rPr>
                <w:rFonts w:eastAsia="Times New Roman"/>
                <w:color w:val="000000"/>
                <w:sz w:val="24"/>
                <w:lang w:val="zh-CN" w:bidi="zh-CN"/>
              </w:rPr>
              <w:t>1-1</w:t>
            </w:r>
            <w:r>
              <w:rPr>
                <w:color w:val="000000"/>
                <w:sz w:val="24"/>
                <w:lang w:val="zh-CN" w:bidi="zh-CN"/>
              </w:rPr>
              <w:t>确定是否设置项目专项评价。</w:t>
            </w:r>
          </w:p>
          <w:p w14:paraId="27A371E2">
            <w:pPr>
              <w:spacing w:line="360" w:lineRule="auto"/>
              <w:ind w:firstLine="422" w:firstLineChars="200"/>
              <w:jc w:val="center"/>
              <w:rPr>
                <w:rFonts w:eastAsia="Times New Roman"/>
                <w:b/>
                <w:bCs/>
                <w:color w:val="000000"/>
                <w:lang w:val="zh-CN" w:bidi="zh-CN"/>
              </w:rPr>
            </w:pPr>
            <w:r>
              <w:rPr>
                <w:b/>
                <w:bCs/>
                <w:color w:val="000000"/>
                <w:lang w:val="zh-CN" w:bidi="zh-CN"/>
              </w:rPr>
              <w:t>表</w:t>
            </w:r>
            <w:r>
              <w:rPr>
                <w:rFonts w:eastAsia="Times New Roman"/>
                <w:b/>
                <w:bCs/>
                <w:color w:val="000000"/>
                <w:lang w:val="zh-CN" w:bidi="zh-CN"/>
              </w:rPr>
              <w:t xml:space="preserve">1-1 </w:t>
            </w:r>
            <w:r>
              <w:rPr>
                <w:b/>
                <w:bCs/>
                <w:color w:val="000000"/>
                <w:lang w:bidi="zh-CN"/>
              </w:rPr>
              <w:t xml:space="preserve"> </w:t>
            </w:r>
            <w:r>
              <w:rPr>
                <w:b/>
                <w:bCs/>
                <w:color w:val="000000"/>
                <w:lang w:val="zh-CN" w:bidi="zh-CN"/>
              </w:rPr>
              <w:t>与专项评价设置原则表的对照分析</w:t>
            </w:r>
          </w:p>
          <w:tbl>
            <w:tblPr>
              <w:tblStyle w:val="45"/>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214"/>
              <w:gridCol w:w="2591"/>
              <w:gridCol w:w="694"/>
            </w:tblGrid>
            <w:tr w14:paraId="0D1F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60" w:type="pct"/>
                  <w:vAlign w:val="center"/>
                </w:tcPr>
                <w:p w14:paraId="4454A792">
                  <w:pPr>
                    <w:jc w:val="center"/>
                    <w:rPr>
                      <w:b/>
                      <w:bCs/>
                      <w:color w:val="000000"/>
                    </w:rPr>
                  </w:pPr>
                  <w:r>
                    <w:rPr>
                      <w:b/>
                      <w:bCs/>
                      <w:color w:val="000000"/>
                    </w:rPr>
                    <w:t>专项评价类别</w:t>
                  </w:r>
                </w:p>
              </w:tc>
              <w:tc>
                <w:tcPr>
                  <w:tcW w:w="2195" w:type="pct"/>
                  <w:vAlign w:val="center"/>
                </w:tcPr>
                <w:p w14:paraId="7EAD55EA">
                  <w:pPr>
                    <w:jc w:val="center"/>
                    <w:rPr>
                      <w:b/>
                      <w:bCs/>
                      <w:color w:val="000000"/>
                    </w:rPr>
                  </w:pPr>
                  <w:r>
                    <w:rPr>
                      <w:b/>
                      <w:bCs/>
                      <w:color w:val="000000"/>
                    </w:rPr>
                    <w:t>涉及项目类别</w:t>
                  </w:r>
                </w:p>
              </w:tc>
              <w:tc>
                <w:tcPr>
                  <w:tcW w:w="1769" w:type="pct"/>
                  <w:vAlign w:val="center"/>
                </w:tcPr>
                <w:p w14:paraId="5AC5F5F5">
                  <w:pPr>
                    <w:jc w:val="center"/>
                    <w:rPr>
                      <w:b/>
                      <w:bCs/>
                      <w:color w:val="000000"/>
                    </w:rPr>
                  </w:pPr>
                  <w:r>
                    <w:rPr>
                      <w:b/>
                      <w:bCs/>
                      <w:color w:val="000000"/>
                    </w:rPr>
                    <w:t>本项目符合性</w:t>
                  </w:r>
                </w:p>
              </w:tc>
              <w:tc>
                <w:tcPr>
                  <w:tcW w:w="474" w:type="pct"/>
                  <w:vAlign w:val="center"/>
                </w:tcPr>
                <w:p w14:paraId="77798CE5">
                  <w:pPr>
                    <w:jc w:val="center"/>
                    <w:rPr>
                      <w:b/>
                      <w:bCs/>
                      <w:color w:val="000000"/>
                    </w:rPr>
                  </w:pPr>
                  <w:r>
                    <w:rPr>
                      <w:b/>
                      <w:bCs/>
                      <w:color w:val="000000"/>
                    </w:rPr>
                    <w:t>是否设置专项</w:t>
                  </w:r>
                </w:p>
              </w:tc>
            </w:tr>
            <w:tr w14:paraId="4DF2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0" w:type="pct"/>
                  <w:vAlign w:val="center"/>
                </w:tcPr>
                <w:p w14:paraId="7EF53AAE">
                  <w:pPr>
                    <w:jc w:val="center"/>
                    <w:rPr>
                      <w:color w:val="000000"/>
                    </w:rPr>
                  </w:pPr>
                  <w:r>
                    <w:rPr>
                      <w:color w:val="000000"/>
                    </w:rPr>
                    <w:t>地表水</w:t>
                  </w:r>
                </w:p>
              </w:tc>
              <w:tc>
                <w:tcPr>
                  <w:tcW w:w="2195" w:type="pct"/>
                  <w:vAlign w:val="center"/>
                </w:tcPr>
                <w:p w14:paraId="20D92770">
                  <w:pPr>
                    <w:rPr>
                      <w:color w:val="000000"/>
                    </w:rPr>
                  </w:pPr>
                  <w:r>
                    <w:rPr>
                      <w:color w:val="000000"/>
                    </w:rPr>
                    <w:t>水力发电：引水式发电、涉及调峰发电的项目；</w:t>
                  </w:r>
                </w:p>
                <w:p w14:paraId="45CAC1D6">
                  <w:pPr>
                    <w:rPr>
                      <w:color w:val="000000"/>
                    </w:rPr>
                  </w:pPr>
                  <w:r>
                    <w:rPr>
                      <w:color w:val="000000"/>
                    </w:rPr>
                    <w:t>人工湖、人工湿地：全部；</w:t>
                  </w:r>
                </w:p>
                <w:p w14:paraId="0E7B19E5">
                  <w:pPr>
                    <w:rPr>
                      <w:color w:val="000000"/>
                    </w:rPr>
                  </w:pPr>
                  <w:r>
                    <w:rPr>
                      <w:color w:val="000000"/>
                    </w:rPr>
                    <w:t>水库：全部；</w:t>
                  </w:r>
                </w:p>
                <w:p w14:paraId="239D0FEE">
                  <w:pPr>
                    <w:rPr>
                      <w:color w:val="000000"/>
                    </w:rPr>
                  </w:pPr>
                  <w:r>
                    <w:rPr>
                      <w:color w:val="000000"/>
                    </w:rPr>
                    <w:t>引水工程：全部（配套的管线工程等除外）；</w:t>
                  </w:r>
                </w:p>
                <w:p w14:paraId="5B78D79B">
                  <w:pPr>
                    <w:rPr>
                      <w:color w:val="000000"/>
                    </w:rPr>
                  </w:pPr>
                  <w:r>
                    <w:rPr>
                      <w:color w:val="000000"/>
                    </w:rPr>
                    <w:t>防洪除涝工程：包括水库的项目；</w:t>
                  </w:r>
                </w:p>
                <w:p w14:paraId="45F42D59">
                  <w:pPr>
                    <w:rPr>
                      <w:color w:val="000000"/>
                    </w:rPr>
                  </w:pPr>
                  <w:r>
                    <w:rPr>
                      <w:color w:val="000000"/>
                    </w:rPr>
                    <w:t>河湖整治：涉及清淤且底泥存在重金属污染的项目</w:t>
                  </w:r>
                </w:p>
              </w:tc>
              <w:tc>
                <w:tcPr>
                  <w:tcW w:w="1769" w:type="pct"/>
                  <w:vAlign w:val="center"/>
                </w:tcPr>
                <w:p w14:paraId="437C9995">
                  <w:pPr>
                    <w:rPr>
                      <w:color w:val="000000"/>
                    </w:rPr>
                  </w:pPr>
                  <w:r>
                    <w:rPr>
                      <w:color w:val="000000"/>
                    </w:rPr>
                    <w:t>本项目属于</w:t>
                  </w:r>
                  <w:r>
                    <w:rPr>
                      <w:rFonts w:hint="eastAsia"/>
                      <w:color w:val="000000"/>
                    </w:rPr>
                    <w:t>输变电建设</w:t>
                  </w:r>
                  <w:r>
                    <w:rPr>
                      <w:color w:val="000000"/>
                    </w:rPr>
                    <w:t>项目，不属于需要设置地表水专项评价的项目类别。</w:t>
                  </w:r>
                </w:p>
              </w:tc>
              <w:tc>
                <w:tcPr>
                  <w:tcW w:w="474" w:type="pct"/>
                  <w:vAlign w:val="center"/>
                </w:tcPr>
                <w:p w14:paraId="1E1CB256">
                  <w:pPr>
                    <w:jc w:val="center"/>
                    <w:rPr>
                      <w:color w:val="000000"/>
                    </w:rPr>
                  </w:pPr>
                  <w:r>
                    <w:rPr>
                      <w:color w:val="000000"/>
                    </w:rPr>
                    <w:t>否</w:t>
                  </w:r>
                </w:p>
              </w:tc>
            </w:tr>
            <w:tr w14:paraId="524B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60" w:type="pct"/>
                  <w:vAlign w:val="center"/>
                </w:tcPr>
                <w:p w14:paraId="6452E5DD">
                  <w:pPr>
                    <w:jc w:val="center"/>
                    <w:rPr>
                      <w:color w:val="000000"/>
                    </w:rPr>
                  </w:pPr>
                  <w:r>
                    <w:rPr>
                      <w:color w:val="000000"/>
                    </w:rPr>
                    <w:t>地下水</w:t>
                  </w:r>
                </w:p>
              </w:tc>
              <w:tc>
                <w:tcPr>
                  <w:tcW w:w="2195" w:type="pct"/>
                  <w:vAlign w:val="center"/>
                </w:tcPr>
                <w:p w14:paraId="5B493D6E">
                  <w:pPr>
                    <w:rPr>
                      <w:color w:val="000000"/>
                    </w:rPr>
                  </w:pPr>
                  <w:r>
                    <w:rPr>
                      <w:color w:val="000000"/>
                    </w:rPr>
                    <w:t>陆地石油和天然气开采：全部；</w:t>
                  </w:r>
                </w:p>
                <w:p w14:paraId="23C67F40">
                  <w:pPr>
                    <w:rPr>
                      <w:color w:val="000000"/>
                    </w:rPr>
                  </w:pPr>
                  <w:r>
                    <w:rPr>
                      <w:color w:val="000000"/>
                    </w:rPr>
                    <w:t>地下水（含矿泉水）开采：全部；</w:t>
                  </w:r>
                </w:p>
                <w:p w14:paraId="110C8F5F">
                  <w:pPr>
                    <w:rPr>
                      <w:color w:val="000000"/>
                    </w:rPr>
                  </w:pPr>
                  <w:r>
                    <w:rPr>
                      <w:color w:val="000000"/>
                    </w:rPr>
                    <w:t>水利、水电、交通等：含穿越可溶岩地层隧道的项目</w:t>
                  </w:r>
                </w:p>
              </w:tc>
              <w:tc>
                <w:tcPr>
                  <w:tcW w:w="1769" w:type="pct"/>
                  <w:vAlign w:val="center"/>
                </w:tcPr>
                <w:p w14:paraId="29E4F02D">
                  <w:pPr>
                    <w:rPr>
                      <w:color w:val="000000"/>
                    </w:rPr>
                  </w:pPr>
                  <w:r>
                    <w:rPr>
                      <w:color w:val="000000"/>
                    </w:rPr>
                    <w:t>本项目为</w:t>
                  </w:r>
                  <w:r>
                    <w:rPr>
                      <w:rFonts w:hint="eastAsia"/>
                      <w:color w:val="000000"/>
                    </w:rPr>
                    <w:t>输变电建设</w:t>
                  </w:r>
                  <w:r>
                    <w:rPr>
                      <w:color w:val="000000"/>
                    </w:rPr>
                    <w:t>项目，不属于编制指南中规定的涉及地下水的项目类别，因此</w:t>
                  </w:r>
                  <w:r>
                    <w:rPr>
                      <w:rFonts w:hint="eastAsia"/>
                      <w:color w:val="000000"/>
                    </w:rPr>
                    <w:t>无须</w:t>
                  </w:r>
                  <w:r>
                    <w:rPr>
                      <w:color w:val="000000"/>
                    </w:rPr>
                    <w:t>设置地下水专项评价。</w:t>
                  </w:r>
                </w:p>
              </w:tc>
              <w:tc>
                <w:tcPr>
                  <w:tcW w:w="474" w:type="pct"/>
                  <w:vAlign w:val="center"/>
                </w:tcPr>
                <w:p w14:paraId="4EDEBED2">
                  <w:pPr>
                    <w:jc w:val="center"/>
                    <w:rPr>
                      <w:color w:val="000000"/>
                    </w:rPr>
                  </w:pPr>
                  <w:r>
                    <w:rPr>
                      <w:color w:val="000000"/>
                    </w:rPr>
                    <w:t>否</w:t>
                  </w:r>
                </w:p>
              </w:tc>
            </w:tr>
            <w:tr w14:paraId="0A09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60" w:type="pct"/>
                  <w:vAlign w:val="center"/>
                </w:tcPr>
                <w:p w14:paraId="2FF9763B">
                  <w:pPr>
                    <w:jc w:val="center"/>
                    <w:rPr>
                      <w:color w:val="000000"/>
                    </w:rPr>
                  </w:pPr>
                  <w:r>
                    <w:rPr>
                      <w:color w:val="000000"/>
                    </w:rPr>
                    <w:t>生态</w:t>
                  </w:r>
                </w:p>
              </w:tc>
              <w:tc>
                <w:tcPr>
                  <w:tcW w:w="2195" w:type="pct"/>
                  <w:vAlign w:val="center"/>
                </w:tcPr>
                <w:p w14:paraId="10397B32">
                  <w:pPr>
                    <w:rPr>
                      <w:color w:val="000000"/>
                    </w:rPr>
                  </w:pPr>
                  <w:r>
                    <w:rPr>
                      <w:color w:val="000000"/>
                    </w:rPr>
                    <w:t>涉及环境敏感区（不包括饮用水水源保护区，以居住、医疗卫生、文化教育、科研、行政办公为主要功能的区域，以及文物保护单位）的项目</w:t>
                  </w:r>
                </w:p>
              </w:tc>
              <w:tc>
                <w:tcPr>
                  <w:tcW w:w="1769" w:type="pct"/>
                  <w:vAlign w:val="center"/>
                </w:tcPr>
                <w:p w14:paraId="0837E4C4">
                  <w:pPr>
                    <w:rPr>
                      <w:color w:val="000000"/>
                    </w:rPr>
                  </w:pPr>
                  <w:r>
                    <w:rPr>
                      <w:rFonts w:hint="eastAsia"/>
                      <w:color w:val="000000"/>
                    </w:rPr>
                    <w:t>根据《建设项目环境影响评价分类管理名录（2021年版）》，输变电的环境敏感区包括第三条（一）中的全部区域（国家公园、自然保护区、风景名胜区、世界文化和自然遗产地、海洋特别保护区、饮用水水源保护区）；第三条（三）中的以居住、医疗卫生、文化教育、科研、行政办公等为主要功能的区域，本项目评价范围内无国家公园、自然保护区、风景名胜区、世界文化和自然遗产地、海洋特别保护区，不属于需要编制生态专项的项目类别</w:t>
                  </w:r>
                  <w:r>
                    <w:rPr>
                      <w:color w:val="000000"/>
                    </w:rPr>
                    <w:t>。</w:t>
                  </w:r>
                </w:p>
              </w:tc>
              <w:tc>
                <w:tcPr>
                  <w:tcW w:w="474" w:type="pct"/>
                  <w:vAlign w:val="center"/>
                </w:tcPr>
                <w:p w14:paraId="634FDE23">
                  <w:pPr>
                    <w:jc w:val="center"/>
                    <w:rPr>
                      <w:color w:val="000000"/>
                    </w:rPr>
                  </w:pPr>
                  <w:r>
                    <w:rPr>
                      <w:rFonts w:hint="eastAsia"/>
                      <w:color w:val="000000"/>
                    </w:rPr>
                    <w:t>否</w:t>
                  </w:r>
                </w:p>
              </w:tc>
            </w:tr>
            <w:tr w14:paraId="6FB2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560" w:type="pct"/>
                  <w:vAlign w:val="center"/>
                </w:tcPr>
                <w:p w14:paraId="3355F9F5">
                  <w:pPr>
                    <w:jc w:val="center"/>
                    <w:rPr>
                      <w:color w:val="000000"/>
                    </w:rPr>
                  </w:pPr>
                  <w:r>
                    <w:rPr>
                      <w:color w:val="000000"/>
                    </w:rPr>
                    <w:t>大气</w:t>
                  </w:r>
                </w:p>
              </w:tc>
              <w:tc>
                <w:tcPr>
                  <w:tcW w:w="2195" w:type="pct"/>
                  <w:vAlign w:val="center"/>
                </w:tcPr>
                <w:p w14:paraId="0462F5E3">
                  <w:pPr>
                    <w:rPr>
                      <w:color w:val="000000"/>
                    </w:rPr>
                  </w:pPr>
                  <w:r>
                    <w:rPr>
                      <w:color w:val="000000"/>
                    </w:rPr>
                    <w:t>油气、液体化工码头：全部；</w:t>
                  </w:r>
                </w:p>
                <w:p w14:paraId="637FBCAF">
                  <w:pPr>
                    <w:rPr>
                      <w:color w:val="000000"/>
                    </w:rPr>
                  </w:pPr>
                  <w:r>
                    <w:rPr>
                      <w:color w:val="000000"/>
                    </w:rPr>
                    <w:t>干散货（含煤炭、矿石）、件杂、多用途、通用码头：涉及粉尘、挥发性有机物排放的项目；</w:t>
                  </w:r>
                </w:p>
              </w:tc>
              <w:tc>
                <w:tcPr>
                  <w:tcW w:w="1769" w:type="pct"/>
                  <w:vAlign w:val="center"/>
                </w:tcPr>
                <w:p w14:paraId="367680C2">
                  <w:pPr>
                    <w:rPr>
                      <w:color w:val="000000"/>
                    </w:rPr>
                  </w:pPr>
                  <w:r>
                    <w:rPr>
                      <w:color w:val="000000"/>
                    </w:rPr>
                    <w:t>本项目为</w:t>
                  </w:r>
                  <w:r>
                    <w:rPr>
                      <w:rFonts w:hint="eastAsia"/>
                      <w:color w:val="000000"/>
                    </w:rPr>
                    <w:t>输变电建设</w:t>
                  </w:r>
                  <w:r>
                    <w:rPr>
                      <w:color w:val="000000"/>
                    </w:rPr>
                    <w:t>项目，不</w:t>
                  </w:r>
                  <w:r>
                    <w:rPr>
                      <w:rFonts w:hint="eastAsia"/>
                      <w:color w:val="000000"/>
                    </w:rPr>
                    <w:t>属于需要编制</w:t>
                  </w:r>
                  <w:r>
                    <w:rPr>
                      <w:color w:val="000000"/>
                    </w:rPr>
                    <w:t>大气</w:t>
                  </w:r>
                  <w:r>
                    <w:rPr>
                      <w:rFonts w:hint="eastAsia"/>
                      <w:color w:val="000000"/>
                    </w:rPr>
                    <w:t>专项的项目类型</w:t>
                  </w:r>
                  <w:r>
                    <w:rPr>
                      <w:color w:val="000000"/>
                    </w:rPr>
                    <w:t>，无需设置大气专项评价。</w:t>
                  </w:r>
                </w:p>
              </w:tc>
              <w:tc>
                <w:tcPr>
                  <w:tcW w:w="474" w:type="pct"/>
                  <w:vAlign w:val="center"/>
                </w:tcPr>
                <w:p w14:paraId="7B365DA0">
                  <w:pPr>
                    <w:jc w:val="center"/>
                    <w:rPr>
                      <w:color w:val="000000"/>
                    </w:rPr>
                  </w:pPr>
                  <w:r>
                    <w:rPr>
                      <w:color w:val="000000"/>
                    </w:rPr>
                    <w:t>否</w:t>
                  </w:r>
                </w:p>
              </w:tc>
            </w:tr>
            <w:tr w14:paraId="01C1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60" w:type="pct"/>
                  <w:vAlign w:val="center"/>
                </w:tcPr>
                <w:p w14:paraId="390D530D">
                  <w:pPr>
                    <w:jc w:val="center"/>
                    <w:rPr>
                      <w:color w:val="000000"/>
                    </w:rPr>
                  </w:pPr>
                  <w:r>
                    <w:rPr>
                      <w:color w:val="000000"/>
                    </w:rPr>
                    <w:t>噪声</w:t>
                  </w:r>
                </w:p>
              </w:tc>
              <w:tc>
                <w:tcPr>
                  <w:tcW w:w="2195" w:type="pct"/>
                  <w:vAlign w:val="center"/>
                </w:tcPr>
                <w:p w14:paraId="4F37F941">
                  <w:pPr>
                    <w:rPr>
                      <w:color w:val="000000"/>
                    </w:rPr>
                  </w:pPr>
                  <w:r>
                    <w:rPr>
                      <w:color w:val="000000"/>
                    </w:rPr>
                    <w:t>公路、铁路、机场等交通运输业涉及环境敏感区（以居住、医疗卫生、文化教育、科研、行政办公为主要功能的区域）的项目；</w:t>
                  </w:r>
                </w:p>
                <w:p w14:paraId="31622328">
                  <w:pPr>
                    <w:rPr>
                      <w:color w:val="000000"/>
                    </w:rPr>
                  </w:pPr>
                  <w:r>
                    <w:rPr>
                      <w:color w:val="000000"/>
                    </w:rPr>
                    <w:t>城市道路（不含维护，不含支路、人行天桥、人行地道）：全部</w:t>
                  </w:r>
                </w:p>
              </w:tc>
              <w:tc>
                <w:tcPr>
                  <w:tcW w:w="1769" w:type="pct"/>
                  <w:vAlign w:val="center"/>
                </w:tcPr>
                <w:p w14:paraId="1CEB88A1">
                  <w:pPr>
                    <w:rPr>
                      <w:color w:val="000000"/>
                    </w:rPr>
                  </w:pPr>
                  <w:r>
                    <w:rPr>
                      <w:color w:val="000000"/>
                    </w:rPr>
                    <w:t>本项目属于</w:t>
                  </w:r>
                  <w:r>
                    <w:rPr>
                      <w:rFonts w:hint="eastAsia"/>
                      <w:color w:val="000000"/>
                    </w:rPr>
                    <w:t>输变电建设</w:t>
                  </w:r>
                  <w:r>
                    <w:rPr>
                      <w:color w:val="000000"/>
                    </w:rPr>
                    <w:t>项目，不属于需要开展噪声专项评价的项目类型，</w:t>
                  </w:r>
                  <w:r>
                    <w:rPr>
                      <w:rFonts w:hint="eastAsia"/>
                      <w:color w:val="000000"/>
                    </w:rPr>
                    <w:t>无</w:t>
                  </w:r>
                  <w:r>
                    <w:rPr>
                      <w:color w:val="000000"/>
                    </w:rPr>
                    <w:t>需设置噪声专项评价。</w:t>
                  </w:r>
                </w:p>
              </w:tc>
              <w:tc>
                <w:tcPr>
                  <w:tcW w:w="474" w:type="pct"/>
                  <w:vAlign w:val="center"/>
                </w:tcPr>
                <w:p w14:paraId="12E54CD3">
                  <w:pPr>
                    <w:jc w:val="center"/>
                    <w:rPr>
                      <w:color w:val="000000"/>
                    </w:rPr>
                  </w:pPr>
                  <w:r>
                    <w:rPr>
                      <w:color w:val="000000"/>
                    </w:rPr>
                    <w:t>否</w:t>
                  </w:r>
                </w:p>
              </w:tc>
            </w:tr>
            <w:tr w14:paraId="5935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60" w:type="pct"/>
                  <w:vAlign w:val="center"/>
                </w:tcPr>
                <w:p w14:paraId="65420E34">
                  <w:pPr>
                    <w:jc w:val="center"/>
                    <w:rPr>
                      <w:color w:val="000000"/>
                    </w:rPr>
                  </w:pPr>
                  <w:r>
                    <w:rPr>
                      <w:color w:val="000000"/>
                    </w:rPr>
                    <w:t>环境风险</w:t>
                  </w:r>
                </w:p>
              </w:tc>
              <w:tc>
                <w:tcPr>
                  <w:tcW w:w="2195" w:type="pct"/>
                  <w:vAlign w:val="center"/>
                </w:tcPr>
                <w:p w14:paraId="3227DD0D">
                  <w:pPr>
                    <w:rPr>
                      <w:color w:val="000000"/>
                    </w:rPr>
                  </w:pPr>
                  <w:r>
                    <w:rPr>
                      <w:color w:val="000000"/>
                    </w:rPr>
                    <w:t>石油和天然气开采：全部；</w:t>
                  </w:r>
                </w:p>
                <w:p w14:paraId="3E580561">
                  <w:pPr>
                    <w:rPr>
                      <w:color w:val="000000"/>
                    </w:rPr>
                  </w:pPr>
                  <w:r>
                    <w:rPr>
                      <w:color w:val="000000"/>
                    </w:rPr>
                    <w:t>油气、液体化工码头：全部；</w:t>
                  </w:r>
                </w:p>
                <w:p w14:paraId="51D322EB">
                  <w:pPr>
                    <w:rPr>
                      <w:color w:val="000000"/>
                    </w:rPr>
                  </w:pPr>
                  <w:r>
                    <w:rPr>
                      <w:color w:val="000000"/>
                    </w:rPr>
                    <w:t>原油、成品油、天然气管线（不含城镇天然气管线、企业厂区内管线），危险化学品输送管线（不含企业厂区内管线）：全部</w:t>
                  </w:r>
                </w:p>
              </w:tc>
              <w:tc>
                <w:tcPr>
                  <w:tcW w:w="1769" w:type="pct"/>
                  <w:vAlign w:val="center"/>
                </w:tcPr>
                <w:p w14:paraId="2BEF728E">
                  <w:pPr>
                    <w:rPr>
                      <w:color w:val="000000"/>
                    </w:rPr>
                  </w:pPr>
                  <w:r>
                    <w:rPr>
                      <w:color w:val="000000"/>
                    </w:rPr>
                    <w:t>本项目为</w:t>
                  </w:r>
                  <w:r>
                    <w:rPr>
                      <w:rFonts w:hint="eastAsia"/>
                      <w:color w:val="000000"/>
                    </w:rPr>
                    <w:t>输变电建设</w:t>
                  </w:r>
                  <w:r>
                    <w:rPr>
                      <w:color w:val="000000"/>
                    </w:rPr>
                    <w:t>项目，不属于</w:t>
                  </w:r>
                  <w:r>
                    <w:rPr>
                      <w:rFonts w:hint="eastAsia"/>
                      <w:color w:val="000000"/>
                    </w:rPr>
                    <w:t>需要开展</w:t>
                  </w:r>
                  <w:r>
                    <w:rPr>
                      <w:color w:val="000000"/>
                    </w:rPr>
                    <w:t>环境风险</w:t>
                  </w:r>
                  <w:r>
                    <w:rPr>
                      <w:rFonts w:hint="eastAsia"/>
                      <w:color w:val="000000"/>
                    </w:rPr>
                    <w:t>专项的</w:t>
                  </w:r>
                  <w:r>
                    <w:rPr>
                      <w:color w:val="000000"/>
                    </w:rPr>
                    <w:t>项目类别，</w:t>
                  </w:r>
                  <w:r>
                    <w:rPr>
                      <w:rFonts w:hint="eastAsia"/>
                      <w:color w:val="000000"/>
                    </w:rPr>
                    <w:t>无须设置</w:t>
                  </w:r>
                  <w:r>
                    <w:rPr>
                      <w:color w:val="000000"/>
                    </w:rPr>
                    <w:t>环境风险专项评价。</w:t>
                  </w:r>
                </w:p>
              </w:tc>
              <w:tc>
                <w:tcPr>
                  <w:tcW w:w="474" w:type="pct"/>
                  <w:vAlign w:val="center"/>
                </w:tcPr>
                <w:p w14:paraId="1C0A7B9E">
                  <w:pPr>
                    <w:jc w:val="center"/>
                    <w:rPr>
                      <w:color w:val="000000"/>
                    </w:rPr>
                  </w:pPr>
                  <w:r>
                    <w:rPr>
                      <w:color w:val="000000"/>
                    </w:rPr>
                    <w:t>否</w:t>
                  </w:r>
                </w:p>
              </w:tc>
            </w:tr>
          </w:tbl>
          <w:p w14:paraId="66553786">
            <w:pPr>
              <w:autoSpaceDE w:val="0"/>
              <w:autoSpaceDN w:val="0"/>
              <w:adjustRightInd w:val="0"/>
              <w:snapToGrid w:val="0"/>
              <w:ind w:firstLine="420" w:firstLineChars="200"/>
              <w:jc w:val="left"/>
              <w:rPr>
                <w:color w:val="000000"/>
              </w:rPr>
            </w:pPr>
            <w:r>
              <w:rPr>
                <w:color w:val="000000"/>
              </w:rPr>
              <w:t>注：上表中“涉及环境敏感区”是指建设项目位于、穿（跨）越（无害化通过的除外）环境敏感区，或环境影响范围涵盖环境敏感区；环境敏感区是指《建设项目环境影响评价分类管理名录》中针对该类项目所列的敏感区，风力发电项目的环境敏感区是指国家公园、自然保护区、风景名胜区、世界文化和自然遗产地、海洋特别保护区、饮用水水源保护区等。</w:t>
            </w:r>
          </w:p>
          <w:p w14:paraId="6E4001F1">
            <w:pPr>
              <w:pStyle w:val="282"/>
              <w:spacing w:line="360" w:lineRule="auto"/>
              <w:rPr>
                <w:rFonts w:cs="Times New Roman"/>
                <w:color w:val="000000"/>
                <w:sz w:val="24"/>
              </w:rPr>
            </w:pPr>
            <w:r>
              <w:rPr>
                <w:rFonts w:hint="eastAsia" w:cs="Times New Roman"/>
                <w:color w:val="000000"/>
                <w:sz w:val="24"/>
              </w:rPr>
              <w:t>根据《建设项目环境影响评价分类管理名录》（2</w:t>
            </w:r>
            <w:r>
              <w:rPr>
                <w:rFonts w:cs="Times New Roman"/>
                <w:color w:val="000000"/>
                <w:sz w:val="24"/>
              </w:rPr>
              <w:t>021</w:t>
            </w:r>
            <w:r>
              <w:rPr>
                <w:rFonts w:hint="eastAsia" w:cs="Times New Roman"/>
                <w:color w:val="000000"/>
                <w:sz w:val="24"/>
              </w:rPr>
              <w:t>年），风电项目的环境敏感区为：（1）国家公园、自然保护区、风景名胜区、世界文化和自然遗产地、海洋特别保护区、饮用水水源保护区；（2）以居住、医疗卫生、文化教育、科研、行政办公为主要功能的区域，以及文物保护单位。本项目不涉及以上环境敏感区。</w:t>
            </w:r>
          </w:p>
          <w:p w14:paraId="28977AD4">
            <w:pPr>
              <w:pStyle w:val="282"/>
              <w:spacing w:line="360" w:lineRule="auto"/>
              <w:rPr>
                <w:rFonts w:cs="Times New Roman"/>
                <w:color w:val="000000"/>
                <w:sz w:val="24"/>
              </w:rPr>
            </w:pPr>
            <w:r>
              <w:rPr>
                <w:rFonts w:cs="Times New Roman"/>
                <w:color w:val="000000"/>
                <w:sz w:val="24"/>
              </w:rPr>
              <w:t>2、</w:t>
            </w:r>
            <w:r>
              <w:rPr>
                <w:rFonts w:hint="eastAsia" w:cs="Times New Roman"/>
                <w:color w:val="000000"/>
                <w:sz w:val="24"/>
              </w:rPr>
              <w:t>本项目属于输变电工程，</w:t>
            </w:r>
            <w:r>
              <w:rPr>
                <w:rFonts w:cs="Times New Roman"/>
                <w:color w:val="000000"/>
                <w:sz w:val="24"/>
              </w:rPr>
              <w:t>根据《环境影响评价技术导则 输变电》（HJ24-2020）</w:t>
            </w:r>
            <w:r>
              <w:rPr>
                <w:rFonts w:hint="eastAsia" w:cs="Times New Roman"/>
                <w:color w:val="000000"/>
                <w:sz w:val="24"/>
              </w:rPr>
              <w:t>附录B</w:t>
            </w:r>
            <w:r>
              <w:rPr>
                <w:rFonts w:cs="Times New Roman"/>
                <w:color w:val="000000"/>
                <w:sz w:val="24"/>
              </w:rPr>
              <w:t>，</w:t>
            </w:r>
            <w:r>
              <w:rPr>
                <w:rFonts w:hint="eastAsia" w:cs="Times New Roman"/>
                <w:color w:val="000000"/>
                <w:sz w:val="24"/>
              </w:rPr>
              <w:t>本次评价设电磁环境影响专题评价</w:t>
            </w:r>
            <w:r>
              <w:rPr>
                <w:rFonts w:cs="Times New Roman"/>
                <w:color w:val="000000"/>
                <w:sz w:val="24"/>
              </w:rPr>
              <w:t>。</w:t>
            </w:r>
          </w:p>
          <w:p w14:paraId="564FEFA8">
            <w:pPr>
              <w:autoSpaceDE w:val="0"/>
              <w:autoSpaceDN w:val="0"/>
              <w:adjustRightInd w:val="0"/>
              <w:snapToGrid w:val="0"/>
              <w:spacing w:line="360" w:lineRule="auto"/>
              <w:ind w:firstLine="482" w:firstLineChars="200"/>
              <w:rPr>
                <w:sz w:val="24"/>
              </w:rPr>
            </w:pPr>
            <w:r>
              <w:rPr>
                <w:b/>
                <w:bCs/>
                <w:color w:val="000000"/>
                <w:sz w:val="24"/>
              </w:rPr>
              <w:t>综上所述，本项目设置电磁环境影响</w:t>
            </w:r>
            <w:r>
              <w:rPr>
                <w:rFonts w:hint="eastAsia"/>
                <w:b/>
                <w:bCs/>
                <w:color w:val="000000"/>
                <w:sz w:val="24"/>
              </w:rPr>
              <w:t>专题</w:t>
            </w:r>
            <w:r>
              <w:rPr>
                <w:b/>
                <w:bCs/>
                <w:color w:val="000000"/>
                <w:sz w:val="24"/>
              </w:rPr>
              <w:t>评价</w:t>
            </w:r>
            <w:r>
              <w:rPr>
                <w:rFonts w:hint="eastAsia"/>
                <w:b/>
                <w:bCs/>
                <w:color w:val="000000"/>
                <w:sz w:val="24"/>
              </w:rPr>
              <w:t>。</w:t>
            </w:r>
          </w:p>
        </w:tc>
      </w:tr>
      <w:tr w14:paraId="68529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3568B993">
            <w:pPr>
              <w:autoSpaceDE w:val="0"/>
              <w:autoSpaceDN w:val="0"/>
              <w:adjustRightInd w:val="0"/>
              <w:snapToGrid w:val="0"/>
              <w:jc w:val="center"/>
              <w:rPr>
                <w:sz w:val="24"/>
              </w:rPr>
            </w:pPr>
            <w:r>
              <w:rPr>
                <w:sz w:val="24"/>
              </w:rPr>
              <w:t>规划情况</w:t>
            </w:r>
          </w:p>
        </w:tc>
        <w:tc>
          <w:tcPr>
            <w:tcW w:w="7240" w:type="dxa"/>
            <w:gridSpan w:val="3"/>
            <w:vAlign w:val="center"/>
          </w:tcPr>
          <w:p w14:paraId="49C7D5F7">
            <w:pPr>
              <w:widowControl/>
              <w:adjustRightInd w:val="0"/>
              <w:snapToGrid w:val="0"/>
              <w:spacing w:line="360" w:lineRule="auto"/>
              <w:ind w:firstLine="482" w:firstLineChars="200"/>
              <w:jc w:val="left"/>
              <w:rPr>
                <w:kern w:val="0"/>
                <w:sz w:val="24"/>
                <w:lang w:bidi="ar"/>
              </w:rPr>
            </w:pPr>
            <w:r>
              <w:rPr>
                <w:b/>
                <w:bCs/>
                <w:sz w:val="24"/>
              </w:rPr>
              <w:t>云南省发展和改革委员会 云南省能源局关于印发云南省2025年第一批新能源项目开发建设方案的通知</w:t>
            </w:r>
          </w:p>
          <w:p w14:paraId="126851D4">
            <w:pPr>
              <w:widowControl/>
              <w:adjustRightInd w:val="0"/>
              <w:snapToGrid w:val="0"/>
              <w:spacing w:line="360" w:lineRule="auto"/>
              <w:ind w:firstLine="480" w:firstLineChars="200"/>
              <w:jc w:val="left"/>
            </w:pPr>
            <w:r>
              <w:rPr>
                <w:kern w:val="0"/>
                <w:sz w:val="24"/>
                <w:lang w:bidi="ar"/>
              </w:rPr>
              <w:t>规划名称：《云南省发展和改革委员会 云南省能源局关于印发云南省2025年第一批新能源项目开发建设方案的通知》；</w:t>
            </w:r>
          </w:p>
          <w:p w14:paraId="4717F779">
            <w:pPr>
              <w:widowControl/>
              <w:adjustRightInd w:val="0"/>
              <w:snapToGrid w:val="0"/>
              <w:spacing w:line="360" w:lineRule="auto"/>
              <w:ind w:firstLine="480" w:firstLineChars="200"/>
              <w:jc w:val="left"/>
            </w:pPr>
            <w:r>
              <w:rPr>
                <w:kern w:val="0"/>
                <w:sz w:val="24"/>
                <w:lang w:bidi="ar"/>
              </w:rPr>
              <w:t>审批机关：云南省发展和改革委员会 云南省能源局；</w:t>
            </w:r>
          </w:p>
          <w:p w14:paraId="7D7DC567">
            <w:pPr>
              <w:widowControl/>
              <w:adjustRightInd w:val="0"/>
              <w:snapToGrid w:val="0"/>
              <w:spacing w:line="360" w:lineRule="auto"/>
              <w:ind w:firstLine="480" w:firstLineChars="200"/>
              <w:jc w:val="left"/>
              <w:rPr>
                <w:kern w:val="0"/>
                <w:sz w:val="24"/>
                <w:lang w:bidi="ar"/>
              </w:rPr>
            </w:pPr>
            <w:r>
              <w:rPr>
                <w:kern w:val="0"/>
                <w:sz w:val="24"/>
                <w:lang w:bidi="ar"/>
              </w:rPr>
              <w:t>审批文件名称：《云南省发展和改革委员会 云南省能源局关于印发云南省2025年第一批新能源项目开发建设方案的通知》；</w:t>
            </w:r>
          </w:p>
          <w:p w14:paraId="0DA404A3">
            <w:pPr>
              <w:widowControl/>
              <w:spacing w:line="360" w:lineRule="auto"/>
              <w:ind w:firstLine="480" w:firstLineChars="200"/>
              <w:jc w:val="left"/>
              <w:rPr>
                <w:kern w:val="0"/>
                <w:sz w:val="24"/>
                <w:lang w:bidi="ar"/>
              </w:rPr>
            </w:pPr>
            <w:r>
              <w:rPr>
                <w:kern w:val="0"/>
                <w:sz w:val="24"/>
                <w:lang w:bidi="ar"/>
              </w:rPr>
              <w:t>审批文号：云能源新能〔2025〕51号。</w:t>
            </w:r>
          </w:p>
        </w:tc>
      </w:tr>
      <w:tr w14:paraId="6957B5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43B4953F">
            <w:pPr>
              <w:autoSpaceDE w:val="0"/>
              <w:autoSpaceDN w:val="0"/>
              <w:adjustRightInd w:val="0"/>
              <w:snapToGrid w:val="0"/>
              <w:jc w:val="center"/>
              <w:rPr>
                <w:sz w:val="24"/>
              </w:rPr>
            </w:pPr>
            <w:r>
              <w:rPr>
                <w:sz w:val="24"/>
              </w:rPr>
              <w:t>规划环境影响评价情况</w:t>
            </w:r>
          </w:p>
        </w:tc>
        <w:tc>
          <w:tcPr>
            <w:tcW w:w="7240" w:type="dxa"/>
            <w:gridSpan w:val="3"/>
            <w:vAlign w:val="center"/>
          </w:tcPr>
          <w:p w14:paraId="01CE7B2A">
            <w:pPr>
              <w:adjustRightInd w:val="0"/>
              <w:snapToGrid w:val="0"/>
              <w:ind w:firstLine="480" w:firstLineChars="200"/>
              <w:jc w:val="left"/>
              <w:rPr>
                <w:sz w:val="24"/>
              </w:rPr>
            </w:pPr>
            <w:r>
              <w:rPr>
                <w:kern w:val="0"/>
                <w:sz w:val="24"/>
              </w:rPr>
              <w:t>无</w:t>
            </w:r>
          </w:p>
        </w:tc>
      </w:tr>
      <w:tr w14:paraId="339CD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wAfter w:w="15" w:type="dxa"/>
          <w:trHeight w:val="362" w:hRule="atLeast"/>
        </w:trPr>
        <w:tc>
          <w:tcPr>
            <w:tcW w:w="983" w:type="dxa"/>
            <w:tcMar>
              <w:top w:w="16" w:type="dxa"/>
              <w:left w:w="16" w:type="dxa"/>
              <w:right w:w="16" w:type="dxa"/>
            </w:tcMar>
            <w:vAlign w:val="center"/>
          </w:tcPr>
          <w:p w14:paraId="64DEA964">
            <w:pPr>
              <w:autoSpaceDE w:val="0"/>
              <w:autoSpaceDN w:val="0"/>
              <w:adjustRightInd w:val="0"/>
              <w:snapToGrid w:val="0"/>
              <w:jc w:val="center"/>
              <w:rPr>
                <w:sz w:val="24"/>
              </w:rPr>
            </w:pPr>
            <w:r>
              <w:rPr>
                <w:kern w:val="0"/>
                <w:sz w:val="24"/>
              </w:rPr>
              <w:t>规划及</w:t>
            </w:r>
            <w:r>
              <w:rPr>
                <w:sz w:val="24"/>
              </w:rPr>
              <w:t>规划环境影响评价</w:t>
            </w:r>
            <w:r>
              <w:rPr>
                <w:kern w:val="0"/>
                <w:sz w:val="24"/>
              </w:rPr>
              <w:t>符合性分析</w:t>
            </w:r>
          </w:p>
        </w:tc>
        <w:tc>
          <w:tcPr>
            <w:tcW w:w="7240" w:type="dxa"/>
            <w:gridSpan w:val="3"/>
            <w:vAlign w:val="center"/>
          </w:tcPr>
          <w:p w14:paraId="3A5BC035">
            <w:pPr>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1、与《云南省发展和改革委员会 云南省能源局关于印发云南省2025年第一批新能源项目开发建设方案的通知》的符合性分析</w:t>
            </w:r>
          </w:p>
          <w:p w14:paraId="6CE98911">
            <w:pPr>
              <w:spacing w:line="360" w:lineRule="auto"/>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为深入贯彻落实习近平总书记关于大力推动我国新能源高质量发展的重要讲话精神及党的二十届三中全会精神关于完善推动新能源等战略性产业发展政策，扎实推进省委“3815”战略发展目标实施，持续打造绿色能源强省要求，实现“十四五”圆满收官、“十五五”开门红，根据《云南省人民政府印发关于加快光伏发电发展若干政策措施的通知》（云政发〔2022〕16号）等相关要求，特制定本方案。方案中包括风电项目32个，装机245.505万千瓦，</w:t>
            </w:r>
            <w:r>
              <w:rPr>
                <w:rFonts w:hint="eastAsia"/>
                <w:color w:val="000000" w:themeColor="text1"/>
                <w:sz w:val="24"/>
                <w14:textFill>
                  <w14:solidFill>
                    <w14:schemeClr w14:val="tx1"/>
                  </w14:solidFill>
                </w14:textFill>
              </w:rPr>
              <w:t>南冲</w:t>
            </w:r>
            <w:r>
              <w:rPr>
                <w:color w:val="000000" w:themeColor="text1"/>
                <w:sz w:val="24"/>
                <w14:textFill>
                  <w14:solidFill>
                    <w14:schemeClr w14:val="tx1"/>
                  </w14:solidFill>
                </w14:textFill>
              </w:rPr>
              <w:t>风电场是其中之一，装机规模为62.5MW。</w:t>
            </w:r>
          </w:p>
          <w:p w14:paraId="563C4CE2">
            <w:pPr>
              <w:jc w:val="center"/>
            </w:pPr>
            <w:r>
              <w:drawing>
                <wp:inline distT="0" distB="0" distL="0" distR="0">
                  <wp:extent cx="4741545" cy="1618615"/>
                  <wp:effectExtent l="0" t="0" r="1905" b="63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29"/>
                          <a:srcRect l="2672" r="2326"/>
                          <a:stretch>
                            <a:fillRect/>
                          </a:stretch>
                        </pic:blipFill>
                        <pic:spPr>
                          <a:xfrm>
                            <a:off x="0" y="0"/>
                            <a:ext cx="4744770" cy="1619520"/>
                          </a:xfrm>
                          <a:prstGeom prst="rect">
                            <a:avLst/>
                          </a:prstGeom>
                          <a:ln>
                            <a:noFill/>
                          </a:ln>
                        </pic:spPr>
                      </pic:pic>
                    </a:graphicData>
                  </a:graphic>
                </wp:inline>
              </w:drawing>
            </w:r>
          </w:p>
          <w:p w14:paraId="625E4FBE">
            <w:pPr>
              <w:pStyle w:val="44"/>
              <w:spacing w:after="0"/>
              <w:ind w:left="0" w:leftChars="0" w:firstLine="482"/>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图1-1 云南省2025年第一批新能源项目开发建设清单（部分）</w:t>
            </w:r>
          </w:p>
          <w:p w14:paraId="57261D77">
            <w:pPr>
              <w:spacing w:line="360" w:lineRule="auto"/>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本项目属于南冲风电场的配套送出工程。南冲风电场</w:t>
            </w:r>
            <w:r>
              <w:rPr>
                <w:color w:val="000000" w:themeColor="text1"/>
                <w:sz w:val="24"/>
                <w14:textFill>
                  <w14:solidFill>
                    <w14:schemeClr w14:val="tx1"/>
                  </w14:solidFill>
                </w14:textFill>
              </w:rPr>
              <w:t>位于</w:t>
            </w:r>
            <w:r>
              <w:rPr>
                <w:rFonts w:hint="eastAsia"/>
                <w:color w:val="000000" w:themeColor="text1"/>
                <w:sz w:val="24"/>
                <w14:textFill>
                  <w14:solidFill>
                    <w14:schemeClr w14:val="tx1"/>
                  </w14:solidFill>
                </w14:textFill>
              </w:rPr>
              <w:t>曲靖市富源县</w:t>
            </w:r>
            <w:r>
              <w:rPr>
                <w:color w:val="000000" w:themeColor="text1"/>
                <w:sz w:val="24"/>
                <w14:textFill>
                  <w14:solidFill>
                    <w14:schemeClr w14:val="tx1"/>
                  </w14:solidFill>
                </w14:textFill>
              </w:rPr>
              <w:t>，装机规模为62.5MW，为风力发电项目，项目名称、建设地点、装机规模与《云南省发展和改革委员会 云南省能源局关于印发云南省2025年第一批新能源项目开发建设方案的通知》中规划的项目名称和装机规模一致。综上，本项目</w:t>
            </w:r>
            <w:r>
              <w:rPr>
                <w:rFonts w:hint="eastAsia"/>
                <w:color w:val="000000" w:themeColor="text1"/>
                <w:sz w:val="24"/>
                <w14:textFill>
                  <w14:solidFill>
                    <w14:schemeClr w14:val="tx1"/>
                  </w14:solidFill>
                </w14:textFill>
              </w:rPr>
              <w:t>作为南冲风电场配套送出工程， 本项目的</w:t>
            </w:r>
            <w:r>
              <w:rPr>
                <w:color w:val="000000" w:themeColor="text1"/>
                <w:sz w:val="24"/>
                <w14:textFill>
                  <w14:solidFill>
                    <w14:schemeClr w14:val="tx1"/>
                  </w14:solidFill>
                </w14:textFill>
              </w:rPr>
              <w:t>建设与《云南省发展和改革委员会 云南省能源局关于印发云南省2025年第一批新能源项目开发建设方案的通知》是相符的。</w:t>
            </w:r>
          </w:p>
          <w:p w14:paraId="13B91B5D">
            <w:pPr>
              <w:pStyle w:val="216"/>
              <w:ind w:firstLine="0" w:firstLineChars="0"/>
              <w:rPr>
                <w:b/>
                <w:spacing w:val="0"/>
                <w:kern w:val="0"/>
              </w:rPr>
            </w:pPr>
            <w:r>
              <w:rPr>
                <w:b/>
                <w:spacing w:val="0"/>
                <w:kern w:val="0"/>
              </w:rPr>
              <w:t>2、规划环评符合性分析</w:t>
            </w:r>
          </w:p>
          <w:p w14:paraId="3F5B7B7A">
            <w:pPr>
              <w:pStyle w:val="189"/>
              <w:ind w:left="0" w:right="0" w:firstLine="480"/>
              <w:jc w:val="both"/>
              <w:rPr>
                <w:sz w:val="24"/>
              </w:rPr>
            </w:pPr>
            <w:r>
              <w:rPr>
                <w:kern w:val="2"/>
                <w:sz w:val="24"/>
                <w:shd w:val="clear" w:color="auto" w:fill="FFFFFF"/>
              </w:rPr>
              <w:t>目前上述规划没有开展规划环评工作。</w:t>
            </w:r>
          </w:p>
        </w:tc>
      </w:tr>
      <w:tr w14:paraId="6E4BD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2" w:hRule="atLeast"/>
        </w:trPr>
        <w:tc>
          <w:tcPr>
            <w:tcW w:w="983" w:type="dxa"/>
            <w:tcMar>
              <w:top w:w="16" w:type="dxa"/>
              <w:left w:w="16" w:type="dxa"/>
              <w:right w:w="16" w:type="dxa"/>
            </w:tcMar>
            <w:vAlign w:val="center"/>
          </w:tcPr>
          <w:p w14:paraId="22CE9B08">
            <w:pPr>
              <w:autoSpaceDE w:val="0"/>
              <w:autoSpaceDN w:val="0"/>
              <w:adjustRightInd w:val="0"/>
              <w:snapToGrid w:val="0"/>
              <w:jc w:val="center"/>
              <w:rPr>
                <w:kern w:val="0"/>
                <w:sz w:val="24"/>
              </w:rPr>
            </w:pPr>
            <w:bookmarkStart w:id="23" w:name="_Hlk56690880"/>
            <w:r>
              <w:rPr>
                <w:kern w:val="0"/>
                <w:sz w:val="24"/>
              </w:rPr>
              <w:t>其他符合性分析</w:t>
            </w:r>
            <w:bookmarkEnd w:id="23"/>
          </w:p>
        </w:tc>
        <w:tc>
          <w:tcPr>
            <w:tcW w:w="7255" w:type="dxa"/>
            <w:gridSpan w:val="3"/>
            <w:tcMar>
              <w:top w:w="16" w:type="dxa"/>
              <w:left w:w="16" w:type="dxa"/>
              <w:right w:w="16" w:type="dxa"/>
            </w:tcMar>
            <w:vAlign w:val="center"/>
          </w:tcPr>
          <w:p w14:paraId="6B1E57D9">
            <w:pPr>
              <w:spacing w:line="360" w:lineRule="auto"/>
              <w:rPr>
                <w:b/>
                <w:bCs/>
                <w:kern w:val="0"/>
                <w:sz w:val="24"/>
              </w:rPr>
            </w:pPr>
            <w:r>
              <w:rPr>
                <w:b/>
                <w:bCs/>
                <w:kern w:val="0"/>
                <w:sz w:val="24"/>
              </w:rPr>
              <w:t>1、产业结构符合性分析</w:t>
            </w:r>
          </w:p>
          <w:p w14:paraId="229A16AD">
            <w:pPr>
              <w:autoSpaceDE w:val="0"/>
              <w:autoSpaceDN w:val="0"/>
              <w:spacing w:line="360" w:lineRule="auto"/>
              <w:ind w:firstLine="480" w:firstLineChars="200"/>
              <w:rPr>
                <w:sz w:val="24"/>
              </w:rPr>
            </w:pPr>
            <w:r>
              <w:rPr>
                <w:rFonts w:hint="eastAsia"/>
                <w:sz w:val="24"/>
              </w:rPr>
              <w:t>根据《产业结构调整指导目录（2024年本）》，本项目属于第一类“鼓励类”第四条“电力”2．电力基础设施建设“电网改造与建设”，因此，本项目的建设符合国家当前产业政策</w:t>
            </w:r>
            <w:r>
              <w:rPr>
                <w:sz w:val="24"/>
              </w:rPr>
              <w:t>。</w:t>
            </w:r>
          </w:p>
          <w:p w14:paraId="007C321B">
            <w:pPr>
              <w:spacing w:line="360" w:lineRule="auto"/>
              <w:rPr>
                <w:kern w:val="0"/>
                <w:sz w:val="24"/>
              </w:rPr>
            </w:pPr>
            <w:r>
              <w:rPr>
                <w:b/>
                <w:bCs/>
                <w:kern w:val="0"/>
                <w:sz w:val="24"/>
              </w:rPr>
              <w:t>2、与其他相关规划的符合性分析</w:t>
            </w:r>
          </w:p>
          <w:p w14:paraId="379AD49B">
            <w:pPr>
              <w:autoSpaceDE w:val="0"/>
              <w:autoSpaceDN w:val="0"/>
              <w:spacing w:line="360" w:lineRule="auto"/>
              <w:ind w:firstLine="480" w:firstLineChars="200"/>
              <w:jc w:val="left"/>
              <w:rPr>
                <w:kern w:val="0"/>
                <w:sz w:val="24"/>
              </w:rPr>
            </w:pPr>
            <w:r>
              <w:rPr>
                <w:sz w:val="24"/>
              </w:rPr>
              <w:t>（1）</w:t>
            </w:r>
            <w:r>
              <w:rPr>
                <w:kern w:val="0"/>
                <w:sz w:val="24"/>
              </w:rPr>
              <w:t>与《云南省主体功能区规划》的符合性分析</w:t>
            </w:r>
          </w:p>
          <w:p w14:paraId="1E9EC33E">
            <w:pPr>
              <w:spacing w:line="360" w:lineRule="auto"/>
              <w:ind w:firstLine="480" w:firstLineChars="200"/>
              <w:rPr>
                <w:sz w:val="24"/>
              </w:rPr>
            </w:pPr>
            <w:r>
              <w:rPr>
                <w:sz w:val="24"/>
              </w:rPr>
              <w:t>《云南省主体功能区规划》（云政发〔2014〕1号文）将云南省国土空间分为重点开发区域、限制开发区域和禁止开发区域三类。</w:t>
            </w:r>
          </w:p>
          <w:p w14:paraId="49DB0AE3">
            <w:pPr>
              <w:spacing w:line="360" w:lineRule="auto"/>
              <w:ind w:firstLine="480" w:firstLineChars="200"/>
              <w:rPr>
                <w:sz w:val="24"/>
              </w:rPr>
            </w:pPr>
            <w:r>
              <w:rPr>
                <w:sz w:val="24"/>
              </w:rPr>
              <w:t>本工程涉及富源县，富源县属于</w:t>
            </w:r>
            <w:r>
              <w:rPr>
                <w:rFonts w:hint="eastAsia"/>
                <w:sz w:val="24"/>
              </w:rPr>
              <w:t>国家重点开发区域</w:t>
            </w:r>
            <w:r>
              <w:rPr>
                <w:sz w:val="24"/>
              </w:rPr>
              <w:t>。</w:t>
            </w:r>
            <w:r>
              <w:rPr>
                <w:rFonts w:hint="eastAsia"/>
                <w:sz w:val="24"/>
              </w:rPr>
              <w:t>国家重点开发区域的功能定位为：我国面向西南开放重要桥头堡建设的核心区，连接东南亚、南亚国家的陆路交通枢纽，面向东南亚、南亚对外开放的重要门户；全国重要的烟草、旅游、文化、能源和商贸物流基地，以化工、有色冶炼加工、生物为重点的区域性资源加工基地，承接产业转移基地和外向型特色优势产业基地；我国城市化发展格局特色鲜明的高原生态宜居城市群；全省跨越发展的引擎，我国西南地区重要的经济增长极</w:t>
            </w:r>
            <w:r>
              <w:rPr>
                <w:sz w:val="24"/>
              </w:rPr>
              <w:t>。</w:t>
            </w:r>
          </w:p>
          <w:p w14:paraId="733D7DD4">
            <w:pPr>
              <w:spacing w:line="360" w:lineRule="auto"/>
              <w:ind w:firstLine="480" w:firstLineChars="200"/>
              <w:rPr>
                <w:sz w:val="24"/>
              </w:rPr>
            </w:pPr>
            <w:r>
              <w:rPr>
                <w:rFonts w:hint="eastAsia"/>
                <w:sz w:val="24"/>
              </w:rPr>
              <w:t>根据调查，本项目不涉及自然保护区、风景名胜区、现有饮用水水源保护区、森林公园、世界自然遗产地等主体功能区划中的禁止开发区。本项目建设不会对该区域主体功能产生较大扰动，且本项目为电力供应设施建设，主要进行电力供应和输送，项目的建设为当地居民、工业、企业提供电力资源，提高片区的电网可靠性，有利于促进地区的经济发展；且本项目作为线性工程，塔基占地为间歇式点状占用，单个塔基占地面积较小，对当地农业发展影响很小</w:t>
            </w:r>
            <w:r>
              <w:rPr>
                <w:sz w:val="24"/>
              </w:rPr>
              <w:t>。</w:t>
            </w:r>
          </w:p>
          <w:p w14:paraId="19112647">
            <w:pPr>
              <w:autoSpaceDE w:val="0"/>
              <w:autoSpaceDN w:val="0"/>
              <w:spacing w:line="360" w:lineRule="auto"/>
              <w:ind w:firstLine="480" w:firstLineChars="200"/>
              <w:jc w:val="left"/>
              <w:rPr>
                <w:sz w:val="24"/>
              </w:rPr>
            </w:pPr>
            <w:r>
              <w:rPr>
                <w:sz w:val="24"/>
              </w:rPr>
              <w:t>因此，工程建设与云南省主体功能区规划不冲突。</w:t>
            </w:r>
          </w:p>
          <w:p w14:paraId="41F639CD">
            <w:pPr>
              <w:pStyle w:val="190"/>
              <w:ind w:firstLine="496" w:firstLineChars="200"/>
              <w:rPr>
                <w:sz w:val="24"/>
              </w:rPr>
            </w:pPr>
            <w:r>
              <w:rPr>
                <w:rFonts w:eastAsia="黑体"/>
                <w:sz w:val="24"/>
                <w:lang w:val="en-US"/>
              </w:rPr>
              <w:t>（2）</w:t>
            </w:r>
            <w:r>
              <w:rPr>
                <w:sz w:val="24"/>
              </w:rPr>
              <w:t>与《云南省生态功能区划》的符合性分析</w:t>
            </w:r>
          </w:p>
          <w:p w14:paraId="1E14364E">
            <w:pPr>
              <w:adjustRightInd w:val="0"/>
              <w:snapToGrid w:val="0"/>
              <w:spacing w:line="360" w:lineRule="auto"/>
              <w:ind w:firstLine="480" w:firstLineChars="200"/>
              <w:rPr>
                <w:sz w:val="24"/>
              </w:rPr>
            </w:pPr>
            <w:r>
              <w:rPr>
                <w:rFonts w:hint="eastAsia"/>
                <w:sz w:val="24"/>
              </w:rPr>
              <w:t>根</w:t>
            </w:r>
            <w:r>
              <w:rPr>
                <w:sz w:val="24"/>
              </w:rPr>
              <w:t>据《云南省生态功能区划》，本项目位于Ⅲ1-14富源、罗平岩溶中山水源涵养生态功能区。Ⅲ1-14富源、罗平岩溶中山水源涵养生态功能区分布于富源县，罗平县的大部分地区以及沾益县、麒麟区的部分地区。该区域的主要生态特征是：以岩溶中山地貌为主。大部分地区年降雨量1500-2000</w:t>
            </w:r>
            <w:r>
              <w:rPr>
                <w:rFonts w:hint="eastAsia"/>
                <w:sz w:val="24"/>
              </w:rPr>
              <w:t>mm</w:t>
            </w:r>
            <w:r>
              <w:rPr>
                <w:sz w:val="24"/>
              </w:rPr>
              <w:t>，主要植被类型是云南松</w:t>
            </w:r>
            <w:r>
              <w:rPr>
                <w:rFonts w:hint="eastAsia"/>
                <w:sz w:val="24"/>
              </w:rPr>
              <w:t>林，土壤以黄壤和黄棕壤为主</w:t>
            </w:r>
            <w:r>
              <w:rPr>
                <w:sz w:val="24"/>
              </w:rPr>
              <w:t>。该区域的主要生态问题为</w:t>
            </w:r>
            <w:r>
              <w:rPr>
                <w:rFonts w:hint="eastAsia"/>
                <w:sz w:val="24"/>
              </w:rPr>
              <w:t>森林数量少、质量低，矿业开发带来的污染</w:t>
            </w:r>
            <w:r>
              <w:rPr>
                <w:sz w:val="24"/>
              </w:rPr>
              <w:t>。主要生态系统服务功能为</w:t>
            </w:r>
            <w:r>
              <w:rPr>
                <w:rFonts w:hint="eastAsia"/>
                <w:sz w:val="24"/>
              </w:rPr>
              <w:t>云南东部岩溶中山的水源涵养</w:t>
            </w:r>
            <w:r>
              <w:rPr>
                <w:sz w:val="24"/>
              </w:rPr>
              <w:t>。保护措施与发展方向为：</w:t>
            </w:r>
            <w:r>
              <w:rPr>
                <w:rFonts w:hint="eastAsia"/>
                <w:sz w:val="24"/>
              </w:rPr>
              <w:t>严格执行封山育林、人工造林和退耕还林；做好煤矿开采的生态恢复，提高区域的水源涵养效益</w:t>
            </w:r>
            <w:r>
              <w:rPr>
                <w:sz w:val="24"/>
              </w:rPr>
              <w:t>。</w:t>
            </w:r>
          </w:p>
          <w:p w14:paraId="08741718">
            <w:pPr>
              <w:pStyle w:val="190"/>
              <w:ind w:firstLine="496" w:firstLineChars="200"/>
              <w:rPr>
                <w:sz w:val="24"/>
              </w:rPr>
            </w:pPr>
            <w:r>
              <w:rPr>
                <w:sz w:val="24"/>
              </w:rPr>
              <w:t>本项目为基础设施建设项目，为线性工程，占地面积较小，沿线植被均为当地常见物种，分布广泛，占地范围较小且属于间隔式占地，所以项目的建设不会对沿线植被类型及分布造成大的影响</w:t>
            </w:r>
            <w:r>
              <w:rPr>
                <w:rFonts w:hint="eastAsia"/>
                <w:sz w:val="24"/>
              </w:rPr>
              <w:t>，不会导致森林数量减少和矿业污染，不会加剧本区域的生态问题</w:t>
            </w:r>
            <w:r>
              <w:rPr>
                <w:sz w:val="24"/>
              </w:rPr>
              <w:t>。项目建设过程中将严格落实各项环境保护和水土保持措施，及时恢复施工迹地植被，最大程度降低对生态环境的影响</w:t>
            </w:r>
            <w:r>
              <w:rPr>
                <w:rFonts w:hint="eastAsia"/>
                <w:sz w:val="24"/>
              </w:rPr>
              <w:t>，本项目建设不会与本区域的发展方向相悖</w:t>
            </w:r>
            <w:r>
              <w:rPr>
                <w:sz w:val="24"/>
              </w:rPr>
              <w:t>。</w:t>
            </w:r>
          </w:p>
          <w:p w14:paraId="68A6B581">
            <w:pPr>
              <w:pStyle w:val="190"/>
              <w:ind w:firstLine="496" w:firstLineChars="200"/>
              <w:rPr>
                <w:sz w:val="24"/>
              </w:rPr>
            </w:pPr>
            <w:r>
              <w:rPr>
                <w:sz w:val="24"/>
              </w:rPr>
              <w:t>因此，本工程与《云南省生态功能区划》不冲突。</w:t>
            </w:r>
          </w:p>
          <w:p w14:paraId="5E8E0222">
            <w:pPr>
              <w:autoSpaceDE w:val="0"/>
              <w:autoSpaceDN w:val="0"/>
              <w:spacing w:line="360" w:lineRule="auto"/>
              <w:jc w:val="left"/>
              <w:rPr>
                <w:b/>
                <w:bCs/>
                <w:sz w:val="24"/>
              </w:rPr>
            </w:pPr>
            <w:r>
              <w:rPr>
                <w:b/>
                <w:bCs/>
                <w:sz w:val="24"/>
              </w:rPr>
              <w:t>3、项目</w:t>
            </w:r>
            <w:r>
              <w:rPr>
                <w:rFonts w:hint="eastAsia"/>
                <w:b/>
                <w:bCs/>
                <w:sz w:val="24"/>
              </w:rPr>
              <w:t>与《曲靖市生态环境分区管控动态更新方案（2</w:t>
            </w:r>
            <w:r>
              <w:rPr>
                <w:b/>
                <w:bCs/>
                <w:sz w:val="24"/>
              </w:rPr>
              <w:t>023</w:t>
            </w:r>
            <w:r>
              <w:rPr>
                <w:rFonts w:hint="eastAsia"/>
                <w:b/>
                <w:bCs/>
                <w:sz w:val="24"/>
              </w:rPr>
              <w:t>年）》</w:t>
            </w:r>
            <w:r>
              <w:rPr>
                <w:b/>
                <w:bCs/>
                <w:sz w:val="24"/>
              </w:rPr>
              <w:t>的符合性分析</w:t>
            </w:r>
          </w:p>
          <w:p w14:paraId="73CE0626">
            <w:pPr>
              <w:pStyle w:val="2"/>
              <w:kinsoku w:val="0"/>
              <w:overflowPunct w:val="0"/>
              <w:spacing w:before="0" w:after="0" w:line="360" w:lineRule="auto"/>
              <w:ind w:right="0" w:firstLine="480" w:firstLineChars="200"/>
              <w:rPr>
                <w:sz w:val="24"/>
                <w:szCs w:val="24"/>
              </w:rPr>
            </w:pPr>
            <w:r>
              <w:rPr>
                <w:rFonts w:hint="eastAsia"/>
                <w:sz w:val="24"/>
                <w:szCs w:val="24"/>
              </w:rPr>
              <w:t>经云南省生态环境分区管控公共服务查询平台查询，本项目涉及富源县矿产资源重点管控单元(</w:t>
            </w:r>
            <w:r>
              <w:rPr>
                <w:sz w:val="24"/>
                <w:szCs w:val="24"/>
              </w:rPr>
              <w:t>ZH53032520003</w:t>
            </w:r>
            <w:r>
              <w:rPr>
                <w:rFonts w:hint="eastAsia"/>
                <w:sz w:val="24"/>
                <w:szCs w:val="24"/>
              </w:rPr>
              <w:t>)。项目与《曲靖市生态环境分区管控动态更新方案（2023年）》的符合性分析见下表。</w:t>
            </w:r>
          </w:p>
          <w:p w14:paraId="35C85D41">
            <w:pPr>
              <w:pStyle w:val="2"/>
              <w:kinsoku w:val="0"/>
              <w:overflowPunct w:val="0"/>
              <w:spacing w:before="0" w:after="0" w:line="360" w:lineRule="auto"/>
              <w:ind w:right="0"/>
              <w:jc w:val="center"/>
              <w:rPr>
                <w:sz w:val="24"/>
                <w:szCs w:val="24"/>
              </w:rPr>
            </w:pPr>
            <w:r>
              <w:rPr>
                <w:b/>
                <w:bCs/>
                <w:color w:val="000000" w:themeColor="text1"/>
                <w:sz w:val="24"/>
                <w:szCs w:val="24"/>
                <w14:textFill>
                  <w14:solidFill>
                    <w14:schemeClr w14:val="tx1"/>
                  </w14:solidFill>
                </w14:textFill>
              </w:rPr>
              <w:drawing>
                <wp:inline distT="0" distB="0" distL="0" distR="0">
                  <wp:extent cx="4470400" cy="2222500"/>
                  <wp:effectExtent l="0" t="0" r="635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483728" cy="2229702"/>
                          </a:xfrm>
                          <a:prstGeom prst="rect">
                            <a:avLst/>
                          </a:prstGeom>
                          <a:noFill/>
                          <a:ln>
                            <a:noFill/>
                          </a:ln>
                        </pic:spPr>
                      </pic:pic>
                    </a:graphicData>
                  </a:graphic>
                </wp:inline>
              </w:drawing>
            </w:r>
          </w:p>
          <w:p w14:paraId="032E2697">
            <w:pPr>
              <w:pStyle w:val="44"/>
              <w:spacing w:after="0"/>
              <w:ind w:left="0" w:leftChars="0" w:firstLine="482"/>
              <w:jc w:val="center"/>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 xml:space="preserve">图1-2 </w:t>
            </w:r>
            <w:r>
              <w:rPr>
                <w:rFonts w:hint="eastAsia"/>
                <w:b/>
                <w:bCs/>
                <w:color w:val="000000" w:themeColor="text1"/>
                <w:kern w:val="0"/>
                <w:sz w:val="24"/>
                <w:szCs w:val="24"/>
                <w14:textFill>
                  <w14:solidFill>
                    <w14:schemeClr w14:val="tx1"/>
                  </w14:solidFill>
                </w14:textFill>
              </w:rPr>
              <w:t>本项目与管控单元位置关系</w:t>
            </w:r>
          </w:p>
          <w:p w14:paraId="50925E48">
            <w:pPr>
              <w:spacing w:line="360" w:lineRule="auto"/>
              <w:ind w:firstLine="422" w:firstLineChars="200"/>
              <w:jc w:val="center"/>
              <w:rPr>
                <w:b/>
                <w:bCs/>
                <w:color w:val="000000"/>
                <w:lang w:val="zh-CN" w:bidi="zh-CN"/>
              </w:rPr>
            </w:pPr>
          </w:p>
          <w:p w14:paraId="6FBE7E0E">
            <w:pPr>
              <w:spacing w:line="360" w:lineRule="auto"/>
              <w:ind w:firstLine="422" w:firstLineChars="200"/>
              <w:jc w:val="center"/>
              <w:rPr>
                <w:rFonts w:eastAsia="Times New Roman"/>
                <w:b/>
                <w:bCs/>
                <w:color w:val="000000"/>
                <w:lang w:val="zh-CN" w:bidi="zh-CN"/>
              </w:rPr>
            </w:pPr>
            <w:r>
              <w:rPr>
                <w:b/>
                <w:bCs/>
                <w:color w:val="000000"/>
                <w:lang w:val="zh-CN" w:bidi="zh-CN"/>
              </w:rPr>
              <w:t>表</w:t>
            </w:r>
            <w:r>
              <w:rPr>
                <w:rFonts w:eastAsia="Times New Roman"/>
                <w:b/>
                <w:bCs/>
                <w:color w:val="000000"/>
                <w:lang w:val="zh-CN" w:bidi="zh-CN"/>
              </w:rPr>
              <w:t>1-</w:t>
            </w:r>
            <w:r>
              <w:rPr>
                <w:rFonts w:eastAsiaTheme="minorEastAsia"/>
                <w:b/>
                <w:bCs/>
                <w:color w:val="000000"/>
                <w:lang w:val="zh-CN" w:bidi="zh-CN"/>
              </w:rPr>
              <w:t>2</w:t>
            </w:r>
            <w:r>
              <w:rPr>
                <w:rFonts w:eastAsia="Times New Roman"/>
                <w:b/>
                <w:bCs/>
                <w:color w:val="000000"/>
                <w:lang w:val="zh-CN" w:bidi="zh-CN"/>
              </w:rPr>
              <w:t xml:space="preserve"> </w:t>
            </w:r>
            <w:r>
              <w:rPr>
                <w:b/>
                <w:bCs/>
                <w:color w:val="000000"/>
                <w:lang w:bidi="zh-CN"/>
              </w:rPr>
              <w:t xml:space="preserve"> </w:t>
            </w:r>
            <w:r>
              <w:rPr>
                <w:rFonts w:hint="eastAsia"/>
                <w:b/>
                <w:bCs/>
                <w:color w:val="000000"/>
                <w:lang w:bidi="zh-CN"/>
              </w:rPr>
              <w:t>项目</w:t>
            </w:r>
            <w:r>
              <w:rPr>
                <w:b/>
                <w:bCs/>
                <w:color w:val="000000"/>
                <w:lang w:val="zh-CN" w:bidi="zh-CN"/>
              </w:rPr>
              <w:t>与</w:t>
            </w:r>
            <w:r>
              <w:rPr>
                <w:rFonts w:hint="eastAsia"/>
                <w:b/>
                <w:bCs/>
                <w:color w:val="000000"/>
                <w:lang w:val="zh-CN" w:bidi="zh-CN"/>
              </w:rPr>
              <w:t>《曲靖市生态环境分区管控动态更新方案（2023年）》</w:t>
            </w:r>
            <w:r>
              <w:rPr>
                <w:b/>
                <w:bCs/>
                <w:color w:val="000000"/>
                <w:lang w:val="zh-CN" w:bidi="zh-CN"/>
              </w:rPr>
              <w:t>的</w:t>
            </w:r>
            <w:r>
              <w:rPr>
                <w:rFonts w:hint="eastAsia"/>
                <w:b/>
                <w:bCs/>
                <w:color w:val="000000"/>
                <w:lang w:val="zh-CN" w:bidi="zh-CN"/>
              </w:rPr>
              <w:t>符合性</w:t>
            </w:r>
            <w:r>
              <w:rPr>
                <w:b/>
                <w:bCs/>
                <w:color w:val="000000"/>
                <w:lang w:val="zh-CN" w:bidi="zh-CN"/>
              </w:rPr>
              <w:t>分析</w:t>
            </w:r>
          </w:p>
          <w:tbl>
            <w:tblPr>
              <w:tblStyle w:val="46"/>
              <w:tblW w:w="7371"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567"/>
              <w:gridCol w:w="567"/>
              <w:gridCol w:w="2268"/>
              <w:gridCol w:w="2835"/>
              <w:gridCol w:w="568"/>
            </w:tblGrid>
            <w:tr w14:paraId="5D9F8F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3" w:type="dxa"/>
                  <w:gridSpan w:val="2"/>
                  <w:vAlign w:val="center"/>
                </w:tcPr>
                <w:p w14:paraId="68B3D292">
                  <w:pPr>
                    <w:pStyle w:val="2"/>
                    <w:kinsoku w:val="0"/>
                    <w:overflowPunct w:val="0"/>
                    <w:spacing w:before="0" w:after="0" w:line="240" w:lineRule="auto"/>
                    <w:ind w:right="0"/>
                    <w:jc w:val="center"/>
                    <w:rPr>
                      <w:b/>
                      <w:bCs/>
                      <w:sz w:val="21"/>
                      <w:szCs w:val="21"/>
                    </w:rPr>
                  </w:pPr>
                  <w:r>
                    <w:rPr>
                      <w:rFonts w:hint="eastAsia"/>
                      <w:b/>
                      <w:bCs/>
                      <w:sz w:val="21"/>
                      <w:szCs w:val="21"/>
                    </w:rPr>
                    <w:t>类别</w:t>
                  </w:r>
                </w:p>
              </w:tc>
              <w:tc>
                <w:tcPr>
                  <w:tcW w:w="2835" w:type="dxa"/>
                  <w:gridSpan w:val="2"/>
                  <w:vAlign w:val="center"/>
                </w:tcPr>
                <w:p w14:paraId="55A20BEC">
                  <w:pPr>
                    <w:pStyle w:val="2"/>
                    <w:kinsoku w:val="0"/>
                    <w:overflowPunct w:val="0"/>
                    <w:spacing w:before="0" w:after="0" w:line="240" w:lineRule="auto"/>
                    <w:ind w:right="0"/>
                    <w:jc w:val="center"/>
                    <w:rPr>
                      <w:b/>
                      <w:bCs/>
                      <w:sz w:val="21"/>
                      <w:szCs w:val="21"/>
                    </w:rPr>
                  </w:pPr>
                  <w:r>
                    <w:rPr>
                      <w:rFonts w:hint="eastAsia"/>
                      <w:b/>
                      <w:bCs/>
                      <w:sz w:val="21"/>
                      <w:szCs w:val="21"/>
                    </w:rPr>
                    <w:t>相关要求</w:t>
                  </w:r>
                </w:p>
              </w:tc>
              <w:tc>
                <w:tcPr>
                  <w:tcW w:w="2835" w:type="dxa"/>
                  <w:vAlign w:val="center"/>
                </w:tcPr>
                <w:p w14:paraId="44B03141">
                  <w:pPr>
                    <w:pStyle w:val="2"/>
                    <w:kinsoku w:val="0"/>
                    <w:overflowPunct w:val="0"/>
                    <w:spacing w:before="0" w:after="0" w:line="240" w:lineRule="auto"/>
                    <w:ind w:right="0"/>
                    <w:jc w:val="center"/>
                    <w:rPr>
                      <w:b/>
                      <w:bCs/>
                      <w:sz w:val="21"/>
                      <w:szCs w:val="21"/>
                    </w:rPr>
                  </w:pPr>
                  <w:r>
                    <w:rPr>
                      <w:rFonts w:hint="eastAsia"/>
                      <w:b/>
                      <w:bCs/>
                      <w:sz w:val="21"/>
                      <w:szCs w:val="21"/>
                    </w:rPr>
                    <w:t>相符性分析</w:t>
                  </w:r>
                </w:p>
              </w:tc>
              <w:tc>
                <w:tcPr>
                  <w:tcW w:w="568" w:type="dxa"/>
                  <w:vAlign w:val="center"/>
                </w:tcPr>
                <w:p w14:paraId="365E6042">
                  <w:pPr>
                    <w:pStyle w:val="2"/>
                    <w:kinsoku w:val="0"/>
                    <w:overflowPunct w:val="0"/>
                    <w:spacing w:before="0" w:after="0" w:line="240" w:lineRule="auto"/>
                    <w:ind w:right="0"/>
                    <w:jc w:val="center"/>
                    <w:rPr>
                      <w:b/>
                      <w:bCs/>
                      <w:sz w:val="21"/>
                      <w:szCs w:val="21"/>
                    </w:rPr>
                  </w:pPr>
                  <w:r>
                    <w:rPr>
                      <w:rFonts w:hint="eastAsia"/>
                      <w:b/>
                      <w:bCs/>
                      <w:sz w:val="21"/>
                      <w:szCs w:val="21"/>
                    </w:rPr>
                    <w:t>符合性</w:t>
                  </w:r>
                </w:p>
              </w:tc>
            </w:tr>
            <w:tr w14:paraId="534063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6" w:type="dxa"/>
                  <w:vMerge w:val="restart"/>
                  <w:vAlign w:val="center"/>
                </w:tcPr>
                <w:p w14:paraId="4D3FE613">
                  <w:pPr>
                    <w:pStyle w:val="2"/>
                    <w:kinsoku w:val="0"/>
                    <w:overflowPunct w:val="0"/>
                    <w:spacing w:before="0" w:after="0" w:line="240" w:lineRule="auto"/>
                    <w:ind w:right="0"/>
                    <w:jc w:val="center"/>
                    <w:rPr>
                      <w:sz w:val="21"/>
                      <w:szCs w:val="21"/>
                    </w:rPr>
                  </w:pPr>
                  <w:r>
                    <w:rPr>
                      <w:rFonts w:hint="eastAsia"/>
                      <w:sz w:val="21"/>
                      <w:szCs w:val="21"/>
                    </w:rPr>
                    <w:t>曲靖市生态环境管控总体要求</w:t>
                  </w:r>
                </w:p>
              </w:tc>
              <w:tc>
                <w:tcPr>
                  <w:tcW w:w="567" w:type="dxa"/>
                  <w:vAlign w:val="center"/>
                </w:tcPr>
                <w:p w14:paraId="276A4683">
                  <w:pPr>
                    <w:pStyle w:val="2"/>
                    <w:kinsoku w:val="0"/>
                    <w:overflowPunct w:val="0"/>
                    <w:spacing w:before="0" w:after="0" w:line="240" w:lineRule="auto"/>
                    <w:ind w:right="0"/>
                    <w:jc w:val="center"/>
                    <w:rPr>
                      <w:sz w:val="21"/>
                      <w:szCs w:val="21"/>
                    </w:rPr>
                  </w:pPr>
                  <w:r>
                    <w:rPr>
                      <w:rFonts w:hint="eastAsia"/>
                      <w:sz w:val="21"/>
                      <w:szCs w:val="21"/>
                    </w:rPr>
                    <w:t>空间布局约束</w:t>
                  </w:r>
                </w:p>
              </w:tc>
              <w:tc>
                <w:tcPr>
                  <w:tcW w:w="2835" w:type="dxa"/>
                  <w:gridSpan w:val="2"/>
                  <w:vAlign w:val="center"/>
                </w:tcPr>
                <w:p w14:paraId="5C2A5C2C">
                  <w:pPr>
                    <w:pStyle w:val="2"/>
                    <w:kinsoku w:val="0"/>
                    <w:overflowPunct w:val="0"/>
                    <w:spacing w:before="0" w:after="0" w:line="240" w:lineRule="auto"/>
                    <w:ind w:right="0"/>
                    <w:rPr>
                      <w:sz w:val="21"/>
                      <w:szCs w:val="21"/>
                    </w:rPr>
                  </w:pPr>
                  <w:r>
                    <w:rPr>
                      <w:rFonts w:hint="eastAsia"/>
                      <w:sz w:val="21"/>
                      <w:szCs w:val="21"/>
                    </w:rPr>
                    <w:t>1.严格执行《长江经济带发展负面清单指南（试行，2022年版）》《云南省长江经济带发展负面清单指南实施细则（试行）》等产业准入有关要求。</w:t>
                  </w:r>
                </w:p>
                <w:p w14:paraId="601EFDF7">
                  <w:pPr>
                    <w:pStyle w:val="2"/>
                    <w:kinsoku w:val="0"/>
                    <w:overflowPunct w:val="0"/>
                    <w:spacing w:before="0" w:after="0" w:line="240" w:lineRule="auto"/>
                    <w:ind w:right="0"/>
                    <w:rPr>
                      <w:sz w:val="21"/>
                      <w:szCs w:val="21"/>
                    </w:rPr>
                  </w:pPr>
                  <w:r>
                    <w:rPr>
                      <w:rFonts w:hint="eastAsia"/>
                      <w:sz w:val="21"/>
                      <w:szCs w:val="21"/>
                    </w:rPr>
                    <w:t>2.严格实施化解过剩产能和淘汰落后产能，制定产能过剩行业淘汰计划，确保国家、省下达的淘汰落后产能目标任务全面完成。</w:t>
                  </w:r>
                </w:p>
                <w:p w14:paraId="2001E1D8">
                  <w:pPr>
                    <w:pStyle w:val="2"/>
                    <w:kinsoku w:val="0"/>
                    <w:overflowPunct w:val="0"/>
                    <w:spacing w:before="0" w:after="0" w:line="240" w:lineRule="auto"/>
                    <w:ind w:right="0"/>
                    <w:rPr>
                      <w:sz w:val="21"/>
                      <w:szCs w:val="21"/>
                    </w:rPr>
                  </w:pPr>
                  <w:r>
                    <w:rPr>
                      <w:rFonts w:hint="eastAsia"/>
                      <w:sz w:val="21"/>
                      <w:szCs w:val="21"/>
                    </w:rPr>
                    <w:t>3.将资源承载能力、生态环境容量作为承接产业转移的基础和前提，合理确定承接产业转移重点，禁止引进环境污染大、资源消耗高、技术落后的生产能力。</w:t>
                  </w:r>
                </w:p>
                <w:p w14:paraId="0341F1A4">
                  <w:pPr>
                    <w:pStyle w:val="2"/>
                    <w:kinsoku w:val="0"/>
                    <w:overflowPunct w:val="0"/>
                    <w:spacing w:before="0" w:after="0" w:line="240" w:lineRule="auto"/>
                    <w:ind w:right="0"/>
                    <w:rPr>
                      <w:sz w:val="21"/>
                      <w:szCs w:val="21"/>
                    </w:rPr>
                  </w:pPr>
                  <w:r>
                    <w:rPr>
                      <w:rFonts w:hint="eastAsia"/>
                      <w:sz w:val="21"/>
                      <w:szCs w:val="21"/>
                    </w:rPr>
                    <w:t>4.支持现有各类产业园区有供热需求的实施热电联产或者集中供热改造，具备条件的工业园区实现集中供热。</w:t>
                  </w:r>
                </w:p>
                <w:p w14:paraId="13DFCFB6">
                  <w:pPr>
                    <w:pStyle w:val="2"/>
                    <w:kinsoku w:val="0"/>
                    <w:overflowPunct w:val="0"/>
                    <w:spacing w:before="0" w:after="0" w:line="240" w:lineRule="auto"/>
                    <w:ind w:right="0"/>
                    <w:rPr>
                      <w:sz w:val="21"/>
                      <w:szCs w:val="21"/>
                    </w:rPr>
                  </w:pPr>
                  <w:r>
                    <w:rPr>
                      <w:rFonts w:hint="eastAsia"/>
                      <w:sz w:val="21"/>
                      <w:szCs w:val="21"/>
                    </w:rPr>
                    <w:t>5.严格控制在生态脆弱或环境敏感地区建设《环境保护综合名录》中“高污染、高环境风险”行业项目。</w:t>
                  </w:r>
                </w:p>
                <w:p w14:paraId="0C303644">
                  <w:pPr>
                    <w:pStyle w:val="2"/>
                    <w:kinsoku w:val="0"/>
                    <w:overflowPunct w:val="0"/>
                    <w:spacing w:before="0" w:after="0" w:line="240" w:lineRule="auto"/>
                    <w:ind w:right="0"/>
                    <w:rPr>
                      <w:sz w:val="21"/>
                      <w:szCs w:val="21"/>
                    </w:rPr>
                  </w:pPr>
                  <w:r>
                    <w:rPr>
                      <w:rFonts w:hint="eastAsia"/>
                      <w:sz w:val="21"/>
                      <w:szCs w:val="21"/>
                    </w:rPr>
                    <w:t>6.禁止在合规园区外新建、扩建钢铁、石化、化工、焦化、建材、有色行业中的高污染项目。</w:t>
                  </w:r>
                </w:p>
                <w:p w14:paraId="309E7B36">
                  <w:pPr>
                    <w:pStyle w:val="2"/>
                    <w:kinsoku w:val="0"/>
                    <w:overflowPunct w:val="0"/>
                    <w:spacing w:before="0" w:after="0" w:line="240" w:lineRule="auto"/>
                    <w:ind w:right="0"/>
                    <w:rPr>
                      <w:sz w:val="21"/>
                      <w:szCs w:val="21"/>
                    </w:rPr>
                  </w:pPr>
                  <w:r>
                    <w:rPr>
                      <w:rFonts w:hint="eastAsia"/>
                      <w:sz w:val="21"/>
                      <w:szCs w:val="21"/>
                    </w:rPr>
                    <w:t>7.集中式饮用水水源地严格执行《中华人民共和国水污染防治法》《地下水管理条例》《饮用水水源保护区污染防治管理规定》《云南省牛栏江保护条例》《曲靖市集中式饮用水水源地保护条例》《云南省曲靖独木水库保护条例》，水源地内城镇开发边界范围已开发区域强化环境基础设施建设与运行维护。</w:t>
                  </w:r>
                </w:p>
                <w:p w14:paraId="331FE0BD">
                  <w:pPr>
                    <w:pStyle w:val="2"/>
                    <w:kinsoku w:val="0"/>
                    <w:overflowPunct w:val="0"/>
                    <w:spacing w:before="0" w:after="0" w:line="240" w:lineRule="auto"/>
                    <w:ind w:right="0"/>
                    <w:rPr>
                      <w:sz w:val="21"/>
                      <w:szCs w:val="21"/>
                    </w:rPr>
                  </w:pPr>
                  <w:r>
                    <w:rPr>
                      <w:rFonts w:hint="eastAsia"/>
                      <w:sz w:val="21"/>
                      <w:szCs w:val="21"/>
                    </w:rPr>
                    <w:t>8.各县（市、区）产业园区重点管控单元、曲靖经济开发区重点管控单元、曲靖高新技术产业开发区重点管控单元、宣威市经济技术开发区重点管控单元空间布局约束、污染物排放管控、环境风险防控、资源利用效率四个维度严格执行现行有效的园区规划、规划环评及其审查意见。</w:t>
                  </w:r>
                </w:p>
              </w:tc>
              <w:tc>
                <w:tcPr>
                  <w:tcW w:w="2835" w:type="dxa"/>
                  <w:vAlign w:val="center"/>
                </w:tcPr>
                <w:p w14:paraId="4E202F9A">
                  <w:pPr>
                    <w:pStyle w:val="2"/>
                    <w:kinsoku w:val="0"/>
                    <w:overflowPunct w:val="0"/>
                    <w:spacing w:before="0" w:after="0" w:line="240" w:lineRule="auto"/>
                    <w:ind w:right="0"/>
                    <w:rPr>
                      <w:sz w:val="21"/>
                      <w:szCs w:val="21"/>
                    </w:rPr>
                  </w:pPr>
                  <w:r>
                    <w:rPr>
                      <w:rFonts w:hint="eastAsia"/>
                      <w:sz w:val="21"/>
                      <w:szCs w:val="21"/>
                    </w:rPr>
                    <w:t>1.经分析，项目的建设与《长江经济带发展负面清单指南(试行，2022年版)》《云南省长江经济带发展负面清单指南实施细则（试行，2022年版）》是相符的。</w:t>
                  </w:r>
                </w:p>
                <w:p w14:paraId="43CEF8A8">
                  <w:pPr>
                    <w:pStyle w:val="2"/>
                    <w:kinsoku w:val="0"/>
                    <w:overflowPunct w:val="0"/>
                    <w:spacing w:before="0" w:after="0" w:line="240" w:lineRule="auto"/>
                    <w:ind w:right="0"/>
                    <w:rPr>
                      <w:sz w:val="21"/>
                      <w:szCs w:val="21"/>
                    </w:rPr>
                  </w:pPr>
                  <w:r>
                    <w:rPr>
                      <w:rFonts w:hint="eastAsia"/>
                      <w:sz w:val="21"/>
                      <w:szCs w:val="21"/>
                    </w:rPr>
                    <w:t>2.本项目属于输变电项目，不属于过剩产能和淘汰落后产能产业；不涉及供热；属于“高污染高环境风险”行业项目：不属于钢铁、石化、化工、焦化、建材、有色行业中的高污染项目。</w:t>
                  </w:r>
                </w:p>
                <w:p w14:paraId="76260EC2">
                  <w:pPr>
                    <w:pStyle w:val="2"/>
                    <w:kinsoku w:val="0"/>
                    <w:overflowPunct w:val="0"/>
                    <w:spacing w:before="0" w:after="0" w:line="240" w:lineRule="auto"/>
                    <w:ind w:right="0"/>
                    <w:rPr>
                      <w:sz w:val="21"/>
                      <w:szCs w:val="21"/>
                    </w:rPr>
                  </w:pPr>
                  <w:r>
                    <w:rPr>
                      <w:rFonts w:hint="eastAsia"/>
                      <w:sz w:val="21"/>
                      <w:szCs w:val="21"/>
                    </w:rPr>
                    <w:t>3.本项目属于输变电项目，运营过程中无废气和废气产生，项目不涉及富源县现有饮用水水源保护区。</w:t>
                  </w:r>
                </w:p>
                <w:p w14:paraId="68FD81A2">
                  <w:pPr>
                    <w:pStyle w:val="2"/>
                    <w:kinsoku w:val="0"/>
                    <w:overflowPunct w:val="0"/>
                    <w:spacing w:before="0" w:after="0" w:line="240" w:lineRule="auto"/>
                    <w:ind w:right="0"/>
                    <w:rPr>
                      <w:sz w:val="21"/>
                      <w:szCs w:val="21"/>
                    </w:rPr>
                  </w:pPr>
                  <w:r>
                    <w:rPr>
                      <w:rFonts w:hint="eastAsia"/>
                      <w:sz w:val="21"/>
                      <w:szCs w:val="21"/>
                    </w:rPr>
                    <w:t>4.本项目属于输变电项目，与《富源产业园区总体规划 (20</w:t>
                  </w:r>
                  <w:r>
                    <w:rPr>
                      <w:sz w:val="21"/>
                      <w:szCs w:val="21"/>
                    </w:rPr>
                    <w:t>20</w:t>
                  </w:r>
                  <w:r>
                    <w:rPr>
                      <w:rFonts w:hint="eastAsia"/>
                      <w:sz w:val="21"/>
                      <w:szCs w:val="21"/>
                    </w:rPr>
                    <w:t>-2035)》《云南富源产业园区总体规划[修编]（2022-2035 年）环境影响报告书》及审查意见的函不冲突。</w:t>
                  </w:r>
                </w:p>
              </w:tc>
              <w:tc>
                <w:tcPr>
                  <w:tcW w:w="568" w:type="dxa"/>
                  <w:vAlign w:val="center"/>
                </w:tcPr>
                <w:p w14:paraId="60630EEC">
                  <w:pPr>
                    <w:pStyle w:val="2"/>
                    <w:kinsoku w:val="0"/>
                    <w:overflowPunct w:val="0"/>
                    <w:spacing w:before="0" w:after="0" w:line="240" w:lineRule="auto"/>
                    <w:ind w:right="0"/>
                    <w:jc w:val="center"/>
                    <w:rPr>
                      <w:sz w:val="21"/>
                      <w:szCs w:val="21"/>
                    </w:rPr>
                  </w:pPr>
                  <w:r>
                    <w:rPr>
                      <w:rFonts w:hint="eastAsia"/>
                      <w:sz w:val="21"/>
                      <w:szCs w:val="21"/>
                    </w:rPr>
                    <w:t>符合</w:t>
                  </w:r>
                </w:p>
              </w:tc>
            </w:tr>
            <w:tr w14:paraId="6FEDF8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6" w:type="dxa"/>
                  <w:vMerge w:val="continue"/>
                  <w:vAlign w:val="center"/>
                </w:tcPr>
                <w:p w14:paraId="682B8CB2">
                  <w:pPr>
                    <w:pStyle w:val="2"/>
                    <w:kinsoku w:val="0"/>
                    <w:overflowPunct w:val="0"/>
                    <w:spacing w:before="0" w:after="0" w:line="240" w:lineRule="auto"/>
                    <w:ind w:right="0"/>
                    <w:jc w:val="center"/>
                    <w:rPr>
                      <w:sz w:val="21"/>
                      <w:szCs w:val="21"/>
                    </w:rPr>
                  </w:pPr>
                </w:p>
              </w:tc>
              <w:tc>
                <w:tcPr>
                  <w:tcW w:w="567" w:type="dxa"/>
                  <w:vAlign w:val="center"/>
                </w:tcPr>
                <w:p w14:paraId="69C186B1">
                  <w:pPr>
                    <w:pStyle w:val="2"/>
                    <w:kinsoku w:val="0"/>
                    <w:overflowPunct w:val="0"/>
                    <w:spacing w:before="0" w:after="0" w:line="240" w:lineRule="auto"/>
                    <w:ind w:right="0"/>
                    <w:jc w:val="center"/>
                    <w:rPr>
                      <w:sz w:val="21"/>
                      <w:szCs w:val="21"/>
                    </w:rPr>
                  </w:pPr>
                  <w:r>
                    <w:rPr>
                      <w:rFonts w:hint="eastAsia"/>
                      <w:sz w:val="21"/>
                      <w:szCs w:val="21"/>
                    </w:rPr>
                    <w:t>污染物排放管控</w:t>
                  </w:r>
                </w:p>
              </w:tc>
              <w:tc>
                <w:tcPr>
                  <w:tcW w:w="2835" w:type="dxa"/>
                  <w:gridSpan w:val="2"/>
                  <w:vAlign w:val="center"/>
                </w:tcPr>
                <w:p w14:paraId="23C43FDC">
                  <w:pPr>
                    <w:pStyle w:val="2"/>
                    <w:kinsoku w:val="0"/>
                    <w:overflowPunct w:val="0"/>
                    <w:spacing w:before="0" w:after="0" w:line="240" w:lineRule="auto"/>
                    <w:ind w:right="0"/>
                    <w:rPr>
                      <w:sz w:val="21"/>
                      <w:szCs w:val="21"/>
                    </w:rPr>
                  </w:pPr>
                  <w:r>
                    <w:rPr>
                      <w:rFonts w:hint="eastAsia"/>
                      <w:sz w:val="21"/>
                      <w:szCs w:val="21"/>
                    </w:rPr>
                    <w:t>1.推进以能源、化工、冶金、建材、造纸、农副食品加工、工业涂装和包装印刷等行业为重点的清洁生产审核工作，具体行业包括但不限于煤矿、火力发电，甲醇、焦化、氮肥、磷肥、氯碱、电石、制药、农药、黄磷、铬盐生产，钢铁、铁合金铅锌铝冶炼及再生，水泥、石灰、建筑陶瓷、平板玻璃、沥青防水材料，纸浆造纸，酿造、味精、柠檬酸、酶制剂、酵母，新能源电池(正负极材料)，多晶硅、单晶硅、有机硅，工业涂装和包装印刷等行业。</w:t>
                  </w:r>
                </w:p>
                <w:p w14:paraId="3AD2B00B">
                  <w:pPr>
                    <w:pStyle w:val="2"/>
                    <w:kinsoku w:val="0"/>
                    <w:overflowPunct w:val="0"/>
                    <w:spacing w:before="0" w:after="0" w:line="240" w:lineRule="auto"/>
                    <w:ind w:right="0"/>
                    <w:rPr>
                      <w:sz w:val="21"/>
                      <w:szCs w:val="21"/>
                    </w:rPr>
                  </w:pPr>
                  <w:r>
                    <w:rPr>
                      <w:rFonts w:hint="eastAsia"/>
                      <w:sz w:val="21"/>
                      <w:szCs w:val="21"/>
                    </w:rPr>
                    <w:t>2.落实云南省碳达峰碳中和相关要求，处理好发展和减排、整体和局部、长远目标和短期目标、政府和市场的关系，加快推动减污降碳协同创新试点，坚定不移走生态优先、绿色低碳的高质量发展道路。</w:t>
                  </w:r>
                </w:p>
                <w:p w14:paraId="3FB856A9">
                  <w:pPr>
                    <w:pStyle w:val="2"/>
                    <w:kinsoku w:val="0"/>
                    <w:overflowPunct w:val="0"/>
                    <w:spacing w:before="0" w:after="0" w:line="240" w:lineRule="auto"/>
                    <w:ind w:right="0"/>
                    <w:rPr>
                      <w:sz w:val="21"/>
                      <w:szCs w:val="21"/>
                    </w:rPr>
                  </w:pPr>
                  <w:r>
                    <w:rPr>
                      <w:rFonts w:hint="eastAsia"/>
                      <w:sz w:val="21"/>
                      <w:szCs w:val="21"/>
                    </w:rPr>
                    <w:t>3.加大重点流域水污染防治，确保水质如期达标。南盘江龚家坝、北盘江旧营桥等断面汇水区，新建、改建、扩建重点行业建设项目实行主要污染物排放减量置换。到2025年，牛栏江、南盘江、北盘江流域内所有城镇区域内实现生活污水处理设施全覆盖、生活污水全处理。</w:t>
                  </w:r>
                </w:p>
                <w:p w14:paraId="1DE161DF">
                  <w:pPr>
                    <w:pStyle w:val="2"/>
                    <w:kinsoku w:val="0"/>
                    <w:overflowPunct w:val="0"/>
                    <w:spacing w:before="0" w:after="0" w:line="240" w:lineRule="auto"/>
                    <w:ind w:right="0"/>
                    <w:rPr>
                      <w:sz w:val="21"/>
                      <w:szCs w:val="21"/>
                    </w:rPr>
                  </w:pPr>
                  <w:r>
                    <w:rPr>
                      <w:rFonts w:hint="eastAsia"/>
                      <w:sz w:val="21"/>
                      <w:szCs w:val="21"/>
                    </w:rPr>
                    <w:t>4.牛栏江等流域内，严格按照《云南省牛栏江保护条例》《牛栏江流域（云南部分）水环境保护规划报告》及其中期评估报告有关要求，禁止在牛栏江水源保护区核心区新建、改建、扩建排污口。牛栏江流域上游保护区内已设置排污口的生产企业，排放水污染物应当符合国家或者地方规定的水污染物排放标准和重点水污染物排放总量控制指标。</w:t>
                  </w:r>
                </w:p>
                <w:p w14:paraId="6A745EA2">
                  <w:pPr>
                    <w:pStyle w:val="2"/>
                    <w:kinsoku w:val="0"/>
                    <w:overflowPunct w:val="0"/>
                    <w:spacing w:before="0" w:after="0" w:line="240" w:lineRule="auto"/>
                    <w:ind w:right="0"/>
                    <w:rPr>
                      <w:sz w:val="21"/>
                      <w:szCs w:val="21"/>
                    </w:rPr>
                  </w:pPr>
                  <w:r>
                    <w:rPr>
                      <w:rFonts w:hint="eastAsia"/>
                      <w:sz w:val="21"/>
                      <w:szCs w:val="21"/>
                    </w:rPr>
                    <w:t>5.严格保护集中式饮用水水源地，整治饮用水源保护区内的污染源，确保饮水安全。</w:t>
                  </w:r>
                </w:p>
                <w:p w14:paraId="0D5F56A7">
                  <w:pPr>
                    <w:pStyle w:val="2"/>
                    <w:kinsoku w:val="0"/>
                    <w:overflowPunct w:val="0"/>
                    <w:spacing w:before="0" w:after="0" w:line="240" w:lineRule="auto"/>
                    <w:ind w:right="0"/>
                    <w:rPr>
                      <w:sz w:val="21"/>
                      <w:szCs w:val="21"/>
                    </w:rPr>
                  </w:pPr>
                  <w:r>
                    <w:rPr>
                      <w:rFonts w:hint="eastAsia"/>
                      <w:sz w:val="21"/>
                      <w:szCs w:val="21"/>
                    </w:rPr>
                    <w:t>6.全面开展城市（县城）排水管网排查整治，消除城市建成区管网空白区、污水直排口，解决雨污混流、管网破损漏损、错接混接等问题。加大城市生活污水提标改造及扩容工作力度，麒麟区、沾益区、曲靖经开区新、改、扩建城市生活污水集中处理设施及工业园区污水集中处理设施污染物排放标准严格执行《地表水环境质量标准》IV类标准 (其中总氮&lt;10mg/L，粪大肠菌群&lt;1000 个/L)。陆良县、宣威市根据水生态环境质量变化趋势适时推进执行《地表水环境质量标准》IV类标准(其中总氮&lt;10mg/L，粪大肠菌群&lt;1000个/L)。其他县(市区)执行《城镇污水处理厂污染物排放标准》一级标准 A 标准。</w:t>
                  </w:r>
                </w:p>
                <w:p w14:paraId="1D8C0A6E">
                  <w:pPr>
                    <w:pStyle w:val="2"/>
                    <w:kinsoku w:val="0"/>
                    <w:overflowPunct w:val="0"/>
                    <w:spacing w:before="0" w:after="0" w:line="240" w:lineRule="auto"/>
                    <w:ind w:right="0"/>
                    <w:rPr>
                      <w:sz w:val="21"/>
                      <w:szCs w:val="21"/>
                    </w:rPr>
                  </w:pPr>
                  <w:r>
                    <w:rPr>
                      <w:rFonts w:hint="eastAsia"/>
                      <w:sz w:val="21"/>
                      <w:szCs w:val="21"/>
                    </w:rPr>
                    <w:t>7.加快推进污泥无害化处理处置工程建设，鼓励采用资源化利用方式处理处置污泥，经处理后的污泥达到《农用污泥污染物控制标准》（GB4282—2018）要求的用于还田利用。</w:t>
                  </w:r>
                </w:p>
                <w:p w14:paraId="2078D58F">
                  <w:pPr>
                    <w:pStyle w:val="2"/>
                    <w:kinsoku w:val="0"/>
                    <w:overflowPunct w:val="0"/>
                    <w:spacing w:before="0" w:after="0" w:line="240" w:lineRule="auto"/>
                    <w:ind w:right="0"/>
                    <w:rPr>
                      <w:sz w:val="21"/>
                      <w:szCs w:val="21"/>
                    </w:rPr>
                  </w:pPr>
                  <w:r>
                    <w:rPr>
                      <w:rFonts w:hint="eastAsia"/>
                      <w:sz w:val="21"/>
                      <w:szCs w:val="21"/>
                    </w:rPr>
                    <w:t>8.加快生活垃圾处理设施建设，推进实施生活垃圾焚烧发电，全面提升城镇生活垃圾分类收转运能力和厨余垃圾处理能力。</w:t>
                  </w:r>
                </w:p>
                <w:p w14:paraId="56A5A03F">
                  <w:pPr>
                    <w:pStyle w:val="2"/>
                    <w:kinsoku w:val="0"/>
                    <w:overflowPunct w:val="0"/>
                    <w:spacing w:before="0" w:after="0" w:line="240" w:lineRule="auto"/>
                    <w:ind w:right="0"/>
                    <w:rPr>
                      <w:sz w:val="21"/>
                      <w:szCs w:val="21"/>
                    </w:rPr>
                  </w:pPr>
                  <w:r>
                    <w:rPr>
                      <w:rFonts w:hint="eastAsia"/>
                      <w:sz w:val="21"/>
                      <w:szCs w:val="21"/>
                    </w:rPr>
                    <w:t>9.到2025年，中心城区、县城中心城市建成区基本实现污水全收集、全处理，建制镇污水收集处理能力明显提升，中心城市、县城平均污泥无害化处理率达到90%以上，力争实现全市生活垃圾焚烧处理实现全覆盖，餐厨垃圾实现零填埋无害化处理。</w:t>
                  </w:r>
                </w:p>
                <w:p w14:paraId="2B016DCD">
                  <w:pPr>
                    <w:pStyle w:val="2"/>
                    <w:kinsoku w:val="0"/>
                    <w:overflowPunct w:val="0"/>
                    <w:spacing w:before="0" w:after="0" w:line="240" w:lineRule="auto"/>
                    <w:ind w:right="0"/>
                    <w:rPr>
                      <w:sz w:val="21"/>
                      <w:szCs w:val="21"/>
                    </w:rPr>
                  </w:pPr>
                  <w:r>
                    <w:rPr>
                      <w:rFonts w:hint="eastAsia"/>
                      <w:sz w:val="21"/>
                      <w:szCs w:val="21"/>
                    </w:rPr>
                    <w:t>10.到2025年，全市农村生活污水治理率达到40%以上，城乡生活垃圾焚烧处理比重达90%以上，全市农村卫生户厕覆盖率达到70%以上，农膜回收率达到90%以上，秸秆综合利用率稳定在90%以上，畜禽粪污综合利用率达到95%以上;基本实现化肥农药施用量减少3%以上。</w:t>
                  </w:r>
                </w:p>
                <w:p w14:paraId="70DE0DF0">
                  <w:pPr>
                    <w:pStyle w:val="2"/>
                    <w:kinsoku w:val="0"/>
                    <w:overflowPunct w:val="0"/>
                    <w:spacing w:before="0" w:after="0" w:line="240" w:lineRule="auto"/>
                    <w:ind w:right="0"/>
                    <w:rPr>
                      <w:sz w:val="21"/>
                      <w:szCs w:val="21"/>
                    </w:rPr>
                  </w:pPr>
                  <w:r>
                    <w:rPr>
                      <w:rFonts w:hint="eastAsia"/>
                      <w:sz w:val="21"/>
                      <w:szCs w:val="21"/>
                    </w:rPr>
                    <w:t>11.严把新建、改扩建涉重金属重点行业建设项目审批关，切实降低区域重金属排放总量。会泽县新、改、扩建涉重金属重点行业建设项目重点重金属污染物排放遵循“减量替代”原则，替代比例不低于1.2:1;其他县(市、区)遵循“等量替代”原则。</w:t>
                  </w:r>
                </w:p>
                <w:p w14:paraId="11C9A06F">
                  <w:pPr>
                    <w:pStyle w:val="2"/>
                    <w:kinsoku w:val="0"/>
                    <w:overflowPunct w:val="0"/>
                    <w:spacing w:before="0" w:after="0" w:line="240" w:lineRule="auto"/>
                    <w:ind w:right="0"/>
                    <w:rPr>
                      <w:sz w:val="21"/>
                      <w:szCs w:val="21"/>
                    </w:rPr>
                  </w:pPr>
                  <w:r>
                    <w:rPr>
                      <w:rFonts w:hint="eastAsia"/>
                      <w:sz w:val="21"/>
                      <w:szCs w:val="21"/>
                    </w:rPr>
                    <w:t>12.到2025年，曲靖市重点行业重点重金属污染物排放量比2020年下降6%。</w:t>
                  </w:r>
                </w:p>
                <w:p w14:paraId="40592212">
                  <w:pPr>
                    <w:pStyle w:val="2"/>
                    <w:kinsoku w:val="0"/>
                    <w:overflowPunct w:val="0"/>
                    <w:spacing w:before="0" w:after="0" w:line="240" w:lineRule="auto"/>
                    <w:ind w:right="0"/>
                    <w:rPr>
                      <w:sz w:val="21"/>
                      <w:szCs w:val="21"/>
                    </w:rPr>
                  </w:pPr>
                  <w:r>
                    <w:rPr>
                      <w:rFonts w:hint="eastAsia"/>
                      <w:sz w:val="21"/>
                      <w:szCs w:val="21"/>
                    </w:rPr>
                    <w:t>13.到2025年，全市化学需氧量、氨氮、氮氧化物、挥发性有机物排放总量等重点工程减排量分别达到7984吨、496吨、3611吨、1181吨。</w:t>
                  </w:r>
                </w:p>
              </w:tc>
              <w:tc>
                <w:tcPr>
                  <w:tcW w:w="2835" w:type="dxa"/>
                  <w:vAlign w:val="center"/>
                </w:tcPr>
                <w:p w14:paraId="77EDC71A">
                  <w:pPr>
                    <w:pStyle w:val="2"/>
                    <w:overflowPunct w:val="0"/>
                    <w:topLinePunct/>
                    <w:adjustRightInd w:val="0"/>
                    <w:spacing w:before="0" w:after="0" w:line="240" w:lineRule="auto"/>
                    <w:ind w:right="0"/>
                    <w:rPr>
                      <w:sz w:val="21"/>
                      <w:szCs w:val="21"/>
                    </w:rPr>
                  </w:pPr>
                  <w:r>
                    <w:rPr>
                      <w:rFonts w:hint="eastAsia"/>
                      <w:sz w:val="21"/>
                      <w:szCs w:val="21"/>
                    </w:rPr>
                    <w:t>1.本项目属于输变电项目，不涉及清洁生产审核工作。</w:t>
                  </w:r>
                </w:p>
                <w:p w14:paraId="5A4800ED">
                  <w:pPr>
                    <w:pStyle w:val="2"/>
                    <w:overflowPunct w:val="0"/>
                    <w:topLinePunct/>
                    <w:adjustRightInd w:val="0"/>
                    <w:spacing w:before="0" w:after="0" w:line="240" w:lineRule="auto"/>
                    <w:ind w:right="0"/>
                    <w:rPr>
                      <w:sz w:val="21"/>
                      <w:szCs w:val="21"/>
                    </w:rPr>
                  </w:pPr>
                  <w:r>
                    <w:rPr>
                      <w:rFonts w:hint="eastAsia"/>
                      <w:sz w:val="21"/>
                      <w:szCs w:val="21"/>
                    </w:rPr>
                    <w:t>2.本项目运营过程中无废气产生，不涉及碳排放。</w:t>
                  </w:r>
                </w:p>
                <w:p w14:paraId="17586E59">
                  <w:pPr>
                    <w:pStyle w:val="2"/>
                    <w:overflowPunct w:val="0"/>
                    <w:topLinePunct/>
                    <w:adjustRightInd w:val="0"/>
                    <w:spacing w:before="0" w:after="0" w:line="240" w:lineRule="auto"/>
                    <w:ind w:right="0"/>
                    <w:rPr>
                      <w:sz w:val="21"/>
                      <w:szCs w:val="21"/>
                    </w:rPr>
                  </w:pPr>
                  <w:r>
                    <w:rPr>
                      <w:rFonts w:hint="eastAsia"/>
                      <w:sz w:val="21"/>
                      <w:szCs w:val="21"/>
                    </w:rPr>
                    <w:t>3.本项目运营过程中无废水产生及排放。</w:t>
                  </w:r>
                </w:p>
                <w:p w14:paraId="368E158A">
                  <w:pPr>
                    <w:pStyle w:val="2"/>
                    <w:overflowPunct w:val="0"/>
                    <w:topLinePunct/>
                    <w:adjustRightInd w:val="0"/>
                    <w:spacing w:before="0" w:after="0" w:line="240" w:lineRule="auto"/>
                    <w:ind w:right="0"/>
                    <w:rPr>
                      <w:sz w:val="21"/>
                      <w:szCs w:val="21"/>
                    </w:rPr>
                  </w:pPr>
                  <w:r>
                    <w:rPr>
                      <w:rFonts w:hint="eastAsia"/>
                      <w:sz w:val="21"/>
                      <w:szCs w:val="21"/>
                    </w:rPr>
                    <w:t>4.本项目位于珠江流域，属于南盘江支流黄泥河流域，不涉及牛栏江。</w:t>
                  </w:r>
                </w:p>
                <w:p w14:paraId="03DD145F">
                  <w:pPr>
                    <w:pStyle w:val="2"/>
                    <w:overflowPunct w:val="0"/>
                    <w:topLinePunct/>
                    <w:adjustRightInd w:val="0"/>
                    <w:spacing w:before="0" w:after="0" w:line="240" w:lineRule="auto"/>
                    <w:ind w:right="0"/>
                    <w:rPr>
                      <w:sz w:val="21"/>
                      <w:szCs w:val="21"/>
                    </w:rPr>
                  </w:pPr>
                  <w:r>
                    <w:rPr>
                      <w:rFonts w:hint="eastAsia"/>
                      <w:sz w:val="21"/>
                      <w:szCs w:val="21"/>
                    </w:rPr>
                    <w:t>5.本项目不涉及陆良县现有饮用水源保护区。</w:t>
                  </w:r>
                </w:p>
                <w:p w14:paraId="308A3DC1">
                  <w:pPr>
                    <w:pStyle w:val="2"/>
                    <w:overflowPunct w:val="0"/>
                    <w:topLinePunct/>
                    <w:adjustRightInd w:val="0"/>
                    <w:spacing w:before="0" w:after="0" w:line="240" w:lineRule="auto"/>
                    <w:ind w:right="0"/>
                    <w:rPr>
                      <w:sz w:val="21"/>
                      <w:szCs w:val="21"/>
                    </w:rPr>
                  </w:pPr>
                  <w:r>
                    <w:rPr>
                      <w:rFonts w:hint="eastAsia"/>
                      <w:sz w:val="21"/>
                      <w:szCs w:val="21"/>
                    </w:rPr>
                    <w:t>6.本项目不涉及污水管网。</w:t>
                  </w:r>
                </w:p>
                <w:p w14:paraId="367CEA5A">
                  <w:pPr>
                    <w:pStyle w:val="2"/>
                    <w:overflowPunct w:val="0"/>
                    <w:topLinePunct/>
                    <w:adjustRightInd w:val="0"/>
                    <w:spacing w:before="0" w:after="0" w:line="240" w:lineRule="auto"/>
                    <w:ind w:right="0"/>
                    <w:rPr>
                      <w:sz w:val="21"/>
                      <w:szCs w:val="21"/>
                    </w:rPr>
                  </w:pPr>
                  <w:r>
                    <w:rPr>
                      <w:rFonts w:hint="eastAsia"/>
                      <w:sz w:val="21"/>
                      <w:szCs w:val="21"/>
                    </w:rPr>
                    <w:t>7.本项目运营过程中无污泥、生活垃圾、废水产生及排放，不涉及重金属排放。</w:t>
                  </w:r>
                </w:p>
              </w:tc>
              <w:tc>
                <w:tcPr>
                  <w:tcW w:w="568" w:type="dxa"/>
                  <w:vAlign w:val="center"/>
                </w:tcPr>
                <w:p w14:paraId="7137420E">
                  <w:pPr>
                    <w:pStyle w:val="2"/>
                    <w:kinsoku w:val="0"/>
                    <w:overflowPunct w:val="0"/>
                    <w:spacing w:before="0" w:after="0" w:line="240" w:lineRule="auto"/>
                    <w:ind w:right="0"/>
                    <w:jc w:val="center"/>
                    <w:rPr>
                      <w:sz w:val="21"/>
                      <w:szCs w:val="21"/>
                    </w:rPr>
                  </w:pPr>
                  <w:r>
                    <w:rPr>
                      <w:rFonts w:hint="eastAsia"/>
                      <w:sz w:val="21"/>
                      <w:szCs w:val="21"/>
                    </w:rPr>
                    <w:t>符合</w:t>
                  </w:r>
                </w:p>
              </w:tc>
            </w:tr>
            <w:tr w14:paraId="0E5B6F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6" w:type="dxa"/>
                  <w:vMerge w:val="continue"/>
                  <w:vAlign w:val="center"/>
                </w:tcPr>
                <w:p w14:paraId="17591E65">
                  <w:pPr>
                    <w:pStyle w:val="2"/>
                    <w:kinsoku w:val="0"/>
                    <w:overflowPunct w:val="0"/>
                    <w:spacing w:before="0" w:after="0" w:line="240" w:lineRule="auto"/>
                    <w:ind w:right="0"/>
                    <w:jc w:val="center"/>
                    <w:rPr>
                      <w:sz w:val="21"/>
                      <w:szCs w:val="21"/>
                    </w:rPr>
                  </w:pPr>
                </w:p>
              </w:tc>
              <w:tc>
                <w:tcPr>
                  <w:tcW w:w="567" w:type="dxa"/>
                  <w:vAlign w:val="center"/>
                </w:tcPr>
                <w:p w14:paraId="50EFC143">
                  <w:pPr>
                    <w:pStyle w:val="2"/>
                    <w:kinsoku w:val="0"/>
                    <w:overflowPunct w:val="0"/>
                    <w:spacing w:before="0" w:after="0" w:line="240" w:lineRule="auto"/>
                    <w:ind w:right="0"/>
                    <w:jc w:val="center"/>
                    <w:rPr>
                      <w:sz w:val="21"/>
                      <w:szCs w:val="21"/>
                    </w:rPr>
                  </w:pPr>
                  <w:r>
                    <w:rPr>
                      <w:rFonts w:hint="eastAsia"/>
                      <w:sz w:val="21"/>
                      <w:szCs w:val="21"/>
                    </w:rPr>
                    <w:t>环境风险防控</w:t>
                  </w:r>
                </w:p>
              </w:tc>
              <w:tc>
                <w:tcPr>
                  <w:tcW w:w="2835" w:type="dxa"/>
                  <w:gridSpan w:val="2"/>
                  <w:vAlign w:val="center"/>
                </w:tcPr>
                <w:p w14:paraId="5E132EC9">
                  <w:pPr>
                    <w:pStyle w:val="2"/>
                    <w:kinsoku w:val="0"/>
                    <w:overflowPunct w:val="0"/>
                    <w:spacing w:before="0" w:after="0" w:line="240" w:lineRule="auto"/>
                    <w:ind w:right="0"/>
                    <w:rPr>
                      <w:sz w:val="21"/>
                      <w:szCs w:val="21"/>
                    </w:rPr>
                  </w:pPr>
                  <w:r>
                    <w:rPr>
                      <w:rFonts w:hint="eastAsia"/>
                      <w:sz w:val="21"/>
                      <w:szCs w:val="21"/>
                    </w:rPr>
                    <w:t>1.以南盘江、北盘江、牛栏江流域为重点，定期开展流域工业企业、工业集聚区环境风险评估，落实防控措施。</w:t>
                  </w:r>
                </w:p>
                <w:p w14:paraId="20F6AD23">
                  <w:pPr>
                    <w:pStyle w:val="2"/>
                    <w:kinsoku w:val="0"/>
                    <w:overflowPunct w:val="0"/>
                    <w:spacing w:before="0" w:after="0" w:line="240" w:lineRule="auto"/>
                    <w:ind w:right="0"/>
                    <w:rPr>
                      <w:sz w:val="21"/>
                      <w:szCs w:val="21"/>
                    </w:rPr>
                  </w:pPr>
                  <w:r>
                    <w:rPr>
                      <w:rFonts w:hint="eastAsia"/>
                      <w:sz w:val="21"/>
                      <w:szCs w:val="21"/>
                    </w:rPr>
                    <w:t>2.开展麒沾马区域大气污染联防联控，逐步推行区域统一规划，统一监测，实行协同的环境准入、落后产能淘汰、机动车环境管理政策和考核评估制度。</w:t>
                  </w:r>
                </w:p>
                <w:p w14:paraId="325CE292">
                  <w:pPr>
                    <w:pStyle w:val="2"/>
                    <w:kinsoku w:val="0"/>
                    <w:overflowPunct w:val="0"/>
                    <w:spacing w:before="0" w:after="0" w:line="240" w:lineRule="auto"/>
                    <w:ind w:right="0"/>
                    <w:rPr>
                      <w:sz w:val="21"/>
                      <w:szCs w:val="21"/>
                    </w:rPr>
                  </w:pPr>
                  <w:r>
                    <w:rPr>
                      <w:rFonts w:hint="eastAsia"/>
                      <w:sz w:val="21"/>
                      <w:szCs w:val="21"/>
                    </w:rPr>
                    <w:t>3.强化与云南省跨流域上下游突发水污染事件联防联控，与贵州省六盘水珠江流域生态环境执法与应急联防联动。</w:t>
                  </w:r>
                </w:p>
                <w:p w14:paraId="306CC020">
                  <w:pPr>
                    <w:pStyle w:val="2"/>
                    <w:kinsoku w:val="0"/>
                    <w:overflowPunct w:val="0"/>
                    <w:spacing w:before="0" w:after="0" w:line="240" w:lineRule="auto"/>
                    <w:ind w:right="0"/>
                    <w:rPr>
                      <w:sz w:val="21"/>
                      <w:szCs w:val="21"/>
                    </w:rPr>
                  </w:pPr>
                  <w:r>
                    <w:rPr>
                      <w:rFonts w:hint="eastAsia"/>
                      <w:sz w:val="21"/>
                      <w:szCs w:val="21"/>
                    </w:rPr>
                    <w:t>4.强化大气污染分区分时分类差异化精细化协同管控，加强监测预警应急能力建设，及时采取差异化管控措施。</w:t>
                  </w:r>
                </w:p>
                <w:p w14:paraId="5713513B">
                  <w:pPr>
                    <w:pStyle w:val="2"/>
                    <w:kinsoku w:val="0"/>
                    <w:overflowPunct w:val="0"/>
                    <w:spacing w:before="0" w:after="0" w:line="240" w:lineRule="auto"/>
                    <w:ind w:right="0"/>
                    <w:rPr>
                      <w:sz w:val="21"/>
                      <w:szCs w:val="21"/>
                    </w:rPr>
                  </w:pPr>
                  <w:r>
                    <w:rPr>
                      <w:rFonts w:hint="eastAsia"/>
                      <w:sz w:val="21"/>
                      <w:szCs w:val="21"/>
                    </w:rPr>
                    <w:t>5.逐步建成全市土壤环境质量监测网络，推进各县（市、区）土壤环境质量监测点位全覆盖；有色金属矿采选、有色金属冶炼、石油加工、化工、农药、焦化、电镀、制革、印染、危险废物处置等行业企业拆除生产设施设备、构筑物和污染治理设施，要事先制定残留污染物清理和安全处置方案。</w:t>
                  </w:r>
                </w:p>
                <w:p w14:paraId="1B203AD3">
                  <w:pPr>
                    <w:pStyle w:val="2"/>
                    <w:kinsoku w:val="0"/>
                    <w:overflowPunct w:val="0"/>
                    <w:spacing w:before="0" w:after="0" w:line="240" w:lineRule="auto"/>
                    <w:ind w:right="0"/>
                    <w:rPr>
                      <w:sz w:val="21"/>
                      <w:szCs w:val="21"/>
                    </w:rPr>
                  </w:pPr>
                  <w:r>
                    <w:rPr>
                      <w:rFonts w:hint="eastAsia"/>
                      <w:sz w:val="21"/>
                      <w:szCs w:val="21"/>
                    </w:rPr>
                    <w:t>6.加强环境风险防控和应急管理，制定和完善突发环境事件和饮用水水源地突发环境事件应急预案，加强风险防控和突发环境事件应急处理处置能力。</w:t>
                  </w:r>
                </w:p>
                <w:p w14:paraId="18D60680">
                  <w:pPr>
                    <w:pStyle w:val="2"/>
                    <w:kinsoku w:val="0"/>
                    <w:overflowPunct w:val="0"/>
                    <w:spacing w:before="0" w:after="0" w:line="240" w:lineRule="auto"/>
                    <w:ind w:right="0"/>
                    <w:rPr>
                      <w:sz w:val="21"/>
                      <w:szCs w:val="21"/>
                    </w:rPr>
                  </w:pPr>
                  <w:r>
                    <w:rPr>
                      <w:rFonts w:hint="eastAsia"/>
                      <w:sz w:val="21"/>
                      <w:szCs w:val="21"/>
                    </w:rPr>
                    <w:t>7.严格管控类农用地，重金属超标区域严禁种植食用农产品；涉重金属、持久性有机物等有毒有害污染物工业企业退出用地，须经评估符合建设用地、农用地土壤环境质量相关要求后，方可用于居住或农业用地。</w:t>
                  </w:r>
                </w:p>
              </w:tc>
              <w:tc>
                <w:tcPr>
                  <w:tcW w:w="2835" w:type="dxa"/>
                  <w:vAlign w:val="center"/>
                </w:tcPr>
                <w:p w14:paraId="65C42A33">
                  <w:pPr>
                    <w:pStyle w:val="2"/>
                    <w:overflowPunct w:val="0"/>
                    <w:spacing w:before="0" w:after="0" w:line="240" w:lineRule="auto"/>
                    <w:ind w:right="0"/>
                    <w:rPr>
                      <w:sz w:val="21"/>
                      <w:szCs w:val="21"/>
                    </w:rPr>
                  </w:pPr>
                  <w:r>
                    <w:rPr>
                      <w:rFonts w:hint="eastAsia"/>
                      <w:sz w:val="21"/>
                      <w:szCs w:val="21"/>
                    </w:rPr>
                    <w:t>项目仅施工期产生少量扬尘，经采取洒水降尘、篷布覆盖等措施后，对环境空气影响较小，运行期无废气产生。</w:t>
                  </w:r>
                </w:p>
              </w:tc>
              <w:tc>
                <w:tcPr>
                  <w:tcW w:w="568" w:type="dxa"/>
                  <w:vAlign w:val="center"/>
                </w:tcPr>
                <w:p w14:paraId="3193CE3B">
                  <w:pPr>
                    <w:pStyle w:val="2"/>
                    <w:kinsoku w:val="0"/>
                    <w:overflowPunct w:val="0"/>
                    <w:spacing w:before="0" w:after="0" w:line="240" w:lineRule="auto"/>
                    <w:ind w:right="0"/>
                    <w:jc w:val="center"/>
                    <w:rPr>
                      <w:sz w:val="21"/>
                      <w:szCs w:val="21"/>
                    </w:rPr>
                  </w:pPr>
                  <w:r>
                    <w:rPr>
                      <w:rFonts w:hint="eastAsia"/>
                      <w:sz w:val="21"/>
                      <w:szCs w:val="21"/>
                    </w:rPr>
                    <w:t>符合</w:t>
                  </w:r>
                </w:p>
              </w:tc>
            </w:tr>
            <w:tr w14:paraId="7EBFED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6" w:type="dxa"/>
                  <w:vMerge w:val="continue"/>
                  <w:vAlign w:val="center"/>
                </w:tcPr>
                <w:p w14:paraId="64E08273">
                  <w:pPr>
                    <w:pStyle w:val="2"/>
                    <w:kinsoku w:val="0"/>
                    <w:overflowPunct w:val="0"/>
                    <w:spacing w:before="0" w:after="0" w:line="240" w:lineRule="auto"/>
                    <w:ind w:right="0"/>
                    <w:jc w:val="center"/>
                    <w:rPr>
                      <w:sz w:val="21"/>
                      <w:szCs w:val="21"/>
                    </w:rPr>
                  </w:pPr>
                </w:p>
              </w:tc>
              <w:tc>
                <w:tcPr>
                  <w:tcW w:w="567" w:type="dxa"/>
                  <w:vAlign w:val="center"/>
                </w:tcPr>
                <w:p w14:paraId="13F962F3">
                  <w:pPr>
                    <w:pStyle w:val="2"/>
                    <w:kinsoku w:val="0"/>
                    <w:overflowPunct w:val="0"/>
                    <w:spacing w:before="0" w:after="0" w:line="240" w:lineRule="auto"/>
                    <w:ind w:right="0"/>
                    <w:jc w:val="center"/>
                    <w:rPr>
                      <w:sz w:val="21"/>
                      <w:szCs w:val="21"/>
                    </w:rPr>
                  </w:pPr>
                  <w:r>
                    <w:rPr>
                      <w:rFonts w:hint="eastAsia"/>
                      <w:sz w:val="21"/>
                      <w:szCs w:val="21"/>
                    </w:rPr>
                    <w:t>资源开发效率</w:t>
                  </w:r>
                </w:p>
              </w:tc>
              <w:tc>
                <w:tcPr>
                  <w:tcW w:w="2835" w:type="dxa"/>
                  <w:gridSpan w:val="2"/>
                  <w:vAlign w:val="center"/>
                </w:tcPr>
                <w:p w14:paraId="3D223C51">
                  <w:pPr>
                    <w:pStyle w:val="2"/>
                    <w:kinsoku w:val="0"/>
                    <w:overflowPunct w:val="0"/>
                    <w:spacing w:before="0" w:after="0" w:line="240" w:lineRule="auto"/>
                    <w:ind w:right="0"/>
                    <w:rPr>
                      <w:sz w:val="21"/>
                      <w:szCs w:val="21"/>
                    </w:rPr>
                  </w:pPr>
                  <w:r>
                    <w:rPr>
                      <w:rFonts w:hint="eastAsia"/>
                      <w:sz w:val="21"/>
                      <w:szCs w:val="21"/>
                    </w:rPr>
                    <w:t>1.坚持以水而定、量水而行，统筹生活、生产和生态用水，科学合理配置水资源，保障河湖基本生态用水。确定河流生态需水量，确保河流生态系统功能。通过电站引水闸的调节，使最低下泄流量不小于河道所需的最小生态径流，以维持下游生物的最小生态需水，以维持坝下游最小生态需水。</w:t>
                  </w:r>
                </w:p>
                <w:p w14:paraId="6570C990">
                  <w:pPr>
                    <w:pStyle w:val="2"/>
                    <w:kinsoku w:val="0"/>
                    <w:overflowPunct w:val="0"/>
                    <w:spacing w:before="0" w:after="0" w:line="240" w:lineRule="auto"/>
                    <w:ind w:right="0"/>
                    <w:rPr>
                      <w:sz w:val="21"/>
                      <w:szCs w:val="21"/>
                    </w:rPr>
                  </w:pPr>
                  <w:r>
                    <w:rPr>
                      <w:rFonts w:hint="eastAsia"/>
                      <w:sz w:val="21"/>
                      <w:szCs w:val="21"/>
                    </w:rPr>
                    <w:t>2.加强南盘江、北盘江、牛栏江等生态流量保障工程建设，合理安排闸坝下泄水量和泄洪时段，维护河湖基本生态用水需求，重点保障、生态敏感区生态流量。</w:t>
                  </w:r>
                </w:p>
                <w:p w14:paraId="32F186DC">
                  <w:pPr>
                    <w:pStyle w:val="2"/>
                    <w:kinsoku w:val="0"/>
                    <w:overflowPunct w:val="0"/>
                    <w:spacing w:before="0" w:after="0" w:line="240" w:lineRule="auto"/>
                    <w:ind w:right="0"/>
                    <w:rPr>
                      <w:sz w:val="21"/>
                      <w:szCs w:val="21"/>
                    </w:rPr>
                  </w:pPr>
                  <w:r>
                    <w:rPr>
                      <w:rFonts w:hint="eastAsia"/>
                      <w:sz w:val="21"/>
                      <w:szCs w:val="21"/>
                    </w:rPr>
                    <w:t>3.加快建设麒麟区、沾益区、马龙区水系连通工程，形成独木水库—水城水库—潇湘水库—潇湘江等6条生态流量通道，生态流量月保障程度达到90%以上，加强牛栏江流域水资源配置和调度管理，保障公锁、土格樟、黄梨树、黑山河流控制断面和苏斗河水库、金乐水库、长海子水库3个水库控制断面生态基流，确保生态流量泄放，确保德泽水库下泄流量在丰水期和枯水期分别达到16立方米/秒和5.4立方米/秒。</w:t>
                  </w:r>
                </w:p>
                <w:p w14:paraId="76CF6ED3">
                  <w:pPr>
                    <w:pStyle w:val="2"/>
                    <w:kinsoku w:val="0"/>
                    <w:overflowPunct w:val="0"/>
                    <w:spacing w:before="0" w:after="0" w:line="240" w:lineRule="auto"/>
                    <w:ind w:right="0"/>
                    <w:rPr>
                      <w:sz w:val="21"/>
                      <w:szCs w:val="21"/>
                    </w:rPr>
                  </w:pPr>
                  <w:r>
                    <w:rPr>
                      <w:rFonts w:hint="eastAsia"/>
                      <w:sz w:val="21"/>
                      <w:szCs w:val="21"/>
                    </w:rPr>
                    <w:t>4.建立水资源刚性约束制度，实行水资源消耗总量和强度双控，严格实施取水许可和水资源有偿使用制度，强化用水全过程管理，深入抓好工业、城镇、农业等方面用水量控制，严格规范取水许可审批管理。</w:t>
                  </w:r>
                </w:p>
                <w:p w14:paraId="0EDB8ABE">
                  <w:pPr>
                    <w:pStyle w:val="2"/>
                    <w:kinsoku w:val="0"/>
                    <w:overflowPunct w:val="0"/>
                    <w:spacing w:before="0" w:after="0" w:line="240" w:lineRule="auto"/>
                    <w:ind w:right="0"/>
                    <w:rPr>
                      <w:sz w:val="21"/>
                      <w:szCs w:val="21"/>
                    </w:rPr>
                  </w:pPr>
                  <w:r>
                    <w:rPr>
                      <w:rFonts w:hint="eastAsia"/>
                      <w:sz w:val="21"/>
                      <w:szCs w:val="21"/>
                    </w:rPr>
                    <w:t>5.大力推进各县（市、区）农业、工业、城镇节水，扩大曲靖市县域节水型社会比例。强化农业节水，优化农业种植结构，加大农业节水力度，加快实施规模化高效节水灌溉行动。推广和普及田间节水技术，开辟抗旱水源，科学调度抗旱用水。</w:t>
                  </w:r>
                </w:p>
                <w:p w14:paraId="176658B1">
                  <w:pPr>
                    <w:pStyle w:val="2"/>
                    <w:kinsoku w:val="0"/>
                    <w:overflowPunct w:val="0"/>
                    <w:spacing w:before="0" w:after="0" w:line="240" w:lineRule="auto"/>
                    <w:ind w:right="0"/>
                    <w:rPr>
                      <w:sz w:val="21"/>
                      <w:szCs w:val="21"/>
                    </w:rPr>
                  </w:pPr>
                  <w:r>
                    <w:rPr>
                      <w:rFonts w:hint="eastAsia"/>
                      <w:sz w:val="21"/>
                      <w:szCs w:val="21"/>
                    </w:rPr>
                    <w:t>6.到2025年，曲靖市用水总量控制在18.68亿立方米以内，万元GDP用水量、万元工业增加值用水量比2020年分别不低于20%和16%，</w:t>
                  </w:r>
                  <w:r>
                    <w:rPr>
                      <w:rFonts w:hint="eastAsia"/>
                      <w:sz w:val="21"/>
                      <w:szCs w:val="21"/>
                      <w:lang w:eastAsia="zh-CN"/>
                    </w:rPr>
                    <w:t>农田灌溉水有效利用系数</w:t>
                  </w:r>
                  <w:r>
                    <w:rPr>
                      <w:rFonts w:hint="eastAsia"/>
                      <w:sz w:val="21"/>
                      <w:szCs w:val="21"/>
                    </w:rPr>
                    <w:t>不低于0.545。</w:t>
                  </w:r>
                </w:p>
                <w:p w14:paraId="4C654495">
                  <w:pPr>
                    <w:pStyle w:val="2"/>
                    <w:kinsoku w:val="0"/>
                    <w:overflowPunct w:val="0"/>
                    <w:spacing w:before="0" w:after="0" w:line="240" w:lineRule="auto"/>
                    <w:ind w:right="0"/>
                    <w:rPr>
                      <w:sz w:val="21"/>
                      <w:szCs w:val="21"/>
                    </w:rPr>
                  </w:pPr>
                  <w:r>
                    <w:rPr>
                      <w:rFonts w:hint="eastAsia"/>
                      <w:sz w:val="21"/>
                      <w:szCs w:val="21"/>
                    </w:rPr>
                    <w:t>7.坚持最严格的耕地保护制度，坚决制止耕地“非农化”防止耕地“非粮化”。坚持节约用地，严格执行耕地占补平衡等制度，提高土地投资强度和单位面积产出水平。</w:t>
                  </w:r>
                </w:p>
                <w:p w14:paraId="6404F081">
                  <w:pPr>
                    <w:pStyle w:val="2"/>
                    <w:kinsoku w:val="0"/>
                    <w:overflowPunct w:val="0"/>
                    <w:spacing w:before="0" w:after="0" w:line="240" w:lineRule="auto"/>
                    <w:ind w:right="0"/>
                    <w:rPr>
                      <w:sz w:val="21"/>
                      <w:szCs w:val="21"/>
                    </w:rPr>
                  </w:pPr>
                  <w:r>
                    <w:rPr>
                      <w:rFonts w:hint="eastAsia"/>
                      <w:sz w:val="21"/>
                      <w:szCs w:val="21"/>
                    </w:rPr>
                    <w:t>8.矿产能源发展区应在符合国家产业政策的前提下，依法依规办理用地手续，在符合矿产资源总体规划的前提下合理开采，促进土地集约节约利用，保护区域生态环境，避免造成地质灾害。</w:t>
                  </w:r>
                </w:p>
                <w:p w14:paraId="2C8B5FAE">
                  <w:pPr>
                    <w:pStyle w:val="2"/>
                    <w:kinsoku w:val="0"/>
                    <w:overflowPunct w:val="0"/>
                    <w:spacing w:before="0" w:after="0" w:line="240" w:lineRule="auto"/>
                    <w:ind w:right="0"/>
                    <w:rPr>
                      <w:sz w:val="21"/>
                      <w:szCs w:val="21"/>
                    </w:rPr>
                  </w:pPr>
                  <w:r>
                    <w:rPr>
                      <w:rFonts w:hint="eastAsia"/>
                      <w:sz w:val="21"/>
                      <w:szCs w:val="21"/>
                    </w:rPr>
                    <w:t>9.到2025年，全市规模化以上工业单位增加值能耗下降16%，万元工业增加值用水量下降16%，重点耗能行业能效达到标杆水平的比例超过30%。</w:t>
                  </w:r>
                </w:p>
                <w:p w14:paraId="79E24F61">
                  <w:pPr>
                    <w:pStyle w:val="2"/>
                    <w:kinsoku w:val="0"/>
                    <w:overflowPunct w:val="0"/>
                    <w:spacing w:before="0" w:after="0" w:line="240" w:lineRule="auto"/>
                    <w:ind w:right="0"/>
                    <w:rPr>
                      <w:sz w:val="21"/>
                      <w:szCs w:val="21"/>
                    </w:rPr>
                  </w:pPr>
                  <w:r>
                    <w:rPr>
                      <w:rFonts w:hint="eastAsia"/>
                      <w:sz w:val="21"/>
                      <w:szCs w:val="21"/>
                    </w:rPr>
                    <w:t>10.加强南盘江、牛栏江等岸线保护，强化九龙河（麒麟段、罗平段、陆良段、富源段）、牛栏江（会泽段、沾益段、宣威段）、清水江（罗平段、师宗段），宣威市窑上海子、北盘江、可渡河、拖长江、西泽河、以那河，马龙区马龙河，师宗县甸溪河、篆长河，富源县、小黄泥河，会泽县以礼河、硝厂河、小江等河湖岸线保护与管控。</w:t>
                  </w:r>
                </w:p>
                <w:p w14:paraId="6155D0B4">
                  <w:pPr>
                    <w:pStyle w:val="2"/>
                    <w:kinsoku w:val="0"/>
                    <w:overflowPunct w:val="0"/>
                    <w:spacing w:before="0" w:after="0" w:line="240" w:lineRule="auto"/>
                    <w:ind w:right="0"/>
                    <w:rPr>
                      <w:sz w:val="21"/>
                      <w:szCs w:val="21"/>
                    </w:rPr>
                  </w:pPr>
                  <w:r>
                    <w:rPr>
                      <w:rFonts w:hint="eastAsia"/>
                      <w:sz w:val="21"/>
                      <w:szCs w:val="21"/>
                    </w:rPr>
                    <w:t>11.在禁燃区内，禁止销售、燃用高污染燃料；禁止新建、扩建燃用高污染燃料的设施，已建成的，应当在政府规定的期限内改用天然气、液化石油气、电或者其他清洁能源。</w:t>
                  </w:r>
                </w:p>
              </w:tc>
              <w:tc>
                <w:tcPr>
                  <w:tcW w:w="2835" w:type="dxa"/>
                  <w:vAlign w:val="center"/>
                </w:tcPr>
                <w:p w14:paraId="75A2B7B1">
                  <w:pPr>
                    <w:pStyle w:val="2"/>
                    <w:kinsoku w:val="0"/>
                    <w:overflowPunct w:val="0"/>
                    <w:spacing w:before="0" w:after="0" w:line="240" w:lineRule="auto"/>
                    <w:ind w:right="0"/>
                    <w:rPr>
                      <w:sz w:val="21"/>
                      <w:szCs w:val="21"/>
                    </w:rPr>
                  </w:pPr>
                  <w:r>
                    <w:rPr>
                      <w:rFonts w:hint="eastAsia"/>
                      <w:sz w:val="21"/>
                      <w:szCs w:val="21"/>
                    </w:rPr>
                    <w:t>1.本输变电项目施工期仅混凝土浇筑及养护用水，用水量较小，线路运行期不需取用水。</w:t>
                  </w:r>
                </w:p>
                <w:p w14:paraId="5A906263">
                  <w:pPr>
                    <w:pStyle w:val="2"/>
                    <w:kinsoku w:val="0"/>
                    <w:overflowPunct w:val="0"/>
                    <w:spacing w:before="0" w:after="0" w:line="240" w:lineRule="auto"/>
                    <w:ind w:right="0"/>
                    <w:rPr>
                      <w:sz w:val="21"/>
                      <w:szCs w:val="21"/>
                    </w:rPr>
                  </w:pPr>
                  <w:r>
                    <w:rPr>
                      <w:rFonts w:hint="eastAsia"/>
                      <w:sz w:val="21"/>
                      <w:szCs w:val="21"/>
                    </w:rPr>
                    <w:t>2.本项目占地较小，建设单位将按照现行相关法律法规要求办理土地占用手续。</w:t>
                  </w:r>
                </w:p>
                <w:p w14:paraId="46F8F7EC">
                  <w:pPr>
                    <w:pStyle w:val="2"/>
                    <w:kinsoku w:val="0"/>
                    <w:overflowPunct w:val="0"/>
                    <w:spacing w:before="0" w:after="0" w:line="240" w:lineRule="auto"/>
                    <w:ind w:right="0"/>
                    <w:rPr>
                      <w:sz w:val="21"/>
                      <w:szCs w:val="21"/>
                    </w:rPr>
                  </w:pPr>
                  <w:r>
                    <w:rPr>
                      <w:rFonts w:hint="eastAsia"/>
                      <w:sz w:val="21"/>
                      <w:szCs w:val="21"/>
                    </w:rPr>
                    <w:t>3.项目不涉及前述河流岸线。</w:t>
                  </w:r>
                </w:p>
                <w:p w14:paraId="34346DB8">
                  <w:pPr>
                    <w:pStyle w:val="2"/>
                    <w:kinsoku w:val="0"/>
                    <w:overflowPunct w:val="0"/>
                    <w:spacing w:before="0" w:after="0" w:line="240" w:lineRule="auto"/>
                    <w:ind w:right="0"/>
                    <w:rPr>
                      <w:sz w:val="21"/>
                      <w:szCs w:val="21"/>
                    </w:rPr>
                  </w:pPr>
                  <w:r>
                    <w:rPr>
                      <w:rFonts w:hint="eastAsia"/>
                      <w:sz w:val="21"/>
                      <w:szCs w:val="21"/>
                    </w:rPr>
                    <w:t>4.本输变电项目为基础设施建设项目，不属于燃用高污染燃料的设施。</w:t>
                  </w:r>
                </w:p>
              </w:tc>
              <w:tc>
                <w:tcPr>
                  <w:tcW w:w="568" w:type="dxa"/>
                  <w:vAlign w:val="center"/>
                </w:tcPr>
                <w:p w14:paraId="5A620E00">
                  <w:pPr>
                    <w:pStyle w:val="2"/>
                    <w:kinsoku w:val="0"/>
                    <w:overflowPunct w:val="0"/>
                    <w:spacing w:before="0" w:after="0" w:line="240" w:lineRule="auto"/>
                    <w:ind w:right="0"/>
                    <w:jc w:val="center"/>
                    <w:rPr>
                      <w:sz w:val="21"/>
                      <w:szCs w:val="21"/>
                    </w:rPr>
                  </w:pPr>
                  <w:r>
                    <w:rPr>
                      <w:rFonts w:hint="eastAsia"/>
                      <w:sz w:val="21"/>
                      <w:szCs w:val="21"/>
                    </w:rPr>
                    <w:t>符合</w:t>
                  </w:r>
                </w:p>
              </w:tc>
            </w:tr>
            <w:tr w14:paraId="4A9474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66" w:type="dxa"/>
                  <w:vMerge w:val="restart"/>
                  <w:vAlign w:val="center"/>
                </w:tcPr>
                <w:p w14:paraId="24162024">
                  <w:pPr>
                    <w:pStyle w:val="2"/>
                    <w:kinsoku w:val="0"/>
                    <w:overflowPunct w:val="0"/>
                    <w:spacing w:before="0" w:after="0" w:line="240" w:lineRule="auto"/>
                    <w:ind w:right="0"/>
                    <w:jc w:val="center"/>
                    <w:rPr>
                      <w:sz w:val="21"/>
                      <w:szCs w:val="21"/>
                    </w:rPr>
                  </w:pPr>
                  <w:r>
                    <w:rPr>
                      <w:rFonts w:hint="eastAsia"/>
                      <w:sz w:val="21"/>
                      <w:szCs w:val="21"/>
                    </w:rPr>
                    <w:t>生态环境准入清单</w:t>
                  </w:r>
                </w:p>
              </w:tc>
              <w:tc>
                <w:tcPr>
                  <w:tcW w:w="567" w:type="dxa"/>
                  <w:vMerge w:val="restart"/>
                  <w:vAlign w:val="center"/>
                </w:tcPr>
                <w:p w14:paraId="7FDBD686">
                  <w:pPr>
                    <w:pStyle w:val="2"/>
                    <w:kinsoku w:val="0"/>
                    <w:overflowPunct w:val="0"/>
                    <w:spacing w:before="0" w:after="0" w:line="240" w:lineRule="auto"/>
                    <w:ind w:right="0"/>
                    <w:jc w:val="center"/>
                    <w:rPr>
                      <w:sz w:val="21"/>
                      <w:szCs w:val="21"/>
                    </w:rPr>
                  </w:pPr>
                  <w:r>
                    <w:rPr>
                      <w:rFonts w:hint="eastAsia"/>
                      <w:sz w:val="21"/>
                      <w:szCs w:val="21"/>
                    </w:rPr>
                    <w:t>富源县矿产资源重点管控单元</w:t>
                  </w:r>
                </w:p>
              </w:tc>
              <w:tc>
                <w:tcPr>
                  <w:tcW w:w="567" w:type="dxa"/>
                  <w:vAlign w:val="center"/>
                </w:tcPr>
                <w:p w14:paraId="079BF1AD">
                  <w:pPr>
                    <w:pStyle w:val="2"/>
                    <w:kinsoku w:val="0"/>
                    <w:overflowPunct w:val="0"/>
                    <w:spacing w:before="0" w:after="0" w:line="240" w:lineRule="auto"/>
                    <w:ind w:right="0"/>
                    <w:jc w:val="center"/>
                    <w:rPr>
                      <w:sz w:val="21"/>
                      <w:szCs w:val="21"/>
                    </w:rPr>
                  </w:pPr>
                  <w:r>
                    <w:rPr>
                      <w:rFonts w:hint="eastAsia"/>
                      <w:sz w:val="21"/>
                      <w:szCs w:val="21"/>
                    </w:rPr>
                    <w:t>空间布局约束</w:t>
                  </w:r>
                </w:p>
              </w:tc>
              <w:tc>
                <w:tcPr>
                  <w:tcW w:w="2268" w:type="dxa"/>
                  <w:vAlign w:val="center"/>
                </w:tcPr>
                <w:p w14:paraId="724EEB23">
                  <w:pPr>
                    <w:pStyle w:val="2"/>
                    <w:kinsoku w:val="0"/>
                    <w:overflowPunct w:val="0"/>
                    <w:spacing w:before="0" w:after="0" w:line="240" w:lineRule="auto"/>
                    <w:ind w:right="0"/>
                    <w:rPr>
                      <w:sz w:val="21"/>
                      <w:szCs w:val="21"/>
                    </w:rPr>
                  </w:pPr>
                  <w:r>
                    <w:rPr>
                      <w:rFonts w:hint="eastAsia"/>
                      <w:sz w:val="21"/>
                      <w:szCs w:val="21"/>
                    </w:rPr>
                    <w:t>1.禁止在自然保护区内进行开矿、采石、挖沙等活动。禁止在风景名胜区内进行开山、采石、开矿、开荒、修坟立碑等破坏景观、植被和地形地貌的活动以及修建储存爆炸性、易燃性、放射性、毒害性、腐蚀性物品的设施。涉及其他自然保护地已经纳入生态保护红线的按照生态保护红线管控要求进行管理，暂未纳入生态保护红线的，按照涉及的自然保护地管理法律法规执行。</w:t>
                  </w:r>
                </w:p>
                <w:p w14:paraId="589F8F7E">
                  <w:pPr>
                    <w:pStyle w:val="2"/>
                    <w:kinsoku w:val="0"/>
                    <w:overflowPunct w:val="0"/>
                    <w:spacing w:before="0" w:after="0" w:line="240" w:lineRule="auto"/>
                    <w:ind w:right="0"/>
                    <w:rPr>
                      <w:sz w:val="21"/>
                      <w:szCs w:val="21"/>
                    </w:rPr>
                  </w:pPr>
                  <w:r>
                    <w:rPr>
                      <w:rFonts w:hint="eastAsia"/>
                      <w:sz w:val="21"/>
                      <w:szCs w:val="21"/>
                    </w:rPr>
                    <w:t>2.国家规划矿区实行统一规划，优化保障战略性矿产勘查开发，提高准入门槛，原则上新建矿山规模应达到中型以上，形成以大中型矿山为主体的开发格局，推动优质资源的规模开发、集约节约利用，形成保障战略性矿产安全供给的接续区。</w:t>
                  </w:r>
                </w:p>
                <w:p w14:paraId="7C50BB0C">
                  <w:pPr>
                    <w:pStyle w:val="2"/>
                    <w:kinsoku w:val="0"/>
                    <w:overflowPunct w:val="0"/>
                    <w:spacing w:before="0" w:after="0" w:line="240" w:lineRule="auto"/>
                    <w:ind w:right="0"/>
                    <w:rPr>
                      <w:sz w:val="21"/>
                      <w:szCs w:val="21"/>
                    </w:rPr>
                  </w:pPr>
                  <w:r>
                    <w:rPr>
                      <w:rFonts w:hint="eastAsia"/>
                      <w:sz w:val="21"/>
                      <w:szCs w:val="21"/>
                    </w:rPr>
                    <w:t>3.提高矿山准入门槛，严格执行非煤矿山最低开采规模和服务年限标准，严防边关闭边低水平重复建设，切实提高非煤矿山规模。</w:t>
                  </w:r>
                </w:p>
                <w:p w14:paraId="4024B93D">
                  <w:pPr>
                    <w:pStyle w:val="2"/>
                    <w:kinsoku w:val="0"/>
                    <w:overflowPunct w:val="0"/>
                    <w:spacing w:before="0" w:after="0" w:line="240" w:lineRule="auto"/>
                    <w:ind w:right="0"/>
                    <w:rPr>
                      <w:sz w:val="21"/>
                      <w:szCs w:val="21"/>
                    </w:rPr>
                  </w:pPr>
                  <w:r>
                    <w:rPr>
                      <w:rFonts w:hint="eastAsia"/>
                      <w:sz w:val="21"/>
                      <w:szCs w:val="21"/>
                    </w:rPr>
                    <w:t>4.合理、有序投放普通建筑用砂石土类采矿权，优化砂石资源规划布局，支持有条件地区划定集中开采区。</w:t>
                  </w:r>
                </w:p>
                <w:p w14:paraId="04932862">
                  <w:pPr>
                    <w:pStyle w:val="2"/>
                    <w:kinsoku w:val="0"/>
                    <w:overflowPunct w:val="0"/>
                    <w:spacing w:before="0" w:after="0" w:line="240" w:lineRule="auto"/>
                    <w:ind w:right="0"/>
                    <w:rPr>
                      <w:sz w:val="21"/>
                      <w:szCs w:val="21"/>
                    </w:rPr>
                  </w:pPr>
                  <w:r>
                    <w:rPr>
                      <w:rFonts w:hint="eastAsia"/>
                      <w:sz w:val="21"/>
                      <w:szCs w:val="21"/>
                    </w:rPr>
                    <w:t>5.落实《云南省矿产资源总体规划》《曲靖市矿产资源总体规划》《富源县矿产资源总体规划》。</w:t>
                  </w:r>
                </w:p>
              </w:tc>
              <w:tc>
                <w:tcPr>
                  <w:tcW w:w="2835" w:type="dxa"/>
                  <w:vAlign w:val="center"/>
                </w:tcPr>
                <w:p w14:paraId="75756041">
                  <w:pPr>
                    <w:pStyle w:val="2"/>
                    <w:kinsoku w:val="0"/>
                    <w:overflowPunct w:val="0"/>
                    <w:spacing w:before="0" w:after="0" w:line="240" w:lineRule="auto"/>
                    <w:ind w:right="0"/>
                    <w:rPr>
                      <w:sz w:val="21"/>
                      <w:szCs w:val="21"/>
                    </w:rPr>
                  </w:pPr>
                  <w:r>
                    <w:rPr>
                      <w:rFonts w:hint="eastAsia"/>
                      <w:sz w:val="21"/>
                      <w:szCs w:val="21"/>
                    </w:rPr>
                    <w:t>1</w:t>
                  </w:r>
                  <w:r>
                    <w:rPr>
                      <w:sz w:val="21"/>
                      <w:szCs w:val="21"/>
                    </w:rPr>
                    <w:t>.</w:t>
                  </w:r>
                  <w:r>
                    <w:rPr>
                      <w:rFonts w:hint="eastAsia"/>
                      <w:sz w:val="21"/>
                      <w:szCs w:val="21"/>
                    </w:rPr>
                    <w:t>本项目为输变电项目，不涉及自然保护区和风景名胜区，不占用生态保护红线，也不跨越生态保护红线。不涉及开矿、采石、挖沙、修坟立碑等活动。</w:t>
                  </w:r>
                </w:p>
                <w:p w14:paraId="1C80E35D">
                  <w:r>
                    <w:t>2</w:t>
                  </w:r>
                  <w:r>
                    <w:rPr>
                      <w:rFonts w:hint="eastAsia"/>
                    </w:rPr>
                    <w:t>、本项目的建设与《云南省矿产资源总体规划》《曲靖市矿产资源总体规划》《富源县矿产资源总体规划》不冲突。</w:t>
                  </w:r>
                </w:p>
              </w:tc>
              <w:tc>
                <w:tcPr>
                  <w:tcW w:w="568" w:type="dxa"/>
                  <w:vAlign w:val="center"/>
                </w:tcPr>
                <w:p w14:paraId="69F3D738">
                  <w:pPr>
                    <w:pStyle w:val="2"/>
                    <w:kinsoku w:val="0"/>
                    <w:overflowPunct w:val="0"/>
                    <w:spacing w:before="0" w:after="0" w:line="240" w:lineRule="auto"/>
                    <w:ind w:right="0"/>
                    <w:jc w:val="center"/>
                    <w:rPr>
                      <w:sz w:val="21"/>
                      <w:szCs w:val="21"/>
                    </w:rPr>
                  </w:pPr>
                  <w:r>
                    <w:rPr>
                      <w:rFonts w:hint="eastAsia"/>
                      <w:sz w:val="21"/>
                      <w:szCs w:val="21"/>
                    </w:rPr>
                    <w:t>符合</w:t>
                  </w:r>
                </w:p>
              </w:tc>
            </w:tr>
            <w:tr w14:paraId="41DA38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66" w:type="dxa"/>
                  <w:vMerge w:val="continue"/>
                  <w:vAlign w:val="center"/>
                </w:tcPr>
                <w:p w14:paraId="12DE55DE">
                  <w:pPr>
                    <w:pStyle w:val="2"/>
                    <w:kinsoku w:val="0"/>
                    <w:overflowPunct w:val="0"/>
                    <w:spacing w:before="0" w:after="0" w:line="240" w:lineRule="auto"/>
                    <w:ind w:right="0"/>
                    <w:jc w:val="center"/>
                    <w:rPr>
                      <w:sz w:val="21"/>
                      <w:szCs w:val="21"/>
                    </w:rPr>
                  </w:pPr>
                </w:p>
              </w:tc>
              <w:tc>
                <w:tcPr>
                  <w:tcW w:w="567" w:type="dxa"/>
                  <w:vMerge w:val="continue"/>
                  <w:vAlign w:val="center"/>
                </w:tcPr>
                <w:p w14:paraId="7690D141">
                  <w:pPr>
                    <w:pStyle w:val="2"/>
                    <w:kinsoku w:val="0"/>
                    <w:overflowPunct w:val="0"/>
                    <w:spacing w:before="0" w:after="0" w:line="240" w:lineRule="auto"/>
                    <w:ind w:right="0"/>
                    <w:jc w:val="center"/>
                    <w:rPr>
                      <w:sz w:val="21"/>
                      <w:szCs w:val="21"/>
                    </w:rPr>
                  </w:pPr>
                </w:p>
              </w:tc>
              <w:tc>
                <w:tcPr>
                  <w:tcW w:w="567" w:type="dxa"/>
                  <w:vAlign w:val="center"/>
                </w:tcPr>
                <w:p w14:paraId="288AB292">
                  <w:pPr>
                    <w:pStyle w:val="2"/>
                    <w:kinsoku w:val="0"/>
                    <w:overflowPunct w:val="0"/>
                    <w:spacing w:before="0" w:after="0" w:line="240" w:lineRule="auto"/>
                    <w:ind w:right="0"/>
                    <w:jc w:val="center"/>
                    <w:rPr>
                      <w:sz w:val="21"/>
                      <w:szCs w:val="21"/>
                    </w:rPr>
                  </w:pPr>
                  <w:r>
                    <w:rPr>
                      <w:rFonts w:hint="eastAsia"/>
                      <w:sz w:val="21"/>
                      <w:szCs w:val="21"/>
                    </w:rPr>
                    <w:t>污染物排放管控</w:t>
                  </w:r>
                </w:p>
              </w:tc>
              <w:tc>
                <w:tcPr>
                  <w:tcW w:w="2268" w:type="dxa"/>
                  <w:vAlign w:val="center"/>
                </w:tcPr>
                <w:p w14:paraId="20738B41">
                  <w:pPr>
                    <w:pStyle w:val="2"/>
                    <w:kinsoku w:val="0"/>
                    <w:overflowPunct w:val="0"/>
                    <w:spacing w:before="0" w:after="0" w:line="240" w:lineRule="auto"/>
                    <w:ind w:right="0"/>
                    <w:rPr>
                      <w:sz w:val="21"/>
                      <w:szCs w:val="21"/>
                    </w:rPr>
                  </w:pPr>
                  <w:r>
                    <w:rPr>
                      <w:rFonts w:hint="eastAsia"/>
                      <w:sz w:val="21"/>
                      <w:szCs w:val="21"/>
                    </w:rPr>
                    <w:t>1.执行重点水污染物排放总量控制制度；禁止将含有汞、镉、砷、铬、氰化物等可溶性剧毒废渣向水体排放。</w:t>
                  </w:r>
                </w:p>
                <w:p w14:paraId="0BB1F2DD">
                  <w:pPr>
                    <w:pStyle w:val="2"/>
                    <w:kinsoku w:val="0"/>
                    <w:overflowPunct w:val="0"/>
                    <w:spacing w:before="0" w:after="0" w:line="240" w:lineRule="auto"/>
                    <w:ind w:right="0"/>
                    <w:rPr>
                      <w:sz w:val="21"/>
                      <w:szCs w:val="21"/>
                    </w:rPr>
                  </w:pPr>
                  <w:r>
                    <w:rPr>
                      <w:rFonts w:hint="eastAsia"/>
                      <w:sz w:val="21"/>
                      <w:szCs w:val="21"/>
                    </w:rPr>
                    <w:t>2.采取综合防治措施，提高水的重复利用率、减少废水和污染物排放量。</w:t>
                  </w:r>
                </w:p>
                <w:p w14:paraId="44BECF3E">
                  <w:pPr>
                    <w:pStyle w:val="2"/>
                    <w:kinsoku w:val="0"/>
                    <w:overflowPunct w:val="0"/>
                    <w:spacing w:before="0" w:after="0" w:line="240" w:lineRule="auto"/>
                    <w:ind w:right="0"/>
                    <w:rPr>
                      <w:sz w:val="21"/>
                      <w:szCs w:val="21"/>
                    </w:rPr>
                  </w:pPr>
                  <w:r>
                    <w:rPr>
                      <w:rFonts w:hint="eastAsia"/>
                      <w:sz w:val="21"/>
                      <w:szCs w:val="21"/>
                    </w:rPr>
                    <w:t>3.非煤矿山应采用清洁生产工艺，配套建设除尘装置。</w:t>
                  </w:r>
                </w:p>
                <w:p w14:paraId="6BF14F5F">
                  <w:pPr>
                    <w:pStyle w:val="2"/>
                    <w:kinsoku w:val="0"/>
                    <w:overflowPunct w:val="0"/>
                    <w:spacing w:before="0" w:after="0" w:line="240" w:lineRule="auto"/>
                    <w:ind w:right="0"/>
                    <w:rPr>
                      <w:sz w:val="21"/>
                      <w:szCs w:val="21"/>
                    </w:rPr>
                  </w:pPr>
                  <w:r>
                    <w:rPr>
                      <w:rFonts w:hint="eastAsia"/>
                      <w:sz w:val="21"/>
                      <w:szCs w:val="21"/>
                    </w:rPr>
                    <w:t>4.加强精细化管理，采取集中收集处理等措施，严格控制粉尘和气态污染物的排放。</w:t>
                  </w:r>
                </w:p>
              </w:tc>
              <w:tc>
                <w:tcPr>
                  <w:tcW w:w="2835" w:type="dxa"/>
                  <w:vAlign w:val="center"/>
                </w:tcPr>
                <w:p w14:paraId="36C5DF58">
                  <w:pPr>
                    <w:pStyle w:val="2"/>
                    <w:kinsoku w:val="0"/>
                    <w:overflowPunct w:val="0"/>
                    <w:spacing w:before="0" w:after="0" w:line="240" w:lineRule="auto"/>
                    <w:ind w:right="0"/>
                    <w:rPr>
                      <w:sz w:val="21"/>
                      <w:szCs w:val="21"/>
                    </w:rPr>
                  </w:pPr>
                  <w:r>
                    <w:rPr>
                      <w:rFonts w:hint="eastAsia"/>
                      <w:sz w:val="21"/>
                      <w:szCs w:val="21"/>
                    </w:rPr>
                    <w:t>1.本项目运营过程中无废水废气产生，不涉及可溶性剧毒废渣排放。</w:t>
                  </w:r>
                </w:p>
                <w:p w14:paraId="237EE287">
                  <w:pPr>
                    <w:pStyle w:val="2"/>
                    <w:kinsoku w:val="0"/>
                    <w:overflowPunct w:val="0"/>
                    <w:spacing w:before="0" w:after="0" w:line="240" w:lineRule="auto"/>
                    <w:ind w:right="0"/>
                    <w:rPr>
                      <w:sz w:val="21"/>
                      <w:szCs w:val="21"/>
                    </w:rPr>
                  </w:pPr>
                  <w:r>
                    <w:rPr>
                      <w:rFonts w:hint="eastAsia"/>
                      <w:sz w:val="21"/>
                      <w:szCs w:val="21"/>
                    </w:rPr>
                    <w:t>2.本项目施工期废污水将处理后回用。</w:t>
                  </w:r>
                </w:p>
              </w:tc>
              <w:tc>
                <w:tcPr>
                  <w:tcW w:w="568" w:type="dxa"/>
                  <w:vAlign w:val="center"/>
                </w:tcPr>
                <w:p w14:paraId="2CB89FE1">
                  <w:pPr>
                    <w:pStyle w:val="2"/>
                    <w:kinsoku w:val="0"/>
                    <w:overflowPunct w:val="0"/>
                    <w:spacing w:before="0" w:after="0" w:line="240" w:lineRule="auto"/>
                    <w:ind w:right="0"/>
                    <w:jc w:val="center"/>
                    <w:rPr>
                      <w:sz w:val="21"/>
                      <w:szCs w:val="21"/>
                    </w:rPr>
                  </w:pPr>
                  <w:r>
                    <w:rPr>
                      <w:rFonts w:hint="eastAsia"/>
                      <w:sz w:val="21"/>
                      <w:szCs w:val="21"/>
                    </w:rPr>
                    <w:t>符合</w:t>
                  </w:r>
                </w:p>
              </w:tc>
            </w:tr>
            <w:tr w14:paraId="492323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66" w:type="dxa"/>
                  <w:vMerge w:val="continue"/>
                  <w:vAlign w:val="center"/>
                </w:tcPr>
                <w:p w14:paraId="6BB873CE">
                  <w:pPr>
                    <w:pStyle w:val="2"/>
                    <w:kinsoku w:val="0"/>
                    <w:overflowPunct w:val="0"/>
                    <w:spacing w:before="0" w:after="0" w:line="240" w:lineRule="auto"/>
                    <w:ind w:right="0"/>
                    <w:jc w:val="center"/>
                    <w:rPr>
                      <w:sz w:val="21"/>
                      <w:szCs w:val="21"/>
                    </w:rPr>
                  </w:pPr>
                </w:p>
              </w:tc>
              <w:tc>
                <w:tcPr>
                  <w:tcW w:w="567" w:type="dxa"/>
                  <w:vMerge w:val="continue"/>
                  <w:vAlign w:val="center"/>
                </w:tcPr>
                <w:p w14:paraId="1E3F85F9">
                  <w:pPr>
                    <w:pStyle w:val="2"/>
                    <w:kinsoku w:val="0"/>
                    <w:overflowPunct w:val="0"/>
                    <w:spacing w:before="0" w:after="0" w:line="240" w:lineRule="auto"/>
                    <w:ind w:right="0"/>
                    <w:jc w:val="center"/>
                    <w:rPr>
                      <w:sz w:val="21"/>
                      <w:szCs w:val="21"/>
                    </w:rPr>
                  </w:pPr>
                </w:p>
              </w:tc>
              <w:tc>
                <w:tcPr>
                  <w:tcW w:w="567" w:type="dxa"/>
                  <w:vAlign w:val="center"/>
                </w:tcPr>
                <w:p w14:paraId="197DE2A0">
                  <w:pPr>
                    <w:pStyle w:val="2"/>
                    <w:kinsoku w:val="0"/>
                    <w:overflowPunct w:val="0"/>
                    <w:spacing w:before="0" w:after="0" w:line="240" w:lineRule="auto"/>
                    <w:ind w:right="0"/>
                    <w:jc w:val="center"/>
                    <w:rPr>
                      <w:sz w:val="21"/>
                      <w:szCs w:val="21"/>
                    </w:rPr>
                  </w:pPr>
                  <w:r>
                    <w:rPr>
                      <w:rFonts w:hint="eastAsia"/>
                      <w:sz w:val="21"/>
                      <w:szCs w:val="21"/>
                    </w:rPr>
                    <w:t>环境风险防控</w:t>
                  </w:r>
                </w:p>
              </w:tc>
              <w:tc>
                <w:tcPr>
                  <w:tcW w:w="2268" w:type="dxa"/>
                  <w:vAlign w:val="center"/>
                </w:tcPr>
                <w:p w14:paraId="3AF9C20D">
                  <w:pPr>
                    <w:pStyle w:val="2"/>
                    <w:kinsoku w:val="0"/>
                    <w:overflowPunct w:val="0"/>
                    <w:spacing w:before="0" w:after="0" w:line="240" w:lineRule="auto"/>
                    <w:ind w:right="0"/>
                    <w:rPr>
                      <w:sz w:val="21"/>
                      <w:szCs w:val="21"/>
                    </w:rPr>
                  </w:pPr>
                  <w:r>
                    <w:rPr>
                      <w:rFonts w:hint="eastAsia"/>
                      <w:sz w:val="21"/>
                      <w:szCs w:val="21"/>
                    </w:rPr>
                    <w:t>1.产生、利用或处置含重金属的固体废物（含危险废物）的企业在贮存、转移、利用、处置固体废物（含危险废物）过程中，应配套防扬散、防流失、防渗漏及其他防止污染环境的措施。</w:t>
                  </w:r>
                </w:p>
                <w:p w14:paraId="0D6BDF95">
                  <w:pPr>
                    <w:pStyle w:val="2"/>
                    <w:kinsoku w:val="0"/>
                    <w:overflowPunct w:val="0"/>
                    <w:spacing w:before="0" w:after="0" w:line="240" w:lineRule="auto"/>
                    <w:ind w:right="0"/>
                    <w:rPr>
                      <w:sz w:val="21"/>
                      <w:szCs w:val="21"/>
                    </w:rPr>
                  </w:pPr>
                  <w:r>
                    <w:rPr>
                      <w:rFonts w:hint="eastAsia"/>
                      <w:sz w:val="21"/>
                      <w:szCs w:val="21"/>
                    </w:rPr>
                    <w:t>2.各工矿企业应当结合风险源状况明确环境风险的防范、减缓措施。构建“单元—厂区—园区（区域）”的环境风险防控体系，设置事故废水收集和应急储存设施。加强地下水环境的监控、预警。编制企事业单位突发环境事件应急预案。金属矿山开采过程中需对人群健康风险进行识别，采取有效措施预防由矿山开发利用带来的疾病。</w:t>
                  </w:r>
                </w:p>
              </w:tc>
              <w:tc>
                <w:tcPr>
                  <w:tcW w:w="2835" w:type="dxa"/>
                  <w:vAlign w:val="center"/>
                </w:tcPr>
                <w:p w14:paraId="7E6D073B">
                  <w:pPr>
                    <w:pStyle w:val="2"/>
                    <w:kinsoku w:val="0"/>
                    <w:overflowPunct w:val="0"/>
                    <w:spacing w:before="0" w:after="0" w:line="240" w:lineRule="auto"/>
                    <w:ind w:right="0"/>
                    <w:rPr>
                      <w:sz w:val="21"/>
                      <w:szCs w:val="21"/>
                    </w:rPr>
                  </w:pPr>
                  <w:r>
                    <w:rPr>
                      <w:rFonts w:hint="eastAsia"/>
                      <w:sz w:val="21"/>
                      <w:szCs w:val="21"/>
                    </w:rPr>
                    <w:t>本项目为输变电项目。建设单位建立了较为完善的环境风险防控体系，同时本环评提出了一系列环境风险防范措施，环境风险可控。</w:t>
                  </w:r>
                </w:p>
              </w:tc>
              <w:tc>
                <w:tcPr>
                  <w:tcW w:w="568" w:type="dxa"/>
                  <w:vAlign w:val="center"/>
                </w:tcPr>
                <w:p w14:paraId="060356BC">
                  <w:pPr>
                    <w:pStyle w:val="2"/>
                    <w:kinsoku w:val="0"/>
                    <w:overflowPunct w:val="0"/>
                    <w:spacing w:before="0" w:after="0" w:line="240" w:lineRule="auto"/>
                    <w:ind w:right="0"/>
                    <w:jc w:val="center"/>
                    <w:rPr>
                      <w:sz w:val="21"/>
                      <w:szCs w:val="21"/>
                    </w:rPr>
                  </w:pPr>
                  <w:r>
                    <w:rPr>
                      <w:rFonts w:hint="eastAsia"/>
                      <w:sz w:val="21"/>
                      <w:szCs w:val="21"/>
                    </w:rPr>
                    <w:t>符合</w:t>
                  </w:r>
                </w:p>
              </w:tc>
            </w:tr>
            <w:tr w14:paraId="13D960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66" w:type="dxa"/>
                  <w:vMerge w:val="continue"/>
                  <w:vAlign w:val="center"/>
                </w:tcPr>
                <w:p w14:paraId="64119CE6">
                  <w:pPr>
                    <w:pStyle w:val="2"/>
                    <w:kinsoku w:val="0"/>
                    <w:overflowPunct w:val="0"/>
                    <w:spacing w:before="0" w:after="0" w:line="240" w:lineRule="auto"/>
                    <w:ind w:right="0"/>
                    <w:jc w:val="center"/>
                    <w:rPr>
                      <w:sz w:val="21"/>
                      <w:szCs w:val="21"/>
                    </w:rPr>
                  </w:pPr>
                </w:p>
              </w:tc>
              <w:tc>
                <w:tcPr>
                  <w:tcW w:w="567" w:type="dxa"/>
                  <w:vMerge w:val="continue"/>
                  <w:vAlign w:val="center"/>
                </w:tcPr>
                <w:p w14:paraId="12BD2123">
                  <w:pPr>
                    <w:pStyle w:val="2"/>
                    <w:kinsoku w:val="0"/>
                    <w:overflowPunct w:val="0"/>
                    <w:spacing w:before="0" w:after="0" w:line="240" w:lineRule="auto"/>
                    <w:ind w:right="0"/>
                    <w:jc w:val="center"/>
                    <w:rPr>
                      <w:sz w:val="21"/>
                      <w:szCs w:val="21"/>
                    </w:rPr>
                  </w:pPr>
                </w:p>
              </w:tc>
              <w:tc>
                <w:tcPr>
                  <w:tcW w:w="567" w:type="dxa"/>
                  <w:vAlign w:val="center"/>
                </w:tcPr>
                <w:p w14:paraId="1D864019">
                  <w:pPr>
                    <w:pStyle w:val="2"/>
                    <w:kinsoku w:val="0"/>
                    <w:overflowPunct w:val="0"/>
                    <w:spacing w:before="0" w:after="0" w:line="240" w:lineRule="auto"/>
                    <w:ind w:right="0"/>
                    <w:jc w:val="center"/>
                    <w:rPr>
                      <w:sz w:val="21"/>
                      <w:szCs w:val="21"/>
                    </w:rPr>
                  </w:pPr>
                  <w:r>
                    <w:rPr>
                      <w:rFonts w:hint="eastAsia"/>
                      <w:sz w:val="21"/>
                      <w:szCs w:val="21"/>
                    </w:rPr>
                    <w:t>资源开发效率要求</w:t>
                  </w:r>
                </w:p>
              </w:tc>
              <w:tc>
                <w:tcPr>
                  <w:tcW w:w="2268" w:type="dxa"/>
                  <w:vAlign w:val="center"/>
                </w:tcPr>
                <w:p w14:paraId="1BC4513A">
                  <w:pPr>
                    <w:pStyle w:val="2"/>
                    <w:kinsoku w:val="0"/>
                    <w:overflowPunct w:val="0"/>
                    <w:spacing w:before="0" w:after="0" w:line="240" w:lineRule="auto"/>
                    <w:ind w:right="0"/>
                    <w:rPr>
                      <w:sz w:val="21"/>
                      <w:szCs w:val="21"/>
                    </w:rPr>
                  </w:pPr>
                  <w:r>
                    <w:rPr>
                      <w:rFonts w:hint="eastAsia"/>
                      <w:sz w:val="21"/>
                      <w:szCs w:val="21"/>
                    </w:rPr>
                    <w:t>1.贯彻“边开采、边治理、边恢复”的原则，及时治理恢复矿山地质环境，复垦矿山占用土地和损毁土地。</w:t>
                  </w:r>
                </w:p>
                <w:p w14:paraId="556CCF4C">
                  <w:pPr>
                    <w:pStyle w:val="2"/>
                    <w:kinsoku w:val="0"/>
                    <w:overflowPunct w:val="0"/>
                    <w:spacing w:before="0" w:after="0" w:line="240" w:lineRule="auto"/>
                    <w:ind w:right="0"/>
                    <w:rPr>
                      <w:sz w:val="21"/>
                      <w:szCs w:val="21"/>
                    </w:rPr>
                  </w:pPr>
                  <w:r>
                    <w:rPr>
                      <w:rFonts w:hint="eastAsia"/>
                      <w:sz w:val="21"/>
                      <w:szCs w:val="21"/>
                    </w:rPr>
                    <w:t>2.从源头减少废水产生，实施清污分流，充分利用矿井水、循环利用选矿水。</w:t>
                  </w:r>
                </w:p>
                <w:p w14:paraId="4A597D69">
                  <w:pPr>
                    <w:pStyle w:val="2"/>
                    <w:kinsoku w:val="0"/>
                    <w:overflowPunct w:val="0"/>
                    <w:spacing w:before="0" w:after="0" w:line="240" w:lineRule="auto"/>
                    <w:ind w:right="0"/>
                    <w:rPr>
                      <w:sz w:val="21"/>
                      <w:szCs w:val="21"/>
                    </w:rPr>
                  </w:pPr>
                  <w:r>
                    <w:rPr>
                      <w:rFonts w:hint="eastAsia"/>
                      <w:sz w:val="21"/>
                      <w:szCs w:val="21"/>
                    </w:rPr>
                    <w:t>3.加快老旧矿山改造升级，建设绿色矿山，提高矿产资源回采率和综合回收率。</w:t>
                  </w:r>
                </w:p>
                <w:p w14:paraId="4255B362">
                  <w:pPr>
                    <w:pStyle w:val="2"/>
                    <w:kinsoku w:val="0"/>
                    <w:overflowPunct w:val="0"/>
                    <w:spacing w:before="0" w:after="0" w:line="240" w:lineRule="auto"/>
                    <w:ind w:right="0"/>
                    <w:rPr>
                      <w:sz w:val="21"/>
                      <w:szCs w:val="21"/>
                    </w:rPr>
                  </w:pPr>
                  <w:r>
                    <w:rPr>
                      <w:rFonts w:hint="eastAsia"/>
                      <w:sz w:val="21"/>
                      <w:szCs w:val="21"/>
                    </w:rPr>
                    <w:t>4.加强尾矿、废石等资源的再利用与资源综合利用，对尾矿库、废石堆通过平整、覆土、恢复植被等措施开展生态修复。</w:t>
                  </w:r>
                </w:p>
              </w:tc>
              <w:tc>
                <w:tcPr>
                  <w:tcW w:w="2835" w:type="dxa"/>
                  <w:vAlign w:val="center"/>
                </w:tcPr>
                <w:p w14:paraId="6CCF8832">
                  <w:pPr>
                    <w:pStyle w:val="2"/>
                    <w:kinsoku w:val="0"/>
                    <w:overflowPunct w:val="0"/>
                    <w:spacing w:before="0" w:after="0" w:line="240" w:lineRule="auto"/>
                    <w:ind w:right="0"/>
                    <w:rPr>
                      <w:sz w:val="21"/>
                      <w:szCs w:val="21"/>
                    </w:rPr>
                  </w:pPr>
                  <w:r>
                    <w:rPr>
                      <w:rFonts w:hint="eastAsia"/>
                      <w:sz w:val="21"/>
                      <w:szCs w:val="21"/>
                    </w:rPr>
                    <w:t>本项目为输变电项目，不涉及矿山开采。</w:t>
                  </w:r>
                </w:p>
              </w:tc>
              <w:tc>
                <w:tcPr>
                  <w:tcW w:w="568" w:type="dxa"/>
                  <w:vAlign w:val="center"/>
                </w:tcPr>
                <w:p w14:paraId="7CACFFAC">
                  <w:pPr>
                    <w:pStyle w:val="2"/>
                    <w:kinsoku w:val="0"/>
                    <w:overflowPunct w:val="0"/>
                    <w:spacing w:before="0" w:after="0" w:line="240" w:lineRule="auto"/>
                    <w:ind w:right="0"/>
                    <w:jc w:val="center"/>
                    <w:rPr>
                      <w:sz w:val="21"/>
                      <w:szCs w:val="21"/>
                    </w:rPr>
                  </w:pPr>
                  <w:r>
                    <w:rPr>
                      <w:rFonts w:hint="eastAsia"/>
                      <w:sz w:val="21"/>
                      <w:szCs w:val="21"/>
                    </w:rPr>
                    <w:t>符合</w:t>
                  </w:r>
                </w:p>
              </w:tc>
            </w:tr>
          </w:tbl>
          <w:p w14:paraId="49543401">
            <w:pPr>
              <w:pStyle w:val="2"/>
              <w:kinsoku w:val="0"/>
              <w:overflowPunct w:val="0"/>
              <w:spacing w:before="0" w:after="0" w:line="360" w:lineRule="auto"/>
              <w:ind w:right="0" w:firstLine="480" w:firstLineChars="200"/>
              <w:rPr>
                <w:sz w:val="24"/>
                <w:szCs w:val="24"/>
              </w:rPr>
            </w:pPr>
            <w:r>
              <w:rPr>
                <w:rFonts w:hint="eastAsia"/>
                <w:sz w:val="24"/>
                <w:szCs w:val="24"/>
              </w:rPr>
              <w:t>综上所述，项目的建设满足《曲靖市生态环境分区管控动态更新实施方案（2023年）》的要求。</w:t>
            </w:r>
          </w:p>
          <w:p w14:paraId="5B917D3B">
            <w:pPr>
              <w:tabs>
                <w:tab w:val="left" w:pos="3240"/>
              </w:tabs>
              <w:spacing w:line="360" w:lineRule="auto"/>
              <w:rPr>
                <w:b/>
                <w:sz w:val="24"/>
              </w:rPr>
            </w:pPr>
            <w:r>
              <w:rPr>
                <w:b/>
                <w:sz w:val="24"/>
              </w:rPr>
              <w:t>4、与《云南省电力设施保护条例》、《电力设施保护条例》、《电力设施保护条例实施细则》相符性分析</w:t>
            </w:r>
          </w:p>
          <w:p w14:paraId="777E2B6E">
            <w:pPr>
              <w:snapToGrid w:val="0"/>
              <w:spacing w:line="360" w:lineRule="auto"/>
              <w:ind w:firstLine="480" w:firstLineChars="200"/>
              <w:rPr>
                <w:sz w:val="24"/>
              </w:rPr>
            </w:pPr>
            <w:r>
              <w:rPr>
                <w:sz w:val="24"/>
              </w:rPr>
              <w:t>根据《云南省电力设施保护条例》、《电力设施保护条例》、《电力设施保护条例实施细则》，110kV架空线路电力线路保护区为：导线边线向外侧水平延伸10m并垂直于地面所形成的两平行面内；杆塔外缘向周围延伸10m所形成的区域、拉线基础外缘向周围延伸3m所形成的区域。架空电力线路一般不得跨越房屋。对架空电力线路通道内的原有房屋，架空电力线路建设单位应当与</w:t>
            </w:r>
            <w:r>
              <w:rPr>
                <w:rFonts w:hint="eastAsia"/>
                <w:sz w:val="24"/>
              </w:rPr>
              <w:t>房屋</w:t>
            </w:r>
            <w:r>
              <w:rPr>
                <w:sz w:val="24"/>
              </w:rPr>
              <w:t>产权所有者协商搬迁，迁拆费不得超出国家规定标准。</w:t>
            </w:r>
          </w:p>
          <w:p w14:paraId="3E55037D">
            <w:pPr>
              <w:snapToGrid w:val="0"/>
              <w:spacing w:line="360" w:lineRule="auto"/>
              <w:ind w:firstLine="480" w:firstLineChars="200"/>
              <w:rPr>
                <w:sz w:val="24"/>
              </w:rPr>
            </w:pPr>
            <w:r>
              <w:rPr>
                <w:sz w:val="24"/>
              </w:rPr>
              <w:t>本项目线路工程导线边线向外侧水平延伸10m并垂直于地面所形成的两平行面内；杆塔外缘向周围延伸10m所形成的区域、拉线基础外缘向周围延伸3m所形成的区域没有居民住宅等永久性建筑物，满足上述条例及</w:t>
            </w:r>
            <w:r>
              <w:rPr>
                <w:rFonts w:hint="eastAsia"/>
                <w:sz w:val="24"/>
              </w:rPr>
              <w:t>其</w:t>
            </w:r>
            <w:r>
              <w:rPr>
                <w:sz w:val="24"/>
              </w:rPr>
              <w:t>实施细则的要求。</w:t>
            </w:r>
          </w:p>
          <w:p w14:paraId="5E7394DF">
            <w:pPr>
              <w:snapToGrid w:val="0"/>
              <w:spacing w:line="360" w:lineRule="auto"/>
              <w:rPr>
                <w:b/>
                <w:sz w:val="24"/>
              </w:rPr>
            </w:pPr>
            <w:r>
              <w:rPr>
                <w:b/>
                <w:sz w:val="24"/>
              </w:rPr>
              <w:t>5、与《输变电建设项目环境保护技术要求》（HJ 1113-2020）符合性分析</w:t>
            </w:r>
          </w:p>
          <w:p w14:paraId="072DF7CD">
            <w:pPr>
              <w:pStyle w:val="80"/>
              <w:ind w:firstLine="480"/>
              <w:rPr>
                <w:rFonts w:ascii="Times New Roman" w:hAnsi="Times New Roman" w:cs="Times New Roman"/>
              </w:rPr>
            </w:pPr>
            <w:r>
              <w:rPr>
                <w:rFonts w:ascii="Times New Roman" w:hAnsi="Times New Roman" w:cs="Times New Roman"/>
              </w:rPr>
              <w:t>根据现场调查和核实，项目拟建输电线路沿线不涉及自然保护区、风景名胜区、饮用水水源保护区等环境敏感区。本工程是输变电重要基础设施项目，该项目涉及塔基为23座，该项目</w:t>
            </w:r>
            <w:r>
              <w:rPr>
                <w:rFonts w:hint="eastAsia" w:ascii="Times New Roman" w:hAnsi="Times New Roman" w:cs="Times New Roman"/>
              </w:rPr>
              <w:t>不占用生态保护红线，也不跨越生态保护红线</w:t>
            </w:r>
            <w:r>
              <w:rPr>
                <w:rFonts w:ascii="Times New Roman" w:hAnsi="Times New Roman" w:cs="Times New Roman"/>
              </w:rPr>
              <w:t>，</w:t>
            </w:r>
            <w:r>
              <w:rPr>
                <w:rFonts w:hint="eastAsia" w:ascii="Times New Roman" w:hAnsi="Times New Roman" w:cs="Times New Roman"/>
              </w:rPr>
              <w:t>工程影响范围内也无生态保护红线分布。</w:t>
            </w:r>
          </w:p>
          <w:p w14:paraId="42C0FD3D">
            <w:pPr>
              <w:pStyle w:val="80"/>
              <w:ind w:firstLine="480"/>
              <w:rPr>
                <w:rFonts w:ascii="Times New Roman" w:hAnsi="Times New Roman" w:cs="Times New Roman"/>
              </w:rPr>
            </w:pPr>
            <w:r>
              <w:rPr>
                <w:rFonts w:ascii="Times New Roman" w:hAnsi="Times New Roman" w:cs="Times New Roman"/>
              </w:rPr>
              <w:t>环评要求项目施工期间将加强施工管理，严格在</w:t>
            </w:r>
            <w:r>
              <w:rPr>
                <w:rFonts w:hint="eastAsia" w:ascii="Times New Roman" w:hAnsi="Times New Roman" w:cs="Times New Roman"/>
              </w:rPr>
              <w:t>工程</w:t>
            </w:r>
            <w:r>
              <w:rPr>
                <w:rFonts w:ascii="Times New Roman" w:hAnsi="Times New Roman" w:cs="Times New Roman"/>
              </w:rPr>
              <w:t>红线范围内施工，开展环境保护宣传培训，发放宣传手册，</w:t>
            </w:r>
            <w:r>
              <w:rPr>
                <w:rFonts w:hint="eastAsia" w:ascii="Times New Roman" w:hAnsi="Times New Roman" w:cs="Times New Roman"/>
              </w:rPr>
              <w:t>竖立</w:t>
            </w:r>
            <w:r>
              <w:rPr>
                <w:rFonts w:ascii="Times New Roman" w:hAnsi="Times New Roman" w:cs="Times New Roman"/>
              </w:rPr>
              <w:t>警示标志牌，严格落实各项污染防治及生态保护措施，最大程度减轻对生态环境的影响。电磁环境方面，项目通过居民区时，</w:t>
            </w:r>
            <w:r>
              <w:rPr>
                <w:rFonts w:ascii="Times New Roman" w:hAnsi="Times New Roman" w:cs="Times New Roman"/>
                <w:szCs w:val="22"/>
              </w:rPr>
              <w:t>导线对地最低高度设置在7.5m以上，电场强度、磁感应强度可以满足《电磁环境控制限值》（GB8702-2014）中相应评价标准要求。生态环境方面，</w:t>
            </w:r>
            <w:r>
              <w:rPr>
                <w:rFonts w:ascii="Times New Roman" w:hAnsi="Times New Roman" w:cs="Times New Roman"/>
              </w:rPr>
              <w:t>项目输电线路在山丘区采用全方位长短腿与不等高基础设计。为减少对植被的破坏，全线按照高跨设计，线路全部采用跨树设计。施工结束后对临时占用的耕地进行复垦，对其他林草地等通过土地整理、表土覆盖后进行乔灌草搭配植被恢复。同时，环评要求该段线路采取跨越方式，塔基和施工临时用地避让植被较好区域。因此，项目的建设符合《输变电建设项目环境保护技术要求》（HJ 1113-2020）相关要求</w:t>
            </w:r>
            <w:r>
              <w:rPr>
                <w:rFonts w:hint="eastAsia" w:ascii="Times New Roman" w:hAnsi="Times New Roman" w:cs="Times New Roman"/>
              </w:rPr>
              <w:t>，详见表1</w:t>
            </w:r>
            <w:r>
              <w:rPr>
                <w:rFonts w:ascii="Times New Roman" w:hAnsi="Times New Roman" w:cs="Times New Roman"/>
              </w:rPr>
              <w:t>-3。</w:t>
            </w:r>
          </w:p>
          <w:p w14:paraId="00BFD997">
            <w:pPr>
              <w:pStyle w:val="80"/>
              <w:spacing w:line="240" w:lineRule="auto"/>
              <w:ind w:firstLine="0" w:firstLineChars="0"/>
              <w:jc w:val="center"/>
              <w:rPr>
                <w:rFonts w:ascii="Times New Roman" w:hAnsi="Times New Roman" w:cs="Times New Roman"/>
                <w:b/>
                <w:bCs/>
                <w:sz w:val="21"/>
              </w:rPr>
            </w:pPr>
            <w:r>
              <w:rPr>
                <w:rFonts w:ascii="Times New Roman" w:hAnsi="Times New Roman" w:cs="Times New Roman"/>
                <w:b/>
                <w:bCs/>
                <w:sz w:val="21"/>
              </w:rPr>
              <w:t>表1-3 项目建设与《输变电建设项目环境保护技术要求》（HJ 1113-2020）相关规定的符合性分析表</w:t>
            </w:r>
          </w:p>
          <w:tbl>
            <w:tblPr>
              <w:tblStyle w:val="4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2920"/>
              <w:gridCol w:w="2782"/>
              <w:gridCol w:w="948"/>
            </w:tblGrid>
            <w:tr w14:paraId="473D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Align w:val="center"/>
                </w:tcPr>
                <w:p w14:paraId="5B0B33D2">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相关方面</w:t>
                  </w:r>
                </w:p>
              </w:tc>
              <w:tc>
                <w:tcPr>
                  <w:tcW w:w="1956" w:type="pct"/>
                  <w:vAlign w:val="center"/>
                </w:tcPr>
                <w:p w14:paraId="57CFE172">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相关规定内容</w:t>
                  </w:r>
                </w:p>
              </w:tc>
              <w:tc>
                <w:tcPr>
                  <w:tcW w:w="1864" w:type="pct"/>
                  <w:vAlign w:val="center"/>
                </w:tcPr>
                <w:p w14:paraId="5D08B5C4">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符合性分析</w:t>
                  </w:r>
                </w:p>
              </w:tc>
              <w:tc>
                <w:tcPr>
                  <w:tcW w:w="635" w:type="pct"/>
                  <w:vAlign w:val="center"/>
                </w:tcPr>
                <w:p w14:paraId="32321ADD">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分析结果</w:t>
                  </w:r>
                </w:p>
              </w:tc>
            </w:tr>
            <w:tr w14:paraId="6F15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Align w:val="center"/>
                </w:tcPr>
                <w:p w14:paraId="165A2AA0">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选址选线方面</w:t>
                  </w:r>
                </w:p>
              </w:tc>
              <w:tc>
                <w:tcPr>
                  <w:tcW w:w="1956" w:type="pct"/>
                  <w:vAlign w:val="center"/>
                </w:tcPr>
                <w:p w14:paraId="1C21EEA1">
                  <w:pPr>
                    <w:pStyle w:val="80"/>
                    <w:spacing w:line="240" w:lineRule="auto"/>
                    <w:ind w:firstLine="0" w:firstLineChars="0"/>
                    <w:rPr>
                      <w:rFonts w:ascii="Times New Roman" w:hAnsi="Times New Roman" w:cs="Times New Roman"/>
                      <w:sz w:val="21"/>
                    </w:rPr>
                  </w:pPr>
                  <w:r>
                    <w:rPr>
                      <w:rFonts w:ascii="Times New Roman" w:hAnsi="Times New Roman" w:cs="Times New Roman"/>
                      <w:sz w:val="21"/>
                      <w:szCs w:val="18"/>
                    </w:rPr>
                    <w:t>输变电建设项目选址选线应符合生态保护红线管控要求，避让自然保护区、饮用水水源保护区等环境敏感区。确实因自然条件等因素限制无法避让自然保护区实验区、饮用水水源二级保护区等环境敏感区的输电线路，应在满足相关法律法规及管理要求的前提下对线路方案进行唯一性论证，并采取无害化方式通过。</w:t>
                  </w:r>
                </w:p>
              </w:tc>
              <w:tc>
                <w:tcPr>
                  <w:tcW w:w="1864" w:type="pct"/>
                  <w:vAlign w:val="center"/>
                </w:tcPr>
                <w:p w14:paraId="5CCC5A4C">
                  <w:pPr>
                    <w:pStyle w:val="80"/>
                    <w:spacing w:line="240" w:lineRule="auto"/>
                    <w:ind w:firstLine="0" w:firstLineChars="0"/>
                    <w:rPr>
                      <w:rFonts w:ascii="Times New Roman" w:hAnsi="Times New Roman" w:cs="Times New Roman"/>
                      <w:sz w:val="21"/>
                    </w:rPr>
                  </w:pPr>
                  <w:r>
                    <w:rPr>
                      <w:rFonts w:ascii="Times New Roman" w:hAnsi="Times New Roman" w:cs="Times New Roman"/>
                      <w:sz w:val="21"/>
                      <w:szCs w:val="18"/>
                    </w:rPr>
                    <w:t>项目拟建输电线路沿线不涉及自然保护区、风景名胜区、饮用水水源保护区等环境敏感区，</w:t>
                  </w:r>
                  <w:r>
                    <w:rPr>
                      <w:rFonts w:hint="eastAsia" w:ascii="Times New Roman" w:hAnsi="Times New Roman" w:cs="Times New Roman"/>
                      <w:sz w:val="21"/>
                      <w:szCs w:val="18"/>
                    </w:rPr>
                    <w:t>也</w:t>
                  </w:r>
                  <w:r>
                    <w:rPr>
                      <w:rFonts w:ascii="Times New Roman" w:hAnsi="Times New Roman" w:cs="Times New Roman"/>
                      <w:sz w:val="21"/>
                      <w:szCs w:val="18"/>
                    </w:rPr>
                    <w:t>不涉及占用生态</w:t>
                  </w:r>
                  <w:r>
                    <w:rPr>
                      <w:rFonts w:hint="eastAsia" w:ascii="Times New Roman" w:hAnsi="Times New Roman" w:cs="Times New Roman"/>
                      <w:sz w:val="21"/>
                      <w:szCs w:val="18"/>
                    </w:rPr>
                    <w:t>保护</w:t>
                  </w:r>
                  <w:r>
                    <w:rPr>
                      <w:rFonts w:ascii="Times New Roman" w:hAnsi="Times New Roman" w:cs="Times New Roman"/>
                      <w:sz w:val="21"/>
                      <w:szCs w:val="18"/>
                    </w:rPr>
                    <w:t>红线。</w:t>
                  </w:r>
                </w:p>
              </w:tc>
              <w:tc>
                <w:tcPr>
                  <w:tcW w:w="635" w:type="pct"/>
                  <w:vAlign w:val="center"/>
                </w:tcPr>
                <w:p w14:paraId="26B0FE36">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r w14:paraId="7DF7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Align w:val="center"/>
                </w:tcPr>
                <w:p w14:paraId="1984F1A1">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电磁环境保护方面</w:t>
                  </w:r>
                </w:p>
              </w:tc>
              <w:tc>
                <w:tcPr>
                  <w:tcW w:w="1956" w:type="pct"/>
                  <w:vAlign w:val="center"/>
                </w:tcPr>
                <w:p w14:paraId="1C3678F2">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架空输电线路经过电磁环境敏感目标时，应采取避让或增加导线对地高度等措施，减少电磁环境影响。</w:t>
                  </w:r>
                </w:p>
              </w:tc>
              <w:tc>
                <w:tcPr>
                  <w:tcW w:w="1864" w:type="pct"/>
                  <w:vAlign w:val="center"/>
                </w:tcPr>
                <w:p w14:paraId="70CA8C04">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本次环评通过电磁环境预测，要求线路经过</w:t>
                  </w:r>
                  <w:r>
                    <w:rPr>
                      <w:rFonts w:ascii="Times New Roman" w:hAnsi="Times New Roman" w:cs="Times New Roman"/>
                      <w:sz w:val="21"/>
                      <w:szCs w:val="20"/>
                    </w:rPr>
                    <w:t>居民区时，导线对地最低高度设置为7.5m以上，电场强度、磁感应强度可以满足《电磁环境控制限值》（GB8702-2014）中相应评价标准要求。</w:t>
                  </w:r>
                </w:p>
              </w:tc>
              <w:tc>
                <w:tcPr>
                  <w:tcW w:w="635" w:type="pct"/>
                  <w:vAlign w:val="center"/>
                </w:tcPr>
                <w:p w14:paraId="256A66D2">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r w14:paraId="6978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Merge w:val="restart"/>
                  <w:vAlign w:val="center"/>
                </w:tcPr>
                <w:p w14:paraId="152CEF4D">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生态环境保护方面</w:t>
                  </w:r>
                </w:p>
              </w:tc>
              <w:tc>
                <w:tcPr>
                  <w:tcW w:w="1956" w:type="pct"/>
                  <w:vAlign w:val="center"/>
                </w:tcPr>
                <w:p w14:paraId="77E5299F">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输电线路应因地制宜合理选择塔基基础，在山丘区应采用全方位长短腿与不等高基础设计，以减少土石方开挖。输电线路无法避让集中林区时，应采取控制导线高度设计，以减少林木砍伐，保护生态环境。</w:t>
                  </w:r>
                </w:p>
              </w:tc>
              <w:tc>
                <w:tcPr>
                  <w:tcW w:w="1864" w:type="pct"/>
                  <w:vAlign w:val="center"/>
                </w:tcPr>
                <w:p w14:paraId="2D7AB1FF">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本项目输电线路在山丘区采用全方位长短腿与不等高基础设计。为减少对植被的破坏，全线按照高跨设计，平均铁塔呼称高度约40m，线路全部采用跨树设计。</w:t>
                  </w:r>
                </w:p>
              </w:tc>
              <w:tc>
                <w:tcPr>
                  <w:tcW w:w="635" w:type="pct"/>
                  <w:vAlign w:val="center"/>
                </w:tcPr>
                <w:p w14:paraId="570B5994">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r w14:paraId="300D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Merge w:val="continue"/>
                  <w:vAlign w:val="center"/>
                </w:tcPr>
                <w:p w14:paraId="4B7C8159">
                  <w:pPr>
                    <w:pStyle w:val="80"/>
                    <w:spacing w:line="240" w:lineRule="auto"/>
                    <w:ind w:firstLine="0" w:firstLineChars="0"/>
                    <w:jc w:val="center"/>
                    <w:rPr>
                      <w:rFonts w:ascii="Times New Roman" w:hAnsi="Times New Roman" w:cs="Times New Roman"/>
                      <w:sz w:val="21"/>
                    </w:rPr>
                  </w:pPr>
                </w:p>
              </w:tc>
              <w:tc>
                <w:tcPr>
                  <w:tcW w:w="1956" w:type="pct"/>
                  <w:vAlign w:val="center"/>
                </w:tcPr>
                <w:p w14:paraId="027B1471">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输变电建设项目临时占地，应因地制宜进行土地功能恢复设计。</w:t>
                  </w:r>
                </w:p>
              </w:tc>
              <w:tc>
                <w:tcPr>
                  <w:tcW w:w="1864" w:type="pct"/>
                  <w:vAlign w:val="center"/>
                </w:tcPr>
                <w:p w14:paraId="46CBF61D">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项目水土保持方案已对临时占地提出因地制宜恢复措施，对临时占用的耕地施工结束后进行复垦，对其他林草地等通过土地整理、表土覆盖后进行乔灌草搭配恢复。</w:t>
                  </w:r>
                </w:p>
              </w:tc>
              <w:tc>
                <w:tcPr>
                  <w:tcW w:w="635" w:type="pct"/>
                  <w:vAlign w:val="center"/>
                </w:tcPr>
                <w:p w14:paraId="19AD7FD2">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r w14:paraId="46AC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Merge w:val="continue"/>
                  <w:vAlign w:val="center"/>
                </w:tcPr>
                <w:p w14:paraId="0AFAD6B6">
                  <w:pPr>
                    <w:pStyle w:val="80"/>
                    <w:spacing w:line="240" w:lineRule="auto"/>
                    <w:ind w:firstLine="0" w:firstLineChars="0"/>
                    <w:jc w:val="center"/>
                    <w:rPr>
                      <w:rFonts w:ascii="Times New Roman" w:hAnsi="Times New Roman" w:cs="Times New Roman"/>
                      <w:sz w:val="21"/>
                    </w:rPr>
                  </w:pPr>
                </w:p>
              </w:tc>
              <w:tc>
                <w:tcPr>
                  <w:tcW w:w="1956" w:type="pct"/>
                  <w:vAlign w:val="center"/>
                </w:tcPr>
                <w:p w14:paraId="540BCD19">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塔基定位应避让珍稀濒危物种、保护植物和保护动物的栖息地，根据保护对象的特性设计相应的生态环境保护措施、设施等。</w:t>
                  </w:r>
                </w:p>
              </w:tc>
              <w:tc>
                <w:tcPr>
                  <w:tcW w:w="1864" w:type="pct"/>
                  <w:vAlign w:val="center"/>
                </w:tcPr>
                <w:p w14:paraId="63C80EC6">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环评阶段对输电线路沿线进行了生态调查，线路附近无珍稀濒危物种、保护植物和保护动物的栖息地。</w:t>
                  </w:r>
                </w:p>
              </w:tc>
              <w:tc>
                <w:tcPr>
                  <w:tcW w:w="635" w:type="pct"/>
                  <w:vAlign w:val="center"/>
                </w:tcPr>
                <w:p w14:paraId="0CEBA1D7">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r w14:paraId="384F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 w:type="pct"/>
                  <w:vAlign w:val="center"/>
                </w:tcPr>
                <w:p w14:paraId="6214CCB1">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施工方面</w:t>
                  </w:r>
                </w:p>
              </w:tc>
              <w:tc>
                <w:tcPr>
                  <w:tcW w:w="1956" w:type="pct"/>
                  <w:vAlign w:val="center"/>
                </w:tcPr>
                <w:p w14:paraId="52FD8EDF">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进入自然保护区和饮用水水源保护区等环境敏感区的输电线路，建设单位应加强施工过程的管理，开展环境保护培训，明确保护对象和保护要求，严格控制施工影响范围，确定适宜的施工季节和施工方式，减少对环境保护对象的不利影响。</w:t>
                  </w:r>
                </w:p>
              </w:tc>
              <w:tc>
                <w:tcPr>
                  <w:tcW w:w="1864" w:type="pct"/>
                  <w:vAlign w:val="center"/>
                </w:tcPr>
                <w:p w14:paraId="3EF30798">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项目不涉及自然保护区、饮用水水源保护区等环境敏感区，</w:t>
                  </w:r>
                  <w:r>
                    <w:rPr>
                      <w:rFonts w:hint="eastAsia" w:ascii="Times New Roman" w:hAnsi="Times New Roman" w:cs="Times New Roman"/>
                      <w:sz w:val="21"/>
                      <w:szCs w:val="18"/>
                    </w:rPr>
                    <w:t>也</w:t>
                  </w:r>
                  <w:r>
                    <w:rPr>
                      <w:rFonts w:ascii="Times New Roman" w:hAnsi="Times New Roman" w:cs="Times New Roman"/>
                      <w:sz w:val="21"/>
                      <w:szCs w:val="18"/>
                    </w:rPr>
                    <w:t>不涉及占用生态</w:t>
                  </w:r>
                  <w:r>
                    <w:rPr>
                      <w:rFonts w:hint="eastAsia" w:ascii="Times New Roman" w:hAnsi="Times New Roman" w:cs="Times New Roman"/>
                      <w:sz w:val="21"/>
                      <w:szCs w:val="18"/>
                    </w:rPr>
                    <w:t>保护</w:t>
                  </w:r>
                  <w:r>
                    <w:rPr>
                      <w:rFonts w:ascii="Times New Roman" w:hAnsi="Times New Roman" w:cs="Times New Roman"/>
                      <w:sz w:val="21"/>
                      <w:szCs w:val="18"/>
                    </w:rPr>
                    <w:t>红线</w:t>
                  </w:r>
                  <w:r>
                    <w:rPr>
                      <w:rFonts w:hint="eastAsia" w:ascii="Times New Roman" w:hAnsi="Times New Roman" w:cs="Times New Roman"/>
                      <w:sz w:val="21"/>
                    </w:rPr>
                    <w:t>。</w:t>
                  </w:r>
                </w:p>
                <w:p w14:paraId="645EE26B">
                  <w:pPr>
                    <w:pStyle w:val="80"/>
                    <w:spacing w:line="240" w:lineRule="auto"/>
                    <w:ind w:firstLine="0" w:firstLineChars="0"/>
                    <w:rPr>
                      <w:rFonts w:ascii="Times New Roman" w:hAnsi="Times New Roman" w:cs="Times New Roman"/>
                      <w:sz w:val="21"/>
                    </w:rPr>
                  </w:pPr>
                  <w:r>
                    <w:rPr>
                      <w:rFonts w:ascii="Times New Roman" w:hAnsi="Times New Roman" w:cs="Times New Roman"/>
                      <w:sz w:val="21"/>
                    </w:rPr>
                    <w:t>项目施工期间</w:t>
                  </w:r>
                  <w:r>
                    <w:rPr>
                      <w:rFonts w:hint="eastAsia" w:ascii="Times New Roman" w:hAnsi="Times New Roman" w:cs="Times New Roman"/>
                      <w:sz w:val="21"/>
                    </w:rPr>
                    <w:t>应</w:t>
                  </w:r>
                  <w:r>
                    <w:rPr>
                      <w:rFonts w:ascii="Times New Roman" w:hAnsi="Times New Roman" w:cs="Times New Roman"/>
                      <w:sz w:val="21"/>
                    </w:rPr>
                    <w:t>加强施工管理，严格在红线范围内施工，开展环境保护宣传培训，发放宣传手册，树立警示标志牌，严格落实各项污染防治及生态保护措施，最大程度减轻对生态环境的影响。</w:t>
                  </w:r>
                </w:p>
              </w:tc>
              <w:tc>
                <w:tcPr>
                  <w:tcW w:w="635" w:type="pct"/>
                  <w:vAlign w:val="center"/>
                </w:tcPr>
                <w:p w14:paraId="272101CF">
                  <w:pPr>
                    <w:pStyle w:val="80"/>
                    <w:spacing w:line="240" w:lineRule="auto"/>
                    <w:ind w:firstLine="0" w:firstLineChars="0"/>
                    <w:jc w:val="center"/>
                    <w:rPr>
                      <w:rFonts w:ascii="Times New Roman" w:hAnsi="Times New Roman" w:cs="Times New Roman"/>
                      <w:sz w:val="21"/>
                    </w:rPr>
                  </w:pPr>
                  <w:r>
                    <w:rPr>
                      <w:rFonts w:ascii="Times New Roman" w:hAnsi="Times New Roman" w:cs="Times New Roman"/>
                      <w:sz w:val="21"/>
                    </w:rPr>
                    <w:t>符合</w:t>
                  </w:r>
                </w:p>
              </w:tc>
            </w:tr>
          </w:tbl>
          <w:p w14:paraId="4DCB7656">
            <w:pPr>
              <w:pStyle w:val="80"/>
              <w:spacing w:line="240" w:lineRule="auto"/>
              <w:ind w:firstLine="0" w:firstLineChars="0"/>
              <w:jc w:val="center"/>
              <w:rPr>
                <w:rFonts w:ascii="Times New Roman" w:hAnsi="Times New Roman" w:eastAsia="黑体" w:cs="Times New Roman"/>
              </w:rPr>
            </w:pPr>
          </w:p>
          <w:p w14:paraId="1187A8F2">
            <w:pPr>
              <w:snapToGrid w:val="0"/>
              <w:spacing w:line="360" w:lineRule="auto"/>
              <w:rPr>
                <w:b/>
                <w:sz w:val="24"/>
              </w:rPr>
            </w:pPr>
            <w:r>
              <w:rPr>
                <w:b/>
                <w:sz w:val="24"/>
              </w:rPr>
              <w:t>6、</w:t>
            </w:r>
            <w:r>
              <w:rPr>
                <w:rFonts w:hint="eastAsia"/>
                <w:b/>
                <w:sz w:val="24"/>
              </w:rPr>
              <w:t>与公益林的符合性分析</w:t>
            </w:r>
          </w:p>
          <w:p w14:paraId="05595724">
            <w:pPr>
              <w:spacing w:line="360" w:lineRule="auto"/>
              <w:ind w:firstLine="480" w:firstLineChars="200"/>
              <w:rPr>
                <w:sz w:val="24"/>
                <w:szCs w:val="24"/>
              </w:rPr>
            </w:pPr>
            <w:r>
              <w:rPr>
                <w:rFonts w:ascii="宋体" w:hAnsi="宋体"/>
                <w:sz w:val="24"/>
                <w:szCs w:val="24"/>
              </w:rPr>
              <w:t>根据工程</w:t>
            </w:r>
            <w:r>
              <w:rPr>
                <w:rFonts w:hint="eastAsia" w:ascii="宋体" w:hAnsi="宋体"/>
                <w:sz w:val="24"/>
                <w:szCs w:val="24"/>
              </w:rPr>
              <w:t>线路</w:t>
            </w:r>
            <w:r>
              <w:rPr>
                <w:rFonts w:ascii="宋体" w:hAnsi="宋体"/>
                <w:sz w:val="24"/>
                <w:szCs w:val="24"/>
              </w:rPr>
              <w:t>方案，</w:t>
            </w:r>
            <w:r>
              <w:rPr>
                <w:rFonts w:hint="eastAsia" w:ascii="宋体" w:hAnsi="宋体"/>
                <w:sz w:val="24"/>
                <w:szCs w:val="24"/>
              </w:rPr>
              <w:t>项目线路</w:t>
            </w:r>
            <w:r>
              <w:rPr>
                <w:rFonts w:ascii="宋体" w:hAnsi="宋体"/>
                <w:sz w:val="24"/>
                <w:szCs w:val="24"/>
              </w:rPr>
              <w:t>总长</w:t>
            </w:r>
            <w:r>
              <w:rPr>
                <w:sz w:val="24"/>
                <w:szCs w:val="24"/>
              </w:rPr>
              <w:t>4.851km</w:t>
            </w:r>
            <w:r>
              <w:rPr>
                <w:rFonts w:ascii="宋体" w:hAnsi="宋体"/>
                <w:sz w:val="24"/>
                <w:szCs w:val="24"/>
              </w:rPr>
              <w:t>，</w:t>
            </w:r>
            <w:r>
              <w:rPr>
                <w:rFonts w:hint="eastAsia" w:ascii="宋体" w:hAnsi="宋体"/>
                <w:sz w:val="24"/>
                <w:szCs w:val="24"/>
              </w:rPr>
              <w:t>经调查</w:t>
            </w:r>
            <w:r>
              <w:rPr>
                <w:rFonts w:ascii="宋体" w:hAnsi="宋体"/>
                <w:sz w:val="24"/>
                <w:szCs w:val="24"/>
              </w:rPr>
              <w:t>，项目不涉及自然保护区、世界文化和自然遗产地、风景名胜区、森林公园、地质公园、重要湿地等生态环境敏感区</w:t>
            </w:r>
            <w:r>
              <w:rPr>
                <w:rFonts w:hint="eastAsia" w:ascii="宋体" w:hAnsi="宋体"/>
                <w:sz w:val="24"/>
                <w:szCs w:val="24"/>
              </w:rPr>
              <w:t>。</w:t>
            </w:r>
            <w:r>
              <w:rPr>
                <w:rFonts w:hint="eastAsia"/>
                <w:kern w:val="0"/>
                <w:sz w:val="24"/>
                <w:szCs w:val="24"/>
              </w:rPr>
              <w:t>根据与富源县公益林数据叠图分析，</w:t>
            </w:r>
            <w:r>
              <w:rPr>
                <w:rFonts w:hint="eastAsia" w:ascii="宋体" w:hAnsi="宋体"/>
                <w:kern w:val="0"/>
                <w:sz w:val="24"/>
                <w:szCs w:val="24"/>
              </w:rPr>
              <w:t>项目线路不涉及占用国家级及省级</w:t>
            </w:r>
            <w:r>
              <w:rPr>
                <w:kern w:val="0"/>
                <w:sz w:val="24"/>
                <w:szCs w:val="24"/>
              </w:rPr>
              <w:t>公益林。根据《富源县林草局关于富源云能新能源有限公司南冲风电场110kV</w:t>
            </w:r>
            <w:r>
              <w:rPr>
                <w:rFonts w:hint="eastAsia" w:ascii="宋体" w:hAnsi="宋体"/>
                <w:kern w:val="0"/>
                <w:sz w:val="24"/>
                <w:szCs w:val="24"/>
              </w:rPr>
              <w:t>送出线路路径走向的审查意见》，原则上同意项目的路径方案。本次环评提出建设方在施工期间严格避让生态公益林地、节约集约利用林地原则</w:t>
            </w:r>
            <w:r>
              <w:rPr>
                <w:rFonts w:hint="eastAsia" w:ascii="宋体" w:hAnsi="宋体"/>
                <w:sz w:val="24"/>
                <w:szCs w:val="24"/>
              </w:rPr>
              <w:t>。工程施工期将严格按照环境保护法律法规、国家和地方公益林管控要求、环境影响评价文件要求开展生态环境保护设计，进一步落实各项生态环境保护措施和要求。</w:t>
            </w:r>
          </w:p>
          <w:p w14:paraId="51E749E1">
            <w:pPr>
              <w:spacing w:line="360" w:lineRule="auto"/>
              <w:ind w:firstLine="480" w:firstLineChars="200"/>
              <w:rPr>
                <w:kern w:val="0"/>
                <w:sz w:val="24"/>
                <w:szCs w:val="24"/>
              </w:rPr>
            </w:pPr>
            <w:r>
              <w:rPr>
                <w:rFonts w:hint="eastAsia"/>
                <w:kern w:val="0"/>
                <w:sz w:val="24"/>
                <w:szCs w:val="24"/>
              </w:rPr>
              <w:t>工程选址选线有效地避开了林地茂密地区，尽量不占或少占林地，秉承节约使用林地的原则，项目选址科学合理、符合林业有关法律法规的规定，拟采取的保护措施符合项目区实际情况，可操作性强，项目建设选址具备合理性。</w:t>
            </w:r>
          </w:p>
          <w:p w14:paraId="13BF9E60">
            <w:pPr>
              <w:autoSpaceDE w:val="0"/>
              <w:autoSpaceDN w:val="0"/>
              <w:adjustRightInd w:val="0"/>
              <w:snapToGrid w:val="0"/>
              <w:spacing w:line="360" w:lineRule="auto"/>
              <w:rPr>
                <w:color w:val="000000" w:themeColor="text1"/>
                <w:sz w:val="24"/>
                <w:szCs w:val="24"/>
                <w14:textFill>
                  <w14:solidFill>
                    <w14:schemeClr w14:val="tx1"/>
                  </w14:solidFill>
                </w14:textFill>
              </w:rPr>
            </w:pPr>
            <w:r>
              <w:rPr>
                <w:b/>
                <w:sz w:val="24"/>
              </w:rPr>
              <w:t>7、</w:t>
            </w:r>
            <w:r>
              <w:rPr>
                <w:rFonts w:hint="eastAsia"/>
                <w:b/>
                <w:bCs/>
                <w:color w:val="000000" w:themeColor="text1"/>
                <w:sz w:val="24"/>
                <w14:textFill>
                  <w14:solidFill>
                    <w14:schemeClr w14:val="tx1"/>
                  </w14:solidFill>
                </w14:textFill>
              </w:rPr>
              <w:t>与云南省生物多样性保护战略与行动计划（</w:t>
            </w:r>
            <w:r>
              <w:rPr>
                <w:b/>
                <w:bCs/>
                <w:color w:val="000000" w:themeColor="text1"/>
                <w:sz w:val="24"/>
                <w14:textFill>
                  <w14:solidFill>
                    <w14:schemeClr w14:val="tx1"/>
                  </w14:solidFill>
                </w14:textFill>
              </w:rPr>
              <w:t>2024~2030</w:t>
            </w:r>
            <w:r>
              <w:rPr>
                <w:rFonts w:hint="eastAsia"/>
                <w:b/>
                <w:bCs/>
                <w:color w:val="000000" w:themeColor="text1"/>
                <w:sz w:val="24"/>
                <w14:textFill>
                  <w14:solidFill>
                    <w14:schemeClr w14:val="tx1"/>
                  </w14:solidFill>
                </w14:textFill>
              </w:rPr>
              <w:t>）的符合性分析</w:t>
            </w:r>
          </w:p>
          <w:p w14:paraId="392B936E">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2013</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日云南省人民政府十二届第二次常务会议审议通过了《云南省生物多样性保护战略与行动计划（</w:t>
            </w:r>
            <w:r>
              <w:rPr>
                <w:color w:val="000000" w:themeColor="text1"/>
                <w:sz w:val="24"/>
                <w14:textFill>
                  <w14:solidFill>
                    <w14:schemeClr w14:val="tx1"/>
                  </w14:solidFill>
                </w14:textFill>
              </w:rPr>
              <w:t>2012-2030</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2024</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21</w:t>
            </w:r>
            <w:r>
              <w:rPr>
                <w:rFonts w:hint="eastAsia"/>
                <w:color w:val="000000" w:themeColor="text1"/>
                <w:sz w:val="24"/>
                <w14:textFill>
                  <w14:solidFill>
                    <w14:schemeClr w14:val="tx1"/>
                  </w14:solidFill>
                </w14:textFill>
              </w:rPr>
              <w:t>日云南省生态环境厅等</w:t>
            </w:r>
            <w:r>
              <w:rPr>
                <w:color w:val="000000" w:themeColor="text1"/>
                <w:sz w:val="24"/>
                <w14:textFill>
                  <w14:solidFill>
                    <w14:schemeClr w14:val="tx1"/>
                  </w14:solidFill>
                </w14:textFill>
              </w:rPr>
              <w:t>11</w:t>
            </w:r>
            <w:r>
              <w:rPr>
                <w:rFonts w:hint="eastAsia"/>
                <w:color w:val="000000" w:themeColor="text1"/>
                <w:sz w:val="24"/>
                <w14:textFill>
                  <w14:solidFill>
                    <w14:schemeClr w14:val="tx1"/>
                  </w14:solidFill>
                </w14:textFill>
              </w:rPr>
              <w:t>个部门联合印发了《云南省生物多样性保护战略与行动计划（</w:t>
            </w:r>
            <w:r>
              <w:rPr>
                <w:color w:val="000000" w:themeColor="text1"/>
                <w:sz w:val="24"/>
                <w14:textFill>
                  <w14:solidFill>
                    <w14:schemeClr w14:val="tx1"/>
                  </w14:solidFill>
                </w14:textFill>
              </w:rPr>
              <w:t>2024</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2030</w:t>
            </w:r>
            <w:r>
              <w:rPr>
                <w:rFonts w:hint="eastAsia"/>
                <w:color w:val="000000" w:themeColor="text1"/>
                <w:sz w:val="24"/>
                <w14:textFill>
                  <w14:solidFill>
                    <w14:schemeClr w14:val="tx1"/>
                  </w14:solidFill>
                </w14:textFill>
              </w:rPr>
              <w:t>年）》。该计划结合云南生态系统类型的典型性、特有程度、特殊生态功能以及物种的丰富程度、珍稀濒危程度、受威胁因子、经济用途、科学研究价值等因素，提出了全省生物多样性保护的</w:t>
            </w:r>
            <w:r>
              <w:rPr>
                <w:color w:val="000000" w:themeColor="text1"/>
                <w:sz w:val="24"/>
                <w14:textFill>
                  <w14:solidFill>
                    <w14:schemeClr w14:val="tx1"/>
                  </w14:solidFill>
                </w14:textFill>
              </w:rPr>
              <w:t>6</w:t>
            </w:r>
            <w:r>
              <w:rPr>
                <w:rFonts w:hint="eastAsia"/>
                <w:color w:val="000000" w:themeColor="text1"/>
                <w:sz w:val="24"/>
                <w14:textFill>
                  <w14:solidFill>
                    <w14:schemeClr w14:val="tx1"/>
                  </w14:solidFill>
                </w14:textFill>
              </w:rPr>
              <w:t>个一级优先区域和</w:t>
            </w:r>
            <w:r>
              <w:rPr>
                <w:color w:val="000000" w:themeColor="text1"/>
                <w:sz w:val="24"/>
                <w14:textFill>
                  <w14:solidFill>
                    <w14:schemeClr w14:val="tx1"/>
                  </w14:solidFill>
                </w14:textFill>
              </w:rPr>
              <w:t>18</w:t>
            </w:r>
            <w:r>
              <w:rPr>
                <w:rFonts w:hint="eastAsia"/>
                <w:color w:val="000000" w:themeColor="text1"/>
                <w:sz w:val="24"/>
                <w14:textFill>
                  <w14:solidFill>
                    <w14:schemeClr w14:val="tx1"/>
                  </w14:solidFill>
                </w14:textFill>
              </w:rPr>
              <w:t>个二级优先区域，涉及</w:t>
            </w:r>
            <w:r>
              <w:rPr>
                <w:color w:val="000000" w:themeColor="text1"/>
                <w:sz w:val="24"/>
                <w14:textFill>
                  <w14:solidFill>
                    <w14:schemeClr w14:val="tx1"/>
                  </w14:solidFill>
                </w14:textFill>
              </w:rPr>
              <w:t>16</w:t>
            </w:r>
            <w:r>
              <w:rPr>
                <w:rFonts w:hint="eastAsia"/>
                <w:color w:val="000000" w:themeColor="text1"/>
                <w:sz w:val="24"/>
                <w14:textFill>
                  <w14:solidFill>
                    <w14:schemeClr w14:val="tx1"/>
                  </w14:solidFill>
                </w14:textFill>
              </w:rPr>
              <w:t>个州</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市、</w:t>
            </w:r>
            <w:r>
              <w:rPr>
                <w:color w:val="000000" w:themeColor="text1"/>
                <w:sz w:val="24"/>
                <w14:textFill>
                  <w14:solidFill>
                    <w14:schemeClr w14:val="tx1"/>
                  </w14:solidFill>
                </w14:textFill>
              </w:rPr>
              <w:t>101</w:t>
            </w:r>
            <w:r>
              <w:rPr>
                <w:rFonts w:hint="eastAsia"/>
                <w:color w:val="000000" w:themeColor="text1"/>
                <w:sz w:val="24"/>
                <w14:textFill>
                  <w14:solidFill>
                    <w14:schemeClr w14:val="tx1"/>
                  </w14:solidFill>
                </w14:textFill>
              </w:rPr>
              <w:t>个县、市、区，总面积约</w:t>
            </w:r>
            <w:r>
              <w:rPr>
                <w:color w:val="000000" w:themeColor="text1"/>
                <w:sz w:val="24"/>
                <w14:textFill>
                  <w14:solidFill>
                    <w14:schemeClr w14:val="tx1"/>
                  </w14:solidFill>
                </w14:textFill>
              </w:rPr>
              <w:t>9.5</w:t>
            </w:r>
            <w:r>
              <w:rPr>
                <w:rFonts w:hint="eastAsia"/>
                <w:color w:val="000000" w:themeColor="text1"/>
                <w:sz w:val="24"/>
                <w14:textFill>
                  <w14:solidFill>
                    <w14:schemeClr w14:val="tx1"/>
                  </w14:solidFill>
                </w14:textFill>
              </w:rPr>
              <w:t>万</w:t>
            </w:r>
            <w:r>
              <w:rPr>
                <w:color w:val="000000" w:themeColor="text1"/>
                <w:sz w:val="24"/>
                <w14:textFill>
                  <w14:solidFill>
                    <w14:schemeClr w14:val="tx1"/>
                  </w14:solidFill>
                </w14:textFill>
              </w:rPr>
              <w:t>km</w:t>
            </w:r>
            <w:r>
              <w:rPr>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，占云南国土面积的</w:t>
            </w:r>
            <w:r>
              <w:rPr>
                <w:color w:val="000000" w:themeColor="text1"/>
                <w:sz w:val="24"/>
                <w14:textFill>
                  <w14:solidFill>
                    <w14:schemeClr w14:val="tx1"/>
                  </w14:solidFill>
                </w14:textFill>
              </w:rPr>
              <w:t>23.8%</w:t>
            </w:r>
            <w:r>
              <w:rPr>
                <w:rFonts w:hint="eastAsia"/>
                <w:color w:val="000000" w:themeColor="text1"/>
                <w:sz w:val="24"/>
                <w14:textFill>
                  <w14:solidFill>
                    <w14:schemeClr w14:val="tx1"/>
                  </w14:solidFill>
                </w14:textFill>
              </w:rPr>
              <w:t>。并针对</w:t>
            </w:r>
            <w:r>
              <w:rPr>
                <w:color w:val="000000" w:themeColor="text1"/>
                <w:sz w:val="24"/>
                <w14:textFill>
                  <w14:solidFill>
                    <w14:schemeClr w14:val="tx1"/>
                  </w14:solidFill>
                </w14:textFill>
              </w:rPr>
              <w:t>5</w:t>
            </w:r>
            <w:r>
              <w:rPr>
                <w:rFonts w:hint="eastAsia"/>
                <w:color w:val="000000" w:themeColor="text1"/>
                <w:sz w:val="24"/>
                <w14:textFill>
                  <w14:solidFill>
                    <w14:schemeClr w14:val="tx1"/>
                  </w14:solidFill>
                </w14:textFill>
              </w:rPr>
              <w:t>个优先区域提出了</w:t>
            </w:r>
            <w:r>
              <w:rPr>
                <w:color w:val="000000" w:themeColor="text1"/>
                <w:sz w:val="24"/>
                <w14:textFill>
                  <w14:solidFill>
                    <w14:schemeClr w14:val="tx1"/>
                  </w14:solidFill>
                </w14:textFill>
              </w:rPr>
              <w:t>30</w:t>
            </w:r>
            <w:r>
              <w:rPr>
                <w:rFonts w:hint="eastAsia"/>
                <w:color w:val="000000" w:themeColor="text1"/>
                <w:sz w:val="24"/>
                <w14:textFill>
                  <w14:solidFill>
                    <w14:schemeClr w14:val="tx1"/>
                  </w14:solidFill>
                </w14:textFill>
              </w:rPr>
              <w:t>项优先行动。</w:t>
            </w:r>
          </w:p>
          <w:p w14:paraId="57C3B289">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经叠图查询，本项目所在区域不属于该计划划定的生物多样性保护的优先保护区域，与云南省生物多样性保护战略与行动计划（</w:t>
            </w:r>
            <w:r>
              <w:rPr>
                <w:color w:val="000000" w:themeColor="text1"/>
                <w:sz w:val="24"/>
                <w14:textFill>
                  <w14:solidFill>
                    <w14:schemeClr w14:val="tx1"/>
                  </w14:solidFill>
                </w14:textFill>
              </w:rPr>
              <w:t>2024~2030</w:t>
            </w:r>
            <w:r>
              <w:rPr>
                <w:rFonts w:hint="eastAsia"/>
                <w:color w:val="000000" w:themeColor="text1"/>
                <w:sz w:val="24"/>
                <w14:textFill>
                  <w14:solidFill>
                    <w14:schemeClr w14:val="tx1"/>
                  </w14:solidFill>
                </w14:textFill>
              </w:rPr>
              <w:t>）不冲突。</w:t>
            </w:r>
          </w:p>
          <w:p w14:paraId="09A507DE">
            <w:pPr>
              <w:autoSpaceDE w:val="0"/>
              <w:autoSpaceDN w:val="0"/>
              <w:adjustRightInd w:val="0"/>
              <w:snapToGrid w:val="0"/>
              <w:spacing w:line="360" w:lineRule="auto"/>
              <w:jc w:val="center"/>
              <w:rPr>
                <w:color w:val="000000" w:themeColor="text1"/>
                <w:sz w:val="24"/>
                <w14:textFill>
                  <w14:solidFill>
                    <w14:schemeClr w14:val="tx1"/>
                  </w14:solidFill>
                </w14:textFill>
              </w:rPr>
            </w:pPr>
            <w:r>
              <mc:AlternateContent>
                <mc:Choice Requires="wps">
                  <w:drawing>
                    <wp:anchor distT="0" distB="0" distL="114300" distR="114300" simplePos="0" relativeHeight="251661312" behindDoc="0" locked="0" layoutInCell="1" allowOverlap="1">
                      <wp:simplePos x="0" y="0"/>
                      <wp:positionH relativeFrom="column">
                        <wp:posOffset>2535555</wp:posOffset>
                      </wp:positionH>
                      <wp:positionV relativeFrom="paragraph">
                        <wp:posOffset>685165</wp:posOffset>
                      </wp:positionV>
                      <wp:extent cx="628650" cy="209550"/>
                      <wp:effectExtent l="38100" t="0" r="19050" b="323850"/>
                      <wp:wrapNone/>
                      <wp:docPr id="7" name="对话气泡: 矩形 7"/>
                      <wp:cNvGraphicFramePr/>
                      <a:graphic xmlns:a="http://schemas.openxmlformats.org/drawingml/2006/main">
                        <a:graphicData uri="http://schemas.microsoft.com/office/word/2010/wordprocessingShape">
                          <wps:wsp>
                            <wps:cNvSpPr/>
                            <wps:spPr>
                              <a:xfrm>
                                <a:off x="0" y="0"/>
                                <a:ext cx="628650" cy="209550"/>
                              </a:xfrm>
                              <a:prstGeom prst="wedgeRectCallout">
                                <a:avLst>
                                  <a:gd name="adj1" fmla="val -51211"/>
                                  <a:gd name="adj2" fmla="val 179495"/>
                                </a:avLst>
                              </a:prstGeom>
                              <a:solidFill>
                                <a:srgbClr val="FFFFFF"/>
                              </a:solidFill>
                              <a:ln w="9525" cap="flat" cmpd="sng">
                                <a:solidFill>
                                  <a:srgbClr val="000000"/>
                                </a:solidFill>
                                <a:prstDash val="solid"/>
                                <a:miter/>
                                <a:headEnd type="none" w="med" len="med"/>
                                <a:tailEnd type="none" w="med" len="med"/>
                              </a:ln>
                            </wps:spPr>
                            <wps:txbx>
                              <w:txbxContent>
                                <w:p w14:paraId="142F31DF">
                                  <w:pPr>
                                    <w:rPr>
                                      <w:sz w:val="15"/>
                                      <w:szCs w:val="15"/>
                                    </w:rPr>
                                  </w:pPr>
                                  <w:r>
                                    <w:rPr>
                                      <w:rFonts w:hint="eastAsia"/>
                                      <w:sz w:val="15"/>
                                      <w:szCs w:val="15"/>
                                    </w:rPr>
                                    <w:t>项目位置</w:t>
                                  </w:r>
                                </w:p>
                              </w:txbxContent>
                            </wps:txbx>
                            <wps:bodyPr vertOverflow="clip" horzOverflow="clip" wrap="square" upright="1">
                              <a:noAutofit/>
                            </wps:bodyPr>
                          </wps:wsp>
                        </a:graphicData>
                      </a:graphic>
                    </wp:anchor>
                  </w:drawing>
                </mc:Choice>
                <mc:Fallback>
                  <w:pict>
                    <v:shape id="对话气泡: 矩形 7" o:spid="_x0000_s1026" o:spt="61" type="#_x0000_t61" style="position:absolute;left:0pt;margin-left:199.65pt;margin-top:53.95pt;height:16.5pt;width:49.5pt;z-index:251661312;mso-width-relative:page;mso-height-relative:page;" fillcolor="#FFFFFF" filled="t" stroked="t" coordsize="21600,21600" o:gfxdata="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0m+QvXAAAACwEAAA8AAAAAAAAAAQAgAAAAIgAAAGRycy9kb3ducmV2Lnht&#10;bFBLAQIUABQAAAAIAIdO4kDgiVMWbAIAAOUEAAAOAAAAAAAAAAEAIAAAACYBAABkcnMvZTJvRG9j&#10;LnhtbFBLBQYAAAAABgAGAFkBAAAEBgAAAAA=&#10;" adj="-262,49571">
                      <v:fill on="t" focussize="0,0"/>
                      <v:stroke color="#000000" joinstyle="miter"/>
                      <v:imagedata o:title=""/>
                      <o:lock v:ext="edit" aspectratio="f"/>
                      <v:textbox>
                        <w:txbxContent>
                          <w:p w14:paraId="142F31DF">
                            <w:pPr>
                              <w:rPr>
                                <w:sz w:val="15"/>
                                <w:szCs w:val="15"/>
                              </w:rPr>
                            </w:pPr>
                            <w:r>
                              <w:rPr>
                                <w:rFonts w:hint="eastAsia"/>
                                <w:sz w:val="15"/>
                                <w:szCs w:val="15"/>
                              </w:rPr>
                              <w:t>项目位置</w:t>
                            </w:r>
                          </w:p>
                        </w:txbxContent>
                      </v:textbox>
                    </v:shape>
                  </w:pict>
                </mc:Fallback>
              </mc:AlternateContent>
            </w:r>
            <w:r>
              <w:rPr>
                <w:color w:val="000000" w:themeColor="text1"/>
                <w14:textFill>
                  <w14:solidFill>
                    <w14:schemeClr w14:val="tx1"/>
                  </w14:solidFill>
                </w14:textFill>
              </w:rPr>
              <w:drawing>
                <wp:inline distT="0" distB="0" distL="0" distR="0">
                  <wp:extent cx="3695700" cy="26193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695700" cy="2619375"/>
                          </a:xfrm>
                          <a:prstGeom prst="rect">
                            <a:avLst/>
                          </a:prstGeom>
                          <a:noFill/>
                          <a:ln>
                            <a:noFill/>
                          </a:ln>
                        </pic:spPr>
                      </pic:pic>
                    </a:graphicData>
                  </a:graphic>
                </wp:inline>
              </w:drawing>
            </w:r>
          </w:p>
          <w:p w14:paraId="1B2B77D0">
            <w:pPr>
              <w:autoSpaceDE w:val="0"/>
              <w:autoSpaceDN w:val="0"/>
              <w:adjustRightInd w:val="0"/>
              <w:snapToGrid w:val="0"/>
              <w:spacing w:line="360" w:lineRule="auto"/>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图</w:t>
            </w:r>
            <w:r>
              <w:rPr>
                <w:b/>
                <w:bCs/>
                <w:color w:val="000000" w:themeColor="text1"/>
                <w:sz w:val="24"/>
                <w14:textFill>
                  <w14:solidFill>
                    <w14:schemeClr w14:val="tx1"/>
                  </w14:solidFill>
                </w14:textFill>
              </w:rPr>
              <w:t>1-1</w:t>
            </w:r>
            <w:r>
              <w:rPr>
                <w:rFonts w:hint="eastAsia"/>
                <w:b/>
                <w:bCs/>
                <w:color w:val="000000" w:themeColor="text1"/>
                <w:sz w:val="24"/>
                <w14:textFill>
                  <w14:solidFill>
                    <w14:schemeClr w14:val="tx1"/>
                  </w14:solidFill>
                </w14:textFill>
              </w:rPr>
              <w:t>项目与云南省生物多样性保护优先区的位置关系</w:t>
            </w:r>
          </w:p>
          <w:p w14:paraId="7FDAB9F8">
            <w:pPr>
              <w:autoSpaceDE w:val="0"/>
              <w:autoSpaceDN w:val="0"/>
              <w:adjustRightInd w:val="0"/>
              <w:snapToGrid w:val="0"/>
              <w:spacing w:line="360" w:lineRule="auto"/>
              <w:rPr>
                <w:color w:val="000000" w:themeColor="text1"/>
                <w:sz w:val="24"/>
                <w:szCs w:val="24"/>
                <w14:textFill>
                  <w14:solidFill>
                    <w14:schemeClr w14:val="tx1"/>
                  </w14:solidFill>
                </w14:textFill>
              </w:rPr>
            </w:pPr>
            <w:r>
              <w:rPr>
                <w:b/>
                <w:bCs/>
                <w:color w:val="000000" w:themeColor="text1"/>
                <w:kern w:val="0"/>
                <w:sz w:val="24"/>
                <w14:textFill>
                  <w14:solidFill>
                    <w14:schemeClr w14:val="tx1"/>
                  </w14:solidFill>
                </w14:textFill>
              </w:rPr>
              <w:t>8</w:t>
            </w:r>
            <w:r>
              <w:rPr>
                <w:rFonts w:hint="eastAsia"/>
                <w:b/>
                <w:bCs/>
                <w:color w:val="000000" w:themeColor="text1"/>
                <w:kern w:val="0"/>
                <w:sz w:val="24"/>
                <w14:textFill>
                  <w14:solidFill>
                    <w14:schemeClr w14:val="tx1"/>
                  </w14:solidFill>
                </w14:textFill>
              </w:rPr>
              <w:t>、</w:t>
            </w:r>
            <w:r>
              <w:rPr>
                <w:rFonts w:hint="eastAsia"/>
                <w:b/>
                <w:bCs/>
                <w:color w:val="000000" w:themeColor="text1"/>
                <w:sz w:val="24"/>
                <w14:textFill>
                  <w14:solidFill>
                    <w14:schemeClr w14:val="tx1"/>
                  </w14:solidFill>
                </w14:textFill>
              </w:rPr>
              <w:t>与《云南省生物多样性保护条例》的符合性分析</w:t>
            </w:r>
          </w:p>
          <w:p w14:paraId="051D6AC4">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《云南省生物多样性保护条例》于</w:t>
            </w:r>
            <w:r>
              <w:rPr>
                <w:color w:val="000000" w:themeColor="text1"/>
                <w:sz w:val="24"/>
                <w14:textFill>
                  <w14:solidFill>
                    <w14:schemeClr w14:val="tx1"/>
                  </w14:solidFill>
                </w14:textFill>
              </w:rPr>
              <w:t>2018</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9</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21</w:t>
            </w:r>
            <w:r>
              <w:rPr>
                <w:rFonts w:hint="eastAsia"/>
                <w:color w:val="000000" w:themeColor="text1"/>
                <w:sz w:val="24"/>
                <w14:textFill>
                  <w14:solidFill>
                    <w14:schemeClr w14:val="tx1"/>
                  </w14:solidFill>
                </w14:textFill>
              </w:rPr>
              <w:t>日经云南省第十三届人大常委会第五次会议通过，于</w:t>
            </w:r>
            <w:r>
              <w:rPr>
                <w:color w:val="000000" w:themeColor="text1"/>
                <w:sz w:val="24"/>
                <w14:textFill>
                  <w14:solidFill>
                    <w14:schemeClr w14:val="tx1"/>
                  </w14:solidFill>
                </w14:textFill>
              </w:rPr>
              <w:t>2019</w:t>
            </w:r>
            <w:r>
              <w:rPr>
                <w:rFonts w:hint="eastAsia"/>
                <w:color w:val="000000" w:themeColor="text1"/>
                <w:sz w:val="24"/>
                <w14:textFill>
                  <w14:solidFill>
                    <w14:schemeClr w14:val="tx1"/>
                  </w14:solidFill>
                </w14:textFill>
              </w:rPr>
              <w:t>年</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日起施行。《条例》遵循保护优先、持续利用、公众参与、惠益分享、保护受益、损害担责的原则，共</w:t>
            </w:r>
            <w:r>
              <w:rPr>
                <w:color w:val="000000" w:themeColor="text1"/>
                <w:sz w:val="24"/>
                <w14:textFill>
                  <w14:solidFill>
                    <w14:schemeClr w14:val="tx1"/>
                  </w14:solidFill>
                </w14:textFill>
              </w:rPr>
              <w:t>7</w:t>
            </w:r>
            <w:r>
              <w:rPr>
                <w:rFonts w:hint="eastAsia"/>
                <w:color w:val="000000" w:themeColor="text1"/>
                <w:sz w:val="24"/>
                <w14:textFill>
                  <w14:solidFill>
                    <w14:schemeClr w14:val="tx1"/>
                  </w14:solidFill>
                </w14:textFill>
              </w:rPr>
              <w:t>章</w:t>
            </w:r>
            <w:r>
              <w:rPr>
                <w:color w:val="000000" w:themeColor="text1"/>
                <w:sz w:val="24"/>
                <w14:textFill>
                  <w14:solidFill>
                    <w14:schemeClr w14:val="tx1"/>
                  </w14:solidFill>
                </w14:textFill>
              </w:rPr>
              <w:t>40</w:t>
            </w:r>
            <w:r>
              <w:rPr>
                <w:rFonts w:hint="eastAsia"/>
                <w:color w:val="000000" w:themeColor="text1"/>
                <w:sz w:val="24"/>
                <w14:textFill>
                  <w14:solidFill>
                    <w14:schemeClr w14:val="tx1"/>
                  </w14:solidFill>
                </w14:textFill>
              </w:rPr>
              <w:t>条。</w:t>
            </w:r>
          </w:p>
          <w:p w14:paraId="5495847E">
            <w:pPr>
              <w:autoSpaceDE w:val="0"/>
              <w:autoSpaceDN w:val="0"/>
              <w:spacing w:line="360" w:lineRule="auto"/>
              <w:ind w:firstLine="422" w:firstLineChars="20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表</w:t>
            </w:r>
            <w:r>
              <w:rPr>
                <w:b/>
                <w:bCs/>
                <w:color w:val="000000" w:themeColor="text1"/>
                <w14:textFill>
                  <w14:solidFill>
                    <w14:schemeClr w14:val="tx1"/>
                  </w14:solidFill>
                </w14:textFill>
              </w:rPr>
              <w:t xml:space="preserve">1-4 </w:t>
            </w:r>
            <w:r>
              <w:rPr>
                <w:rFonts w:hint="eastAsia"/>
                <w:b/>
                <w:bCs/>
                <w:color w:val="000000" w:themeColor="text1"/>
                <w14:textFill>
                  <w14:solidFill>
                    <w14:schemeClr w14:val="tx1"/>
                  </w14:solidFill>
                </w14:textFill>
              </w:rPr>
              <w:t>与《云南省生物多样性保护条例》符合性</w:t>
            </w:r>
          </w:p>
          <w:tbl>
            <w:tblPr>
              <w:tblStyle w:val="45"/>
              <w:tblW w:w="499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143"/>
              <w:gridCol w:w="2614"/>
              <w:gridCol w:w="700"/>
            </w:tblGrid>
            <w:tr w14:paraId="024EFB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778" w:type="pct"/>
                  <w:tcBorders>
                    <w:top w:val="single" w:color="auto" w:sz="2" w:space="0"/>
                    <w:left w:val="single" w:color="auto" w:sz="2" w:space="0"/>
                    <w:bottom w:val="single" w:color="auto" w:sz="2" w:space="0"/>
                    <w:right w:val="single" w:color="auto" w:sz="2" w:space="0"/>
                  </w:tcBorders>
                  <w:vAlign w:val="center"/>
                </w:tcPr>
                <w:p w14:paraId="0708C4D2">
                  <w:pPr>
                    <w:autoSpaceDE w:val="0"/>
                    <w:autoSpaceDN w:val="0"/>
                    <w:adjustRightInd w:val="0"/>
                    <w:snapToGrid w:val="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《条例》要求</w:t>
                  </w:r>
                </w:p>
              </w:tc>
              <w:tc>
                <w:tcPr>
                  <w:tcW w:w="1753" w:type="pct"/>
                  <w:tcBorders>
                    <w:top w:val="single" w:color="auto" w:sz="2" w:space="0"/>
                    <w:left w:val="single" w:color="auto" w:sz="2" w:space="0"/>
                    <w:bottom w:val="single" w:color="auto" w:sz="2" w:space="0"/>
                    <w:right w:val="single" w:color="auto" w:sz="2" w:space="0"/>
                  </w:tcBorders>
                  <w:vAlign w:val="center"/>
                </w:tcPr>
                <w:p w14:paraId="7673671B">
                  <w:pPr>
                    <w:autoSpaceDE w:val="0"/>
                    <w:autoSpaceDN w:val="0"/>
                    <w:adjustRightInd w:val="0"/>
                    <w:snapToGrid w:val="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项目情况</w:t>
                  </w:r>
                </w:p>
              </w:tc>
              <w:tc>
                <w:tcPr>
                  <w:tcW w:w="469" w:type="pct"/>
                  <w:tcBorders>
                    <w:top w:val="single" w:color="auto" w:sz="2" w:space="0"/>
                    <w:left w:val="single" w:color="auto" w:sz="2" w:space="0"/>
                    <w:bottom w:val="single" w:color="auto" w:sz="2" w:space="0"/>
                    <w:right w:val="single" w:color="auto" w:sz="2" w:space="0"/>
                  </w:tcBorders>
                  <w:vAlign w:val="center"/>
                </w:tcPr>
                <w:p w14:paraId="44476733">
                  <w:pPr>
                    <w:autoSpaceDE w:val="0"/>
                    <w:autoSpaceDN w:val="0"/>
                    <w:adjustRightInd w:val="0"/>
                    <w:snapToGrid w:val="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相符性</w:t>
                  </w:r>
                </w:p>
              </w:tc>
            </w:tr>
            <w:tr w14:paraId="0D1EA9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778" w:type="pct"/>
                  <w:tcBorders>
                    <w:top w:val="single" w:color="auto" w:sz="2" w:space="0"/>
                    <w:left w:val="single" w:color="auto" w:sz="2" w:space="0"/>
                    <w:bottom w:val="single" w:color="auto" w:sz="2" w:space="0"/>
                    <w:right w:val="single" w:color="auto" w:sz="2" w:space="0"/>
                  </w:tcBorders>
                  <w:vAlign w:val="center"/>
                </w:tcPr>
                <w:p w14:paraId="2B01EE4D">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境内外组织或者个人对野生生物物种进行采集、收购、野外考察或者携带、邮寄出境，应当遵守有关法律法规规定。</w:t>
                  </w:r>
                </w:p>
              </w:tc>
              <w:tc>
                <w:tcPr>
                  <w:tcW w:w="1753" w:type="pct"/>
                  <w:tcBorders>
                    <w:top w:val="single" w:color="auto" w:sz="2" w:space="0"/>
                    <w:left w:val="single" w:color="auto" w:sz="2" w:space="0"/>
                    <w:bottom w:val="single" w:color="auto" w:sz="2" w:space="0"/>
                    <w:right w:val="single" w:color="auto" w:sz="2" w:space="0"/>
                  </w:tcBorders>
                  <w:vAlign w:val="center"/>
                </w:tcPr>
                <w:p w14:paraId="041FCBE2">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本项目野外调查时对调查区域内的生物物种主要采取拍照的调查记录方式。</w:t>
                  </w:r>
                </w:p>
              </w:tc>
              <w:tc>
                <w:tcPr>
                  <w:tcW w:w="469" w:type="pct"/>
                  <w:tcBorders>
                    <w:top w:val="single" w:color="auto" w:sz="2" w:space="0"/>
                    <w:left w:val="single" w:color="auto" w:sz="2" w:space="0"/>
                    <w:bottom w:val="single" w:color="auto" w:sz="2" w:space="0"/>
                    <w:right w:val="single" w:color="auto" w:sz="2" w:space="0"/>
                  </w:tcBorders>
                  <w:vAlign w:val="center"/>
                </w:tcPr>
                <w:p w14:paraId="52DD414B">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14:paraId="4286ED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778" w:type="pct"/>
                  <w:tcBorders>
                    <w:top w:val="single" w:color="auto" w:sz="2" w:space="0"/>
                    <w:left w:val="single" w:color="auto" w:sz="2" w:space="0"/>
                    <w:bottom w:val="single" w:color="auto" w:sz="2" w:space="0"/>
                    <w:right w:val="single" w:color="auto" w:sz="2" w:space="0"/>
                  </w:tcBorders>
                  <w:vAlign w:val="center"/>
                </w:tcPr>
                <w:p w14:paraId="6C65B361">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禁止扩散、放生或者丢弃外来入侵物种。</w:t>
                  </w:r>
                </w:p>
              </w:tc>
              <w:tc>
                <w:tcPr>
                  <w:tcW w:w="1753" w:type="pct"/>
                  <w:tcBorders>
                    <w:top w:val="single" w:color="auto" w:sz="2" w:space="0"/>
                    <w:left w:val="single" w:color="auto" w:sz="2" w:space="0"/>
                    <w:bottom w:val="single" w:color="auto" w:sz="2" w:space="0"/>
                    <w:right w:val="single" w:color="auto" w:sz="2" w:space="0"/>
                  </w:tcBorders>
                  <w:vAlign w:val="center"/>
                </w:tcPr>
                <w:p w14:paraId="149F8521">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本项目生态修复时使用的植物物种均为项目区域常见本土物种。</w:t>
                  </w:r>
                </w:p>
              </w:tc>
              <w:tc>
                <w:tcPr>
                  <w:tcW w:w="469" w:type="pct"/>
                  <w:tcBorders>
                    <w:top w:val="single" w:color="auto" w:sz="2" w:space="0"/>
                    <w:left w:val="single" w:color="auto" w:sz="2" w:space="0"/>
                    <w:bottom w:val="single" w:color="auto" w:sz="2" w:space="0"/>
                    <w:right w:val="single" w:color="auto" w:sz="2" w:space="0"/>
                  </w:tcBorders>
                  <w:vAlign w:val="center"/>
                </w:tcPr>
                <w:p w14:paraId="46C30440">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14:paraId="523B9B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778" w:type="pct"/>
                  <w:tcBorders>
                    <w:top w:val="single" w:color="auto" w:sz="2" w:space="0"/>
                    <w:left w:val="single" w:color="auto" w:sz="2" w:space="0"/>
                    <w:bottom w:val="single" w:color="auto" w:sz="2" w:space="0"/>
                    <w:right w:val="single" w:color="auto" w:sz="2" w:space="0"/>
                  </w:tcBorders>
                  <w:vAlign w:val="center"/>
                </w:tcPr>
                <w:p w14:paraId="4D430730">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在生物多样性保护优先区域的建设项目以及自然资源开发，应当评价对生物多样性的影响，并作为环境影响评价的重要组成部分。</w:t>
                  </w:r>
                </w:p>
              </w:tc>
              <w:tc>
                <w:tcPr>
                  <w:tcW w:w="1753" w:type="pct"/>
                  <w:tcBorders>
                    <w:top w:val="single" w:color="auto" w:sz="2" w:space="0"/>
                    <w:left w:val="single" w:color="auto" w:sz="2" w:space="0"/>
                    <w:bottom w:val="single" w:color="auto" w:sz="2" w:space="0"/>
                    <w:right w:val="single" w:color="auto" w:sz="2" w:space="0"/>
                  </w:tcBorders>
                  <w:vAlign w:val="center"/>
                </w:tcPr>
                <w:p w14:paraId="1F77A93C">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本项目建设地点位于曲靖市富源县，场址区域不属于生物多样性保护优先区域。</w:t>
                  </w:r>
                </w:p>
              </w:tc>
              <w:tc>
                <w:tcPr>
                  <w:tcW w:w="469" w:type="pct"/>
                  <w:tcBorders>
                    <w:top w:val="single" w:color="auto" w:sz="2" w:space="0"/>
                    <w:left w:val="single" w:color="auto" w:sz="2" w:space="0"/>
                    <w:bottom w:val="single" w:color="auto" w:sz="2" w:space="0"/>
                    <w:right w:val="single" w:color="auto" w:sz="2" w:space="0"/>
                  </w:tcBorders>
                  <w:vAlign w:val="center"/>
                </w:tcPr>
                <w:p w14:paraId="4CA432BF">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r w14:paraId="32FF4C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2778" w:type="pct"/>
                  <w:tcBorders>
                    <w:top w:val="single" w:color="auto" w:sz="2" w:space="0"/>
                    <w:left w:val="single" w:color="auto" w:sz="2" w:space="0"/>
                    <w:bottom w:val="single" w:color="auto" w:sz="2" w:space="0"/>
                    <w:right w:val="single" w:color="auto" w:sz="2" w:space="0"/>
                  </w:tcBorders>
                  <w:vAlign w:val="center"/>
                </w:tcPr>
                <w:p w14:paraId="53DAE649">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扩散、放生或者丢弃外来入侵物种的，由县级以上人民政府林业、农业行政主管部门按照各自职权责令改正，处</w:t>
                  </w:r>
                  <w:r>
                    <w:rPr>
                      <w:color w:val="000000" w:themeColor="text1"/>
                      <w14:textFill>
                        <w14:solidFill>
                          <w14:schemeClr w14:val="tx1"/>
                        </w14:solidFill>
                      </w14:textFill>
                    </w:rPr>
                    <w:t>2000</w:t>
                  </w:r>
                  <w:r>
                    <w:rPr>
                      <w:rFonts w:hint="eastAsia"/>
                      <w:color w:val="000000" w:themeColor="text1"/>
                      <w14:textFill>
                        <w14:solidFill>
                          <w14:schemeClr w14:val="tx1"/>
                        </w14:solidFill>
                      </w14:textFill>
                    </w:rPr>
                    <w:t>元以上</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万元以下罚款；造成损失的，依法承担赔偿责任；构成犯罪的，依法追究刑事责任。</w:t>
                  </w:r>
                </w:p>
              </w:tc>
              <w:tc>
                <w:tcPr>
                  <w:tcW w:w="1753" w:type="pct"/>
                  <w:tcBorders>
                    <w:top w:val="single" w:color="auto" w:sz="2" w:space="0"/>
                    <w:left w:val="single" w:color="auto" w:sz="2" w:space="0"/>
                    <w:bottom w:val="single" w:color="auto" w:sz="2" w:space="0"/>
                    <w:right w:val="single" w:color="auto" w:sz="2" w:space="0"/>
                  </w:tcBorders>
                  <w:vAlign w:val="center"/>
                </w:tcPr>
                <w:p w14:paraId="0FC16806">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本项目生态修复时使用的植物物种均为项目区域常见本土物种。</w:t>
                  </w:r>
                </w:p>
              </w:tc>
              <w:tc>
                <w:tcPr>
                  <w:tcW w:w="469" w:type="pct"/>
                  <w:tcBorders>
                    <w:top w:val="single" w:color="auto" w:sz="2" w:space="0"/>
                    <w:left w:val="single" w:color="auto" w:sz="2" w:space="0"/>
                    <w:bottom w:val="single" w:color="auto" w:sz="2" w:space="0"/>
                    <w:right w:val="single" w:color="auto" w:sz="2" w:space="0"/>
                  </w:tcBorders>
                  <w:vAlign w:val="center"/>
                </w:tcPr>
                <w:p w14:paraId="09C05811">
                  <w:pPr>
                    <w:autoSpaceDE w:val="0"/>
                    <w:autoSpaceDN w:val="0"/>
                    <w:adjustRightInd w:val="0"/>
                    <w:snapToGri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符合</w:t>
                  </w:r>
                </w:p>
              </w:tc>
            </w:tr>
          </w:tbl>
          <w:p w14:paraId="071D4FC7">
            <w:pPr>
              <w:spacing w:line="360" w:lineRule="auto"/>
              <w:ind w:firstLine="520" w:firstLineChars="200"/>
              <w:jc w:val="left"/>
              <w:rPr>
                <w:b/>
                <w:bCs/>
                <w:color w:val="000000" w:themeColor="text1"/>
                <w:spacing w:val="10"/>
                <w:kern w:val="0"/>
                <w:sz w:val="24"/>
                <w:szCs w:val="24"/>
                <w14:textFill>
                  <w14:solidFill>
                    <w14:schemeClr w14:val="tx1"/>
                  </w14:solidFill>
                </w14:textFill>
              </w:rPr>
            </w:pPr>
            <w:r>
              <w:rPr>
                <w:rFonts w:hint="eastAsia"/>
                <w:color w:val="000000" w:themeColor="text1"/>
                <w:spacing w:val="10"/>
                <w:sz w:val="24"/>
                <w14:textFill>
                  <w14:solidFill>
                    <w14:schemeClr w14:val="tx1"/>
                  </w14:solidFill>
                </w14:textFill>
              </w:rPr>
              <w:t>综上所述，本项目建设符合《云南省生物多样性保护条例》要求。</w:t>
            </w:r>
          </w:p>
          <w:p w14:paraId="310A27AA">
            <w:pPr>
              <w:snapToGrid w:val="0"/>
              <w:spacing w:line="360" w:lineRule="auto"/>
              <w:rPr>
                <w:b/>
                <w:sz w:val="24"/>
              </w:rPr>
            </w:pPr>
            <w:r>
              <w:rPr>
                <w:rFonts w:hint="eastAsia"/>
                <w:b/>
                <w:sz w:val="24"/>
              </w:rPr>
              <w:t>9、与《曲靖市国土空间总体规划(2021-2035年)》符合性分析</w:t>
            </w:r>
          </w:p>
          <w:p w14:paraId="7FACE194">
            <w:pPr>
              <w:pStyle w:val="28"/>
              <w:spacing w:after="0" w:line="360" w:lineRule="auto"/>
              <w:ind w:left="0" w:leftChars="0" w:firstLine="480" w:firstLineChars="200"/>
              <w:rPr>
                <w:kern w:val="0"/>
                <w:sz w:val="24"/>
                <w:szCs w:val="24"/>
              </w:rPr>
            </w:pPr>
            <w:r>
              <w:rPr>
                <w:rFonts w:hint="eastAsia"/>
                <w:kern w:val="0"/>
                <w:sz w:val="24"/>
                <w:szCs w:val="24"/>
              </w:rPr>
              <w:t>根据《曲靖市空间国土总体规划》“强化中心城区辐射带动能力，加快‘麒沾马’一体化建设，联动富源县、陆良县构建曲靖城镇圈，强化市域主、副中心协同联动，推进以县城为重要载体的城镇化建设。”、“完善各类重大市政基础设施布局：优化布局能源设施。按照‘结构合理，技术先进、安全可靠、适度超前’的发展要求，优化改造现有高压配电网，加快实施农村电网改造升级工程。”</w:t>
            </w:r>
          </w:p>
          <w:p w14:paraId="2656DCCF">
            <w:pPr>
              <w:pStyle w:val="28"/>
              <w:spacing w:after="0" w:line="360" w:lineRule="auto"/>
              <w:ind w:left="0" w:leftChars="0" w:firstLine="480" w:firstLineChars="200"/>
              <w:rPr>
                <w:kern w:val="0"/>
                <w:sz w:val="24"/>
                <w:szCs w:val="24"/>
              </w:rPr>
            </w:pPr>
            <w:r>
              <w:rPr>
                <w:rFonts w:hint="eastAsia"/>
                <w:kern w:val="0"/>
                <w:sz w:val="24"/>
                <w:szCs w:val="24"/>
              </w:rPr>
              <w:t>本项目为输变电工程，属于基础设施项目，能够帮助富源县完善基础设施建设和综合服务功能，能够优化现有高压配电网，加快农村电网改造升级本项目已取得富源县人民政府原则同意的意见。</w:t>
            </w:r>
          </w:p>
          <w:p w14:paraId="119406E4">
            <w:pPr>
              <w:pStyle w:val="28"/>
              <w:spacing w:after="0" w:line="360" w:lineRule="auto"/>
              <w:ind w:left="0" w:leftChars="0" w:firstLine="480" w:firstLineChars="200"/>
              <w:rPr>
                <w:kern w:val="0"/>
                <w:sz w:val="24"/>
                <w:szCs w:val="24"/>
              </w:rPr>
            </w:pPr>
            <w:r>
              <w:rPr>
                <w:rFonts w:hint="eastAsia"/>
                <w:kern w:val="0"/>
                <w:sz w:val="24"/>
                <w:szCs w:val="24"/>
              </w:rPr>
              <w:t>综上，本项目建设与《曲靖市国土空间总体规划（2021-2035年）》不冲突。</w:t>
            </w:r>
          </w:p>
          <w:p w14:paraId="4C6B9B4F">
            <w:pPr>
              <w:snapToGrid w:val="0"/>
              <w:spacing w:line="360" w:lineRule="auto"/>
              <w:rPr>
                <w:b/>
                <w:sz w:val="24"/>
              </w:rPr>
            </w:pPr>
            <w:r>
              <w:rPr>
                <w:rFonts w:hint="eastAsia"/>
                <w:b/>
                <w:sz w:val="24"/>
              </w:rPr>
              <w:t>1</w:t>
            </w:r>
            <w:r>
              <w:rPr>
                <w:b/>
                <w:sz w:val="24"/>
              </w:rPr>
              <w:t>0</w:t>
            </w:r>
            <w:r>
              <w:rPr>
                <w:rFonts w:hint="eastAsia"/>
                <w:b/>
                <w:sz w:val="24"/>
              </w:rPr>
              <w:t>、与《富源县国土空间总体规划</w:t>
            </w:r>
            <w:r>
              <w:rPr>
                <w:rFonts w:hint="eastAsia"/>
                <w:b/>
                <w:bCs/>
                <w:kern w:val="0"/>
                <w:sz w:val="24"/>
                <w:szCs w:val="24"/>
              </w:rPr>
              <w:t>（2021-2035年）</w:t>
            </w:r>
            <w:r>
              <w:rPr>
                <w:rFonts w:hint="eastAsia"/>
                <w:b/>
                <w:sz w:val="24"/>
              </w:rPr>
              <w:t>》符合性分析</w:t>
            </w:r>
          </w:p>
          <w:p w14:paraId="173F4C2B">
            <w:pPr>
              <w:spacing w:line="360" w:lineRule="auto"/>
              <w:ind w:firstLine="480" w:firstLineChars="200"/>
              <w:rPr>
                <w:sz w:val="24"/>
                <w:szCs w:val="24"/>
              </w:rPr>
            </w:pPr>
            <w:r>
              <w:rPr>
                <w:rFonts w:hint="eastAsia"/>
                <w:sz w:val="24"/>
                <w:szCs w:val="24"/>
              </w:rPr>
              <w:t>本</w:t>
            </w:r>
            <w:r>
              <w:rPr>
                <w:sz w:val="24"/>
                <w:szCs w:val="24"/>
              </w:rPr>
              <w:t>项目与</w:t>
            </w:r>
            <w:r>
              <w:rPr>
                <w:rFonts w:hint="eastAsia"/>
                <w:sz w:val="24"/>
                <w:szCs w:val="24"/>
              </w:rPr>
              <w:t>《富源县国土空间总体规划</w:t>
            </w:r>
            <w:r>
              <w:rPr>
                <w:rFonts w:hint="eastAsia"/>
                <w:kern w:val="0"/>
                <w:sz w:val="24"/>
                <w:szCs w:val="24"/>
              </w:rPr>
              <w:t>（2021-2035年）</w:t>
            </w:r>
            <w:r>
              <w:rPr>
                <w:rFonts w:hint="eastAsia"/>
                <w:sz w:val="24"/>
                <w:szCs w:val="24"/>
              </w:rPr>
              <w:t>》</w:t>
            </w:r>
            <w:r>
              <w:rPr>
                <w:sz w:val="24"/>
                <w:szCs w:val="24"/>
              </w:rPr>
              <w:t>的符合性分析详见表1-5。</w:t>
            </w:r>
          </w:p>
          <w:p w14:paraId="444BFCFC">
            <w:pPr>
              <w:autoSpaceDE w:val="0"/>
              <w:autoSpaceDN w:val="0"/>
              <w:spacing w:line="360" w:lineRule="auto"/>
              <w:ind w:firstLine="422" w:firstLineChars="20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表</w:t>
            </w:r>
            <w:r>
              <w:rPr>
                <w:b/>
                <w:bCs/>
                <w:color w:val="000000" w:themeColor="text1"/>
                <w14:textFill>
                  <w14:solidFill>
                    <w14:schemeClr w14:val="tx1"/>
                  </w14:solidFill>
                </w14:textFill>
              </w:rPr>
              <w:t xml:space="preserve">1-5 </w:t>
            </w:r>
            <w:r>
              <w:rPr>
                <w:rFonts w:hint="eastAsia"/>
                <w:b/>
                <w:bCs/>
                <w:color w:val="000000" w:themeColor="text1"/>
                <w14:textFill>
                  <w14:solidFill>
                    <w14:schemeClr w14:val="tx1"/>
                  </w14:solidFill>
                </w14:textFill>
              </w:rPr>
              <w:t>项目与《富源县国土空间总体规划（2021-2035年）》的符合性</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1"/>
              <w:gridCol w:w="2497"/>
              <w:gridCol w:w="473"/>
            </w:tblGrid>
            <w:tr w14:paraId="1CED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79ABE04">
                  <w:pPr>
                    <w:jc w:val="center"/>
                    <w:rPr>
                      <w:b/>
                      <w:bCs/>
                    </w:rPr>
                  </w:pPr>
                  <w:r>
                    <w:rPr>
                      <w:rFonts w:hint="eastAsia"/>
                      <w:b/>
                      <w:bCs/>
                      <w:color w:val="000000" w:themeColor="text1"/>
                      <w14:textFill>
                        <w14:solidFill>
                          <w14:schemeClr w14:val="tx1"/>
                        </w14:solidFill>
                      </w14:textFill>
                    </w:rPr>
                    <w:t>《富源县国土空间总体规划(2021-2035年)》批复要求</w:t>
                  </w:r>
                </w:p>
              </w:tc>
              <w:tc>
                <w:tcPr>
                  <w:tcW w:w="0" w:type="auto"/>
                  <w:vAlign w:val="center"/>
                </w:tcPr>
                <w:p w14:paraId="16787C4B">
                  <w:pPr>
                    <w:jc w:val="center"/>
                    <w:rPr>
                      <w:b/>
                      <w:bCs/>
                    </w:rPr>
                  </w:pPr>
                  <w:r>
                    <w:rPr>
                      <w:rFonts w:hint="eastAsia"/>
                      <w:b/>
                      <w:bCs/>
                    </w:rPr>
                    <w:t>本项目内容</w:t>
                  </w:r>
                </w:p>
              </w:tc>
              <w:tc>
                <w:tcPr>
                  <w:tcW w:w="0" w:type="auto"/>
                  <w:vAlign w:val="center"/>
                </w:tcPr>
                <w:p w14:paraId="2744FEBF">
                  <w:pPr>
                    <w:jc w:val="center"/>
                    <w:rPr>
                      <w:b/>
                      <w:bCs/>
                    </w:rPr>
                  </w:pPr>
                  <w:r>
                    <w:rPr>
                      <w:rFonts w:hint="eastAsia"/>
                      <w:b/>
                      <w:bCs/>
                    </w:rPr>
                    <w:t>符合性</w:t>
                  </w:r>
                </w:p>
              </w:tc>
            </w:tr>
            <w:tr w14:paraId="4358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607BA2C">
                  <w:r>
                    <w:rPr>
                      <w:rFonts w:hint="eastAsia"/>
                    </w:rPr>
                    <w:t>筑牢安全发展的空间基础。到2035年，富源县耕地保有量不低于141.1650万亩，其中永久基本农田保护面积不低于113.8000万亩；生态保护红线面积不低于395.80平方千米；城镇开发边界扩展倍数控制在基于2020年城镇建设用地规模的1.277倍以内。用水总量不超过上级下达指标，其中2025年不超过2.13亿立方米。明确自然灾害风险重点防控区域，划定洪涝风险控制线和城市蓝线、绿线、黄线、紫线，落实战略性矿产资源、历史文化保护等安全保障空间，严格河湖水域空间管控，全面锚固高质量发展的空间底线。</w:t>
                  </w:r>
                </w:p>
              </w:tc>
              <w:tc>
                <w:tcPr>
                  <w:tcW w:w="0" w:type="auto"/>
                  <w:vAlign w:val="center"/>
                </w:tcPr>
                <w:p w14:paraId="517E28B0">
                  <w:r>
                    <w:rPr>
                      <w:rFonts w:hint="eastAsia"/>
                    </w:rPr>
                    <w:t>本项目选址占地已避让永久基本农田、生态保护红线及城镇开发边界，项目运营期无用水需求。</w:t>
                  </w:r>
                </w:p>
              </w:tc>
              <w:tc>
                <w:tcPr>
                  <w:tcW w:w="0" w:type="auto"/>
                  <w:vAlign w:val="center"/>
                </w:tcPr>
                <w:p w14:paraId="6FEBC7B1">
                  <w:pPr>
                    <w:jc w:val="center"/>
                  </w:pPr>
                  <w:r>
                    <w:rPr>
                      <w:rFonts w:hint="eastAsia"/>
                    </w:rPr>
                    <w:t>符合</w:t>
                  </w:r>
                </w:p>
              </w:tc>
            </w:tr>
            <w:tr w14:paraId="3409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2334A8F">
                  <w:r>
                    <w:rPr>
                      <w:rFonts w:hint="eastAsia"/>
                    </w:rPr>
                    <w:t>优化国土空间开发保护格局。落实主体功能区布局，统筹优化农业、生态、城镇等功能空间，构建“一带三屏、三区四谷、两心四轴”的国土空间开发保护总体格局。以西北部冷凉高山区、中部中温山区、南部低热槽区，嘉河中暖河谷、黄泥河温热河谷、丕德河湿热河谷、小黄泥河湿热河谷为主体，优化农业空间结构，严守耕地保护红线，确保粮食安全。筑牢生态安全屏障，加强黄泥河、嘉河生态保护廊道等重要生态空间的保护和管控，维育生态保护廊道，以云南富源十八连山自然保护区为核心，胜境关森林公园、营盘山、重要水源保护地为重要生态节点，保护生物多样性，持续推进山水林田湖草一体化治理和历史遗留废弃矿山等生态修复，维护区域生态安全，提升生态服务功能。构建等级合理、协调有序的城镇体系，聚力发展中心城区，依托沪昆高铁、沪昆高速等打造曲靖城镇圈东节点，加强城乡融合发展，优化镇村布局，推动城乡融合发展，因地制宜分区分类优化村庄布局，推进宜居宜业和美乡村建设。引导产业和人口集聚发展，优先保障绿色铝、煤炭绿色发展等重点产业空间，支撑经济社会高质量发展。</w:t>
                  </w:r>
                </w:p>
              </w:tc>
              <w:tc>
                <w:tcPr>
                  <w:tcW w:w="0" w:type="auto"/>
                  <w:vAlign w:val="center"/>
                </w:tcPr>
                <w:p w14:paraId="44C01C60">
                  <w:r>
                    <w:rPr>
                      <w:rFonts w:hint="eastAsia"/>
                    </w:rPr>
                    <w:t>本项目采用紧凑型设计，尽量减少了线路走廊宽度，优化塔基布局，尽可能地少占了耕地和优质土地。此外本项目的建设可优化片区电网，为片区提供更稳定可靠的电源，有利于营上镇的建设</w:t>
                  </w:r>
                </w:p>
              </w:tc>
              <w:tc>
                <w:tcPr>
                  <w:tcW w:w="0" w:type="auto"/>
                  <w:vAlign w:val="center"/>
                </w:tcPr>
                <w:p w14:paraId="190D7335">
                  <w:pPr>
                    <w:jc w:val="center"/>
                  </w:pPr>
                  <w:r>
                    <w:rPr>
                      <w:rFonts w:hint="eastAsia"/>
                    </w:rPr>
                    <w:t>符合</w:t>
                  </w:r>
                </w:p>
              </w:tc>
            </w:tr>
            <w:tr w14:paraId="22FA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1" w:hRule="atLeast"/>
              </w:trPr>
              <w:tc>
                <w:tcPr>
                  <w:tcW w:w="0" w:type="auto"/>
                  <w:vAlign w:val="center"/>
                </w:tcPr>
                <w:p w14:paraId="69B5C83F">
                  <w:r>
                    <w:rPr>
                      <w:rFonts w:hint="eastAsia"/>
                    </w:rPr>
                    <w:t>构建安全韧性基础设施体系。构建现代化基础设施体系，完善城乡各类基础设施建设，提升基础设施保障能力和服务水平。加快G60复线、宣富高速公路、富罗高速公路等通道建设，构建以铁路、高速公路、干线公路为骨干的综合立体交通网络。健全公共安全和综合防灾体系，严格落实抗震、地质灾害防治、防洪排涝等灾害防控和危险化学品生产储存、油气管线廊道布局等安全防护要求，增强抵御灾害和事故的能力。统筹保障水、电、气、通信、环境卫生等各类市政基础设施，确保城市生命线稳定运行。加强矿产资源保障，推进煤炭、风电、光伏等能源重点项目建设。</w:t>
                  </w:r>
                </w:p>
              </w:tc>
              <w:tc>
                <w:tcPr>
                  <w:tcW w:w="0" w:type="auto"/>
                  <w:vAlign w:val="center"/>
                </w:tcPr>
                <w:p w14:paraId="7DD01B8F">
                  <w:r>
                    <w:rPr>
                      <w:rFonts w:hint="eastAsia"/>
                    </w:rPr>
                    <w:t>本项目为输电线路建设项目，有利于完善基础设施体系，提升基础设施保障能力。</w:t>
                  </w:r>
                </w:p>
              </w:tc>
              <w:tc>
                <w:tcPr>
                  <w:tcW w:w="0" w:type="auto"/>
                  <w:vAlign w:val="center"/>
                </w:tcPr>
                <w:p w14:paraId="33BE34C3">
                  <w:pPr>
                    <w:jc w:val="center"/>
                  </w:pPr>
                  <w:r>
                    <w:rPr>
                      <w:rFonts w:hint="eastAsia"/>
                    </w:rPr>
                    <w:t>符合</w:t>
                  </w:r>
                </w:p>
              </w:tc>
            </w:tr>
          </w:tbl>
          <w:p w14:paraId="7760389D">
            <w:pPr>
              <w:spacing w:line="360" w:lineRule="auto"/>
              <w:ind w:firstLine="480" w:firstLineChars="200"/>
              <w:rPr>
                <w:sz w:val="24"/>
                <w:szCs w:val="24"/>
              </w:rPr>
            </w:pPr>
            <w:r>
              <w:rPr>
                <w:rFonts w:hint="eastAsia"/>
                <w:sz w:val="24"/>
                <w:szCs w:val="24"/>
              </w:rPr>
              <w:t>综上所述，本项目的建设符合《富源县国土空间总体规划(2021-2035年)》的相关要求。</w:t>
            </w:r>
          </w:p>
          <w:p w14:paraId="3C826FF8">
            <w:pPr>
              <w:pStyle w:val="26"/>
              <w:spacing w:line="360" w:lineRule="auto"/>
              <w:rPr>
                <w:rFonts w:ascii="Times New Roman" w:hAnsi="Times New Roman"/>
                <w:b/>
                <w:bCs/>
                <w:kern w:val="2"/>
                <w:sz w:val="24"/>
                <w:szCs w:val="24"/>
              </w:rPr>
            </w:pPr>
            <w:r>
              <w:rPr>
                <w:rFonts w:ascii="Times New Roman" w:hAnsi="Times New Roman"/>
                <w:b/>
                <w:bCs/>
                <w:sz w:val="24"/>
              </w:rPr>
              <w:t>11</w:t>
            </w:r>
            <w:r>
              <w:rPr>
                <w:rFonts w:hint="eastAsia" w:ascii="Times New Roman" w:hAnsi="Times New Roman"/>
                <w:b/>
                <w:bCs/>
                <w:sz w:val="24"/>
              </w:rPr>
              <w:t>、与《曲靖市生态环境保护“十四五”规划》的符合性分析</w:t>
            </w:r>
          </w:p>
          <w:p w14:paraId="730E5103">
            <w:pPr>
              <w:pStyle w:val="26"/>
              <w:spacing w:line="360" w:lineRule="auto"/>
              <w:ind w:firstLine="480" w:firstLineChars="200"/>
              <w:rPr>
                <w:rFonts w:ascii="Times New Roman" w:hAnsi="Times New Roman"/>
                <w:sz w:val="24"/>
              </w:rPr>
            </w:pPr>
            <w:r>
              <w:rPr>
                <w:rFonts w:ascii="Times New Roman" w:hAnsi="Times New Roman"/>
                <w:sz w:val="24"/>
              </w:rPr>
              <w:t>2022</w:t>
            </w:r>
            <w:r>
              <w:rPr>
                <w:rFonts w:hint="eastAsia" w:ascii="Times New Roman" w:hAnsi="Times New Roman"/>
                <w:sz w:val="24"/>
              </w:rPr>
              <w:t>年</w:t>
            </w:r>
            <w:r>
              <w:rPr>
                <w:rFonts w:ascii="Times New Roman" w:hAnsi="Times New Roman"/>
                <w:sz w:val="24"/>
              </w:rPr>
              <w:t>4</w:t>
            </w:r>
            <w:r>
              <w:rPr>
                <w:rFonts w:hint="eastAsia" w:ascii="Times New Roman" w:hAnsi="Times New Roman"/>
                <w:sz w:val="24"/>
              </w:rPr>
              <w:t>月</w:t>
            </w:r>
            <w:r>
              <w:rPr>
                <w:rFonts w:ascii="Times New Roman" w:hAnsi="Times New Roman"/>
                <w:sz w:val="24"/>
              </w:rPr>
              <w:t>11</w:t>
            </w:r>
            <w:r>
              <w:rPr>
                <w:rFonts w:hint="eastAsia" w:ascii="Times New Roman" w:hAnsi="Times New Roman"/>
                <w:sz w:val="24"/>
              </w:rPr>
              <w:t>日，曲靖市人民政府</w:t>
            </w:r>
            <w:r>
              <w:rPr>
                <w:rFonts w:hint="eastAsia" w:hAnsi="宋体"/>
                <w:sz w:val="24"/>
              </w:rPr>
              <w:t>办公室印发了《曲靖市生态环境保护“十四五”规划的通知》</w:t>
            </w:r>
            <w:r>
              <w:rPr>
                <w:rFonts w:hint="eastAsia" w:ascii="Times New Roman" w:hAnsi="Times New Roman"/>
                <w:sz w:val="24"/>
              </w:rPr>
              <w:t>（曲政办〔</w:t>
            </w:r>
            <w:r>
              <w:rPr>
                <w:rFonts w:ascii="Times New Roman" w:hAnsi="Times New Roman"/>
                <w:sz w:val="24"/>
              </w:rPr>
              <w:t>2022</w:t>
            </w:r>
            <w:r>
              <w:rPr>
                <w:rFonts w:hint="eastAsia" w:ascii="Times New Roman" w:hAnsi="Times New Roman"/>
                <w:sz w:val="24"/>
              </w:rPr>
              <w:t>〕</w:t>
            </w:r>
            <w:r>
              <w:rPr>
                <w:rFonts w:ascii="Times New Roman" w:hAnsi="Times New Roman"/>
                <w:sz w:val="24"/>
              </w:rPr>
              <w:t>24</w:t>
            </w:r>
            <w:r>
              <w:rPr>
                <w:rFonts w:hint="eastAsia" w:ascii="Times New Roman" w:hAnsi="Times New Roman"/>
                <w:sz w:val="24"/>
              </w:rPr>
              <w:t>号），规划指出：持续推进绿色能源战略与绿色先进制造业深度融合，以十大工业园区为平台，深化产业结构调整，依托“硅晶产业园”“新能源新材料产业园”“硅化工产业园”，全力发展光伏产业集群、新能源新材料产业集群和硅化工产业集群，着力构建绿色能源产业体系。</w:t>
            </w:r>
          </w:p>
          <w:p w14:paraId="21525321">
            <w:pPr>
              <w:pStyle w:val="26"/>
              <w:spacing w:line="360" w:lineRule="auto"/>
              <w:ind w:firstLine="480" w:firstLineChars="200"/>
              <w:rPr>
                <w:rFonts w:ascii="Times New Roman" w:hAnsi="Times New Roman"/>
                <w:sz w:val="24"/>
              </w:rPr>
            </w:pPr>
            <w:r>
              <w:rPr>
                <w:rFonts w:hint="eastAsia" w:ascii="Times New Roman" w:hAnsi="Times New Roman"/>
                <w:sz w:val="24"/>
              </w:rPr>
              <w:t>本项目为输变电项目，属于优化基础设施，对于能源消费、推动绿色能源产业由资源开发型向市场开拓型转变有积极作用。因此，本项目的建设与《曲靖市生态环境保护“十四五”规划》相关要求相符。</w:t>
            </w:r>
          </w:p>
        </w:tc>
      </w:tr>
    </w:tbl>
    <w:p w14:paraId="6DD5B88E">
      <w:pPr>
        <w:pStyle w:val="39"/>
        <w:jc w:val="center"/>
        <w:rPr>
          <w:rFonts w:ascii="Times New Roman" w:hAnsi="Times New Roman"/>
        </w:rPr>
        <w:sectPr>
          <w:footerReference r:id="rId9" w:type="default"/>
          <w:pgSz w:w="11906" w:h="16838"/>
          <w:pgMar w:top="1440" w:right="1800" w:bottom="1440" w:left="1800" w:header="851" w:footer="1077" w:gutter="0"/>
          <w:pgNumType w:start="1"/>
          <w:cols w:space="720" w:num="1"/>
          <w:docGrid w:linePitch="312" w:charSpace="0"/>
        </w:sectPr>
      </w:pPr>
      <w:bookmarkStart w:id="24" w:name="_Toc9877"/>
      <w:r>
        <w:rPr>
          <w:rFonts w:ascii="Times New Roman" w:hAnsi="Times New Roman"/>
        </w:rPr>
        <w:br w:type="textWrapping" w:clear="all"/>
      </w:r>
      <w:bookmarkEnd w:id="24"/>
    </w:p>
    <w:p w14:paraId="3B1608B6">
      <w:pPr>
        <w:pStyle w:val="39"/>
        <w:jc w:val="center"/>
        <w:outlineLvl w:val="0"/>
        <w:rPr>
          <w:rFonts w:ascii="Times New Roman" w:hAnsi="Times New Roman" w:eastAsia="黑体"/>
          <w:snapToGrid w:val="0"/>
          <w:sz w:val="30"/>
          <w:szCs w:val="30"/>
        </w:rPr>
      </w:pPr>
      <w:bookmarkStart w:id="25" w:name="_Toc675"/>
      <w:bookmarkStart w:id="26" w:name="_Toc22666"/>
      <w:bookmarkStart w:id="27" w:name="_Toc11141"/>
      <w:bookmarkStart w:id="28" w:name="_Toc9600"/>
      <w:bookmarkStart w:id="29" w:name="_Toc20677"/>
      <w:bookmarkStart w:id="30" w:name="_Toc19799"/>
      <w:bookmarkStart w:id="31" w:name="_Toc10560"/>
      <w:bookmarkStart w:id="32" w:name="_Toc225952989"/>
      <w:bookmarkStart w:id="33" w:name="_Toc227764329"/>
      <w:r>
        <w:rPr>
          <w:rFonts w:ascii="Times New Roman" w:hAnsi="Times New Roman" w:eastAsia="黑体"/>
          <w:snapToGrid w:val="0"/>
          <w:sz w:val="30"/>
          <w:szCs w:val="30"/>
        </w:rPr>
        <w:t>二、建设内容</w:t>
      </w:r>
      <w:bookmarkEnd w:id="25"/>
      <w:bookmarkEnd w:id="26"/>
      <w:bookmarkEnd w:id="27"/>
      <w:bookmarkEnd w:id="28"/>
      <w:bookmarkEnd w:id="29"/>
      <w:bookmarkEnd w:id="30"/>
      <w:bookmarkEnd w:id="31"/>
      <w:bookmarkEnd w:id="32"/>
      <w:bookmarkEnd w:id="33"/>
    </w:p>
    <w:tbl>
      <w:tblPr>
        <w:tblStyle w:val="4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7834"/>
      </w:tblGrid>
      <w:tr w14:paraId="1C37B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812" w:type="pct"/>
            <w:vAlign w:val="center"/>
          </w:tcPr>
          <w:p w14:paraId="575901F6">
            <w:pPr>
              <w:adjustRightInd w:val="0"/>
              <w:snapToGrid w:val="0"/>
              <w:jc w:val="center"/>
              <w:rPr>
                <w:kern w:val="0"/>
                <w:sz w:val="24"/>
              </w:rPr>
            </w:pPr>
            <w:r>
              <w:rPr>
                <w:kern w:val="0"/>
                <w:sz w:val="24"/>
              </w:rPr>
              <w:t>地理位置</w:t>
            </w:r>
          </w:p>
        </w:tc>
        <w:tc>
          <w:tcPr>
            <w:tcW w:w="4188" w:type="pct"/>
            <w:vAlign w:val="center"/>
          </w:tcPr>
          <w:p w14:paraId="0035C3C9">
            <w:pPr>
              <w:pStyle w:val="189"/>
              <w:ind w:firstLine="480"/>
              <w:jc w:val="both"/>
              <w:rPr>
                <w:sz w:val="24"/>
              </w:rPr>
            </w:pPr>
            <w:r>
              <w:rPr>
                <w:sz w:val="24"/>
              </w:rPr>
              <w:t>南冲风电场110kV送出</w:t>
            </w:r>
            <w:r>
              <w:rPr>
                <w:rFonts w:hint="eastAsia"/>
                <w:sz w:val="24"/>
              </w:rPr>
              <w:t>线路工程位于曲靖市富源县营上镇境内，线路从南冲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线路全长约4.851km，线路曲折系数1.1，架空线路使用铁塔23基（其中直线塔8基，占34.8%，耐张塔15基，占65.2%）。该方案不涉及国家级及省级公益林、生态保护红线、基本农田、矿区。全线位于曲靖市富源县境内</w:t>
            </w:r>
            <w:r>
              <w:rPr>
                <w:sz w:val="24"/>
              </w:rPr>
              <w:t>。工程为线性工程，总体走向为</w:t>
            </w:r>
            <w:r>
              <w:rPr>
                <w:rFonts w:hint="eastAsia"/>
                <w:sz w:val="24"/>
              </w:rPr>
              <w:t>西南</w:t>
            </w:r>
            <w:r>
              <w:rPr>
                <w:sz w:val="24"/>
              </w:rPr>
              <w:t>至</w:t>
            </w:r>
            <w:r>
              <w:rPr>
                <w:rFonts w:hint="eastAsia"/>
                <w:sz w:val="24"/>
              </w:rPr>
              <w:t>东北</w:t>
            </w:r>
            <w:r>
              <w:rPr>
                <w:sz w:val="24"/>
              </w:rPr>
              <w:t>向，</w:t>
            </w:r>
            <w:r>
              <w:rPr>
                <w:rFonts w:hint="eastAsia"/>
                <w:sz w:val="24"/>
              </w:rPr>
              <w:t>工程地理坐标介于104°22'443.035"~104°25'20.552"，25°26'35.231"~25°26'59.521"</w:t>
            </w:r>
            <w:r>
              <w:rPr>
                <w:sz w:val="24"/>
              </w:rPr>
              <w:t>之间。</w:t>
            </w:r>
          </w:p>
          <w:p w14:paraId="686595FB">
            <w:pPr>
              <w:pStyle w:val="189"/>
              <w:ind w:firstLine="480"/>
              <w:jc w:val="both"/>
            </w:pPr>
            <w:r>
              <w:rPr>
                <w:sz w:val="24"/>
              </w:rPr>
              <w:t>项目地理位置图见附图1。</w:t>
            </w:r>
          </w:p>
        </w:tc>
      </w:tr>
      <w:tr w14:paraId="4DFDF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12" w:type="pct"/>
            <w:vAlign w:val="center"/>
          </w:tcPr>
          <w:p w14:paraId="21141333">
            <w:pPr>
              <w:adjustRightInd w:val="0"/>
              <w:snapToGrid w:val="0"/>
              <w:jc w:val="center"/>
              <w:rPr>
                <w:kern w:val="0"/>
                <w:sz w:val="24"/>
              </w:rPr>
            </w:pPr>
            <w:r>
              <w:rPr>
                <w:kern w:val="0"/>
                <w:sz w:val="24"/>
              </w:rPr>
              <w:t>项目组成及规模</w:t>
            </w:r>
          </w:p>
        </w:tc>
        <w:tc>
          <w:tcPr>
            <w:tcW w:w="4188" w:type="pct"/>
          </w:tcPr>
          <w:p w14:paraId="1A31564F">
            <w:pPr>
              <w:adjustRightInd w:val="0"/>
              <w:snapToGrid w:val="0"/>
              <w:spacing w:line="360" w:lineRule="auto"/>
              <w:jc w:val="left"/>
              <w:rPr>
                <w:b/>
                <w:bCs/>
                <w:sz w:val="24"/>
                <w:szCs w:val="32"/>
              </w:rPr>
            </w:pPr>
            <w:r>
              <w:rPr>
                <w:b/>
                <w:bCs/>
                <w:sz w:val="24"/>
                <w:szCs w:val="32"/>
              </w:rPr>
              <w:t>一、工程建设的必要性</w:t>
            </w:r>
          </w:p>
          <w:p w14:paraId="404C65A8">
            <w:pPr>
              <w:spacing w:line="360" w:lineRule="auto"/>
              <w:ind w:firstLine="480" w:firstLineChars="200"/>
              <w:rPr>
                <w:sz w:val="24"/>
                <w:szCs w:val="32"/>
              </w:rPr>
            </w:pPr>
            <w:r>
              <w:rPr>
                <w:sz w:val="24"/>
                <w:szCs w:val="32"/>
              </w:rPr>
              <w:t>本工程建设主要为满足南冲风电场</w:t>
            </w:r>
            <w:r>
              <w:rPr>
                <w:rFonts w:hint="eastAsia"/>
                <w:sz w:val="24"/>
                <w:szCs w:val="32"/>
              </w:rPr>
              <w:t>及后续规划的其他项目</w:t>
            </w:r>
            <w:r>
              <w:rPr>
                <w:sz w:val="24"/>
                <w:szCs w:val="32"/>
              </w:rPr>
              <w:t>电力的送出和消纳。该项目的建设有利于曲靖市电源结构的调整，促进能源的可持续发展。</w:t>
            </w:r>
          </w:p>
          <w:p w14:paraId="4DE4ADAE">
            <w:pPr>
              <w:adjustRightInd w:val="0"/>
              <w:snapToGrid w:val="0"/>
              <w:spacing w:line="360" w:lineRule="auto"/>
              <w:jc w:val="left"/>
              <w:rPr>
                <w:b/>
                <w:bCs/>
                <w:sz w:val="24"/>
                <w:szCs w:val="32"/>
              </w:rPr>
            </w:pPr>
            <w:r>
              <w:rPr>
                <w:b/>
                <w:bCs/>
                <w:sz w:val="24"/>
                <w:szCs w:val="32"/>
              </w:rPr>
              <w:t>二、环境影响评价工作过程</w:t>
            </w:r>
          </w:p>
          <w:p w14:paraId="58E7C945">
            <w:pPr>
              <w:spacing w:line="360" w:lineRule="auto"/>
              <w:ind w:firstLine="480" w:firstLineChars="200"/>
              <w:rPr>
                <w:sz w:val="24"/>
              </w:rPr>
            </w:pPr>
            <w:bookmarkStart w:id="34" w:name="_Toc88380255"/>
            <w:r>
              <w:rPr>
                <w:sz w:val="24"/>
              </w:rPr>
              <w:t>根据《中华人民共和国环境保护法》（2015年1月1日施行）、《中华人民共和国环境影响评价法》（2018年12月修订）、</w:t>
            </w:r>
            <w:r>
              <w:rPr>
                <w:rFonts w:hint="eastAsia"/>
                <w:sz w:val="24"/>
                <w:lang w:eastAsia="zh-CN"/>
              </w:rPr>
              <w:t>《建设项目环境保护管理条例》</w:t>
            </w:r>
            <w:r>
              <w:rPr>
                <w:sz w:val="24"/>
              </w:rPr>
              <w:t>（中华人民共和国国务院令第682号，2017年10月1日施行）等相关法律法规要求，建设单位须对该项目进行环境影响评价，编制环境影响评价文件。</w:t>
            </w:r>
            <w:bookmarkEnd w:id="34"/>
            <w:r>
              <w:rPr>
                <w:sz w:val="24"/>
              </w:rPr>
              <w:t>根据《建设项目环境影响评价分类管理名录（2021年版）》（生态环境部部令第16号，2021年01月01日实施）中项目类别：五十五、核与辐射——161输变电工程，南冲风电场110kV送出线路工程属于输变电工程中的</w:t>
            </w:r>
            <w:r>
              <w:rPr>
                <w:rFonts w:hint="eastAsia"/>
                <w:sz w:val="24"/>
              </w:rPr>
              <w:t>“</w:t>
            </w:r>
            <w:r>
              <w:rPr>
                <w:sz w:val="24"/>
              </w:rPr>
              <w:t>其他（110千伏以下除外）</w:t>
            </w:r>
            <w:r>
              <w:rPr>
                <w:rFonts w:hint="eastAsia"/>
                <w:sz w:val="24"/>
              </w:rPr>
              <w:t>”</w:t>
            </w:r>
            <w:r>
              <w:rPr>
                <w:sz w:val="24"/>
              </w:rPr>
              <w:t>，应当编制环境影响报告表。</w:t>
            </w:r>
          </w:p>
          <w:p w14:paraId="4F214CD5">
            <w:pPr>
              <w:pStyle w:val="190"/>
              <w:ind w:firstLine="496" w:firstLineChars="200"/>
              <w:jc w:val="both"/>
              <w:rPr>
                <w:sz w:val="24"/>
                <w:szCs w:val="32"/>
                <w:lang w:val="en-US"/>
              </w:rPr>
            </w:pPr>
            <w:r>
              <w:rPr>
                <w:sz w:val="24"/>
              </w:rPr>
              <w:t>20</w:t>
            </w:r>
            <w:r>
              <w:rPr>
                <w:sz w:val="24"/>
                <w:lang w:val="en-US"/>
              </w:rPr>
              <w:t>25</w:t>
            </w:r>
            <w:r>
              <w:rPr>
                <w:sz w:val="24"/>
              </w:rPr>
              <w:t>年</w:t>
            </w:r>
            <w:r>
              <w:rPr>
                <w:sz w:val="24"/>
                <w:lang w:val="en-US"/>
              </w:rPr>
              <w:t>10</w:t>
            </w:r>
            <w:r>
              <w:rPr>
                <w:sz w:val="24"/>
              </w:rPr>
              <w:t>月，</w:t>
            </w:r>
            <w:r>
              <w:rPr>
                <w:rFonts w:hint="eastAsia"/>
                <w:sz w:val="24"/>
                <w:lang w:val="en-US"/>
              </w:rPr>
              <w:t>富源云能新能源有限公司</w:t>
            </w:r>
            <w:r>
              <w:rPr>
                <w:sz w:val="24"/>
              </w:rPr>
              <w:t>委托中国电建集团昆明勘测设计研究院有限公司进行报告编制工作，我单位接受委托后，通过现场踏勘、资料收集，按照环境影响评价技术导则的要求</w:t>
            </w:r>
            <w:r>
              <w:rPr>
                <w:sz w:val="24"/>
                <w:szCs w:val="32"/>
              </w:rPr>
              <w:t>，在工程分析的基础上，对本项目可能造成的环境影响进行分析评价，并编制</w:t>
            </w:r>
            <w:r>
              <w:rPr>
                <w:rFonts w:hint="eastAsia"/>
                <w:sz w:val="24"/>
                <w:szCs w:val="32"/>
              </w:rPr>
              <w:t>完成了</w:t>
            </w:r>
            <w:r>
              <w:rPr>
                <w:sz w:val="24"/>
                <w:szCs w:val="32"/>
              </w:rPr>
              <w:t>《南冲风电场110kV送出线路工程环境影响报告表》，供建设单位上报审批。</w:t>
            </w:r>
          </w:p>
          <w:p w14:paraId="4B8D6F61">
            <w:pPr>
              <w:adjustRightInd w:val="0"/>
              <w:snapToGrid w:val="0"/>
              <w:spacing w:line="360" w:lineRule="auto"/>
              <w:jc w:val="left"/>
              <w:rPr>
                <w:b/>
                <w:bCs/>
                <w:sz w:val="24"/>
                <w:szCs w:val="32"/>
              </w:rPr>
            </w:pPr>
            <w:r>
              <w:rPr>
                <w:b/>
                <w:bCs/>
                <w:sz w:val="24"/>
                <w:szCs w:val="32"/>
              </w:rPr>
              <w:t>三、工程概况</w:t>
            </w:r>
          </w:p>
          <w:p w14:paraId="0BF6BA94">
            <w:pPr>
              <w:spacing w:line="360" w:lineRule="auto"/>
              <w:rPr>
                <w:b/>
                <w:bCs/>
                <w:sz w:val="24"/>
                <w:szCs w:val="32"/>
              </w:rPr>
            </w:pPr>
            <w:r>
              <w:rPr>
                <w:b/>
                <w:bCs/>
                <w:sz w:val="24"/>
                <w:szCs w:val="32"/>
              </w:rPr>
              <w:t>（一）主要技术经济指标</w:t>
            </w:r>
          </w:p>
          <w:p w14:paraId="1360672E">
            <w:pPr>
              <w:pStyle w:val="189"/>
              <w:ind w:left="0" w:right="0" w:firstLine="480"/>
              <w:jc w:val="both"/>
              <w:rPr>
                <w:sz w:val="24"/>
                <w:szCs w:val="22"/>
              </w:rPr>
            </w:pPr>
            <w:r>
              <w:rPr>
                <w:sz w:val="24"/>
                <w:szCs w:val="22"/>
              </w:rPr>
              <w:t>1、项目名称：</w:t>
            </w:r>
            <w:r>
              <w:rPr>
                <w:rFonts w:hint="eastAsia"/>
                <w:sz w:val="24"/>
                <w:szCs w:val="22"/>
              </w:rPr>
              <w:t>南冲风电场110kV送出线路工程</w:t>
            </w:r>
            <w:r>
              <w:rPr>
                <w:sz w:val="24"/>
                <w:szCs w:val="22"/>
              </w:rPr>
              <w:t>；</w:t>
            </w:r>
          </w:p>
          <w:p w14:paraId="74631804">
            <w:pPr>
              <w:pStyle w:val="189"/>
              <w:ind w:left="0" w:right="0" w:firstLine="480"/>
              <w:jc w:val="both"/>
              <w:rPr>
                <w:sz w:val="24"/>
                <w:szCs w:val="22"/>
              </w:rPr>
            </w:pPr>
            <w:r>
              <w:rPr>
                <w:sz w:val="24"/>
                <w:szCs w:val="22"/>
              </w:rPr>
              <w:t>2、建设单位：富源云能新能源有限公司；</w:t>
            </w:r>
          </w:p>
          <w:p w14:paraId="189D3629">
            <w:pPr>
              <w:pStyle w:val="189"/>
              <w:ind w:left="0" w:right="0" w:firstLine="480"/>
              <w:jc w:val="both"/>
              <w:rPr>
                <w:sz w:val="24"/>
                <w:szCs w:val="22"/>
              </w:rPr>
            </w:pPr>
            <w:r>
              <w:rPr>
                <w:sz w:val="24"/>
                <w:szCs w:val="22"/>
              </w:rPr>
              <w:t>3、建设地点：工程位于富源县</w:t>
            </w:r>
            <w:r>
              <w:rPr>
                <w:rFonts w:hint="eastAsia"/>
                <w:sz w:val="24"/>
                <w:szCs w:val="22"/>
              </w:rPr>
              <w:t>营上</w:t>
            </w:r>
            <w:r>
              <w:rPr>
                <w:sz w:val="24"/>
                <w:szCs w:val="22"/>
              </w:rPr>
              <w:t>镇；</w:t>
            </w:r>
          </w:p>
          <w:p w14:paraId="62337B2A">
            <w:pPr>
              <w:pStyle w:val="189"/>
              <w:ind w:left="0" w:right="0" w:firstLine="480"/>
              <w:jc w:val="both"/>
              <w:rPr>
                <w:sz w:val="24"/>
                <w:szCs w:val="22"/>
              </w:rPr>
            </w:pPr>
            <w:r>
              <w:rPr>
                <w:sz w:val="24"/>
                <w:szCs w:val="22"/>
              </w:rPr>
              <w:t>4、项目性质：新建；</w:t>
            </w:r>
          </w:p>
          <w:p w14:paraId="0EDE219D">
            <w:pPr>
              <w:pStyle w:val="189"/>
              <w:ind w:left="0" w:right="0" w:firstLine="480"/>
              <w:jc w:val="both"/>
              <w:rPr>
                <w:sz w:val="24"/>
                <w:szCs w:val="22"/>
              </w:rPr>
            </w:pPr>
            <w:r>
              <w:rPr>
                <w:sz w:val="24"/>
                <w:szCs w:val="22"/>
              </w:rPr>
              <w:t xml:space="preserve">5、工程规模： </w:t>
            </w:r>
            <w:r>
              <w:rPr>
                <w:rFonts w:hint="eastAsia"/>
                <w:sz w:val="24"/>
                <w:szCs w:val="22"/>
              </w:rPr>
              <w:t>南冲风电场110kV送出线路工程线路全长约4.851km，按单回路架设，架空线路使用铁塔23基（其中直线塔8基，占34.8%，耐张塔15基，占65.2%）。本期规划线路经过20mm、30mm冰区。20mm冰区段长约4.431km，30mm冰区段长约0.42km。本项目20mm冰区导线采用JNRLH1/LB20A-240/30铝包钢芯耐热铝合金绞线，30mm冰区导线采用JNRLH2/G5A-240/30型钢芯高强度耐热铝合金绞线。全线双地线架设，20mm冰区采用两根24芯OPGW-80光缆、30mm冰区采用两根24芯OPGW-100光缆。设计气象采用云南典型Ⅲ级气象区（基本风速为25m/s，覆冰、20mm），云南典型Ⅳ级气象区（基本风速为25m/s，覆冰30mm）</w:t>
            </w:r>
            <w:r>
              <w:rPr>
                <w:sz w:val="24"/>
                <w:szCs w:val="22"/>
              </w:rPr>
              <w:t>。</w:t>
            </w:r>
          </w:p>
          <w:p w14:paraId="7ABC46A5">
            <w:pPr>
              <w:pStyle w:val="189"/>
              <w:ind w:left="0" w:right="0" w:firstLine="480"/>
              <w:jc w:val="both"/>
              <w:rPr>
                <w:sz w:val="24"/>
                <w:szCs w:val="22"/>
              </w:rPr>
            </w:pPr>
            <w:r>
              <w:rPr>
                <w:sz w:val="24"/>
                <w:szCs w:val="22"/>
              </w:rPr>
              <w:t>6、工程总工期：6个月。</w:t>
            </w:r>
          </w:p>
          <w:p w14:paraId="23EF1424">
            <w:pPr>
              <w:pStyle w:val="189"/>
              <w:ind w:left="0" w:right="0" w:firstLine="480"/>
              <w:jc w:val="both"/>
              <w:rPr>
                <w:sz w:val="24"/>
                <w:szCs w:val="22"/>
              </w:rPr>
            </w:pPr>
            <w:r>
              <w:rPr>
                <w:sz w:val="24"/>
                <w:szCs w:val="22"/>
              </w:rPr>
              <w:t>7、工程总投资：工程总投资969万元。</w:t>
            </w:r>
          </w:p>
          <w:p w14:paraId="25E467A5">
            <w:pPr>
              <w:pStyle w:val="189"/>
              <w:ind w:left="0" w:right="0" w:firstLine="480"/>
              <w:jc w:val="both"/>
              <w:rPr>
                <w:sz w:val="24"/>
                <w:szCs w:val="22"/>
              </w:rPr>
            </w:pPr>
            <w:r>
              <w:rPr>
                <w:sz w:val="24"/>
                <w:szCs w:val="22"/>
              </w:rPr>
              <w:t>8、工程特性：南冲风电场110kV送出线路工程主要技术经济指标见表2-1。</w:t>
            </w:r>
          </w:p>
          <w:p w14:paraId="4668F21E">
            <w:pPr>
              <w:tabs>
                <w:tab w:val="left" w:pos="2520"/>
                <w:tab w:val="center" w:pos="4513"/>
              </w:tabs>
              <w:adjustRightInd w:val="0"/>
              <w:snapToGrid w:val="0"/>
              <w:jc w:val="center"/>
              <w:rPr>
                <w:rFonts w:eastAsia="黑体"/>
                <w:sz w:val="24"/>
                <w:szCs w:val="32"/>
              </w:rPr>
            </w:pPr>
            <w:r>
              <w:rPr>
                <w:rFonts w:eastAsia="黑体"/>
                <w:sz w:val="24"/>
                <w:szCs w:val="32"/>
              </w:rPr>
              <w:t>表2-1主要经济技术指标表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42"/>
              <w:gridCol w:w="1230"/>
              <w:gridCol w:w="4379"/>
            </w:tblGrid>
            <w:tr w14:paraId="7760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152" w:type="dxa"/>
                  <w:gridSpan w:val="2"/>
                  <w:vMerge w:val="restart"/>
                  <w:vAlign w:val="center"/>
                </w:tcPr>
                <w:p w14:paraId="431D462F">
                  <w:pPr>
                    <w:widowControl/>
                    <w:jc w:val="center"/>
                    <w:rPr>
                      <w:b/>
                      <w:bCs/>
                    </w:rPr>
                  </w:pPr>
                  <w:r>
                    <w:rPr>
                      <w:b/>
                      <w:bCs/>
                    </w:rPr>
                    <w:t>项目名称</w:t>
                  </w:r>
                </w:p>
              </w:tc>
              <w:tc>
                <w:tcPr>
                  <w:tcW w:w="1230" w:type="dxa"/>
                  <w:vMerge w:val="restart"/>
                  <w:vAlign w:val="center"/>
                </w:tcPr>
                <w:p w14:paraId="551A5862">
                  <w:pPr>
                    <w:widowControl/>
                    <w:jc w:val="center"/>
                    <w:rPr>
                      <w:b/>
                      <w:bCs/>
                    </w:rPr>
                  </w:pPr>
                  <w:r>
                    <w:rPr>
                      <w:b/>
                      <w:bCs/>
                    </w:rPr>
                    <w:t>单位</w:t>
                  </w:r>
                </w:p>
              </w:tc>
              <w:tc>
                <w:tcPr>
                  <w:tcW w:w="4379" w:type="dxa"/>
                  <w:vMerge w:val="restart"/>
                  <w:vAlign w:val="center"/>
                </w:tcPr>
                <w:p w14:paraId="6EBD833D">
                  <w:pPr>
                    <w:widowControl/>
                    <w:jc w:val="center"/>
                    <w:rPr>
                      <w:b/>
                      <w:bCs/>
                    </w:rPr>
                  </w:pPr>
                  <w:r>
                    <w:rPr>
                      <w:rFonts w:hint="eastAsia"/>
                      <w:b/>
                      <w:bCs/>
                    </w:rPr>
                    <w:t>南冲风电场110kV送出线路工程</w:t>
                  </w:r>
                </w:p>
              </w:tc>
            </w:tr>
            <w:tr w14:paraId="781F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152" w:type="dxa"/>
                  <w:gridSpan w:val="2"/>
                  <w:vMerge w:val="continue"/>
                  <w:vAlign w:val="center"/>
                </w:tcPr>
                <w:p w14:paraId="5018891F">
                  <w:pPr>
                    <w:widowControl/>
                    <w:jc w:val="center"/>
                  </w:pPr>
                </w:p>
              </w:tc>
              <w:tc>
                <w:tcPr>
                  <w:tcW w:w="1230" w:type="dxa"/>
                  <w:vMerge w:val="continue"/>
                  <w:vAlign w:val="center"/>
                </w:tcPr>
                <w:p w14:paraId="58514F7D">
                  <w:pPr>
                    <w:widowControl/>
                    <w:jc w:val="center"/>
                  </w:pPr>
                </w:p>
              </w:tc>
              <w:tc>
                <w:tcPr>
                  <w:tcW w:w="4379" w:type="dxa"/>
                  <w:vMerge w:val="continue"/>
                  <w:vAlign w:val="center"/>
                </w:tcPr>
                <w:p w14:paraId="42635776">
                  <w:pPr>
                    <w:widowControl/>
                    <w:ind w:firstLine="1470" w:firstLineChars="700"/>
                    <w:jc w:val="center"/>
                  </w:pPr>
                </w:p>
              </w:tc>
            </w:tr>
            <w:tr w14:paraId="00EB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5BB57EED">
                  <w:pPr>
                    <w:widowControl/>
                    <w:jc w:val="center"/>
                  </w:pPr>
                  <w:r>
                    <w:t>线路长度</w:t>
                  </w:r>
                </w:p>
              </w:tc>
              <w:tc>
                <w:tcPr>
                  <w:tcW w:w="1230" w:type="dxa"/>
                  <w:vAlign w:val="center"/>
                </w:tcPr>
                <w:p w14:paraId="5CD33E03">
                  <w:pPr>
                    <w:widowControl/>
                    <w:jc w:val="center"/>
                  </w:pPr>
                  <w:r>
                    <w:t>km</w:t>
                  </w:r>
                </w:p>
              </w:tc>
              <w:tc>
                <w:tcPr>
                  <w:tcW w:w="4379" w:type="dxa"/>
                  <w:noWrap/>
                  <w:vAlign w:val="center"/>
                </w:tcPr>
                <w:p w14:paraId="2EFED2DB">
                  <w:pPr>
                    <w:widowControl/>
                    <w:jc w:val="center"/>
                  </w:pPr>
                  <w:r>
                    <w:t>4.851</w:t>
                  </w:r>
                </w:p>
              </w:tc>
            </w:tr>
            <w:tr w14:paraId="0747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74ED75D9">
                  <w:pPr>
                    <w:widowControl/>
                    <w:jc w:val="center"/>
                  </w:pPr>
                  <w:r>
                    <w:t>曲折系数</w:t>
                  </w:r>
                </w:p>
              </w:tc>
              <w:tc>
                <w:tcPr>
                  <w:tcW w:w="1230" w:type="dxa"/>
                  <w:vAlign w:val="center"/>
                </w:tcPr>
                <w:p w14:paraId="54CEFA0C">
                  <w:pPr>
                    <w:widowControl/>
                    <w:jc w:val="center"/>
                  </w:pPr>
                  <w:r>
                    <w:t>/</w:t>
                  </w:r>
                </w:p>
              </w:tc>
              <w:tc>
                <w:tcPr>
                  <w:tcW w:w="4379" w:type="dxa"/>
                  <w:noWrap/>
                  <w:vAlign w:val="center"/>
                </w:tcPr>
                <w:p w14:paraId="235B7940">
                  <w:pPr>
                    <w:widowControl/>
                    <w:jc w:val="center"/>
                  </w:pPr>
                  <w:r>
                    <w:t>1.1</w:t>
                  </w:r>
                </w:p>
              </w:tc>
            </w:tr>
            <w:tr w14:paraId="6091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554A5E63">
                  <w:pPr>
                    <w:widowControl/>
                    <w:jc w:val="center"/>
                  </w:pPr>
                  <w:r>
                    <w:t>基本风速</w:t>
                  </w:r>
                </w:p>
              </w:tc>
              <w:tc>
                <w:tcPr>
                  <w:tcW w:w="1230" w:type="dxa"/>
                  <w:vAlign w:val="center"/>
                </w:tcPr>
                <w:p w14:paraId="2113CF70">
                  <w:pPr>
                    <w:widowControl/>
                    <w:jc w:val="center"/>
                  </w:pPr>
                  <w:r>
                    <w:t>m/s</w:t>
                  </w:r>
                </w:p>
              </w:tc>
              <w:tc>
                <w:tcPr>
                  <w:tcW w:w="4379" w:type="dxa"/>
                  <w:noWrap/>
                  <w:vAlign w:val="center"/>
                </w:tcPr>
                <w:p w14:paraId="1009BC81">
                  <w:pPr>
                    <w:widowControl/>
                    <w:jc w:val="center"/>
                  </w:pPr>
                  <w:r>
                    <w:t>25</w:t>
                  </w:r>
                </w:p>
              </w:tc>
            </w:tr>
            <w:tr w14:paraId="629C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430CB763">
                  <w:pPr>
                    <w:widowControl/>
                    <w:jc w:val="center"/>
                  </w:pPr>
                  <w:r>
                    <w:t>海拔</w:t>
                  </w:r>
                </w:p>
              </w:tc>
              <w:tc>
                <w:tcPr>
                  <w:tcW w:w="1230" w:type="dxa"/>
                  <w:vAlign w:val="center"/>
                </w:tcPr>
                <w:p w14:paraId="59E43B83">
                  <w:pPr>
                    <w:widowControl/>
                    <w:jc w:val="center"/>
                  </w:pPr>
                  <w:r>
                    <w:t>m</w:t>
                  </w:r>
                </w:p>
              </w:tc>
              <w:tc>
                <w:tcPr>
                  <w:tcW w:w="4379" w:type="dxa"/>
                  <w:noWrap/>
                  <w:vAlign w:val="center"/>
                </w:tcPr>
                <w:p w14:paraId="23CBF5AC">
                  <w:pPr>
                    <w:widowControl/>
                    <w:jc w:val="center"/>
                  </w:pPr>
                  <w:r>
                    <w:t>1780~2160</w:t>
                  </w:r>
                </w:p>
              </w:tc>
            </w:tr>
            <w:tr w14:paraId="71FB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2856DED8">
                  <w:pPr>
                    <w:widowControl/>
                    <w:jc w:val="center"/>
                  </w:pPr>
                  <w:r>
                    <w:t>设计覆冰</w:t>
                  </w:r>
                </w:p>
              </w:tc>
              <w:tc>
                <w:tcPr>
                  <w:tcW w:w="1230" w:type="dxa"/>
                  <w:vAlign w:val="center"/>
                </w:tcPr>
                <w:p w14:paraId="27AFBE2A">
                  <w:pPr>
                    <w:widowControl/>
                    <w:jc w:val="center"/>
                  </w:pPr>
                  <w:r>
                    <w:t>mm</w:t>
                  </w:r>
                </w:p>
              </w:tc>
              <w:tc>
                <w:tcPr>
                  <w:tcW w:w="4379" w:type="dxa"/>
                  <w:noWrap/>
                  <w:vAlign w:val="center"/>
                </w:tcPr>
                <w:p w14:paraId="1C1F25DB">
                  <w:pPr>
                    <w:widowControl/>
                    <w:jc w:val="center"/>
                  </w:pPr>
                  <w:r>
                    <w:t>20/30</w:t>
                  </w:r>
                </w:p>
              </w:tc>
            </w:tr>
            <w:tr w14:paraId="102B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6A84E427">
                  <w:pPr>
                    <w:widowControl/>
                    <w:jc w:val="center"/>
                  </w:pPr>
                  <w:r>
                    <w:t>导线型号</w:t>
                  </w:r>
                </w:p>
              </w:tc>
              <w:tc>
                <w:tcPr>
                  <w:tcW w:w="1230" w:type="dxa"/>
                  <w:vAlign w:val="center"/>
                </w:tcPr>
                <w:p w14:paraId="0731ACF9">
                  <w:pPr>
                    <w:widowControl/>
                    <w:jc w:val="center"/>
                  </w:pPr>
                  <w:r>
                    <w:t>/</w:t>
                  </w:r>
                </w:p>
              </w:tc>
              <w:tc>
                <w:tcPr>
                  <w:tcW w:w="4379" w:type="dxa"/>
                  <w:vAlign w:val="center"/>
                </w:tcPr>
                <w:p w14:paraId="38B10AC3">
                  <w:pPr>
                    <w:widowControl/>
                  </w:pPr>
                  <w:r>
                    <w:rPr>
                      <w:rFonts w:hint="eastAsia"/>
                    </w:rPr>
                    <w:t>20mm冰区导线采用JNRLH1/LB20A-240/30型铝包钢芯耐热铝合金绞线</w:t>
                  </w:r>
                </w:p>
                <w:p w14:paraId="17C58927">
                  <w:pPr>
                    <w:widowControl/>
                  </w:pPr>
                  <w:r>
                    <w:rPr>
                      <w:rFonts w:hint="eastAsia"/>
                    </w:rPr>
                    <w:t>30mm冰区导线采用JNRLH2/G5A-240/30型钢芯高强度耐热铝合金绞线</w:t>
                  </w:r>
                </w:p>
              </w:tc>
            </w:tr>
            <w:tr w14:paraId="55BB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697F5313">
                  <w:pPr>
                    <w:widowControl/>
                    <w:jc w:val="center"/>
                  </w:pPr>
                  <w:r>
                    <w:t>地线型号</w:t>
                  </w:r>
                </w:p>
              </w:tc>
              <w:tc>
                <w:tcPr>
                  <w:tcW w:w="1230" w:type="dxa"/>
                  <w:noWrap/>
                  <w:vAlign w:val="center"/>
                </w:tcPr>
                <w:p w14:paraId="54A2FC35">
                  <w:pPr>
                    <w:widowControl/>
                    <w:jc w:val="center"/>
                  </w:pPr>
                  <w:r>
                    <w:t>/</w:t>
                  </w:r>
                </w:p>
              </w:tc>
              <w:tc>
                <w:tcPr>
                  <w:tcW w:w="4379" w:type="dxa"/>
                  <w:vAlign w:val="center"/>
                </w:tcPr>
                <w:p w14:paraId="0BB26435">
                  <w:pPr>
                    <w:widowControl/>
                    <w:jc w:val="center"/>
                  </w:pPr>
                  <w:r>
                    <w:rPr>
                      <w:rFonts w:hint="eastAsia"/>
                    </w:rPr>
                    <w:t>20mm冰区采用两根24芯OPGW-80光缆、30mm冰区采用两根24芯OPGW-100光缆</w:t>
                  </w:r>
                </w:p>
              </w:tc>
            </w:tr>
            <w:tr w14:paraId="39A8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restart"/>
                  <w:vAlign w:val="center"/>
                </w:tcPr>
                <w:p w14:paraId="04320996">
                  <w:pPr>
                    <w:widowControl/>
                    <w:jc w:val="center"/>
                  </w:pPr>
                  <w:r>
                    <w:t>地形比例</w:t>
                  </w:r>
                </w:p>
              </w:tc>
              <w:tc>
                <w:tcPr>
                  <w:tcW w:w="1237" w:type="dxa"/>
                  <w:vAlign w:val="center"/>
                </w:tcPr>
                <w:p w14:paraId="0EA6828E">
                  <w:pPr>
                    <w:widowControl/>
                    <w:jc w:val="center"/>
                  </w:pPr>
                  <w:r>
                    <w:t>平地</w:t>
                  </w:r>
                </w:p>
              </w:tc>
              <w:tc>
                <w:tcPr>
                  <w:tcW w:w="1230" w:type="dxa"/>
                  <w:vAlign w:val="center"/>
                </w:tcPr>
                <w:p w14:paraId="24EB4ADE">
                  <w:pPr>
                    <w:widowControl/>
                    <w:jc w:val="center"/>
                  </w:pPr>
                  <w:r>
                    <w:t>%</w:t>
                  </w:r>
                </w:p>
              </w:tc>
              <w:tc>
                <w:tcPr>
                  <w:tcW w:w="4379" w:type="dxa"/>
                  <w:vAlign w:val="center"/>
                </w:tcPr>
                <w:p w14:paraId="71A3F2D9">
                  <w:pPr>
                    <w:widowControl/>
                    <w:jc w:val="center"/>
                  </w:pPr>
                  <w:r>
                    <w:t>/</w:t>
                  </w:r>
                </w:p>
              </w:tc>
            </w:tr>
            <w:tr w14:paraId="616D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vAlign w:val="center"/>
                </w:tcPr>
                <w:p w14:paraId="0C28EFEC">
                  <w:pPr>
                    <w:widowControl/>
                    <w:jc w:val="center"/>
                  </w:pPr>
                </w:p>
              </w:tc>
              <w:tc>
                <w:tcPr>
                  <w:tcW w:w="1237" w:type="dxa"/>
                  <w:vAlign w:val="center"/>
                </w:tcPr>
                <w:p w14:paraId="1988E124">
                  <w:pPr>
                    <w:widowControl/>
                    <w:jc w:val="center"/>
                  </w:pPr>
                  <w:r>
                    <w:t>丘陵</w:t>
                  </w:r>
                </w:p>
              </w:tc>
              <w:tc>
                <w:tcPr>
                  <w:tcW w:w="1230" w:type="dxa"/>
                  <w:vAlign w:val="center"/>
                </w:tcPr>
                <w:p w14:paraId="3331E298">
                  <w:pPr>
                    <w:widowControl/>
                    <w:jc w:val="center"/>
                  </w:pPr>
                  <w:r>
                    <w:t>%</w:t>
                  </w:r>
                </w:p>
              </w:tc>
              <w:tc>
                <w:tcPr>
                  <w:tcW w:w="4379" w:type="dxa"/>
                  <w:noWrap/>
                  <w:vAlign w:val="center"/>
                </w:tcPr>
                <w:p w14:paraId="1BCEA3C2">
                  <w:pPr>
                    <w:widowControl/>
                    <w:jc w:val="center"/>
                  </w:pPr>
                  <w:r>
                    <w:t>30</w:t>
                  </w:r>
                </w:p>
              </w:tc>
            </w:tr>
            <w:tr w14:paraId="7795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vAlign w:val="center"/>
                </w:tcPr>
                <w:p w14:paraId="2EE5DAA8">
                  <w:pPr>
                    <w:widowControl/>
                    <w:jc w:val="center"/>
                  </w:pPr>
                </w:p>
              </w:tc>
              <w:tc>
                <w:tcPr>
                  <w:tcW w:w="1237" w:type="dxa"/>
                  <w:vAlign w:val="center"/>
                </w:tcPr>
                <w:p w14:paraId="43022BD5">
                  <w:pPr>
                    <w:widowControl/>
                    <w:jc w:val="center"/>
                  </w:pPr>
                  <w:r>
                    <w:t>一般山地</w:t>
                  </w:r>
                </w:p>
              </w:tc>
              <w:tc>
                <w:tcPr>
                  <w:tcW w:w="1230" w:type="dxa"/>
                  <w:vAlign w:val="center"/>
                </w:tcPr>
                <w:p w14:paraId="45586B30">
                  <w:pPr>
                    <w:widowControl/>
                    <w:jc w:val="center"/>
                  </w:pPr>
                  <w:r>
                    <w:t>%</w:t>
                  </w:r>
                </w:p>
              </w:tc>
              <w:tc>
                <w:tcPr>
                  <w:tcW w:w="4379" w:type="dxa"/>
                  <w:noWrap/>
                  <w:vAlign w:val="center"/>
                </w:tcPr>
                <w:p w14:paraId="6C14DDFC">
                  <w:pPr>
                    <w:widowControl/>
                    <w:jc w:val="center"/>
                  </w:pPr>
                  <w:r>
                    <w:t>55</w:t>
                  </w:r>
                </w:p>
              </w:tc>
            </w:tr>
            <w:tr w14:paraId="3A5D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 w:type="dxa"/>
                  <w:vMerge w:val="continue"/>
                  <w:vAlign w:val="center"/>
                </w:tcPr>
                <w:p w14:paraId="2C1413B4">
                  <w:pPr>
                    <w:widowControl/>
                    <w:jc w:val="center"/>
                  </w:pPr>
                </w:p>
              </w:tc>
              <w:tc>
                <w:tcPr>
                  <w:tcW w:w="1237" w:type="dxa"/>
                  <w:vAlign w:val="center"/>
                </w:tcPr>
                <w:p w14:paraId="1944A58D">
                  <w:pPr>
                    <w:widowControl/>
                    <w:jc w:val="center"/>
                  </w:pPr>
                  <w:r>
                    <w:t>高山大岭</w:t>
                  </w:r>
                </w:p>
              </w:tc>
              <w:tc>
                <w:tcPr>
                  <w:tcW w:w="1230" w:type="dxa"/>
                  <w:vAlign w:val="center"/>
                </w:tcPr>
                <w:p w14:paraId="798FDECC">
                  <w:pPr>
                    <w:widowControl/>
                    <w:jc w:val="center"/>
                  </w:pPr>
                  <w:r>
                    <w:t>%</w:t>
                  </w:r>
                </w:p>
              </w:tc>
              <w:tc>
                <w:tcPr>
                  <w:tcW w:w="4379" w:type="dxa"/>
                  <w:vAlign w:val="center"/>
                </w:tcPr>
                <w:p w14:paraId="1F632A61">
                  <w:pPr>
                    <w:widowControl/>
                    <w:jc w:val="center"/>
                  </w:pPr>
                  <w:r>
                    <w:t>15</w:t>
                  </w:r>
                </w:p>
              </w:tc>
            </w:tr>
            <w:tr w14:paraId="4C46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2FD8C3E5">
                  <w:pPr>
                    <w:widowControl/>
                    <w:jc w:val="center"/>
                  </w:pPr>
                  <w:r>
                    <w:t>塔基数</w:t>
                  </w:r>
                </w:p>
              </w:tc>
              <w:tc>
                <w:tcPr>
                  <w:tcW w:w="1230" w:type="dxa"/>
                  <w:vAlign w:val="center"/>
                </w:tcPr>
                <w:p w14:paraId="29DFF957">
                  <w:pPr>
                    <w:widowControl/>
                    <w:jc w:val="center"/>
                  </w:pPr>
                  <w:r>
                    <w:t>基</w:t>
                  </w:r>
                </w:p>
              </w:tc>
              <w:tc>
                <w:tcPr>
                  <w:tcW w:w="4379" w:type="dxa"/>
                  <w:noWrap/>
                  <w:vAlign w:val="center"/>
                </w:tcPr>
                <w:p w14:paraId="106D4D95">
                  <w:pPr>
                    <w:widowControl/>
                    <w:jc w:val="center"/>
                  </w:pPr>
                  <w:r>
                    <w:t>23</w:t>
                  </w:r>
                </w:p>
              </w:tc>
            </w:tr>
            <w:tr w14:paraId="4265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01C0B060">
                  <w:pPr>
                    <w:widowControl/>
                    <w:jc w:val="center"/>
                  </w:pPr>
                  <w:r>
                    <w:rPr>
                      <w:rFonts w:hint="eastAsia"/>
                    </w:rPr>
                    <w:t>平均档距</w:t>
                  </w:r>
                </w:p>
              </w:tc>
              <w:tc>
                <w:tcPr>
                  <w:tcW w:w="1230" w:type="dxa"/>
                  <w:vAlign w:val="center"/>
                </w:tcPr>
                <w:p w14:paraId="583B12B6">
                  <w:pPr>
                    <w:widowControl/>
                    <w:jc w:val="center"/>
                  </w:pPr>
                  <w:r>
                    <w:rPr>
                      <w:rFonts w:hint="eastAsia"/>
                    </w:rPr>
                    <w:t>m</w:t>
                  </w:r>
                </w:p>
              </w:tc>
              <w:tc>
                <w:tcPr>
                  <w:tcW w:w="4379" w:type="dxa"/>
                  <w:noWrap/>
                  <w:vAlign w:val="center"/>
                </w:tcPr>
                <w:p w14:paraId="6D49C707">
                  <w:pPr>
                    <w:widowControl/>
                    <w:jc w:val="center"/>
                  </w:pPr>
                  <w:r>
                    <w:rPr>
                      <w:rFonts w:hint="eastAsia"/>
                    </w:rPr>
                    <w:t>2</w:t>
                  </w:r>
                  <w:r>
                    <w:t>10</w:t>
                  </w:r>
                </w:p>
              </w:tc>
            </w:tr>
            <w:tr w14:paraId="6D1A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37272E3D">
                  <w:pPr>
                    <w:widowControl/>
                    <w:jc w:val="center"/>
                  </w:pPr>
                  <w:r>
                    <w:t>耐张比例</w:t>
                  </w:r>
                </w:p>
              </w:tc>
              <w:tc>
                <w:tcPr>
                  <w:tcW w:w="1230" w:type="dxa"/>
                  <w:vAlign w:val="center"/>
                </w:tcPr>
                <w:p w14:paraId="7525986C">
                  <w:pPr>
                    <w:widowControl/>
                    <w:jc w:val="center"/>
                  </w:pPr>
                  <w:r>
                    <w:t>%</w:t>
                  </w:r>
                </w:p>
              </w:tc>
              <w:tc>
                <w:tcPr>
                  <w:tcW w:w="4379" w:type="dxa"/>
                  <w:noWrap/>
                  <w:vAlign w:val="center"/>
                </w:tcPr>
                <w:p w14:paraId="3E556544">
                  <w:pPr>
                    <w:widowControl/>
                    <w:jc w:val="center"/>
                  </w:pPr>
                  <w:r>
                    <w:t>65</w:t>
                  </w:r>
                </w:p>
              </w:tc>
            </w:tr>
            <w:tr w14:paraId="3EBB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32DC34B9">
                  <w:pPr>
                    <w:widowControl/>
                    <w:jc w:val="center"/>
                  </w:pPr>
                  <w:r>
                    <w:t>塔材</w:t>
                  </w:r>
                </w:p>
              </w:tc>
              <w:tc>
                <w:tcPr>
                  <w:tcW w:w="1230" w:type="dxa"/>
                  <w:vAlign w:val="center"/>
                </w:tcPr>
                <w:p w14:paraId="44DF7ED7">
                  <w:pPr>
                    <w:widowControl/>
                    <w:jc w:val="center"/>
                  </w:pPr>
                  <w:r>
                    <w:t>t/km</w:t>
                  </w:r>
                </w:p>
              </w:tc>
              <w:tc>
                <w:tcPr>
                  <w:tcW w:w="4379" w:type="dxa"/>
                  <w:noWrap/>
                  <w:vAlign w:val="center"/>
                </w:tcPr>
                <w:p w14:paraId="4D11CB95">
                  <w:pPr>
                    <w:widowControl/>
                    <w:jc w:val="center"/>
                  </w:pPr>
                  <w:r>
                    <w:t>58.83</w:t>
                  </w:r>
                </w:p>
              </w:tc>
            </w:tr>
            <w:tr w14:paraId="6009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497083EC">
                  <w:pPr>
                    <w:widowControl/>
                    <w:jc w:val="center"/>
                  </w:pPr>
                  <w:r>
                    <w:t>基础钢材</w:t>
                  </w:r>
                </w:p>
              </w:tc>
              <w:tc>
                <w:tcPr>
                  <w:tcW w:w="1230" w:type="dxa"/>
                  <w:vAlign w:val="center"/>
                </w:tcPr>
                <w:p w14:paraId="7C81D1DE">
                  <w:pPr>
                    <w:widowControl/>
                    <w:jc w:val="center"/>
                  </w:pPr>
                  <w:r>
                    <w:t>t/km</w:t>
                  </w:r>
                </w:p>
              </w:tc>
              <w:tc>
                <w:tcPr>
                  <w:tcW w:w="4379" w:type="dxa"/>
                  <w:noWrap/>
                  <w:vAlign w:val="center"/>
                </w:tcPr>
                <w:p w14:paraId="1B5D2963">
                  <w:pPr>
                    <w:widowControl/>
                    <w:jc w:val="center"/>
                  </w:pPr>
                  <w:r>
                    <w:t>7.46</w:t>
                  </w:r>
                </w:p>
              </w:tc>
            </w:tr>
            <w:tr w14:paraId="7789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152" w:type="dxa"/>
                  <w:gridSpan w:val="2"/>
                  <w:vAlign w:val="center"/>
                </w:tcPr>
                <w:p w14:paraId="6665A522">
                  <w:pPr>
                    <w:widowControl/>
                    <w:jc w:val="center"/>
                  </w:pPr>
                  <w:r>
                    <w:t>混凝土</w:t>
                  </w:r>
                </w:p>
              </w:tc>
              <w:tc>
                <w:tcPr>
                  <w:tcW w:w="1230" w:type="dxa"/>
                  <w:vAlign w:val="center"/>
                </w:tcPr>
                <w:p w14:paraId="647CF1BA">
                  <w:pPr>
                    <w:widowControl/>
                    <w:jc w:val="center"/>
                  </w:pPr>
                  <w:r>
                    <w:t>m</w:t>
                  </w:r>
                  <w:r>
                    <w:rPr>
                      <w:vertAlign w:val="superscript"/>
                    </w:rPr>
                    <w:t>3</w:t>
                  </w:r>
                  <w:r>
                    <w:t>/km</w:t>
                  </w:r>
                </w:p>
              </w:tc>
              <w:tc>
                <w:tcPr>
                  <w:tcW w:w="4379" w:type="dxa"/>
                  <w:noWrap/>
                  <w:vAlign w:val="center"/>
                </w:tcPr>
                <w:p w14:paraId="28524763">
                  <w:pPr>
                    <w:widowControl/>
                    <w:jc w:val="center"/>
                  </w:pPr>
                  <w:r>
                    <w:t>119.65</w:t>
                  </w:r>
                </w:p>
              </w:tc>
            </w:tr>
          </w:tbl>
          <w:p w14:paraId="6B53BAE4">
            <w:pPr>
              <w:spacing w:before="120" w:beforeLines="50" w:line="360" w:lineRule="auto"/>
              <w:rPr>
                <w:b/>
                <w:bCs/>
                <w:sz w:val="24"/>
                <w:szCs w:val="32"/>
              </w:rPr>
            </w:pPr>
            <w:r>
              <w:rPr>
                <w:b/>
                <w:bCs/>
                <w:sz w:val="24"/>
                <w:szCs w:val="32"/>
              </w:rPr>
              <w:t>（二）工程组成</w:t>
            </w:r>
          </w:p>
          <w:p w14:paraId="0635B671">
            <w:pPr>
              <w:pStyle w:val="189"/>
              <w:ind w:left="0" w:right="0" w:firstLine="480"/>
              <w:jc w:val="both"/>
              <w:rPr>
                <w:sz w:val="24"/>
                <w:szCs w:val="22"/>
              </w:rPr>
            </w:pPr>
            <w:r>
              <w:rPr>
                <w:sz w:val="24"/>
                <w:szCs w:val="22"/>
              </w:rPr>
              <w:t>南冲风电场110kV送出线路工程主要建设内容包括</w:t>
            </w:r>
            <w:r>
              <w:rPr>
                <w:rFonts w:hint="eastAsia"/>
                <w:sz w:val="24"/>
                <w:szCs w:val="22"/>
              </w:rPr>
              <w:t>主体</w:t>
            </w:r>
            <w:r>
              <w:rPr>
                <w:sz w:val="24"/>
                <w:szCs w:val="22"/>
              </w:rPr>
              <w:t>工程</w:t>
            </w:r>
            <w:r>
              <w:rPr>
                <w:rFonts w:hint="eastAsia"/>
                <w:sz w:val="24"/>
                <w:szCs w:val="22"/>
              </w:rPr>
              <w:t>、辅助工程和环保工程</w:t>
            </w:r>
            <w:r>
              <w:rPr>
                <w:sz w:val="24"/>
                <w:szCs w:val="22"/>
              </w:rPr>
              <w:t>，具体内容见下表：</w:t>
            </w:r>
          </w:p>
          <w:p w14:paraId="55A4B908">
            <w:pPr>
              <w:jc w:val="center"/>
              <w:rPr>
                <w:rFonts w:eastAsia="黑体"/>
                <w:sz w:val="24"/>
                <w:szCs w:val="32"/>
              </w:rPr>
            </w:pPr>
            <w:r>
              <w:rPr>
                <w:rFonts w:eastAsia="黑体"/>
                <w:sz w:val="24"/>
                <w:szCs w:val="32"/>
              </w:rPr>
              <w:t>表2-2工程项目组成一览表</w:t>
            </w:r>
          </w:p>
          <w:tbl>
            <w:tblPr>
              <w:tblStyle w:val="45"/>
              <w:tblW w:w="7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716"/>
              <w:gridCol w:w="4153"/>
              <w:gridCol w:w="993"/>
              <w:gridCol w:w="1115"/>
            </w:tblGrid>
            <w:tr w14:paraId="3AD7A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52" w:type="pct"/>
                  <w:gridSpan w:val="2"/>
                  <w:vMerge w:val="restart"/>
                  <w:vAlign w:val="center"/>
                </w:tcPr>
                <w:p w14:paraId="2B5B59A6">
                  <w:pPr>
                    <w:adjustRightInd w:val="0"/>
                    <w:snapToGrid w:val="0"/>
                    <w:ind w:left="-63" w:leftChars="-30" w:right="-63" w:rightChars="-30"/>
                    <w:jc w:val="center"/>
                    <w:rPr>
                      <w:b/>
                      <w:bCs/>
                    </w:rPr>
                  </w:pPr>
                  <w:r>
                    <w:rPr>
                      <w:b/>
                      <w:bCs/>
                    </w:rPr>
                    <w:t>名称</w:t>
                  </w:r>
                </w:p>
              </w:tc>
              <w:tc>
                <w:tcPr>
                  <w:tcW w:w="2685" w:type="pct"/>
                  <w:vMerge w:val="restart"/>
                  <w:vAlign w:val="center"/>
                </w:tcPr>
                <w:p w14:paraId="6A8B04CD">
                  <w:pPr>
                    <w:adjustRightInd w:val="0"/>
                    <w:snapToGrid w:val="0"/>
                    <w:ind w:left="-63" w:leftChars="-30" w:right="-63" w:rightChars="-30"/>
                    <w:jc w:val="center"/>
                    <w:rPr>
                      <w:b/>
                      <w:bCs/>
                    </w:rPr>
                  </w:pPr>
                  <w:r>
                    <w:rPr>
                      <w:b/>
                      <w:bCs/>
                    </w:rPr>
                    <w:t>建设内容及规模</w:t>
                  </w:r>
                </w:p>
              </w:tc>
              <w:tc>
                <w:tcPr>
                  <w:tcW w:w="1363" w:type="pct"/>
                  <w:gridSpan w:val="2"/>
                  <w:vAlign w:val="center"/>
                </w:tcPr>
                <w:p w14:paraId="724421F5">
                  <w:pPr>
                    <w:adjustRightInd w:val="0"/>
                    <w:snapToGrid w:val="0"/>
                    <w:ind w:left="-63" w:leftChars="-30" w:right="-63" w:rightChars="-30"/>
                    <w:jc w:val="center"/>
                    <w:rPr>
                      <w:b/>
                      <w:bCs/>
                    </w:rPr>
                  </w:pPr>
                  <w:r>
                    <w:rPr>
                      <w:b/>
                      <w:bCs/>
                    </w:rPr>
                    <w:t>可能产生的环境问题</w:t>
                  </w:r>
                </w:p>
              </w:tc>
            </w:tr>
            <w:tr w14:paraId="6D42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52" w:type="pct"/>
                  <w:gridSpan w:val="2"/>
                  <w:vMerge w:val="continue"/>
                  <w:vAlign w:val="center"/>
                </w:tcPr>
                <w:p w14:paraId="7F15336A">
                  <w:pPr>
                    <w:adjustRightInd w:val="0"/>
                    <w:snapToGrid w:val="0"/>
                    <w:ind w:left="-63" w:leftChars="-30" w:right="-63" w:rightChars="-30"/>
                    <w:jc w:val="center"/>
                    <w:rPr>
                      <w:b/>
                      <w:bCs/>
                    </w:rPr>
                  </w:pPr>
                </w:p>
              </w:tc>
              <w:tc>
                <w:tcPr>
                  <w:tcW w:w="2685" w:type="pct"/>
                  <w:vMerge w:val="continue"/>
                  <w:vAlign w:val="center"/>
                </w:tcPr>
                <w:p w14:paraId="6B6255DA">
                  <w:pPr>
                    <w:adjustRightInd w:val="0"/>
                    <w:snapToGrid w:val="0"/>
                    <w:ind w:left="-63" w:leftChars="-30" w:right="-63" w:rightChars="-30"/>
                    <w:jc w:val="center"/>
                    <w:rPr>
                      <w:b/>
                      <w:bCs/>
                    </w:rPr>
                  </w:pPr>
                </w:p>
              </w:tc>
              <w:tc>
                <w:tcPr>
                  <w:tcW w:w="642" w:type="pct"/>
                  <w:vAlign w:val="center"/>
                </w:tcPr>
                <w:p w14:paraId="36847F36">
                  <w:pPr>
                    <w:adjustRightInd w:val="0"/>
                    <w:snapToGrid w:val="0"/>
                    <w:ind w:left="-63" w:leftChars="-30" w:right="-63" w:rightChars="-30"/>
                    <w:jc w:val="center"/>
                    <w:rPr>
                      <w:b/>
                      <w:bCs/>
                    </w:rPr>
                  </w:pPr>
                  <w:r>
                    <w:rPr>
                      <w:b/>
                      <w:bCs/>
                    </w:rPr>
                    <w:t>施工期</w:t>
                  </w:r>
                </w:p>
              </w:tc>
              <w:tc>
                <w:tcPr>
                  <w:tcW w:w="721" w:type="pct"/>
                  <w:vAlign w:val="center"/>
                </w:tcPr>
                <w:p w14:paraId="14110D91">
                  <w:pPr>
                    <w:adjustRightInd w:val="0"/>
                    <w:snapToGrid w:val="0"/>
                    <w:ind w:left="-63" w:leftChars="-30" w:right="-63" w:rightChars="-30"/>
                    <w:jc w:val="center"/>
                    <w:rPr>
                      <w:b/>
                      <w:bCs/>
                    </w:rPr>
                  </w:pPr>
                  <w:r>
                    <w:rPr>
                      <w:b/>
                      <w:bCs/>
                    </w:rPr>
                    <w:t>营运期</w:t>
                  </w:r>
                </w:p>
              </w:tc>
            </w:tr>
            <w:tr w14:paraId="4D9D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 w:type="pct"/>
                  <w:vAlign w:val="center"/>
                </w:tcPr>
                <w:p w14:paraId="1E54EFCC">
                  <w:pPr>
                    <w:ind w:left="-63" w:leftChars="-30" w:right="-63" w:rightChars="-30"/>
                    <w:jc w:val="center"/>
                  </w:pPr>
                  <w:r>
                    <w:t>主体工程</w:t>
                  </w:r>
                </w:p>
              </w:tc>
              <w:tc>
                <w:tcPr>
                  <w:tcW w:w="463" w:type="pct"/>
                  <w:vAlign w:val="center"/>
                </w:tcPr>
                <w:p w14:paraId="40D68F24">
                  <w:pPr>
                    <w:adjustRightInd w:val="0"/>
                    <w:snapToGrid w:val="0"/>
                    <w:ind w:left="-63" w:leftChars="-30" w:right="-63" w:rightChars="-30"/>
                    <w:jc w:val="center"/>
                  </w:pPr>
                  <w:r>
                    <w:rPr>
                      <w:rFonts w:hint="eastAsia"/>
                    </w:rPr>
                    <w:t>输变电线路</w:t>
                  </w:r>
                  <w:r>
                    <w:t>工程</w:t>
                  </w:r>
                </w:p>
              </w:tc>
              <w:tc>
                <w:tcPr>
                  <w:tcW w:w="2685" w:type="pct"/>
                  <w:vAlign w:val="center"/>
                </w:tcPr>
                <w:p w14:paraId="6378BE33">
                  <w:pPr>
                    <w:adjustRightInd w:val="0"/>
                    <w:snapToGrid w:val="0"/>
                    <w:ind w:left="-63" w:leftChars="-30" w:right="-63" w:rightChars="-30"/>
                    <w:rPr>
                      <w:bCs/>
                    </w:rPr>
                  </w:pPr>
                  <w:r>
                    <w:rPr>
                      <w:rFonts w:hint="eastAsia"/>
                      <w:bCs/>
                    </w:rPr>
                    <w:t>线路全长约4.851km，按单回路架设，架空线路使用铁塔23基（其中直线塔8基，占34.8%，耐张塔15基，占65.2%）。塔基永久占地0</w:t>
                  </w:r>
                  <w:r>
                    <w:rPr>
                      <w:bCs/>
                    </w:rPr>
                    <w:t>.145</w:t>
                  </w:r>
                  <w:r>
                    <w:rPr>
                      <w:rFonts w:hint="eastAsia"/>
                      <w:bCs/>
                    </w:rPr>
                    <w:t>hm</w:t>
                  </w:r>
                  <w:r>
                    <w:rPr>
                      <w:bCs/>
                      <w:vertAlign w:val="superscript"/>
                    </w:rPr>
                    <w:t>2</w:t>
                  </w:r>
                  <w:r>
                    <w:rPr>
                      <w:rFonts w:hint="eastAsia"/>
                      <w:bCs/>
                    </w:rPr>
                    <w:t>。</w:t>
                  </w:r>
                </w:p>
                <w:p w14:paraId="023E2FD3">
                  <w:pPr>
                    <w:adjustRightInd w:val="0"/>
                    <w:snapToGrid w:val="0"/>
                    <w:ind w:left="-63" w:leftChars="-30" w:right="-63" w:rightChars="-30"/>
                  </w:pPr>
                  <w:r>
                    <w:rPr>
                      <w:rFonts w:hint="eastAsia"/>
                      <w:bCs/>
                    </w:rPr>
                    <w:t>本期规划线路经过20mm、30mm冰区。20mm冰区段长约4.431km，30mm冰区段长约0.42km。本项目20mm冰区导线采用JNRLH1/LB20A-240/30铝包钢芯耐热铝合金绞线，30mm冰区导线采用JNRLH2/G5A-240/30型钢芯高强度耐热铝合金绞线。全线双地线架设，20mm冰区采用两根24芯OPGW-80光缆、30mm冰区采用两根24芯OPGW-100光缆。</w:t>
                  </w:r>
                </w:p>
              </w:tc>
              <w:tc>
                <w:tcPr>
                  <w:tcW w:w="642" w:type="pct"/>
                  <w:vAlign w:val="center"/>
                </w:tcPr>
                <w:p w14:paraId="1E171544">
                  <w:pPr>
                    <w:ind w:left="-63" w:leftChars="-30" w:right="-63" w:rightChars="-30"/>
                    <w:jc w:val="center"/>
                  </w:pPr>
                  <w:r>
                    <w:t>施工扬尘</w:t>
                  </w:r>
                </w:p>
                <w:p w14:paraId="76979C2E">
                  <w:pPr>
                    <w:ind w:left="-63" w:leftChars="-30" w:right="-63" w:rightChars="-30"/>
                    <w:jc w:val="center"/>
                  </w:pPr>
                  <w:r>
                    <w:t>施工噪声</w:t>
                  </w:r>
                </w:p>
                <w:p w14:paraId="314F7FAE">
                  <w:pPr>
                    <w:ind w:left="-63" w:leftChars="-30" w:right="-63" w:rightChars="-30"/>
                    <w:jc w:val="center"/>
                  </w:pPr>
                  <w:r>
                    <w:t>生活污水</w:t>
                  </w:r>
                </w:p>
                <w:p w14:paraId="51E21080">
                  <w:pPr>
                    <w:ind w:left="-63" w:leftChars="-30" w:right="-63" w:rightChars="-30"/>
                    <w:jc w:val="center"/>
                  </w:pPr>
                  <w:r>
                    <w:t>固体废物</w:t>
                  </w:r>
                </w:p>
                <w:p w14:paraId="689FD39E">
                  <w:pPr>
                    <w:ind w:left="-63" w:leftChars="-30" w:right="-63" w:rightChars="-30"/>
                    <w:jc w:val="center"/>
                  </w:pPr>
                  <w:r>
                    <w:t>水土流失</w:t>
                  </w:r>
                </w:p>
                <w:p w14:paraId="09946A9F">
                  <w:pPr>
                    <w:ind w:left="-63" w:leftChars="-30" w:right="-63" w:rightChars="-30"/>
                    <w:jc w:val="center"/>
                  </w:pPr>
                  <w:r>
                    <w:t>植被破坏</w:t>
                  </w:r>
                </w:p>
              </w:tc>
              <w:tc>
                <w:tcPr>
                  <w:tcW w:w="721" w:type="pct"/>
                  <w:vAlign w:val="center"/>
                </w:tcPr>
                <w:p w14:paraId="1DCB0232">
                  <w:pPr>
                    <w:ind w:left="-63" w:leftChars="-30" w:right="-63" w:rightChars="-30"/>
                    <w:jc w:val="center"/>
                  </w:pPr>
                  <w:r>
                    <w:t>工频电场</w:t>
                  </w:r>
                </w:p>
                <w:p w14:paraId="102006FE">
                  <w:pPr>
                    <w:ind w:left="-63" w:leftChars="-30" w:right="-63" w:rightChars="-30"/>
                    <w:jc w:val="center"/>
                  </w:pPr>
                  <w:r>
                    <w:t>工频磁场</w:t>
                  </w:r>
                </w:p>
                <w:p w14:paraId="37B8F50C">
                  <w:pPr>
                    <w:adjustRightInd w:val="0"/>
                    <w:snapToGrid w:val="0"/>
                    <w:ind w:left="-63" w:leftChars="-30" w:right="-63" w:rightChars="-30"/>
                    <w:jc w:val="center"/>
                  </w:pPr>
                  <w:r>
                    <w:t>运行噪声</w:t>
                  </w:r>
                </w:p>
              </w:tc>
            </w:tr>
            <w:tr w14:paraId="60EA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489" w:type="pct"/>
                  <w:vMerge w:val="restart"/>
                  <w:vAlign w:val="center"/>
                </w:tcPr>
                <w:p w14:paraId="181751CA">
                  <w:pPr>
                    <w:adjustRightInd w:val="0"/>
                    <w:snapToGrid w:val="0"/>
                    <w:ind w:left="-63" w:leftChars="-30" w:right="-63" w:rightChars="-30"/>
                    <w:jc w:val="center"/>
                  </w:pPr>
                  <w:r>
                    <w:t>辅助工程</w:t>
                  </w:r>
                </w:p>
              </w:tc>
              <w:tc>
                <w:tcPr>
                  <w:tcW w:w="463" w:type="pct"/>
                  <w:vAlign w:val="center"/>
                </w:tcPr>
                <w:p w14:paraId="51A9804F">
                  <w:pPr>
                    <w:adjustRightInd w:val="0"/>
                    <w:snapToGrid w:val="0"/>
                    <w:ind w:left="-63" w:leftChars="-30" w:right="-63" w:rightChars="-30"/>
                    <w:jc w:val="center"/>
                  </w:pPr>
                  <w:r>
                    <w:t>通信工程</w:t>
                  </w:r>
                </w:p>
              </w:tc>
              <w:tc>
                <w:tcPr>
                  <w:tcW w:w="2685" w:type="pct"/>
                  <w:vAlign w:val="center"/>
                </w:tcPr>
                <w:p w14:paraId="6EAC2CF0">
                  <w:pPr>
                    <w:pStyle w:val="190"/>
                    <w:spacing w:line="240" w:lineRule="auto"/>
                    <w:ind w:firstLine="0"/>
                    <w:jc w:val="both"/>
                    <w:rPr>
                      <w:szCs w:val="21"/>
                      <w:lang w:val="en-US"/>
                    </w:rPr>
                  </w:pPr>
                  <w:r>
                    <w:rPr>
                      <w:rFonts w:hint="eastAsia"/>
                      <w:szCs w:val="21"/>
                    </w:rPr>
                    <w:t>沿南冲升压站至铜厂变的新建110kV单回线路上架设2根24芯OPGW光缆至铜厂变构架后采用管道光缆进铜厂变电站。最终建成南冲升压站至铜厂变的24芯光缆通道。新建单根光缆长约6.24（4.851×1.08+1）km，其中新建光缆线路路径长约5.24km，新建管道光缆路径长约1km。纤芯采用G.652D</w:t>
                  </w:r>
                  <w:r>
                    <w:rPr>
                      <w:szCs w:val="21"/>
                      <w:lang w:val="en-US"/>
                    </w:rPr>
                    <w:t>。</w:t>
                  </w:r>
                </w:p>
              </w:tc>
              <w:tc>
                <w:tcPr>
                  <w:tcW w:w="642" w:type="pct"/>
                  <w:vAlign w:val="center"/>
                </w:tcPr>
                <w:p w14:paraId="5E44F603">
                  <w:pPr>
                    <w:ind w:left="-63" w:leftChars="-30" w:right="-63" w:rightChars="-30"/>
                    <w:jc w:val="center"/>
                  </w:pPr>
                  <w:r>
                    <w:t>无</w:t>
                  </w:r>
                </w:p>
              </w:tc>
              <w:tc>
                <w:tcPr>
                  <w:tcW w:w="721" w:type="pct"/>
                  <w:vAlign w:val="center"/>
                </w:tcPr>
                <w:p w14:paraId="169EB0A0">
                  <w:pPr>
                    <w:ind w:left="-63" w:leftChars="-30" w:right="-63" w:rightChars="-30"/>
                    <w:jc w:val="center"/>
                  </w:pPr>
                  <w:r>
                    <w:t>无</w:t>
                  </w:r>
                </w:p>
              </w:tc>
            </w:tr>
            <w:tr w14:paraId="6867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489" w:type="pct"/>
                  <w:vMerge w:val="continue"/>
                  <w:vAlign w:val="center"/>
                </w:tcPr>
                <w:p w14:paraId="2713E76F">
                  <w:pPr>
                    <w:adjustRightInd w:val="0"/>
                    <w:snapToGrid w:val="0"/>
                    <w:ind w:left="-63" w:leftChars="-30" w:right="-63" w:rightChars="-30"/>
                    <w:jc w:val="center"/>
                  </w:pPr>
                </w:p>
              </w:tc>
              <w:tc>
                <w:tcPr>
                  <w:tcW w:w="463" w:type="pct"/>
                  <w:vAlign w:val="center"/>
                </w:tcPr>
                <w:p w14:paraId="41A251A9">
                  <w:pPr>
                    <w:adjustRightInd w:val="0"/>
                    <w:snapToGrid w:val="0"/>
                    <w:ind w:left="-63" w:leftChars="-30" w:right="-63" w:rightChars="-30"/>
                    <w:jc w:val="center"/>
                  </w:pPr>
                  <w:r>
                    <w:t>塔基施工临时占地</w:t>
                  </w:r>
                </w:p>
              </w:tc>
              <w:tc>
                <w:tcPr>
                  <w:tcW w:w="2685" w:type="pct"/>
                  <w:vAlign w:val="center"/>
                </w:tcPr>
                <w:p w14:paraId="0B238D0D">
                  <w:pPr>
                    <w:adjustRightInd w:val="0"/>
                    <w:snapToGrid w:val="0"/>
                    <w:ind w:left="-63" w:leftChars="-30" w:right="-63" w:rightChars="-30"/>
                  </w:pPr>
                  <w:r>
                    <w:t>塔基施工场地布置在塔基附近，每个塔位处均需设置施工场地，共设23个（新建铁塔23基），塔基施工临时占地面积共计约0.135hm</w:t>
                  </w:r>
                  <w:r>
                    <w:rPr>
                      <w:vertAlign w:val="superscript"/>
                    </w:rPr>
                    <w:t>2</w:t>
                  </w:r>
                  <w:r>
                    <w:t>。</w:t>
                  </w:r>
                </w:p>
              </w:tc>
              <w:tc>
                <w:tcPr>
                  <w:tcW w:w="642" w:type="pct"/>
                  <w:vMerge w:val="restart"/>
                  <w:vAlign w:val="center"/>
                </w:tcPr>
                <w:p w14:paraId="6DE6D83A">
                  <w:pPr>
                    <w:adjustRightInd w:val="0"/>
                    <w:snapToGrid w:val="0"/>
                    <w:ind w:left="-63" w:leftChars="-30" w:right="-63" w:rightChars="-30"/>
                    <w:jc w:val="center"/>
                  </w:pPr>
                  <w:r>
                    <w:t>施工噪声</w:t>
                  </w:r>
                </w:p>
                <w:p w14:paraId="4C02253A">
                  <w:pPr>
                    <w:adjustRightInd w:val="0"/>
                    <w:snapToGrid w:val="0"/>
                    <w:ind w:left="-63" w:leftChars="-30" w:right="-63" w:rightChars="-30"/>
                    <w:jc w:val="center"/>
                  </w:pPr>
                  <w:r>
                    <w:t>施工扬尘</w:t>
                  </w:r>
                </w:p>
                <w:p w14:paraId="095AFB2A">
                  <w:pPr>
                    <w:adjustRightInd w:val="0"/>
                    <w:snapToGrid w:val="0"/>
                    <w:ind w:left="-63" w:leftChars="-30" w:right="-63" w:rightChars="-30"/>
                    <w:jc w:val="center"/>
                  </w:pPr>
                  <w:r>
                    <w:t>生活污水</w:t>
                  </w:r>
                </w:p>
                <w:p w14:paraId="02622C9D">
                  <w:pPr>
                    <w:adjustRightInd w:val="0"/>
                    <w:snapToGrid w:val="0"/>
                    <w:ind w:left="-63" w:leftChars="-30" w:right="-63" w:rightChars="-30"/>
                    <w:jc w:val="center"/>
                  </w:pPr>
                  <w:r>
                    <w:t>固体废物</w:t>
                  </w:r>
                </w:p>
                <w:p w14:paraId="0B5638EA">
                  <w:pPr>
                    <w:ind w:left="-63" w:leftChars="-30" w:right="-63" w:rightChars="-30"/>
                    <w:jc w:val="center"/>
                  </w:pPr>
                  <w:r>
                    <w:t>水土流失</w:t>
                  </w:r>
                </w:p>
                <w:p w14:paraId="05D20D21">
                  <w:pPr>
                    <w:ind w:left="-63" w:leftChars="-30" w:right="-63" w:rightChars="-30"/>
                    <w:jc w:val="center"/>
                  </w:pPr>
                  <w:r>
                    <w:t>植被破坏</w:t>
                  </w:r>
                </w:p>
              </w:tc>
              <w:tc>
                <w:tcPr>
                  <w:tcW w:w="721" w:type="pct"/>
                  <w:vMerge w:val="restart"/>
                  <w:vAlign w:val="center"/>
                </w:tcPr>
                <w:p w14:paraId="664E6439">
                  <w:pPr>
                    <w:ind w:left="-63" w:leftChars="-30" w:right="-63" w:rightChars="-30"/>
                    <w:jc w:val="center"/>
                  </w:pPr>
                  <w:r>
                    <w:t>无</w:t>
                  </w:r>
                </w:p>
              </w:tc>
            </w:tr>
            <w:tr w14:paraId="7B66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489" w:type="pct"/>
                  <w:vMerge w:val="continue"/>
                  <w:vAlign w:val="center"/>
                </w:tcPr>
                <w:p w14:paraId="70489FA9">
                  <w:pPr>
                    <w:adjustRightInd w:val="0"/>
                    <w:snapToGrid w:val="0"/>
                    <w:ind w:left="-63" w:leftChars="-30" w:right="-63" w:rightChars="-30"/>
                    <w:jc w:val="center"/>
                  </w:pPr>
                </w:p>
              </w:tc>
              <w:tc>
                <w:tcPr>
                  <w:tcW w:w="463" w:type="pct"/>
                  <w:vAlign w:val="center"/>
                </w:tcPr>
                <w:p w14:paraId="2D21FD7F">
                  <w:pPr>
                    <w:adjustRightInd w:val="0"/>
                    <w:snapToGrid w:val="0"/>
                    <w:ind w:left="-63" w:leftChars="-30" w:right="-63" w:rightChars="-30"/>
                    <w:jc w:val="center"/>
                  </w:pPr>
                  <w:r>
                    <w:t>牵张场</w:t>
                  </w:r>
                </w:p>
              </w:tc>
              <w:tc>
                <w:tcPr>
                  <w:tcW w:w="2685" w:type="pct"/>
                  <w:vAlign w:val="center"/>
                </w:tcPr>
                <w:p w14:paraId="0C06C895">
                  <w:pPr>
                    <w:pStyle w:val="190"/>
                    <w:spacing w:line="240" w:lineRule="auto"/>
                    <w:ind w:firstLine="0"/>
                    <w:jc w:val="both"/>
                    <w:rPr>
                      <w:szCs w:val="21"/>
                    </w:rPr>
                  </w:pPr>
                  <w:r>
                    <w:rPr>
                      <w:szCs w:val="21"/>
                    </w:rPr>
                    <w:t>线路拟设置牵张场</w:t>
                  </w:r>
                  <w:r>
                    <w:rPr>
                      <w:szCs w:val="21"/>
                      <w:lang w:val="en-US"/>
                    </w:rPr>
                    <w:t>6</w:t>
                  </w:r>
                  <w:r>
                    <w:rPr>
                      <w:szCs w:val="21"/>
                    </w:rPr>
                    <w:t>处，</w:t>
                  </w:r>
                  <w:r>
                    <w:rPr>
                      <w:rFonts w:hint="eastAsia"/>
                      <w:szCs w:val="21"/>
                    </w:rPr>
                    <w:t>其中放线场3处、牵引场3处，</w:t>
                  </w:r>
                  <w:r>
                    <w:rPr>
                      <w:szCs w:val="21"/>
                    </w:rPr>
                    <w:t>每个约</w:t>
                  </w:r>
                  <w:r>
                    <w:rPr>
                      <w:szCs w:val="21"/>
                      <w:lang w:val="en-US"/>
                    </w:rPr>
                    <w:t>50</w:t>
                  </w:r>
                  <w:r>
                    <w:rPr>
                      <w:szCs w:val="21"/>
                    </w:rPr>
                    <w:t>0m</w:t>
                  </w:r>
                  <w:r>
                    <w:rPr>
                      <w:szCs w:val="21"/>
                      <w:vertAlign w:val="superscript"/>
                    </w:rPr>
                    <w:t>2</w:t>
                  </w:r>
                  <w:r>
                    <w:rPr>
                      <w:szCs w:val="21"/>
                    </w:rPr>
                    <w:t>，占地约</w:t>
                  </w:r>
                  <w:r>
                    <w:rPr>
                      <w:szCs w:val="21"/>
                      <w:lang w:val="en-US"/>
                    </w:rPr>
                    <w:t>0.3</w:t>
                  </w:r>
                  <w:r>
                    <w:rPr>
                      <w:szCs w:val="21"/>
                    </w:rPr>
                    <w:t>hm</w:t>
                  </w:r>
                  <w:r>
                    <w:rPr>
                      <w:szCs w:val="21"/>
                      <w:vertAlign w:val="superscript"/>
                    </w:rPr>
                    <w:t>2</w:t>
                  </w:r>
                  <w:r>
                    <w:rPr>
                      <w:szCs w:val="21"/>
                    </w:rPr>
                    <w:t>。</w:t>
                  </w:r>
                </w:p>
              </w:tc>
              <w:tc>
                <w:tcPr>
                  <w:tcW w:w="642" w:type="pct"/>
                  <w:vMerge w:val="continue"/>
                  <w:vAlign w:val="center"/>
                </w:tcPr>
                <w:p w14:paraId="7B49AEA1">
                  <w:pPr>
                    <w:ind w:left="-63" w:leftChars="-30" w:right="-63" w:rightChars="-30"/>
                    <w:jc w:val="center"/>
                  </w:pPr>
                </w:p>
              </w:tc>
              <w:tc>
                <w:tcPr>
                  <w:tcW w:w="721" w:type="pct"/>
                  <w:vMerge w:val="continue"/>
                  <w:vAlign w:val="center"/>
                </w:tcPr>
                <w:p w14:paraId="54BD40A9">
                  <w:pPr>
                    <w:ind w:left="-63" w:leftChars="-30" w:right="-63" w:rightChars="-30"/>
                    <w:jc w:val="center"/>
                  </w:pPr>
                </w:p>
              </w:tc>
            </w:tr>
            <w:tr w14:paraId="33CD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489" w:type="pct"/>
                  <w:vMerge w:val="continue"/>
                  <w:vAlign w:val="center"/>
                </w:tcPr>
                <w:p w14:paraId="25B28EDD">
                  <w:pPr>
                    <w:adjustRightInd w:val="0"/>
                    <w:snapToGrid w:val="0"/>
                    <w:ind w:left="-63" w:leftChars="-30" w:right="-63" w:rightChars="-30"/>
                    <w:jc w:val="center"/>
                  </w:pPr>
                </w:p>
              </w:tc>
              <w:tc>
                <w:tcPr>
                  <w:tcW w:w="463" w:type="pct"/>
                  <w:vAlign w:val="center"/>
                </w:tcPr>
                <w:p w14:paraId="4E1F8355">
                  <w:pPr>
                    <w:adjustRightInd w:val="0"/>
                    <w:snapToGrid w:val="0"/>
                    <w:ind w:left="-63" w:leftChars="-30" w:right="-63" w:rightChars="-30"/>
                    <w:jc w:val="center"/>
                  </w:pPr>
                  <w:r>
                    <w:t>跨越施工场地</w:t>
                  </w:r>
                </w:p>
              </w:tc>
              <w:tc>
                <w:tcPr>
                  <w:tcW w:w="2685" w:type="pct"/>
                  <w:vAlign w:val="center"/>
                </w:tcPr>
                <w:p w14:paraId="3EBE3BD4">
                  <w:pPr>
                    <w:pStyle w:val="190"/>
                    <w:spacing w:line="240" w:lineRule="auto"/>
                    <w:ind w:firstLine="0"/>
                    <w:jc w:val="both"/>
                    <w:rPr>
                      <w:szCs w:val="21"/>
                    </w:rPr>
                  </w:pPr>
                  <w:r>
                    <w:rPr>
                      <w:rFonts w:hint="eastAsia"/>
                      <w:szCs w:val="21"/>
                    </w:rPr>
                    <w:t>交叉跨越共计40次，其中跨35kV线4次、跨10kV线10次、跨380V线8次、跨220V线5次、跨通信线10次、跨S204省道3次</w:t>
                  </w:r>
                  <w:r>
                    <w:rPr>
                      <w:szCs w:val="21"/>
                    </w:rPr>
                    <w:t>。</w:t>
                  </w:r>
                </w:p>
                <w:p w14:paraId="29FE45EC">
                  <w:pPr>
                    <w:pStyle w:val="190"/>
                    <w:spacing w:line="240" w:lineRule="auto"/>
                    <w:ind w:firstLine="0"/>
                    <w:jc w:val="both"/>
                    <w:rPr>
                      <w:szCs w:val="21"/>
                      <w:highlight w:val="yellow"/>
                    </w:rPr>
                  </w:pPr>
                  <w:r>
                    <w:rPr>
                      <w:rFonts w:hint="eastAsia"/>
                      <w:szCs w:val="21"/>
                    </w:rPr>
                    <w:t>穿（跨）越均使用飞艇放线，不考虑新增跨越施工场。</w:t>
                  </w:r>
                </w:p>
              </w:tc>
              <w:tc>
                <w:tcPr>
                  <w:tcW w:w="642" w:type="pct"/>
                  <w:vMerge w:val="continue"/>
                  <w:vAlign w:val="center"/>
                </w:tcPr>
                <w:p w14:paraId="1ACD33BF">
                  <w:pPr>
                    <w:ind w:left="-63" w:leftChars="-30" w:right="-63" w:rightChars="-30"/>
                    <w:jc w:val="center"/>
                  </w:pPr>
                </w:p>
              </w:tc>
              <w:tc>
                <w:tcPr>
                  <w:tcW w:w="721" w:type="pct"/>
                  <w:vMerge w:val="continue"/>
                  <w:vAlign w:val="center"/>
                </w:tcPr>
                <w:p w14:paraId="4D46E507">
                  <w:pPr>
                    <w:ind w:left="-63" w:leftChars="-30" w:right="-63" w:rightChars="-30"/>
                    <w:jc w:val="center"/>
                  </w:pPr>
                </w:p>
              </w:tc>
            </w:tr>
            <w:tr w14:paraId="119D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489" w:type="pct"/>
                  <w:vMerge w:val="continue"/>
                  <w:vAlign w:val="center"/>
                </w:tcPr>
                <w:p w14:paraId="5D2C661A">
                  <w:pPr>
                    <w:adjustRightInd w:val="0"/>
                    <w:snapToGrid w:val="0"/>
                    <w:ind w:left="-63" w:leftChars="-30" w:right="-63" w:rightChars="-30"/>
                    <w:jc w:val="center"/>
                  </w:pPr>
                </w:p>
              </w:tc>
              <w:tc>
                <w:tcPr>
                  <w:tcW w:w="463" w:type="pct"/>
                  <w:vAlign w:val="center"/>
                </w:tcPr>
                <w:p w14:paraId="0B55D322">
                  <w:pPr>
                    <w:adjustRightInd w:val="0"/>
                    <w:snapToGrid w:val="0"/>
                    <w:ind w:left="-63" w:leftChars="-30" w:right="-63" w:rightChars="-30"/>
                    <w:jc w:val="center"/>
                  </w:pPr>
                  <w:r>
                    <w:rPr>
                      <w:rFonts w:hint="eastAsia"/>
                    </w:rPr>
                    <w:t>临时施工便道</w:t>
                  </w:r>
                </w:p>
              </w:tc>
              <w:tc>
                <w:tcPr>
                  <w:tcW w:w="2685" w:type="pct"/>
                  <w:vAlign w:val="center"/>
                </w:tcPr>
                <w:p w14:paraId="7691711A">
                  <w:pPr>
                    <w:pStyle w:val="190"/>
                    <w:spacing w:line="240" w:lineRule="auto"/>
                    <w:ind w:firstLine="0"/>
                    <w:jc w:val="both"/>
                    <w:rPr>
                      <w:szCs w:val="21"/>
                    </w:rPr>
                  </w:pPr>
                  <w:r>
                    <w:rPr>
                      <w:szCs w:val="21"/>
                    </w:rPr>
                    <w:t>利用既有乡道至施工现场间既有山间小道，占地约</w:t>
                  </w:r>
                  <w:r>
                    <w:rPr>
                      <w:szCs w:val="21"/>
                      <w:lang w:val="en-US"/>
                    </w:rPr>
                    <w:t>0.1036</w:t>
                  </w:r>
                  <w:r>
                    <w:rPr>
                      <w:szCs w:val="21"/>
                    </w:rPr>
                    <w:t>hm</w:t>
                  </w:r>
                  <w:r>
                    <w:rPr>
                      <w:szCs w:val="21"/>
                      <w:vertAlign w:val="superscript"/>
                    </w:rPr>
                    <w:t>2</w:t>
                  </w:r>
                  <w:r>
                    <w:rPr>
                      <w:szCs w:val="21"/>
                    </w:rPr>
                    <w:t>。</w:t>
                  </w:r>
                  <w:r>
                    <w:rPr>
                      <w:rFonts w:hint="eastAsia"/>
                      <w:szCs w:val="21"/>
                    </w:rPr>
                    <w:t>临时施工便道总长约441米，宽约2米。</w:t>
                  </w:r>
                </w:p>
              </w:tc>
              <w:tc>
                <w:tcPr>
                  <w:tcW w:w="642" w:type="pct"/>
                  <w:vMerge w:val="continue"/>
                  <w:vAlign w:val="center"/>
                </w:tcPr>
                <w:p w14:paraId="44ACE3A9">
                  <w:pPr>
                    <w:ind w:left="-63" w:leftChars="-30" w:right="-63" w:rightChars="-30"/>
                    <w:jc w:val="center"/>
                  </w:pPr>
                </w:p>
              </w:tc>
              <w:tc>
                <w:tcPr>
                  <w:tcW w:w="721" w:type="pct"/>
                  <w:vMerge w:val="continue"/>
                  <w:vAlign w:val="center"/>
                </w:tcPr>
                <w:p w14:paraId="37A6B5EB">
                  <w:pPr>
                    <w:ind w:left="-63" w:leftChars="-30" w:right="-63" w:rightChars="-30"/>
                    <w:jc w:val="center"/>
                  </w:pPr>
                </w:p>
              </w:tc>
            </w:tr>
            <w:tr w14:paraId="43C3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489" w:type="pct"/>
                  <w:vMerge w:val="continue"/>
                  <w:vAlign w:val="center"/>
                </w:tcPr>
                <w:p w14:paraId="6C996A2D">
                  <w:pPr>
                    <w:adjustRightInd w:val="0"/>
                    <w:snapToGrid w:val="0"/>
                    <w:ind w:left="-63" w:leftChars="-30" w:right="-63" w:rightChars="-30"/>
                    <w:jc w:val="center"/>
                  </w:pPr>
                </w:p>
              </w:tc>
              <w:tc>
                <w:tcPr>
                  <w:tcW w:w="463" w:type="pct"/>
                  <w:vAlign w:val="center"/>
                </w:tcPr>
                <w:p w14:paraId="548B40A0">
                  <w:pPr>
                    <w:adjustRightInd w:val="0"/>
                    <w:snapToGrid w:val="0"/>
                    <w:ind w:left="-63" w:leftChars="-30" w:right="-63" w:rightChars="-30"/>
                    <w:jc w:val="center"/>
                  </w:pPr>
                  <w:r>
                    <w:t>施工生活区和材料站</w:t>
                  </w:r>
                </w:p>
              </w:tc>
              <w:tc>
                <w:tcPr>
                  <w:tcW w:w="2685" w:type="pct"/>
                  <w:vAlign w:val="center"/>
                </w:tcPr>
                <w:p w14:paraId="7D3B12C3">
                  <w:pPr>
                    <w:pStyle w:val="190"/>
                    <w:spacing w:line="240" w:lineRule="auto"/>
                    <w:ind w:firstLine="0"/>
                    <w:jc w:val="both"/>
                    <w:rPr>
                      <w:szCs w:val="21"/>
                    </w:rPr>
                  </w:pPr>
                  <w:r>
                    <w:rPr>
                      <w:szCs w:val="21"/>
                    </w:rPr>
                    <w:t>租用项目区域附近房屋，或结合塔基、牵张场地等设置，不另行设置。</w:t>
                  </w:r>
                </w:p>
              </w:tc>
              <w:tc>
                <w:tcPr>
                  <w:tcW w:w="642" w:type="pct"/>
                  <w:vMerge w:val="continue"/>
                  <w:vAlign w:val="center"/>
                </w:tcPr>
                <w:p w14:paraId="5E4BBE78">
                  <w:pPr>
                    <w:ind w:left="-63" w:leftChars="-30" w:right="-63" w:rightChars="-30"/>
                    <w:jc w:val="center"/>
                  </w:pPr>
                </w:p>
              </w:tc>
              <w:tc>
                <w:tcPr>
                  <w:tcW w:w="721" w:type="pct"/>
                  <w:vMerge w:val="continue"/>
                  <w:vAlign w:val="center"/>
                </w:tcPr>
                <w:p w14:paraId="1AD6F6B6">
                  <w:pPr>
                    <w:ind w:left="-63" w:leftChars="-30" w:right="-63" w:rightChars="-30"/>
                    <w:jc w:val="center"/>
                  </w:pPr>
                </w:p>
              </w:tc>
            </w:tr>
            <w:tr w14:paraId="025A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restart"/>
                  <w:vAlign w:val="center"/>
                </w:tcPr>
                <w:p w14:paraId="37775A3A">
                  <w:pPr>
                    <w:ind w:left="-63" w:leftChars="-30" w:right="-63" w:rightChars="-30"/>
                    <w:jc w:val="center"/>
                  </w:pPr>
                  <w:r>
                    <w:t>环保工程</w:t>
                  </w:r>
                </w:p>
              </w:tc>
              <w:tc>
                <w:tcPr>
                  <w:tcW w:w="463" w:type="pct"/>
                  <w:vAlign w:val="center"/>
                </w:tcPr>
                <w:p w14:paraId="78CD4692">
                  <w:pPr>
                    <w:ind w:left="-63" w:leftChars="-30" w:right="-63" w:rightChars="-30"/>
                    <w:jc w:val="center"/>
                  </w:pPr>
                  <w:r>
                    <w:t>电磁辐射防治措施</w:t>
                  </w:r>
                </w:p>
              </w:tc>
              <w:tc>
                <w:tcPr>
                  <w:tcW w:w="2685" w:type="pct"/>
                  <w:vAlign w:val="center"/>
                </w:tcPr>
                <w:p w14:paraId="761957A1">
                  <w:r>
                    <w:t>输电线路导线距地高度按照《110kV～750kV架空输电线路设计规范》（GB50545-2010）规定的非居民区导线距地6.5m、居民区导线距地7.5m的要求进行架设。则项目线路运行期产生的电磁环境影响均满足相应评价标准限值要求。</w:t>
                  </w:r>
                </w:p>
              </w:tc>
              <w:tc>
                <w:tcPr>
                  <w:tcW w:w="642" w:type="pct"/>
                  <w:vMerge w:val="restart"/>
                  <w:vAlign w:val="center"/>
                </w:tcPr>
                <w:p w14:paraId="4543C0C9">
                  <w:pPr>
                    <w:ind w:left="-63" w:leftChars="-30" w:right="-63" w:rightChars="-30"/>
                    <w:jc w:val="center"/>
                  </w:pPr>
                  <w:r>
                    <w:t>无</w:t>
                  </w:r>
                </w:p>
              </w:tc>
              <w:tc>
                <w:tcPr>
                  <w:tcW w:w="721" w:type="pct"/>
                  <w:vMerge w:val="restart"/>
                  <w:vAlign w:val="center"/>
                </w:tcPr>
                <w:p w14:paraId="5347BE41">
                  <w:pPr>
                    <w:ind w:left="-63" w:leftChars="-30" w:right="-63" w:rightChars="-30"/>
                    <w:jc w:val="center"/>
                  </w:pPr>
                  <w:r>
                    <w:t>无</w:t>
                  </w:r>
                </w:p>
              </w:tc>
            </w:tr>
            <w:tr w14:paraId="0BCD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continue"/>
                  <w:vAlign w:val="center"/>
                </w:tcPr>
                <w:p w14:paraId="6890E5BC">
                  <w:pPr>
                    <w:ind w:left="-63" w:leftChars="-30" w:right="-63" w:rightChars="-30"/>
                    <w:jc w:val="center"/>
                  </w:pPr>
                </w:p>
              </w:tc>
              <w:tc>
                <w:tcPr>
                  <w:tcW w:w="463" w:type="pct"/>
                  <w:vAlign w:val="center"/>
                </w:tcPr>
                <w:p w14:paraId="19CA4680">
                  <w:pPr>
                    <w:ind w:left="-63" w:leftChars="-30" w:right="-63" w:rightChars="-30"/>
                    <w:jc w:val="center"/>
                  </w:pPr>
                  <w:r>
                    <w:t>水土保持措施</w:t>
                  </w:r>
                </w:p>
              </w:tc>
              <w:tc>
                <w:tcPr>
                  <w:tcW w:w="2685" w:type="pct"/>
                  <w:vAlign w:val="center"/>
                </w:tcPr>
                <w:p w14:paraId="7FFF67E0">
                  <w:r>
                    <w:t>施工物料采用篷布覆盖、遮挡；陡坡塔基设置的浆砌石挡土墙、护坡、排水沟；塔基安全警示牌、电力设施保护标识牌；塔基施工区、牵张场、跨越施工场地施工结束后进行植被恢复。</w:t>
                  </w:r>
                </w:p>
              </w:tc>
              <w:tc>
                <w:tcPr>
                  <w:tcW w:w="642" w:type="pct"/>
                  <w:vMerge w:val="continue"/>
                  <w:vAlign w:val="center"/>
                </w:tcPr>
                <w:p w14:paraId="0440F23E">
                  <w:pPr>
                    <w:ind w:left="-63" w:leftChars="-30" w:right="-63" w:rightChars="-30"/>
                    <w:jc w:val="center"/>
                  </w:pPr>
                </w:p>
              </w:tc>
              <w:tc>
                <w:tcPr>
                  <w:tcW w:w="721" w:type="pct"/>
                  <w:vMerge w:val="continue"/>
                  <w:vAlign w:val="center"/>
                </w:tcPr>
                <w:p w14:paraId="4A99DD5C">
                  <w:pPr>
                    <w:ind w:left="-63" w:leftChars="-30" w:right="-63" w:rightChars="-30"/>
                    <w:jc w:val="center"/>
                  </w:pPr>
                </w:p>
              </w:tc>
            </w:tr>
            <w:tr w14:paraId="4955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continue"/>
                  <w:vAlign w:val="center"/>
                </w:tcPr>
                <w:p w14:paraId="75E4F866">
                  <w:pPr>
                    <w:ind w:left="-63" w:leftChars="-30" w:right="-63" w:rightChars="-30"/>
                    <w:jc w:val="center"/>
                  </w:pPr>
                </w:p>
              </w:tc>
              <w:tc>
                <w:tcPr>
                  <w:tcW w:w="463" w:type="pct"/>
                  <w:vAlign w:val="center"/>
                </w:tcPr>
                <w:p w14:paraId="6C1A46CE">
                  <w:pPr>
                    <w:ind w:left="-63" w:leftChars="-30" w:right="-63" w:rightChars="-30"/>
                    <w:jc w:val="center"/>
                  </w:pPr>
                  <w:r>
                    <w:t>废污水处理措施</w:t>
                  </w:r>
                </w:p>
              </w:tc>
              <w:tc>
                <w:tcPr>
                  <w:tcW w:w="2685" w:type="pct"/>
                  <w:vAlign w:val="center"/>
                </w:tcPr>
                <w:p w14:paraId="471B4073">
                  <w:r>
                    <w:rPr>
                      <w:rFonts w:hint="eastAsia"/>
                    </w:rPr>
                    <w:t>施工场地设置简易沉沙池。</w:t>
                  </w:r>
                  <w:r>
                    <w:t>废污水经处理后回用，不外排。</w:t>
                  </w:r>
                </w:p>
              </w:tc>
              <w:tc>
                <w:tcPr>
                  <w:tcW w:w="642" w:type="pct"/>
                  <w:vMerge w:val="continue"/>
                  <w:vAlign w:val="center"/>
                </w:tcPr>
                <w:p w14:paraId="7B84601A">
                  <w:pPr>
                    <w:ind w:left="-63" w:leftChars="-30" w:right="-63" w:rightChars="-30"/>
                    <w:jc w:val="center"/>
                  </w:pPr>
                </w:p>
              </w:tc>
              <w:tc>
                <w:tcPr>
                  <w:tcW w:w="721" w:type="pct"/>
                  <w:vMerge w:val="continue"/>
                  <w:vAlign w:val="center"/>
                </w:tcPr>
                <w:p w14:paraId="2067CDF8">
                  <w:pPr>
                    <w:ind w:left="-63" w:leftChars="-30" w:right="-63" w:rightChars="-30"/>
                    <w:jc w:val="center"/>
                  </w:pPr>
                </w:p>
              </w:tc>
            </w:tr>
            <w:tr w14:paraId="7367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continue"/>
                  <w:vAlign w:val="center"/>
                </w:tcPr>
                <w:p w14:paraId="69A1F3D0">
                  <w:pPr>
                    <w:ind w:left="-63" w:leftChars="-30" w:right="-63" w:rightChars="-30"/>
                    <w:jc w:val="center"/>
                  </w:pPr>
                </w:p>
              </w:tc>
              <w:tc>
                <w:tcPr>
                  <w:tcW w:w="463" w:type="pct"/>
                  <w:vAlign w:val="center"/>
                </w:tcPr>
                <w:p w14:paraId="05136222">
                  <w:pPr>
                    <w:ind w:left="-63" w:leftChars="-30" w:right="-63" w:rightChars="-30"/>
                    <w:jc w:val="center"/>
                  </w:pPr>
                  <w:r>
                    <w:t>噪声防治措施</w:t>
                  </w:r>
                </w:p>
              </w:tc>
              <w:tc>
                <w:tcPr>
                  <w:tcW w:w="2685" w:type="pct"/>
                  <w:vAlign w:val="center"/>
                </w:tcPr>
                <w:p w14:paraId="53A87796">
                  <w:pPr>
                    <w:pStyle w:val="190"/>
                    <w:spacing w:line="240" w:lineRule="auto"/>
                    <w:ind w:firstLine="0"/>
                    <w:jc w:val="both"/>
                    <w:rPr>
                      <w:szCs w:val="21"/>
                    </w:rPr>
                  </w:pPr>
                  <w:r>
                    <w:rPr>
                      <w:szCs w:val="21"/>
                      <w:lang w:val="en-US"/>
                    </w:rPr>
                    <w:t>施工围挡、夜间禁止施工。</w:t>
                  </w:r>
                </w:p>
              </w:tc>
              <w:tc>
                <w:tcPr>
                  <w:tcW w:w="642" w:type="pct"/>
                  <w:vMerge w:val="continue"/>
                  <w:vAlign w:val="center"/>
                </w:tcPr>
                <w:p w14:paraId="0100890B">
                  <w:pPr>
                    <w:ind w:left="-63" w:leftChars="-30" w:right="-63" w:rightChars="-30"/>
                    <w:jc w:val="center"/>
                  </w:pPr>
                </w:p>
              </w:tc>
              <w:tc>
                <w:tcPr>
                  <w:tcW w:w="721" w:type="pct"/>
                  <w:vMerge w:val="continue"/>
                  <w:vAlign w:val="center"/>
                </w:tcPr>
                <w:p w14:paraId="0C960C6B">
                  <w:pPr>
                    <w:ind w:left="-63" w:leftChars="-30" w:right="-63" w:rightChars="-30"/>
                    <w:jc w:val="center"/>
                  </w:pPr>
                </w:p>
              </w:tc>
            </w:tr>
            <w:tr w14:paraId="1607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continue"/>
                  <w:vAlign w:val="center"/>
                </w:tcPr>
                <w:p w14:paraId="552F2ABA">
                  <w:pPr>
                    <w:ind w:left="-63" w:leftChars="-30" w:right="-63" w:rightChars="-30"/>
                    <w:jc w:val="center"/>
                  </w:pPr>
                </w:p>
              </w:tc>
              <w:tc>
                <w:tcPr>
                  <w:tcW w:w="463" w:type="pct"/>
                  <w:vAlign w:val="center"/>
                </w:tcPr>
                <w:p w14:paraId="0D871749">
                  <w:pPr>
                    <w:ind w:left="-63" w:leftChars="-30" w:right="-63" w:rightChars="-30"/>
                    <w:jc w:val="center"/>
                  </w:pPr>
                  <w:r>
                    <w:t>施工粉尘</w:t>
                  </w:r>
                  <w:r>
                    <w:rPr>
                      <w:rFonts w:hint="eastAsia"/>
                    </w:rPr>
                    <w:t>防治</w:t>
                  </w:r>
                  <w:r>
                    <w:t>措施</w:t>
                  </w:r>
                </w:p>
              </w:tc>
              <w:tc>
                <w:tcPr>
                  <w:tcW w:w="2685" w:type="pct"/>
                  <w:vAlign w:val="center"/>
                </w:tcPr>
                <w:p w14:paraId="12950CB6">
                  <w:pPr>
                    <w:ind w:left="-63" w:leftChars="-30" w:right="-63" w:rightChars="-30"/>
                  </w:pPr>
                  <w:r>
                    <w:t>洒水降尘、施工围挡、临时覆盖。</w:t>
                  </w:r>
                </w:p>
              </w:tc>
              <w:tc>
                <w:tcPr>
                  <w:tcW w:w="642" w:type="pct"/>
                  <w:vMerge w:val="continue"/>
                  <w:vAlign w:val="center"/>
                </w:tcPr>
                <w:p w14:paraId="7B1556A3">
                  <w:pPr>
                    <w:ind w:left="-63" w:leftChars="-30" w:right="-63" w:rightChars="-30"/>
                    <w:jc w:val="center"/>
                  </w:pPr>
                </w:p>
              </w:tc>
              <w:tc>
                <w:tcPr>
                  <w:tcW w:w="721" w:type="pct"/>
                  <w:vMerge w:val="continue"/>
                  <w:vAlign w:val="center"/>
                </w:tcPr>
                <w:p w14:paraId="7CA9B814">
                  <w:pPr>
                    <w:ind w:left="-63" w:leftChars="-30" w:right="-63" w:rightChars="-30"/>
                    <w:jc w:val="center"/>
                  </w:pPr>
                </w:p>
              </w:tc>
            </w:tr>
            <w:tr w14:paraId="5324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89" w:type="pct"/>
                  <w:vMerge w:val="continue"/>
                  <w:vAlign w:val="center"/>
                </w:tcPr>
                <w:p w14:paraId="689C5101">
                  <w:pPr>
                    <w:ind w:left="-63" w:leftChars="-30" w:right="-63" w:rightChars="-30"/>
                    <w:jc w:val="center"/>
                  </w:pPr>
                </w:p>
              </w:tc>
              <w:tc>
                <w:tcPr>
                  <w:tcW w:w="463" w:type="pct"/>
                  <w:vAlign w:val="center"/>
                </w:tcPr>
                <w:p w14:paraId="4FDC8D92">
                  <w:pPr>
                    <w:ind w:left="-63" w:leftChars="-30" w:right="-63" w:rightChars="-30"/>
                    <w:jc w:val="center"/>
                  </w:pPr>
                  <w:r>
                    <w:rPr>
                      <w:rFonts w:hint="eastAsia"/>
                    </w:rPr>
                    <w:t>生态恢复措施</w:t>
                  </w:r>
                </w:p>
              </w:tc>
              <w:tc>
                <w:tcPr>
                  <w:tcW w:w="2685" w:type="pct"/>
                  <w:vAlign w:val="center"/>
                </w:tcPr>
                <w:p w14:paraId="5B2FFDB1">
                  <w:pPr>
                    <w:ind w:left="-63" w:leftChars="-30" w:right="-63" w:rightChars="-30"/>
                  </w:pPr>
                  <w:r>
                    <w:rPr>
                      <w:rFonts w:hint="eastAsia"/>
                    </w:rPr>
                    <w:t>施工结束后对塔基施工场地、牵张场等临时占地进行植被恢复，植被恢复应采用本土物种，禁止引入外来物种。</w:t>
                  </w:r>
                </w:p>
              </w:tc>
              <w:tc>
                <w:tcPr>
                  <w:tcW w:w="642" w:type="pct"/>
                  <w:vMerge w:val="continue"/>
                  <w:vAlign w:val="center"/>
                </w:tcPr>
                <w:p w14:paraId="5B245F78">
                  <w:pPr>
                    <w:ind w:left="-63" w:leftChars="-30" w:right="-63" w:rightChars="-30"/>
                    <w:jc w:val="center"/>
                  </w:pPr>
                </w:p>
              </w:tc>
              <w:tc>
                <w:tcPr>
                  <w:tcW w:w="721" w:type="pct"/>
                  <w:vMerge w:val="continue"/>
                  <w:vAlign w:val="center"/>
                </w:tcPr>
                <w:p w14:paraId="1D6F5537">
                  <w:pPr>
                    <w:ind w:left="-63" w:leftChars="-30" w:right="-63" w:rightChars="-30"/>
                    <w:jc w:val="center"/>
                  </w:pPr>
                </w:p>
              </w:tc>
            </w:tr>
          </w:tbl>
          <w:p w14:paraId="42EB0A7C">
            <w:pPr>
              <w:pStyle w:val="190"/>
              <w:jc w:val="center"/>
            </w:pPr>
          </w:p>
        </w:tc>
      </w:tr>
      <w:tr w14:paraId="5C447B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812" w:type="pct"/>
            <w:vAlign w:val="center"/>
          </w:tcPr>
          <w:p w14:paraId="2425E54E">
            <w:pPr>
              <w:adjustRightInd w:val="0"/>
              <w:snapToGrid w:val="0"/>
              <w:jc w:val="center"/>
              <w:rPr>
                <w:kern w:val="0"/>
                <w:sz w:val="24"/>
              </w:rPr>
            </w:pPr>
            <w:r>
              <w:rPr>
                <w:kern w:val="0"/>
                <w:sz w:val="24"/>
              </w:rPr>
              <w:t>总平面及现场布置</w:t>
            </w:r>
          </w:p>
        </w:tc>
        <w:tc>
          <w:tcPr>
            <w:tcW w:w="4188" w:type="pct"/>
          </w:tcPr>
          <w:p w14:paraId="5CDAB674">
            <w:pPr>
              <w:pStyle w:val="189"/>
              <w:ind w:left="0" w:firstLine="0" w:firstLineChars="0"/>
              <w:jc w:val="both"/>
              <w:rPr>
                <w:b/>
                <w:bCs/>
                <w:sz w:val="24"/>
              </w:rPr>
            </w:pPr>
            <w:r>
              <w:rPr>
                <w:b/>
                <w:bCs/>
                <w:sz w:val="24"/>
              </w:rPr>
              <w:t>1</w:t>
            </w:r>
            <w:r>
              <w:rPr>
                <w:rFonts w:hint="eastAsia"/>
                <w:b/>
                <w:bCs/>
                <w:sz w:val="24"/>
              </w:rPr>
              <w:t>、</w:t>
            </w:r>
            <w:r>
              <w:rPr>
                <w:b/>
                <w:bCs/>
                <w:sz w:val="24"/>
              </w:rPr>
              <w:t>工程布置</w:t>
            </w:r>
          </w:p>
          <w:p w14:paraId="4D96672B">
            <w:pPr>
              <w:pStyle w:val="189"/>
              <w:ind w:left="0" w:right="0" w:firstLine="482"/>
              <w:jc w:val="both"/>
              <w:rPr>
                <w:b/>
                <w:bCs/>
                <w:sz w:val="24"/>
              </w:rPr>
            </w:pPr>
            <w:r>
              <w:rPr>
                <w:b/>
                <w:bCs/>
                <w:sz w:val="24"/>
              </w:rPr>
              <w:t>（1）变电</w:t>
            </w:r>
            <w:r>
              <w:rPr>
                <w:rFonts w:hint="eastAsia"/>
                <w:b/>
                <w:bCs/>
                <w:sz w:val="24"/>
              </w:rPr>
              <w:t>站概况</w:t>
            </w:r>
          </w:p>
          <w:p w14:paraId="1AFD4EB5">
            <w:pPr>
              <w:pStyle w:val="189"/>
              <w:ind w:left="0" w:right="0" w:firstLine="480"/>
              <w:jc w:val="both"/>
              <w:rPr>
                <w:sz w:val="24"/>
              </w:rPr>
            </w:pPr>
            <w:r>
              <w:rPr>
                <w:sz w:val="24"/>
              </w:rPr>
              <w:t>①110kV南冲风电场升压站</w:t>
            </w:r>
          </w:p>
          <w:p w14:paraId="02C13932">
            <w:pPr>
              <w:pStyle w:val="189"/>
              <w:ind w:left="0" w:right="0" w:firstLine="480"/>
              <w:jc w:val="both"/>
            </w:pPr>
            <w:r>
              <w:rPr>
                <w:sz w:val="24"/>
              </w:rPr>
              <w:t>110kV南冲风电场升压站目前</w:t>
            </w:r>
            <w:r>
              <w:rPr>
                <w:rFonts w:hint="eastAsia"/>
                <w:sz w:val="24"/>
              </w:rPr>
              <w:t>正在履行环评手续</w:t>
            </w:r>
            <w:r>
              <w:rPr>
                <w:sz w:val="24"/>
              </w:rPr>
              <w:t>，建设单位为</w:t>
            </w:r>
            <w:r>
              <w:rPr>
                <w:rFonts w:hint="eastAsia"/>
                <w:sz w:val="24"/>
              </w:rPr>
              <w:t>富源云能新能源有限公司</w:t>
            </w:r>
            <w:r>
              <w:rPr>
                <w:sz w:val="24"/>
              </w:rPr>
              <w:t>，设计单位为中国能源建设集团云南省电力设计院有限公司。</w:t>
            </w:r>
            <w:r>
              <w:rPr>
                <w:rFonts w:hint="eastAsia"/>
                <w:sz w:val="24"/>
              </w:rPr>
              <w:t>南冲风电场升压站位于云南省曲靖市富源县营上镇大达村东北方约1km处</w:t>
            </w:r>
            <w:r>
              <w:rPr>
                <w:sz w:val="24"/>
              </w:rPr>
              <w:t>。本次110kV南冲风电场升压站出线侧电磁环境及声环境相关环境影响评价不纳入本次环评。</w:t>
            </w:r>
          </w:p>
          <w:p w14:paraId="49BBD28F">
            <w:pPr>
              <w:spacing w:line="360" w:lineRule="auto"/>
              <w:ind w:firstLine="480" w:firstLineChars="200"/>
            </w:pPr>
            <w:r>
              <w:rPr>
                <w:sz w:val="24"/>
              </w:rPr>
              <w:t>②铜厂变电站</w:t>
            </w:r>
          </w:p>
          <w:p w14:paraId="458995E9">
            <w:pPr>
              <w:pStyle w:val="190"/>
              <w:ind w:firstLine="496" w:firstLineChars="200"/>
              <w:jc w:val="both"/>
              <w:rPr>
                <w:sz w:val="24"/>
                <w:lang w:val="en-US"/>
              </w:rPr>
            </w:pPr>
            <w:r>
              <w:rPr>
                <w:sz w:val="24"/>
                <w:lang w:val="en-US"/>
              </w:rPr>
              <w:t>110kV铜厂变电站于2025年</w:t>
            </w:r>
            <w:r>
              <w:rPr>
                <w:rFonts w:hint="eastAsia"/>
                <w:sz w:val="24"/>
                <w:lang w:val="en-US"/>
              </w:rPr>
              <w:t>1</w:t>
            </w:r>
            <w:r>
              <w:rPr>
                <w:sz w:val="24"/>
                <w:lang w:val="en-US"/>
              </w:rPr>
              <w:t>2</w:t>
            </w:r>
            <w:r>
              <w:rPr>
                <w:rFonts w:hint="eastAsia"/>
                <w:sz w:val="24"/>
                <w:lang w:val="en-US"/>
              </w:rPr>
              <w:t>月</w:t>
            </w:r>
            <w:r>
              <w:rPr>
                <w:sz w:val="24"/>
                <w:lang w:val="en-US"/>
              </w:rPr>
              <w:t>建成投运。站址位于</w:t>
            </w:r>
            <w:r>
              <w:rPr>
                <w:rFonts w:hint="eastAsia"/>
                <w:sz w:val="24"/>
                <w:lang w:val="en-US"/>
              </w:rPr>
              <w:t>曲靖市富源县营上镇岩头村东方0.5km</w:t>
            </w:r>
            <w:r>
              <w:rPr>
                <w:sz w:val="24"/>
                <w:lang w:val="en-US"/>
              </w:rPr>
              <w:t>，</w:t>
            </w:r>
            <w:r>
              <w:rPr>
                <w:rFonts w:hint="eastAsia"/>
                <w:sz w:val="24"/>
                <w:lang w:val="en-US"/>
              </w:rPr>
              <w:t>场址区旁边有S204省道，交通运输条件较为便利</w:t>
            </w:r>
            <w:r>
              <w:rPr>
                <w:sz w:val="24"/>
                <w:lang w:val="en-US"/>
              </w:rPr>
              <w:t>。2023年7月，</w:t>
            </w:r>
            <w:r>
              <w:rPr>
                <w:rFonts w:hint="eastAsia"/>
                <w:sz w:val="24"/>
                <w:lang w:val="en-US"/>
              </w:rPr>
              <w:t>曲靖市生态环境局</w:t>
            </w:r>
            <w:r>
              <w:rPr>
                <w:sz w:val="24"/>
                <w:lang w:val="en-US"/>
              </w:rPr>
              <w:t>以“</w:t>
            </w:r>
            <w:r>
              <w:rPr>
                <w:rFonts w:hint="eastAsia"/>
                <w:sz w:val="24"/>
                <w:lang w:val="en-US"/>
              </w:rPr>
              <w:t>曲环</w:t>
            </w:r>
            <w:r>
              <w:rPr>
                <w:sz w:val="24"/>
                <w:lang w:val="en-US"/>
              </w:rPr>
              <w:t>审</w:t>
            </w:r>
            <w:r>
              <w:rPr>
                <w:rFonts w:hint="eastAsia"/>
                <w:sz w:val="24"/>
                <w:lang w:val="en-US"/>
              </w:rPr>
              <w:t>〔2025〕</w:t>
            </w:r>
            <w:r>
              <w:rPr>
                <w:sz w:val="24"/>
                <w:lang w:val="en-US"/>
              </w:rPr>
              <w:t>52号”文对110</w:t>
            </w:r>
            <w:r>
              <w:rPr>
                <w:rFonts w:hint="eastAsia"/>
                <w:sz w:val="24"/>
                <w:lang w:val="en-US"/>
              </w:rPr>
              <w:t>kV 铜厂输变电工程</w:t>
            </w:r>
            <w:r>
              <w:rPr>
                <w:sz w:val="24"/>
                <w:lang w:val="en-US"/>
              </w:rPr>
              <w:t>环境影响报告表予以批复。</w:t>
            </w:r>
            <w:r>
              <w:rPr>
                <w:rFonts w:hint="eastAsia"/>
                <w:sz w:val="24"/>
                <w:lang w:val="en-US"/>
              </w:rPr>
              <w:t>目前</w:t>
            </w:r>
            <w:r>
              <w:rPr>
                <w:sz w:val="24"/>
                <w:lang w:val="en-US"/>
              </w:rPr>
              <w:t>110kV铜厂变电站</w:t>
            </w:r>
            <w:r>
              <w:rPr>
                <w:rFonts w:hint="eastAsia"/>
                <w:sz w:val="24"/>
                <w:lang w:val="en-US"/>
              </w:rPr>
              <w:t>已投入运行，还未开展环境保护竣工验收工作</w:t>
            </w:r>
            <w:r>
              <w:rPr>
                <w:sz w:val="24"/>
                <w:lang w:val="en-US"/>
              </w:rPr>
              <w:t>。</w:t>
            </w:r>
          </w:p>
          <w:p w14:paraId="6290CB7B">
            <w:pPr>
              <w:pStyle w:val="190"/>
              <w:ind w:firstLine="496" w:firstLineChars="200"/>
              <w:jc w:val="both"/>
              <w:rPr>
                <w:sz w:val="24"/>
                <w:lang w:val="en-US"/>
              </w:rPr>
            </w:pPr>
            <w:r>
              <w:rPr>
                <w:rFonts w:hint="eastAsia"/>
                <w:sz w:val="24"/>
                <w:lang w:val="en-US"/>
              </w:rPr>
              <w:t>根据</w:t>
            </w:r>
            <w:r>
              <w:rPr>
                <w:sz w:val="24"/>
                <w:lang w:val="en-US"/>
              </w:rPr>
              <w:t>现场走访调查，未收到该变电站</w:t>
            </w:r>
            <w:r>
              <w:rPr>
                <w:rFonts w:hint="eastAsia"/>
                <w:sz w:val="24"/>
                <w:lang w:val="en-US"/>
              </w:rPr>
              <w:t>施工期和</w:t>
            </w:r>
            <w:r>
              <w:rPr>
                <w:sz w:val="24"/>
                <w:lang w:val="en-US"/>
              </w:rPr>
              <w:t>运营期环境保护方面投诉问题</w:t>
            </w:r>
            <w:r>
              <w:rPr>
                <w:rFonts w:hint="eastAsia"/>
                <w:sz w:val="24"/>
                <w:szCs w:val="32"/>
                <w:lang w:val="en-US"/>
              </w:rPr>
              <w:t>。</w:t>
            </w:r>
          </w:p>
          <w:p w14:paraId="67DB21E5">
            <w:pPr>
              <w:pStyle w:val="189"/>
              <w:ind w:left="0" w:right="0" w:firstLine="482"/>
              <w:jc w:val="both"/>
              <w:rPr>
                <w:b/>
                <w:bCs/>
                <w:sz w:val="24"/>
              </w:rPr>
            </w:pPr>
            <w:r>
              <w:rPr>
                <w:b/>
                <w:bCs/>
                <w:sz w:val="24"/>
              </w:rPr>
              <w:t>（2）线路工程</w:t>
            </w:r>
          </w:p>
          <w:p w14:paraId="5CB043D4">
            <w:pPr>
              <w:pStyle w:val="190"/>
              <w:rPr>
                <w:b/>
                <w:sz w:val="24"/>
                <w:lang w:val="en-US"/>
              </w:rPr>
            </w:pPr>
            <w:r>
              <w:rPr>
                <w:b/>
                <w:sz w:val="24"/>
                <w:lang w:val="en-US"/>
              </w:rPr>
              <w:t>1）线路路径走向</w:t>
            </w:r>
          </w:p>
          <w:p w14:paraId="7126FC98">
            <w:pPr>
              <w:pStyle w:val="189"/>
              <w:ind w:left="0" w:right="0" w:firstLine="480"/>
              <w:jc w:val="both"/>
              <w:rPr>
                <w:sz w:val="24"/>
                <w:szCs w:val="22"/>
              </w:rPr>
            </w:pPr>
            <w:r>
              <w:rPr>
                <w:rFonts w:hint="eastAsia"/>
                <w:sz w:val="24"/>
                <w:szCs w:val="22"/>
              </w:rPr>
              <w:t>南冲风电场110kV送出线路从南冲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w:t>
            </w:r>
            <w:r>
              <w:rPr>
                <w:rFonts w:hint="eastAsia" w:ascii="宋体" w:hAnsi="宋体"/>
                <w:sz w:val="24"/>
                <w:szCs w:val="24"/>
              </w:rPr>
              <w:t>按单回路架设，</w:t>
            </w:r>
            <w:r>
              <w:rPr>
                <w:rFonts w:hint="eastAsia"/>
                <w:sz w:val="24"/>
                <w:szCs w:val="22"/>
              </w:rPr>
              <w:t>线路全长约4.851km</w:t>
            </w:r>
            <w:r>
              <w:rPr>
                <w:sz w:val="24"/>
              </w:rPr>
              <w:t>，全线位于富源县境内。路径走向详见附图3。</w:t>
            </w:r>
          </w:p>
          <w:p w14:paraId="7FB55896">
            <w:pPr>
              <w:pStyle w:val="190"/>
              <w:ind w:firstLine="498" w:firstLineChars="200"/>
              <w:jc w:val="both"/>
              <w:rPr>
                <w:b/>
                <w:bCs/>
                <w:sz w:val="24"/>
                <w:lang w:val="en-US"/>
              </w:rPr>
            </w:pPr>
            <w:r>
              <w:rPr>
                <w:b/>
                <w:bCs/>
                <w:sz w:val="24"/>
                <w:lang w:val="en-US"/>
              </w:rPr>
              <w:t>2）导地线及排列方式</w:t>
            </w:r>
          </w:p>
          <w:p w14:paraId="6B147EFB">
            <w:pPr>
              <w:pStyle w:val="190"/>
              <w:jc w:val="both"/>
              <w:rPr>
                <w:sz w:val="24"/>
                <w:lang w:val="en-US"/>
              </w:rPr>
            </w:pPr>
            <w:r>
              <w:rPr>
                <w:sz w:val="24"/>
                <w:lang w:val="en-US"/>
              </w:rPr>
              <w:t>按《110kV~750kV架空输电线路设计规范》（GB505452010），</w:t>
            </w:r>
            <w:r>
              <w:rPr>
                <w:rFonts w:hint="eastAsia"/>
                <w:sz w:val="24"/>
                <w:lang w:val="en-US"/>
              </w:rPr>
              <w:t>本工程20mm冰区导线采用JNRLH1/LB20A-240/30铝包钢芯耐热铝合金绞线，30mm冰区导线采用JNRLH2/G5A-240/30型钢芯高强度耐热铝合金绞线。全线双地线架设，20mm冰区采用两根24芯OPGW-80光缆、30mm冰区采用两根24芯OPGW-100光缆</w:t>
            </w:r>
            <w:r>
              <w:rPr>
                <w:sz w:val="24"/>
                <w:lang w:val="en-US"/>
              </w:rPr>
              <w:t>。</w:t>
            </w:r>
          </w:p>
          <w:p w14:paraId="337CBAA6">
            <w:pPr>
              <w:pStyle w:val="190"/>
              <w:jc w:val="both"/>
              <w:rPr>
                <w:sz w:val="24"/>
                <w:lang w:val="en-US"/>
              </w:rPr>
            </w:pPr>
            <w:r>
              <w:rPr>
                <w:sz w:val="24"/>
                <w:lang w:val="en-US"/>
              </w:rPr>
              <w:t>本工程采用</w:t>
            </w:r>
            <w:r>
              <w:rPr>
                <w:rFonts w:hint="eastAsia"/>
                <w:sz w:val="24"/>
                <w:lang w:val="en-US"/>
              </w:rPr>
              <w:t>水平排列和三角排列布置</w:t>
            </w:r>
            <w:r>
              <w:rPr>
                <w:sz w:val="24"/>
                <w:lang w:val="en-US"/>
              </w:rPr>
              <w:t>。</w:t>
            </w:r>
          </w:p>
          <w:p w14:paraId="53113417">
            <w:pPr>
              <w:pStyle w:val="189"/>
              <w:numPr>
                <w:ilvl w:val="0"/>
                <w:numId w:val="1"/>
              </w:numPr>
              <w:ind w:left="0" w:right="0" w:firstLine="482"/>
              <w:jc w:val="both"/>
              <w:rPr>
                <w:b/>
                <w:bCs/>
                <w:sz w:val="24"/>
              </w:rPr>
            </w:pPr>
            <w:r>
              <w:rPr>
                <w:b/>
                <w:bCs/>
                <w:sz w:val="24"/>
              </w:rPr>
              <w:t>塔型、基础及数量</w:t>
            </w:r>
          </w:p>
          <w:p w14:paraId="560842A0">
            <w:pPr>
              <w:spacing w:line="360" w:lineRule="auto"/>
              <w:ind w:firstLine="480" w:firstLineChars="200"/>
              <w:rPr>
                <w:sz w:val="24"/>
              </w:rPr>
            </w:pPr>
            <w:r>
              <w:rPr>
                <w:sz w:val="24"/>
              </w:rPr>
              <w:t>①塔型及数量</w:t>
            </w:r>
          </w:p>
          <w:p w14:paraId="15F0E006">
            <w:pPr>
              <w:spacing w:line="360" w:lineRule="auto"/>
              <w:ind w:firstLine="480" w:firstLineChars="200"/>
              <w:jc w:val="left"/>
              <w:rPr>
                <w:rFonts w:eastAsia="黑体"/>
                <w:sz w:val="24"/>
              </w:rPr>
            </w:pPr>
            <w:r>
              <w:rPr>
                <w:sz w:val="24"/>
              </w:rPr>
              <w:t>本项目共设置铁塔23基，线路拟选铁塔型号及数量见表2-4，塔型图详见附图4。</w:t>
            </w:r>
            <w:bookmarkStart w:id="35" w:name="_Ref21790646"/>
          </w:p>
          <w:p w14:paraId="54CF0F3C">
            <w:pPr>
              <w:ind w:left="432"/>
              <w:jc w:val="center"/>
              <w:rPr>
                <w:rFonts w:eastAsia="黑体"/>
                <w:sz w:val="24"/>
              </w:rPr>
            </w:pPr>
            <w:r>
              <w:rPr>
                <w:rFonts w:eastAsia="黑体"/>
                <w:sz w:val="24"/>
              </w:rPr>
              <w:t>表</w:t>
            </w:r>
            <w:bookmarkEnd w:id="35"/>
            <w:r>
              <w:rPr>
                <w:rFonts w:eastAsia="黑体"/>
                <w:sz w:val="24"/>
              </w:rPr>
              <w:t>2-4本项目线路铁塔选型一览表</w:t>
            </w:r>
          </w:p>
          <w:tbl>
            <w:tblPr>
              <w:tblStyle w:val="45"/>
              <w:tblW w:w="7580" w:type="dxa"/>
              <w:tblInd w:w="0" w:type="dxa"/>
              <w:tblLayout w:type="autofit"/>
              <w:tblCellMar>
                <w:top w:w="0" w:type="dxa"/>
                <w:left w:w="108" w:type="dxa"/>
                <w:bottom w:w="0" w:type="dxa"/>
                <w:right w:w="108" w:type="dxa"/>
              </w:tblCellMar>
            </w:tblPr>
            <w:tblGrid>
              <w:gridCol w:w="788"/>
              <w:gridCol w:w="479"/>
              <w:gridCol w:w="778"/>
              <w:gridCol w:w="1278"/>
              <w:gridCol w:w="494"/>
              <w:gridCol w:w="994"/>
              <w:gridCol w:w="849"/>
              <w:gridCol w:w="848"/>
              <w:gridCol w:w="1072"/>
            </w:tblGrid>
            <w:tr w14:paraId="1BD43765">
              <w:tblPrEx>
                <w:tblCellMar>
                  <w:top w:w="0" w:type="dxa"/>
                  <w:left w:w="108" w:type="dxa"/>
                  <w:bottom w:w="0" w:type="dxa"/>
                  <w:right w:w="108" w:type="dxa"/>
                </w:tblCellMar>
              </w:tblPrEx>
              <w:trPr>
                <w:trHeight w:val="20" w:hRule="atLeast"/>
              </w:trPr>
              <w:tc>
                <w:tcPr>
                  <w:tcW w:w="13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423A3A">
                  <w:pPr>
                    <w:widowControl/>
                    <w:jc w:val="center"/>
                    <w:rPr>
                      <w:color w:val="000000"/>
                      <w:kern w:val="0"/>
                    </w:rPr>
                  </w:pPr>
                  <w:r>
                    <w:rPr>
                      <w:color w:val="000000"/>
                      <w:kern w:val="0"/>
                    </w:rPr>
                    <w:t>线路</w:t>
                  </w:r>
                </w:p>
              </w:tc>
              <w:tc>
                <w:tcPr>
                  <w:tcW w:w="1030" w:type="dxa"/>
                  <w:tcBorders>
                    <w:top w:val="single" w:color="auto" w:sz="4" w:space="0"/>
                    <w:left w:val="nil"/>
                    <w:bottom w:val="single" w:color="auto" w:sz="4" w:space="0"/>
                    <w:right w:val="single" w:color="auto" w:sz="4" w:space="0"/>
                  </w:tcBorders>
                  <w:shd w:val="clear" w:color="auto" w:fill="auto"/>
                  <w:vAlign w:val="center"/>
                </w:tcPr>
                <w:p w14:paraId="12C0872F">
                  <w:pPr>
                    <w:widowControl/>
                    <w:jc w:val="center"/>
                    <w:rPr>
                      <w:color w:val="000000"/>
                      <w:kern w:val="0"/>
                    </w:rPr>
                  </w:pPr>
                  <w:r>
                    <w:rPr>
                      <w:color w:val="000000"/>
                      <w:kern w:val="0"/>
                    </w:rPr>
                    <w:t>塔型类别</w:t>
                  </w:r>
                </w:p>
              </w:tc>
              <w:tc>
                <w:tcPr>
                  <w:tcW w:w="611" w:type="dxa"/>
                  <w:tcBorders>
                    <w:top w:val="single" w:color="auto" w:sz="4" w:space="0"/>
                    <w:left w:val="nil"/>
                    <w:bottom w:val="single" w:color="auto" w:sz="4" w:space="0"/>
                    <w:right w:val="single" w:color="auto" w:sz="4" w:space="0"/>
                  </w:tcBorders>
                  <w:shd w:val="clear" w:color="auto" w:fill="auto"/>
                  <w:vAlign w:val="center"/>
                </w:tcPr>
                <w:p w14:paraId="7F0ECDD1">
                  <w:pPr>
                    <w:widowControl/>
                    <w:jc w:val="center"/>
                    <w:rPr>
                      <w:color w:val="000000"/>
                      <w:kern w:val="0"/>
                    </w:rPr>
                  </w:pPr>
                  <w:r>
                    <w:rPr>
                      <w:color w:val="000000"/>
                      <w:kern w:val="0"/>
                    </w:rPr>
                    <w:t>模块</w:t>
                  </w:r>
                </w:p>
              </w:tc>
              <w:tc>
                <w:tcPr>
                  <w:tcW w:w="525" w:type="dxa"/>
                  <w:tcBorders>
                    <w:top w:val="single" w:color="auto" w:sz="4" w:space="0"/>
                    <w:left w:val="nil"/>
                    <w:bottom w:val="single" w:color="auto" w:sz="4" w:space="0"/>
                    <w:right w:val="single" w:color="auto" w:sz="4" w:space="0"/>
                  </w:tcBorders>
                  <w:shd w:val="clear" w:color="auto" w:fill="auto"/>
                  <w:vAlign w:val="center"/>
                </w:tcPr>
                <w:p w14:paraId="75FAD085">
                  <w:pPr>
                    <w:widowControl/>
                    <w:jc w:val="center"/>
                    <w:rPr>
                      <w:color w:val="000000"/>
                      <w:kern w:val="0"/>
                    </w:rPr>
                  </w:pPr>
                  <w:r>
                    <w:rPr>
                      <w:color w:val="000000"/>
                      <w:kern w:val="0"/>
                    </w:rPr>
                    <w:t>塔型</w:t>
                  </w:r>
                </w:p>
              </w:tc>
              <w:tc>
                <w:tcPr>
                  <w:tcW w:w="1132" w:type="dxa"/>
                  <w:tcBorders>
                    <w:top w:val="single" w:color="auto" w:sz="4" w:space="0"/>
                    <w:left w:val="nil"/>
                    <w:bottom w:val="single" w:color="auto" w:sz="4" w:space="0"/>
                    <w:right w:val="single" w:color="auto" w:sz="4" w:space="0"/>
                  </w:tcBorders>
                  <w:shd w:val="clear" w:color="auto" w:fill="auto"/>
                  <w:vAlign w:val="center"/>
                </w:tcPr>
                <w:p w14:paraId="321E796D">
                  <w:pPr>
                    <w:widowControl/>
                    <w:jc w:val="center"/>
                    <w:rPr>
                      <w:color w:val="000000"/>
                      <w:kern w:val="0"/>
                    </w:rPr>
                  </w:pPr>
                  <w:r>
                    <w:rPr>
                      <w:color w:val="000000"/>
                      <w:kern w:val="0"/>
                    </w:rPr>
                    <w:t>呼高（m）</w:t>
                  </w:r>
                </w:p>
              </w:tc>
              <w:tc>
                <w:tcPr>
                  <w:tcW w:w="851" w:type="dxa"/>
                  <w:tcBorders>
                    <w:top w:val="single" w:color="auto" w:sz="4" w:space="0"/>
                    <w:left w:val="nil"/>
                    <w:bottom w:val="single" w:color="auto" w:sz="4" w:space="0"/>
                    <w:right w:val="single" w:color="auto" w:sz="4" w:space="0"/>
                  </w:tcBorders>
                  <w:shd w:val="clear" w:color="auto" w:fill="auto"/>
                  <w:vAlign w:val="center"/>
                </w:tcPr>
                <w:p w14:paraId="56250EDB">
                  <w:pPr>
                    <w:widowControl/>
                    <w:jc w:val="center"/>
                    <w:rPr>
                      <w:color w:val="000000"/>
                      <w:kern w:val="0"/>
                    </w:rPr>
                  </w:pPr>
                  <w:r>
                    <w:rPr>
                      <w:color w:val="000000"/>
                      <w:kern w:val="0"/>
                    </w:rPr>
                    <w:t>数量（基）</w:t>
                  </w:r>
                </w:p>
              </w:tc>
              <w:tc>
                <w:tcPr>
                  <w:tcW w:w="850" w:type="dxa"/>
                  <w:tcBorders>
                    <w:top w:val="single" w:color="auto" w:sz="4" w:space="0"/>
                    <w:left w:val="nil"/>
                    <w:bottom w:val="single" w:color="auto" w:sz="4" w:space="0"/>
                    <w:right w:val="single" w:color="auto" w:sz="4" w:space="0"/>
                  </w:tcBorders>
                  <w:shd w:val="clear" w:color="auto" w:fill="auto"/>
                  <w:vAlign w:val="center"/>
                </w:tcPr>
                <w:p w14:paraId="66B7D39A">
                  <w:pPr>
                    <w:widowControl/>
                    <w:jc w:val="center"/>
                    <w:rPr>
                      <w:color w:val="000000"/>
                      <w:kern w:val="0"/>
                    </w:rPr>
                  </w:pPr>
                  <w:r>
                    <w:rPr>
                      <w:color w:val="000000"/>
                      <w:kern w:val="0"/>
                    </w:rPr>
                    <w:t>小计（基）</w:t>
                  </w:r>
                </w:p>
              </w:tc>
              <w:tc>
                <w:tcPr>
                  <w:tcW w:w="1276" w:type="dxa"/>
                  <w:tcBorders>
                    <w:top w:val="single" w:color="auto" w:sz="4" w:space="0"/>
                    <w:left w:val="nil"/>
                    <w:bottom w:val="single" w:color="auto" w:sz="4" w:space="0"/>
                    <w:right w:val="single" w:color="auto" w:sz="4" w:space="0"/>
                  </w:tcBorders>
                  <w:shd w:val="clear" w:color="auto" w:fill="auto"/>
                  <w:vAlign w:val="center"/>
                </w:tcPr>
                <w:p w14:paraId="353DB84D">
                  <w:pPr>
                    <w:widowControl/>
                    <w:jc w:val="center"/>
                    <w:rPr>
                      <w:color w:val="000000"/>
                      <w:kern w:val="0"/>
                    </w:rPr>
                  </w:pPr>
                  <w:r>
                    <w:rPr>
                      <w:color w:val="000000"/>
                      <w:kern w:val="0"/>
                    </w:rPr>
                    <w:t>塔基编号</w:t>
                  </w:r>
                </w:p>
              </w:tc>
            </w:tr>
            <w:tr w14:paraId="6620BFC9">
              <w:tblPrEx>
                <w:tblCellMar>
                  <w:top w:w="0" w:type="dxa"/>
                  <w:left w:w="108" w:type="dxa"/>
                  <w:bottom w:w="0" w:type="dxa"/>
                  <w:right w:w="108" w:type="dxa"/>
                </w:tblCellMar>
              </w:tblPrEx>
              <w:trPr>
                <w:trHeight w:val="20" w:hRule="atLeast"/>
              </w:trPr>
              <w:tc>
                <w:tcPr>
                  <w:tcW w:w="788" w:type="dxa"/>
                  <w:vMerge w:val="restart"/>
                  <w:tcBorders>
                    <w:top w:val="nil"/>
                    <w:left w:val="single" w:color="auto" w:sz="4" w:space="0"/>
                    <w:bottom w:val="single" w:color="auto" w:sz="4" w:space="0"/>
                    <w:right w:val="single" w:color="auto" w:sz="4" w:space="0"/>
                  </w:tcBorders>
                  <w:shd w:val="clear" w:color="auto" w:fill="auto"/>
                  <w:vAlign w:val="center"/>
                </w:tcPr>
                <w:p w14:paraId="375DD3DE">
                  <w:pPr>
                    <w:widowControl/>
                    <w:jc w:val="center"/>
                    <w:rPr>
                      <w:color w:val="000000"/>
                      <w:kern w:val="0"/>
                    </w:rPr>
                  </w:pPr>
                  <w:r>
                    <w:rPr>
                      <w:color w:val="000000"/>
                      <w:kern w:val="0"/>
                    </w:rPr>
                    <w:t>110kV南冲风电场升压站～铜厂变线路</w:t>
                  </w:r>
                </w:p>
              </w:tc>
              <w:tc>
                <w:tcPr>
                  <w:tcW w:w="517" w:type="dxa"/>
                  <w:vMerge w:val="restart"/>
                  <w:tcBorders>
                    <w:top w:val="nil"/>
                    <w:left w:val="single" w:color="auto" w:sz="4" w:space="0"/>
                    <w:bottom w:val="single" w:color="auto" w:sz="4" w:space="0"/>
                    <w:right w:val="single" w:color="auto" w:sz="4" w:space="0"/>
                  </w:tcBorders>
                  <w:shd w:val="clear" w:color="auto" w:fill="auto"/>
                  <w:vAlign w:val="center"/>
                </w:tcPr>
                <w:p w14:paraId="2595ABA4">
                  <w:pPr>
                    <w:widowControl/>
                    <w:jc w:val="center"/>
                    <w:rPr>
                      <w:color w:val="000000"/>
                      <w:kern w:val="0"/>
                    </w:rPr>
                  </w:pPr>
                  <w:r>
                    <w:rPr>
                      <w:color w:val="000000"/>
                      <w:kern w:val="0"/>
                    </w:rPr>
                    <w:t>全线单回</w:t>
                  </w:r>
                </w:p>
              </w:tc>
              <w:tc>
                <w:tcPr>
                  <w:tcW w:w="1030" w:type="dxa"/>
                  <w:vMerge w:val="restart"/>
                  <w:tcBorders>
                    <w:top w:val="nil"/>
                    <w:left w:val="single" w:color="auto" w:sz="4" w:space="0"/>
                    <w:bottom w:val="single" w:color="auto" w:sz="4" w:space="0"/>
                    <w:right w:val="single" w:color="auto" w:sz="4" w:space="0"/>
                  </w:tcBorders>
                  <w:shd w:val="clear" w:color="auto" w:fill="auto"/>
                  <w:vAlign w:val="center"/>
                </w:tcPr>
                <w:p w14:paraId="79E66AB2">
                  <w:pPr>
                    <w:widowControl/>
                    <w:jc w:val="center"/>
                    <w:rPr>
                      <w:color w:val="000000"/>
                      <w:kern w:val="0"/>
                    </w:rPr>
                  </w:pPr>
                  <w:r>
                    <w:rPr>
                      <w:color w:val="000000"/>
                      <w:kern w:val="0"/>
                    </w:rPr>
                    <w:t>直线塔</w:t>
                  </w:r>
                </w:p>
              </w:tc>
              <w:tc>
                <w:tcPr>
                  <w:tcW w:w="61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79830BE">
                  <w:pPr>
                    <w:widowControl/>
                    <w:jc w:val="center"/>
                    <w:rPr>
                      <w:color w:val="000000"/>
                      <w:kern w:val="0"/>
                    </w:rPr>
                  </w:pPr>
                  <w:r>
                    <w:rPr>
                      <w:color w:val="000000"/>
                      <w:kern w:val="0"/>
                    </w:rPr>
                    <w:t>V3-1B1Y6</w:t>
                  </w:r>
                </w:p>
              </w:tc>
              <w:tc>
                <w:tcPr>
                  <w:tcW w:w="5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492A916">
                  <w:pPr>
                    <w:widowControl/>
                    <w:jc w:val="center"/>
                    <w:rPr>
                      <w:color w:val="000000"/>
                      <w:kern w:val="0"/>
                    </w:rPr>
                  </w:pPr>
                  <w:r>
                    <w:rPr>
                      <w:color w:val="000000"/>
                      <w:kern w:val="0"/>
                    </w:rPr>
                    <w:t>Z1</w:t>
                  </w:r>
                </w:p>
              </w:tc>
              <w:tc>
                <w:tcPr>
                  <w:tcW w:w="1132" w:type="dxa"/>
                  <w:tcBorders>
                    <w:top w:val="nil"/>
                    <w:left w:val="single" w:color="auto" w:sz="4" w:space="0"/>
                    <w:bottom w:val="single" w:color="auto" w:sz="4" w:space="0"/>
                    <w:right w:val="single" w:color="auto" w:sz="4" w:space="0"/>
                  </w:tcBorders>
                  <w:shd w:val="clear" w:color="auto" w:fill="auto"/>
                  <w:vAlign w:val="center"/>
                </w:tcPr>
                <w:p w14:paraId="496D9672">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0C316B02">
                  <w:pPr>
                    <w:widowControl/>
                    <w:jc w:val="center"/>
                    <w:rPr>
                      <w:color w:val="000000"/>
                      <w:kern w:val="0"/>
                    </w:rPr>
                  </w:pPr>
                  <w:r>
                    <w:rPr>
                      <w:color w:val="000000"/>
                      <w:kern w:val="0"/>
                    </w:rPr>
                    <w:t>1</w:t>
                  </w:r>
                </w:p>
              </w:tc>
              <w:tc>
                <w:tcPr>
                  <w:tcW w:w="8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EE2EC2A">
                  <w:pPr>
                    <w:widowControl/>
                    <w:jc w:val="center"/>
                    <w:rPr>
                      <w:color w:val="000000"/>
                      <w:kern w:val="0"/>
                    </w:rPr>
                  </w:pPr>
                  <w:r>
                    <w:rPr>
                      <w:color w:val="000000"/>
                      <w:kern w:val="0"/>
                    </w:rPr>
                    <w:t>3</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28AE930">
                  <w:pPr>
                    <w:widowControl/>
                    <w:rPr>
                      <w:color w:val="000000"/>
                      <w:kern w:val="0"/>
                    </w:rPr>
                  </w:pPr>
                  <w:r>
                    <w:rPr>
                      <w:color w:val="000000"/>
                      <w:kern w:val="0"/>
                    </w:rPr>
                    <w:t>N2、N7、N9</w:t>
                  </w:r>
                </w:p>
              </w:tc>
            </w:tr>
            <w:tr w14:paraId="650BF53A">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116A6AB3">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3A8BFEFD">
                  <w:pPr>
                    <w:widowControl/>
                    <w:jc w:val="left"/>
                    <w:rPr>
                      <w:color w:val="000000"/>
                      <w:kern w:val="0"/>
                    </w:rPr>
                  </w:pPr>
                </w:p>
              </w:tc>
              <w:tc>
                <w:tcPr>
                  <w:tcW w:w="1030" w:type="dxa"/>
                  <w:vMerge w:val="continue"/>
                  <w:tcBorders>
                    <w:top w:val="nil"/>
                    <w:left w:val="single" w:color="auto" w:sz="4" w:space="0"/>
                    <w:bottom w:val="single" w:color="auto" w:sz="4" w:space="0"/>
                    <w:right w:val="single" w:color="auto" w:sz="4" w:space="0"/>
                  </w:tcBorders>
                  <w:vAlign w:val="center"/>
                </w:tcPr>
                <w:p w14:paraId="27C1FEF6">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585EEF0B">
                  <w:pPr>
                    <w:widowControl/>
                    <w:jc w:val="left"/>
                    <w:rPr>
                      <w:color w:val="000000"/>
                      <w:kern w:val="0"/>
                    </w:rPr>
                  </w:pPr>
                </w:p>
              </w:tc>
              <w:tc>
                <w:tcPr>
                  <w:tcW w:w="525" w:type="dxa"/>
                  <w:vMerge w:val="continue"/>
                  <w:tcBorders>
                    <w:top w:val="single" w:color="auto" w:sz="4" w:space="0"/>
                    <w:left w:val="single" w:color="auto" w:sz="4" w:space="0"/>
                    <w:bottom w:val="single" w:color="000000" w:sz="4" w:space="0"/>
                    <w:right w:val="single" w:color="auto" w:sz="4" w:space="0"/>
                  </w:tcBorders>
                  <w:vAlign w:val="center"/>
                </w:tcPr>
                <w:p w14:paraId="4D05645E">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62E84F26">
                  <w:pPr>
                    <w:widowControl/>
                    <w:jc w:val="center"/>
                    <w:rPr>
                      <w:color w:val="000000"/>
                      <w:kern w:val="0"/>
                    </w:rPr>
                  </w:pPr>
                  <w:r>
                    <w:rPr>
                      <w:color w:val="000000"/>
                      <w:kern w:val="0"/>
                    </w:rPr>
                    <w:t>39</w:t>
                  </w:r>
                </w:p>
              </w:tc>
              <w:tc>
                <w:tcPr>
                  <w:tcW w:w="851" w:type="dxa"/>
                  <w:tcBorders>
                    <w:top w:val="nil"/>
                    <w:left w:val="nil"/>
                    <w:bottom w:val="single" w:color="auto" w:sz="4" w:space="0"/>
                    <w:right w:val="single" w:color="auto" w:sz="4" w:space="0"/>
                  </w:tcBorders>
                  <w:shd w:val="clear" w:color="auto" w:fill="auto"/>
                  <w:vAlign w:val="center"/>
                </w:tcPr>
                <w:p w14:paraId="05315F51">
                  <w:pPr>
                    <w:widowControl/>
                    <w:jc w:val="center"/>
                    <w:rPr>
                      <w:color w:val="000000"/>
                      <w:kern w:val="0"/>
                    </w:rPr>
                  </w:pPr>
                  <w:r>
                    <w:rPr>
                      <w:color w:val="000000"/>
                      <w:kern w:val="0"/>
                    </w:rPr>
                    <w:t>1</w:t>
                  </w: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222593A">
                  <w:pPr>
                    <w:widowControl/>
                    <w:jc w:val="left"/>
                    <w:rPr>
                      <w:color w:val="000000"/>
                      <w:kern w:val="0"/>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0AC5E5C2">
                  <w:pPr>
                    <w:widowControl/>
                    <w:rPr>
                      <w:color w:val="000000"/>
                      <w:kern w:val="0"/>
                    </w:rPr>
                  </w:pPr>
                </w:p>
              </w:tc>
            </w:tr>
            <w:tr w14:paraId="26173C12">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16CBA34A">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1D4412F8">
                  <w:pPr>
                    <w:widowControl/>
                    <w:jc w:val="left"/>
                    <w:rPr>
                      <w:color w:val="000000"/>
                      <w:kern w:val="0"/>
                    </w:rPr>
                  </w:pPr>
                </w:p>
              </w:tc>
              <w:tc>
                <w:tcPr>
                  <w:tcW w:w="1030" w:type="dxa"/>
                  <w:vMerge w:val="continue"/>
                  <w:tcBorders>
                    <w:top w:val="nil"/>
                    <w:left w:val="single" w:color="auto" w:sz="4" w:space="0"/>
                    <w:bottom w:val="single" w:color="auto" w:sz="4" w:space="0"/>
                    <w:right w:val="single" w:color="auto" w:sz="4" w:space="0"/>
                  </w:tcBorders>
                  <w:vAlign w:val="center"/>
                </w:tcPr>
                <w:p w14:paraId="579879B3">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0F81BE6B">
                  <w:pPr>
                    <w:widowControl/>
                    <w:jc w:val="left"/>
                    <w:rPr>
                      <w:color w:val="000000"/>
                      <w:kern w:val="0"/>
                    </w:rPr>
                  </w:pPr>
                </w:p>
              </w:tc>
              <w:tc>
                <w:tcPr>
                  <w:tcW w:w="525" w:type="dxa"/>
                  <w:vMerge w:val="continue"/>
                  <w:tcBorders>
                    <w:top w:val="single" w:color="auto" w:sz="4" w:space="0"/>
                    <w:left w:val="single" w:color="auto" w:sz="4" w:space="0"/>
                    <w:bottom w:val="single" w:color="000000" w:sz="4" w:space="0"/>
                    <w:right w:val="single" w:color="auto" w:sz="4" w:space="0"/>
                  </w:tcBorders>
                  <w:vAlign w:val="center"/>
                </w:tcPr>
                <w:p w14:paraId="7F72C20B">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708B2285">
                  <w:pPr>
                    <w:widowControl/>
                    <w:jc w:val="center"/>
                    <w:rPr>
                      <w:color w:val="000000"/>
                      <w:kern w:val="0"/>
                    </w:rPr>
                  </w:pPr>
                  <w:r>
                    <w:rPr>
                      <w:color w:val="000000"/>
                      <w:kern w:val="0"/>
                    </w:rPr>
                    <w:t>42</w:t>
                  </w:r>
                </w:p>
              </w:tc>
              <w:tc>
                <w:tcPr>
                  <w:tcW w:w="851" w:type="dxa"/>
                  <w:tcBorders>
                    <w:top w:val="nil"/>
                    <w:left w:val="nil"/>
                    <w:bottom w:val="single" w:color="auto" w:sz="4" w:space="0"/>
                    <w:right w:val="single" w:color="auto" w:sz="4" w:space="0"/>
                  </w:tcBorders>
                  <w:shd w:val="clear" w:color="auto" w:fill="auto"/>
                  <w:vAlign w:val="center"/>
                </w:tcPr>
                <w:p w14:paraId="24B83258">
                  <w:pPr>
                    <w:widowControl/>
                    <w:jc w:val="center"/>
                    <w:rPr>
                      <w:color w:val="000000"/>
                      <w:kern w:val="0"/>
                    </w:rPr>
                  </w:pPr>
                  <w:r>
                    <w:rPr>
                      <w:color w:val="000000"/>
                      <w:kern w:val="0"/>
                    </w:rPr>
                    <w:t>1</w:t>
                  </w: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49700E58">
                  <w:pPr>
                    <w:widowControl/>
                    <w:jc w:val="left"/>
                    <w:rPr>
                      <w:color w:val="000000"/>
                      <w:kern w:val="0"/>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14:paraId="6AE31E88">
                  <w:pPr>
                    <w:widowControl/>
                    <w:rPr>
                      <w:color w:val="000000"/>
                      <w:kern w:val="0"/>
                    </w:rPr>
                  </w:pPr>
                </w:p>
              </w:tc>
            </w:tr>
            <w:tr w14:paraId="36AE26EC">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64685155">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11051F12">
                  <w:pPr>
                    <w:widowControl/>
                    <w:jc w:val="left"/>
                    <w:rPr>
                      <w:color w:val="000000"/>
                      <w:kern w:val="0"/>
                    </w:rPr>
                  </w:pPr>
                </w:p>
              </w:tc>
              <w:tc>
                <w:tcPr>
                  <w:tcW w:w="1030" w:type="dxa"/>
                  <w:vMerge w:val="continue"/>
                  <w:tcBorders>
                    <w:top w:val="nil"/>
                    <w:left w:val="single" w:color="auto" w:sz="4" w:space="0"/>
                    <w:bottom w:val="single" w:color="auto" w:sz="4" w:space="0"/>
                    <w:right w:val="single" w:color="auto" w:sz="4" w:space="0"/>
                  </w:tcBorders>
                  <w:vAlign w:val="center"/>
                </w:tcPr>
                <w:p w14:paraId="0C85AC51">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7F304A6E">
                  <w:pPr>
                    <w:widowControl/>
                    <w:jc w:val="left"/>
                    <w:rPr>
                      <w:color w:val="000000"/>
                      <w:kern w:val="0"/>
                    </w:rPr>
                  </w:pPr>
                </w:p>
              </w:tc>
              <w:tc>
                <w:tcPr>
                  <w:tcW w:w="525" w:type="dxa"/>
                  <w:vMerge w:val="restart"/>
                  <w:tcBorders>
                    <w:top w:val="nil"/>
                    <w:left w:val="single" w:color="auto" w:sz="4" w:space="0"/>
                    <w:bottom w:val="single" w:color="000000" w:sz="4" w:space="0"/>
                    <w:right w:val="single" w:color="auto" w:sz="4" w:space="0"/>
                  </w:tcBorders>
                  <w:shd w:val="clear" w:color="auto" w:fill="auto"/>
                  <w:vAlign w:val="center"/>
                </w:tcPr>
                <w:p w14:paraId="7AA46833">
                  <w:pPr>
                    <w:widowControl/>
                    <w:jc w:val="center"/>
                    <w:rPr>
                      <w:color w:val="000000"/>
                      <w:kern w:val="0"/>
                    </w:rPr>
                  </w:pPr>
                  <w:r>
                    <w:rPr>
                      <w:color w:val="000000"/>
                      <w:kern w:val="0"/>
                    </w:rPr>
                    <w:t>Z2</w:t>
                  </w:r>
                </w:p>
              </w:tc>
              <w:tc>
                <w:tcPr>
                  <w:tcW w:w="1132" w:type="dxa"/>
                  <w:tcBorders>
                    <w:top w:val="nil"/>
                    <w:left w:val="single" w:color="auto" w:sz="4" w:space="0"/>
                    <w:bottom w:val="single" w:color="auto" w:sz="4" w:space="0"/>
                    <w:right w:val="single" w:color="auto" w:sz="4" w:space="0"/>
                  </w:tcBorders>
                  <w:shd w:val="clear" w:color="auto" w:fill="auto"/>
                  <w:vAlign w:val="center"/>
                </w:tcPr>
                <w:p w14:paraId="103E71AE">
                  <w:pPr>
                    <w:widowControl/>
                    <w:jc w:val="center"/>
                    <w:rPr>
                      <w:color w:val="000000"/>
                      <w:kern w:val="0"/>
                    </w:rPr>
                  </w:pPr>
                  <w:r>
                    <w:rPr>
                      <w:color w:val="000000"/>
                      <w:kern w:val="0"/>
                    </w:rPr>
                    <w:t>36</w:t>
                  </w:r>
                </w:p>
              </w:tc>
              <w:tc>
                <w:tcPr>
                  <w:tcW w:w="851" w:type="dxa"/>
                  <w:tcBorders>
                    <w:top w:val="nil"/>
                    <w:left w:val="nil"/>
                    <w:bottom w:val="single" w:color="auto" w:sz="4" w:space="0"/>
                    <w:right w:val="single" w:color="auto" w:sz="4" w:space="0"/>
                  </w:tcBorders>
                  <w:shd w:val="clear" w:color="auto" w:fill="auto"/>
                  <w:vAlign w:val="center"/>
                </w:tcPr>
                <w:p w14:paraId="469BCB25">
                  <w:pPr>
                    <w:widowControl/>
                    <w:jc w:val="center"/>
                    <w:rPr>
                      <w:color w:val="000000"/>
                      <w:kern w:val="0"/>
                    </w:rPr>
                  </w:pPr>
                  <w:r>
                    <w:rPr>
                      <w:color w:val="000000"/>
                      <w:kern w:val="0"/>
                    </w:rPr>
                    <w:t>2</w:t>
                  </w:r>
                </w:p>
              </w:tc>
              <w:tc>
                <w:tcPr>
                  <w:tcW w:w="850" w:type="dxa"/>
                  <w:vMerge w:val="restart"/>
                  <w:tcBorders>
                    <w:top w:val="nil"/>
                    <w:left w:val="single" w:color="auto" w:sz="4" w:space="0"/>
                    <w:bottom w:val="single" w:color="000000" w:sz="4" w:space="0"/>
                    <w:right w:val="single" w:color="auto" w:sz="4" w:space="0"/>
                  </w:tcBorders>
                  <w:shd w:val="clear" w:color="auto" w:fill="auto"/>
                  <w:vAlign w:val="center"/>
                </w:tcPr>
                <w:p w14:paraId="61CD275A">
                  <w:pPr>
                    <w:widowControl/>
                    <w:jc w:val="center"/>
                    <w:rPr>
                      <w:color w:val="000000"/>
                      <w:kern w:val="0"/>
                    </w:rPr>
                  </w:pPr>
                  <w:r>
                    <w:rPr>
                      <w:color w:val="000000"/>
                      <w:kern w:val="0"/>
                    </w:rPr>
                    <w:t>4</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166B8A87">
                  <w:pPr>
                    <w:widowControl/>
                    <w:rPr>
                      <w:color w:val="000000"/>
                      <w:kern w:val="0"/>
                    </w:rPr>
                  </w:pPr>
                  <w:r>
                    <w:rPr>
                      <w:color w:val="000000"/>
                      <w:kern w:val="0"/>
                    </w:rPr>
                    <w:t>N4、N5、N12、N20</w:t>
                  </w:r>
                </w:p>
              </w:tc>
            </w:tr>
            <w:tr w14:paraId="29BC0561">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52180952">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7F2A639B">
                  <w:pPr>
                    <w:widowControl/>
                    <w:jc w:val="left"/>
                    <w:rPr>
                      <w:color w:val="000000"/>
                      <w:kern w:val="0"/>
                    </w:rPr>
                  </w:pPr>
                </w:p>
              </w:tc>
              <w:tc>
                <w:tcPr>
                  <w:tcW w:w="1030" w:type="dxa"/>
                  <w:vMerge w:val="continue"/>
                  <w:tcBorders>
                    <w:top w:val="nil"/>
                    <w:left w:val="single" w:color="auto" w:sz="4" w:space="0"/>
                    <w:bottom w:val="single" w:color="auto" w:sz="4" w:space="0"/>
                    <w:right w:val="single" w:color="auto" w:sz="4" w:space="0"/>
                  </w:tcBorders>
                  <w:vAlign w:val="center"/>
                </w:tcPr>
                <w:p w14:paraId="183C22D4">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5610D9AF">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5F7BF107">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30DA8D4F">
                  <w:pPr>
                    <w:widowControl/>
                    <w:jc w:val="center"/>
                    <w:rPr>
                      <w:color w:val="000000"/>
                      <w:kern w:val="0"/>
                    </w:rPr>
                  </w:pPr>
                  <w:r>
                    <w:rPr>
                      <w:color w:val="000000"/>
                      <w:kern w:val="0"/>
                    </w:rPr>
                    <w:t>39</w:t>
                  </w:r>
                </w:p>
              </w:tc>
              <w:tc>
                <w:tcPr>
                  <w:tcW w:w="851" w:type="dxa"/>
                  <w:tcBorders>
                    <w:top w:val="nil"/>
                    <w:left w:val="nil"/>
                    <w:bottom w:val="single" w:color="auto" w:sz="4" w:space="0"/>
                    <w:right w:val="single" w:color="auto" w:sz="4" w:space="0"/>
                  </w:tcBorders>
                  <w:shd w:val="clear" w:color="auto" w:fill="auto"/>
                  <w:vAlign w:val="center"/>
                </w:tcPr>
                <w:p w14:paraId="4B6BDB87">
                  <w:pPr>
                    <w:widowControl/>
                    <w:jc w:val="center"/>
                    <w:rPr>
                      <w:color w:val="000000"/>
                      <w:kern w:val="0"/>
                    </w:rPr>
                  </w:pPr>
                  <w:r>
                    <w:rPr>
                      <w:color w:val="000000"/>
                      <w:kern w:val="0"/>
                    </w:rPr>
                    <w:t>1</w:t>
                  </w:r>
                </w:p>
              </w:tc>
              <w:tc>
                <w:tcPr>
                  <w:tcW w:w="850" w:type="dxa"/>
                  <w:vMerge w:val="continue"/>
                  <w:tcBorders>
                    <w:top w:val="nil"/>
                    <w:left w:val="single" w:color="auto" w:sz="4" w:space="0"/>
                    <w:bottom w:val="single" w:color="000000" w:sz="4" w:space="0"/>
                    <w:right w:val="single" w:color="auto" w:sz="4" w:space="0"/>
                  </w:tcBorders>
                  <w:vAlign w:val="center"/>
                </w:tcPr>
                <w:p w14:paraId="03D19CFE">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1B8072AD">
                  <w:pPr>
                    <w:widowControl/>
                    <w:rPr>
                      <w:color w:val="000000"/>
                      <w:kern w:val="0"/>
                    </w:rPr>
                  </w:pPr>
                </w:p>
              </w:tc>
            </w:tr>
            <w:tr w14:paraId="539B5D79">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2D272C5C">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52DDA242">
                  <w:pPr>
                    <w:widowControl/>
                    <w:jc w:val="left"/>
                    <w:rPr>
                      <w:color w:val="000000"/>
                      <w:kern w:val="0"/>
                    </w:rPr>
                  </w:pPr>
                </w:p>
              </w:tc>
              <w:tc>
                <w:tcPr>
                  <w:tcW w:w="1030" w:type="dxa"/>
                  <w:vMerge w:val="continue"/>
                  <w:tcBorders>
                    <w:top w:val="nil"/>
                    <w:left w:val="single" w:color="auto" w:sz="4" w:space="0"/>
                    <w:bottom w:val="single" w:color="auto" w:sz="4" w:space="0"/>
                    <w:right w:val="single" w:color="auto" w:sz="4" w:space="0"/>
                  </w:tcBorders>
                  <w:vAlign w:val="center"/>
                </w:tcPr>
                <w:p w14:paraId="1BA699D7">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61689B1B">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05133806">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4D58F028">
                  <w:pPr>
                    <w:widowControl/>
                    <w:jc w:val="center"/>
                    <w:rPr>
                      <w:color w:val="000000"/>
                      <w:kern w:val="0"/>
                    </w:rPr>
                  </w:pPr>
                  <w:r>
                    <w:rPr>
                      <w:color w:val="000000"/>
                      <w:kern w:val="0"/>
                    </w:rPr>
                    <w:t>42</w:t>
                  </w:r>
                </w:p>
              </w:tc>
              <w:tc>
                <w:tcPr>
                  <w:tcW w:w="851" w:type="dxa"/>
                  <w:tcBorders>
                    <w:top w:val="nil"/>
                    <w:left w:val="nil"/>
                    <w:bottom w:val="single" w:color="auto" w:sz="4" w:space="0"/>
                    <w:right w:val="single" w:color="auto" w:sz="4" w:space="0"/>
                  </w:tcBorders>
                  <w:shd w:val="clear" w:color="auto" w:fill="auto"/>
                  <w:vAlign w:val="center"/>
                </w:tcPr>
                <w:p w14:paraId="68020E4A">
                  <w:pPr>
                    <w:widowControl/>
                    <w:jc w:val="center"/>
                    <w:rPr>
                      <w:color w:val="000000"/>
                      <w:kern w:val="0"/>
                    </w:rPr>
                  </w:pPr>
                  <w:r>
                    <w:rPr>
                      <w:color w:val="000000"/>
                      <w:kern w:val="0"/>
                    </w:rPr>
                    <w:t>1</w:t>
                  </w:r>
                </w:p>
              </w:tc>
              <w:tc>
                <w:tcPr>
                  <w:tcW w:w="850" w:type="dxa"/>
                  <w:vMerge w:val="continue"/>
                  <w:tcBorders>
                    <w:top w:val="nil"/>
                    <w:left w:val="single" w:color="auto" w:sz="4" w:space="0"/>
                    <w:bottom w:val="single" w:color="000000" w:sz="4" w:space="0"/>
                    <w:right w:val="single" w:color="auto" w:sz="4" w:space="0"/>
                  </w:tcBorders>
                  <w:vAlign w:val="center"/>
                </w:tcPr>
                <w:p w14:paraId="31EB0BF8">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2136EFD4">
                  <w:pPr>
                    <w:widowControl/>
                    <w:rPr>
                      <w:color w:val="000000"/>
                      <w:kern w:val="0"/>
                    </w:rPr>
                  </w:pPr>
                </w:p>
              </w:tc>
            </w:tr>
            <w:tr w14:paraId="383D9D32">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0A5DD369">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4C841E90">
                  <w:pPr>
                    <w:widowControl/>
                    <w:jc w:val="left"/>
                    <w:rPr>
                      <w:color w:val="000000"/>
                      <w:kern w:val="0"/>
                    </w:rPr>
                  </w:pPr>
                </w:p>
              </w:tc>
              <w:tc>
                <w:tcPr>
                  <w:tcW w:w="103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39555BB">
                  <w:pPr>
                    <w:widowControl/>
                    <w:jc w:val="center"/>
                    <w:rPr>
                      <w:color w:val="000000"/>
                      <w:kern w:val="0"/>
                    </w:rPr>
                  </w:pPr>
                  <w:r>
                    <w:rPr>
                      <w:color w:val="000000"/>
                      <w:kern w:val="0"/>
                    </w:rPr>
                    <w:t>耐张塔</w:t>
                  </w: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13068B21">
                  <w:pPr>
                    <w:widowControl/>
                    <w:jc w:val="left"/>
                    <w:rPr>
                      <w:color w:val="000000"/>
                      <w:kern w:val="0"/>
                    </w:rPr>
                  </w:pPr>
                </w:p>
              </w:tc>
              <w:tc>
                <w:tcPr>
                  <w:tcW w:w="525" w:type="dxa"/>
                  <w:vMerge w:val="restart"/>
                  <w:tcBorders>
                    <w:top w:val="nil"/>
                    <w:left w:val="single" w:color="auto" w:sz="4" w:space="0"/>
                    <w:bottom w:val="single" w:color="000000" w:sz="4" w:space="0"/>
                    <w:right w:val="single" w:color="auto" w:sz="4" w:space="0"/>
                  </w:tcBorders>
                  <w:shd w:val="clear" w:color="auto" w:fill="auto"/>
                  <w:vAlign w:val="center"/>
                </w:tcPr>
                <w:p w14:paraId="7D141A32">
                  <w:pPr>
                    <w:widowControl/>
                    <w:jc w:val="center"/>
                    <w:rPr>
                      <w:color w:val="000000"/>
                      <w:kern w:val="0"/>
                    </w:rPr>
                  </w:pPr>
                  <w:r>
                    <w:rPr>
                      <w:color w:val="000000"/>
                      <w:kern w:val="0"/>
                    </w:rPr>
                    <w:t>J1</w:t>
                  </w:r>
                </w:p>
              </w:tc>
              <w:tc>
                <w:tcPr>
                  <w:tcW w:w="1132" w:type="dxa"/>
                  <w:tcBorders>
                    <w:top w:val="nil"/>
                    <w:left w:val="single" w:color="auto" w:sz="4" w:space="0"/>
                    <w:bottom w:val="single" w:color="auto" w:sz="4" w:space="0"/>
                    <w:right w:val="single" w:color="auto" w:sz="4" w:space="0"/>
                  </w:tcBorders>
                  <w:shd w:val="clear" w:color="auto" w:fill="auto"/>
                  <w:vAlign w:val="center"/>
                </w:tcPr>
                <w:p w14:paraId="073DECA0">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6DAB5E5C">
                  <w:pPr>
                    <w:widowControl/>
                    <w:jc w:val="center"/>
                    <w:rPr>
                      <w:color w:val="000000"/>
                      <w:kern w:val="0"/>
                    </w:rPr>
                  </w:pPr>
                  <w:r>
                    <w:rPr>
                      <w:color w:val="000000"/>
                      <w:kern w:val="0"/>
                    </w:rPr>
                    <w:t>1</w:t>
                  </w:r>
                </w:p>
              </w:tc>
              <w:tc>
                <w:tcPr>
                  <w:tcW w:w="850" w:type="dxa"/>
                  <w:vMerge w:val="restart"/>
                  <w:tcBorders>
                    <w:top w:val="nil"/>
                    <w:left w:val="single" w:color="auto" w:sz="4" w:space="0"/>
                    <w:bottom w:val="single" w:color="000000" w:sz="4" w:space="0"/>
                    <w:right w:val="single" w:color="auto" w:sz="4" w:space="0"/>
                  </w:tcBorders>
                  <w:shd w:val="clear" w:color="auto" w:fill="auto"/>
                  <w:vAlign w:val="center"/>
                </w:tcPr>
                <w:p w14:paraId="624FDE04">
                  <w:pPr>
                    <w:widowControl/>
                    <w:jc w:val="center"/>
                    <w:rPr>
                      <w:color w:val="000000"/>
                      <w:kern w:val="0"/>
                    </w:rPr>
                  </w:pPr>
                  <w:r>
                    <w:rPr>
                      <w:color w:val="000000"/>
                      <w:kern w:val="0"/>
                    </w:rPr>
                    <w:t>3</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2D051D31">
                  <w:pPr>
                    <w:widowControl/>
                    <w:rPr>
                      <w:color w:val="000000"/>
                      <w:kern w:val="0"/>
                    </w:rPr>
                  </w:pPr>
                  <w:r>
                    <w:rPr>
                      <w:color w:val="000000"/>
                      <w:kern w:val="0"/>
                    </w:rPr>
                    <w:t>N3、N6、N8</w:t>
                  </w:r>
                </w:p>
              </w:tc>
            </w:tr>
            <w:tr w14:paraId="65AAE0B0">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2EC44A14">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3B5A9C9C">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1E36E11E">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3A670A93">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1E0D789B">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05D88590">
                  <w:pPr>
                    <w:widowControl/>
                    <w:jc w:val="center"/>
                    <w:rPr>
                      <w:color w:val="000000"/>
                      <w:kern w:val="0"/>
                    </w:rPr>
                  </w:pPr>
                  <w:r>
                    <w:rPr>
                      <w:color w:val="000000"/>
                      <w:kern w:val="0"/>
                    </w:rPr>
                    <w:t>36</w:t>
                  </w:r>
                </w:p>
              </w:tc>
              <w:tc>
                <w:tcPr>
                  <w:tcW w:w="851" w:type="dxa"/>
                  <w:tcBorders>
                    <w:top w:val="nil"/>
                    <w:left w:val="nil"/>
                    <w:bottom w:val="single" w:color="auto" w:sz="4" w:space="0"/>
                    <w:right w:val="single" w:color="auto" w:sz="4" w:space="0"/>
                  </w:tcBorders>
                  <w:shd w:val="clear" w:color="auto" w:fill="auto"/>
                  <w:vAlign w:val="center"/>
                </w:tcPr>
                <w:p w14:paraId="5E88A214">
                  <w:pPr>
                    <w:widowControl/>
                    <w:jc w:val="center"/>
                    <w:rPr>
                      <w:color w:val="000000"/>
                      <w:kern w:val="0"/>
                    </w:rPr>
                  </w:pPr>
                  <w:r>
                    <w:rPr>
                      <w:color w:val="000000"/>
                      <w:kern w:val="0"/>
                    </w:rPr>
                    <w:t>2</w:t>
                  </w:r>
                </w:p>
              </w:tc>
              <w:tc>
                <w:tcPr>
                  <w:tcW w:w="850" w:type="dxa"/>
                  <w:vMerge w:val="continue"/>
                  <w:tcBorders>
                    <w:top w:val="nil"/>
                    <w:left w:val="single" w:color="auto" w:sz="4" w:space="0"/>
                    <w:bottom w:val="single" w:color="000000" w:sz="4" w:space="0"/>
                    <w:right w:val="single" w:color="auto" w:sz="4" w:space="0"/>
                  </w:tcBorders>
                  <w:vAlign w:val="center"/>
                </w:tcPr>
                <w:p w14:paraId="3ABEBF05">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42B2EFEB">
                  <w:pPr>
                    <w:widowControl/>
                    <w:rPr>
                      <w:color w:val="000000"/>
                      <w:kern w:val="0"/>
                    </w:rPr>
                  </w:pPr>
                </w:p>
              </w:tc>
            </w:tr>
            <w:tr w14:paraId="1C433997">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677AA35E">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66DA2869">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5A4D2720">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5CE2CE71">
                  <w:pPr>
                    <w:widowControl/>
                    <w:jc w:val="left"/>
                    <w:rPr>
                      <w:color w:val="000000"/>
                      <w:kern w:val="0"/>
                    </w:rPr>
                  </w:pPr>
                </w:p>
              </w:tc>
              <w:tc>
                <w:tcPr>
                  <w:tcW w:w="525" w:type="dxa"/>
                  <w:vMerge w:val="restart"/>
                  <w:tcBorders>
                    <w:top w:val="nil"/>
                    <w:left w:val="single" w:color="auto" w:sz="4" w:space="0"/>
                    <w:bottom w:val="single" w:color="000000" w:sz="4" w:space="0"/>
                    <w:right w:val="single" w:color="auto" w:sz="4" w:space="0"/>
                  </w:tcBorders>
                  <w:shd w:val="clear" w:color="auto" w:fill="auto"/>
                  <w:vAlign w:val="center"/>
                </w:tcPr>
                <w:p w14:paraId="04169A66">
                  <w:pPr>
                    <w:widowControl/>
                    <w:jc w:val="center"/>
                    <w:rPr>
                      <w:color w:val="000000"/>
                      <w:kern w:val="0"/>
                    </w:rPr>
                  </w:pPr>
                  <w:r>
                    <w:rPr>
                      <w:color w:val="000000"/>
                      <w:kern w:val="0"/>
                    </w:rPr>
                    <w:t>J2</w:t>
                  </w:r>
                </w:p>
              </w:tc>
              <w:tc>
                <w:tcPr>
                  <w:tcW w:w="1132" w:type="dxa"/>
                  <w:tcBorders>
                    <w:top w:val="nil"/>
                    <w:left w:val="single" w:color="auto" w:sz="4" w:space="0"/>
                    <w:bottom w:val="single" w:color="auto" w:sz="4" w:space="0"/>
                    <w:right w:val="single" w:color="auto" w:sz="4" w:space="0"/>
                  </w:tcBorders>
                  <w:shd w:val="clear" w:color="auto" w:fill="auto"/>
                  <w:vAlign w:val="center"/>
                </w:tcPr>
                <w:p w14:paraId="722DEA42">
                  <w:pPr>
                    <w:widowControl/>
                    <w:jc w:val="center"/>
                    <w:rPr>
                      <w:color w:val="000000"/>
                      <w:kern w:val="0"/>
                    </w:rPr>
                  </w:pPr>
                  <w:r>
                    <w:rPr>
                      <w:color w:val="000000"/>
                      <w:kern w:val="0"/>
                    </w:rPr>
                    <w:t>30</w:t>
                  </w:r>
                </w:p>
              </w:tc>
              <w:tc>
                <w:tcPr>
                  <w:tcW w:w="851" w:type="dxa"/>
                  <w:tcBorders>
                    <w:top w:val="nil"/>
                    <w:left w:val="nil"/>
                    <w:bottom w:val="single" w:color="auto" w:sz="4" w:space="0"/>
                    <w:right w:val="single" w:color="auto" w:sz="4" w:space="0"/>
                  </w:tcBorders>
                  <w:shd w:val="clear" w:color="auto" w:fill="auto"/>
                  <w:vAlign w:val="center"/>
                </w:tcPr>
                <w:p w14:paraId="6680D073">
                  <w:pPr>
                    <w:widowControl/>
                    <w:jc w:val="center"/>
                    <w:rPr>
                      <w:color w:val="000000"/>
                      <w:kern w:val="0"/>
                    </w:rPr>
                  </w:pPr>
                  <w:r>
                    <w:rPr>
                      <w:color w:val="000000"/>
                      <w:kern w:val="0"/>
                    </w:rPr>
                    <w:t>1</w:t>
                  </w:r>
                </w:p>
              </w:tc>
              <w:tc>
                <w:tcPr>
                  <w:tcW w:w="850" w:type="dxa"/>
                  <w:vMerge w:val="restart"/>
                  <w:tcBorders>
                    <w:top w:val="nil"/>
                    <w:left w:val="single" w:color="auto" w:sz="4" w:space="0"/>
                    <w:bottom w:val="single" w:color="000000" w:sz="4" w:space="0"/>
                    <w:right w:val="single" w:color="auto" w:sz="4" w:space="0"/>
                  </w:tcBorders>
                  <w:shd w:val="clear" w:color="auto" w:fill="auto"/>
                  <w:vAlign w:val="center"/>
                </w:tcPr>
                <w:p w14:paraId="76C9A9F6">
                  <w:pPr>
                    <w:widowControl/>
                    <w:jc w:val="center"/>
                    <w:rPr>
                      <w:color w:val="000000"/>
                      <w:kern w:val="0"/>
                    </w:rPr>
                  </w:pPr>
                  <w:r>
                    <w:rPr>
                      <w:color w:val="000000"/>
                      <w:kern w:val="0"/>
                    </w:rPr>
                    <w:t>4</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318A2892">
                  <w:pPr>
                    <w:widowControl/>
                    <w:rPr>
                      <w:color w:val="000000"/>
                      <w:kern w:val="0"/>
                    </w:rPr>
                  </w:pPr>
                  <w:r>
                    <w:rPr>
                      <w:color w:val="000000"/>
                      <w:kern w:val="0"/>
                    </w:rPr>
                    <w:t>N10、N11、N17、N18</w:t>
                  </w:r>
                </w:p>
              </w:tc>
            </w:tr>
            <w:tr w14:paraId="5AF6D966">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5A051372">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0FC7E218">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023978DB">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71DE1DA2">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7123B2E8">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01936426">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0E75AEA5">
                  <w:pPr>
                    <w:widowControl/>
                    <w:jc w:val="center"/>
                    <w:rPr>
                      <w:color w:val="000000"/>
                      <w:kern w:val="0"/>
                    </w:rPr>
                  </w:pPr>
                  <w:r>
                    <w:rPr>
                      <w:color w:val="000000"/>
                      <w:kern w:val="0"/>
                    </w:rPr>
                    <w:t>1</w:t>
                  </w:r>
                </w:p>
              </w:tc>
              <w:tc>
                <w:tcPr>
                  <w:tcW w:w="850" w:type="dxa"/>
                  <w:vMerge w:val="continue"/>
                  <w:tcBorders>
                    <w:top w:val="nil"/>
                    <w:left w:val="single" w:color="auto" w:sz="4" w:space="0"/>
                    <w:bottom w:val="single" w:color="000000" w:sz="4" w:space="0"/>
                    <w:right w:val="single" w:color="auto" w:sz="4" w:space="0"/>
                  </w:tcBorders>
                  <w:vAlign w:val="center"/>
                </w:tcPr>
                <w:p w14:paraId="53B9A331">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13B67D6F">
                  <w:pPr>
                    <w:widowControl/>
                    <w:rPr>
                      <w:color w:val="000000"/>
                      <w:kern w:val="0"/>
                    </w:rPr>
                  </w:pPr>
                </w:p>
              </w:tc>
            </w:tr>
            <w:tr w14:paraId="13E0911A">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4AFF023C">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34058C04">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53D95596">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53B5370E">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6A0DEC93">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3339B119">
                  <w:pPr>
                    <w:widowControl/>
                    <w:jc w:val="center"/>
                    <w:rPr>
                      <w:color w:val="000000"/>
                      <w:kern w:val="0"/>
                    </w:rPr>
                  </w:pPr>
                  <w:r>
                    <w:rPr>
                      <w:color w:val="000000"/>
                      <w:kern w:val="0"/>
                    </w:rPr>
                    <w:t>36</w:t>
                  </w:r>
                </w:p>
              </w:tc>
              <w:tc>
                <w:tcPr>
                  <w:tcW w:w="851" w:type="dxa"/>
                  <w:tcBorders>
                    <w:top w:val="nil"/>
                    <w:left w:val="nil"/>
                    <w:bottom w:val="single" w:color="auto" w:sz="4" w:space="0"/>
                    <w:right w:val="single" w:color="auto" w:sz="4" w:space="0"/>
                  </w:tcBorders>
                  <w:shd w:val="clear" w:color="auto" w:fill="auto"/>
                  <w:vAlign w:val="center"/>
                </w:tcPr>
                <w:p w14:paraId="474BE2EC">
                  <w:pPr>
                    <w:widowControl/>
                    <w:jc w:val="center"/>
                    <w:rPr>
                      <w:color w:val="000000"/>
                      <w:kern w:val="0"/>
                    </w:rPr>
                  </w:pPr>
                  <w:r>
                    <w:rPr>
                      <w:color w:val="000000"/>
                      <w:kern w:val="0"/>
                    </w:rPr>
                    <w:t>2</w:t>
                  </w:r>
                </w:p>
              </w:tc>
              <w:tc>
                <w:tcPr>
                  <w:tcW w:w="850" w:type="dxa"/>
                  <w:vMerge w:val="continue"/>
                  <w:tcBorders>
                    <w:top w:val="nil"/>
                    <w:left w:val="single" w:color="auto" w:sz="4" w:space="0"/>
                    <w:bottom w:val="single" w:color="000000" w:sz="4" w:space="0"/>
                    <w:right w:val="single" w:color="auto" w:sz="4" w:space="0"/>
                  </w:tcBorders>
                  <w:vAlign w:val="center"/>
                </w:tcPr>
                <w:p w14:paraId="454D6594">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453EC38B">
                  <w:pPr>
                    <w:widowControl/>
                    <w:rPr>
                      <w:color w:val="000000"/>
                      <w:kern w:val="0"/>
                    </w:rPr>
                  </w:pPr>
                </w:p>
              </w:tc>
            </w:tr>
            <w:tr w14:paraId="0B5DEFAA">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292B519D">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7DE6AC3A">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156A361E">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26AAD8EB">
                  <w:pPr>
                    <w:widowControl/>
                    <w:jc w:val="left"/>
                    <w:rPr>
                      <w:color w:val="000000"/>
                      <w:kern w:val="0"/>
                    </w:rPr>
                  </w:pPr>
                </w:p>
              </w:tc>
              <w:tc>
                <w:tcPr>
                  <w:tcW w:w="525" w:type="dxa"/>
                  <w:vMerge w:val="restart"/>
                  <w:tcBorders>
                    <w:top w:val="nil"/>
                    <w:left w:val="single" w:color="auto" w:sz="4" w:space="0"/>
                    <w:bottom w:val="single" w:color="000000" w:sz="4" w:space="0"/>
                    <w:right w:val="single" w:color="auto" w:sz="4" w:space="0"/>
                  </w:tcBorders>
                  <w:shd w:val="clear" w:color="auto" w:fill="auto"/>
                  <w:vAlign w:val="center"/>
                </w:tcPr>
                <w:p w14:paraId="035075CF">
                  <w:pPr>
                    <w:widowControl/>
                    <w:jc w:val="center"/>
                    <w:rPr>
                      <w:color w:val="000000"/>
                      <w:kern w:val="0"/>
                    </w:rPr>
                  </w:pPr>
                  <w:r>
                    <w:rPr>
                      <w:color w:val="000000"/>
                      <w:kern w:val="0"/>
                    </w:rPr>
                    <w:t>J3</w:t>
                  </w:r>
                </w:p>
              </w:tc>
              <w:tc>
                <w:tcPr>
                  <w:tcW w:w="1132" w:type="dxa"/>
                  <w:tcBorders>
                    <w:top w:val="nil"/>
                    <w:left w:val="single" w:color="auto" w:sz="4" w:space="0"/>
                    <w:bottom w:val="single" w:color="auto" w:sz="4" w:space="0"/>
                    <w:right w:val="single" w:color="auto" w:sz="4" w:space="0"/>
                  </w:tcBorders>
                  <w:shd w:val="clear" w:color="auto" w:fill="auto"/>
                  <w:vAlign w:val="center"/>
                </w:tcPr>
                <w:p w14:paraId="40C42FC9">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416A0498">
                  <w:pPr>
                    <w:widowControl/>
                    <w:jc w:val="center"/>
                    <w:rPr>
                      <w:color w:val="000000"/>
                      <w:kern w:val="0"/>
                    </w:rPr>
                  </w:pPr>
                  <w:r>
                    <w:rPr>
                      <w:color w:val="000000"/>
                      <w:kern w:val="0"/>
                    </w:rPr>
                    <w:t>1</w:t>
                  </w:r>
                </w:p>
              </w:tc>
              <w:tc>
                <w:tcPr>
                  <w:tcW w:w="850" w:type="dxa"/>
                  <w:vMerge w:val="restart"/>
                  <w:tcBorders>
                    <w:top w:val="nil"/>
                    <w:left w:val="single" w:color="auto" w:sz="4" w:space="0"/>
                    <w:bottom w:val="single" w:color="000000" w:sz="4" w:space="0"/>
                    <w:right w:val="single" w:color="auto" w:sz="4" w:space="0"/>
                  </w:tcBorders>
                  <w:shd w:val="clear" w:color="auto" w:fill="auto"/>
                  <w:vAlign w:val="center"/>
                </w:tcPr>
                <w:p w14:paraId="1B3F0C25">
                  <w:pPr>
                    <w:widowControl/>
                    <w:jc w:val="center"/>
                    <w:rPr>
                      <w:color w:val="000000"/>
                      <w:kern w:val="0"/>
                    </w:rPr>
                  </w:pPr>
                  <w:r>
                    <w:rPr>
                      <w:color w:val="000000"/>
                      <w:kern w:val="0"/>
                    </w:rPr>
                    <w:t>3</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5CC1A182">
                  <w:pPr>
                    <w:widowControl/>
                    <w:rPr>
                      <w:color w:val="000000"/>
                      <w:kern w:val="0"/>
                    </w:rPr>
                  </w:pPr>
                  <w:r>
                    <w:rPr>
                      <w:color w:val="000000"/>
                      <w:kern w:val="0"/>
                    </w:rPr>
                    <w:t>N19、N21、N22</w:t>
                  </w:r>
                </w:p>
              </w:tc>
            </w:tr>
            <w:tr w14:paraId="71D6EC4F">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2DC014C4">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3CE96C09">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61E25E06">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443DF455">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17D326CA">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1A83D8EB">
                  <w:pPr>
                    <w:widowControl/>
                    <w:jc w:val="center"/>
                    <w:rPr>
                      <w:color w:val="000000"/>
                      <w:kern w:val="0"/>
                    </w:rPr>
                  </w:pPr>
                  <w:r>
                    <w:rPr>
                      <w:color w:val="000000"/>
                      <w:kern w:val="0"/>
                    </w:rPr>
                    <w:t>36</w:t>
                  </w:r>
                </w:p>
              </w:tc>
              <w:tc>
                <w:tcPr>
                  <w:tcW w:w="851" w:type="dxa"/>
                  <w:tcBorders>
                    <w:top w:val="nil"/>
                    <w:left w:val="nil"/>
                    <w:bottom w:val="single" w:color="auto" w:sz="4" w:space="0"/>
                    <w:right w:val="single" w:color="auto" w:sz="4" w:space="0"/>
                  </w:tcBorders>
                  <w:shd w:val="clear" w:color="auto" w:fill="auto"/>
                  <w:vAlign w:val="center"/>
                </w:tcPr>
                <w:p w14:paraId="4F25786D">
                  <w:pPr>
                    <w:widowControl/>
                    <w:jc w:val="center"/>
                    <w:rPr>
                      <w:color w:val="000000"/>
                      <w:kern w:val="0"/>
                    </w:rPr>
                  </w:pPr>
                  <w:r>
                    <w:rPr>
                      <w:color w:val="000000"/>
                      <w:kern w:val="0"/>
                    </w:rPr>
                    <w:t>2</w:t>
                  </w:r>
                </w:p>
              </w:tc>
              <w:tc>
                <w:tcPr>
                  <w:tcW w:w="850" w:type="dxa"/>
                  <w:vMerge w:val="continue"/>
                  <w:tcBorders>
                    <w:top w:val="nil"/>
                    <w:left w:val="single" w:color="auto" w:sz="4" w:space="0"/>
                    <w:bottom w:val="single" w:color="000000" w:sz="4" w:space="0"/>
                    <w:right w:val="single" w:color="auto" w:sz="4" w:space="0"/>
                  </w:tcBorders>
                  <w:vAlign w:val="center"/>
                </w:tcPr>
                <w:p w14:paraId="6B89CB41">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20477EC4">
                  <w:pPr>
                    <w:widowControl/>
                    <w:rPr>
                      <w:color w:val="000000"/>
                      <w:kern w:val="0"/>
                    </w:rPr>
                  </w:pPr>
                </w:p>
              </w:tc>
            </w:tr>
            <w:tr w14:paraId="254C6BD1">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5D347AFF">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415F82D8">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082B7C21">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0745A16F">
                  <w:pPr>
                    <w:widowControl/>
                    <w:jc w:val="left"/>
                    <w:rPr>
                      <w:color w:val="000000"/>
                      <w:kern w:val="0"/>
                    </w:rPr>
                  </w:pPr>
                </w:p>
              </w:tc>
              <w:tc>
                <w:tcPr>
                  <w:tcW w:w="525" w:type="dxa"/>
                  <w:vMerge w:val="restart"/>
                  <w:tcBorders>
                    <w:top w:val="nil"/>
                    <w:left w:val="single" w:color="auto" w:sz="4" w:space="0"/>
                    <w:bottom w:val="single" w:color="000000" w:sz="4" w:space="0"/>
                    <w:right w:val="single" w:color="auto" w:sz="4" w:space="0"/>
                  </w:tcBorders>
                  <w:shd w:val="clear" w:color="auto" w:fill="auto"/>
                  <w:vAlign w:val="center"/>
                </w:tcPr>
                <w:p w14:paraId="154ECF95">
                  <w:pPr>
                    <w:widowControl/>
                    <w:jc w:val="center"/>
                    <w:rPr>
                      <w:color w:val="000000"/>
                      <w:kern w:val="0"/>
                    </w:rPr>
                  </w:pPr>
                  <w:r>
                    <w:rPr>
                      <w:color w:val="000000"/>
                      <w:kern w:val="0"/>
                    </w:rPr>
                    <w:t>JD</w:t>
                  </w:r>
                </w:p>
              </w:tc>
              <w:tc>
                <w:tcPr>
                  <w:tcW w:w="1132" w:type="dxa"/>
                  <w:tcBorders>
                    <w:top w:val="nil"/>
                    <w:left w:val="single" w:color="auto" w:sz="4" w:space="0"/>
                    <w:bottom w:val="single" w:color="auto" w:sz="4" w:space="0"/>
                    <w:right w:val="single" w:color="auto" w:sz="4" w:space="0"/>
                  </w:tcBorders>
                  <w:shd w:val="clear" w:color="auto" w:fill="auto"/>
                  <w:vAlign w:val="center"/>
                </w:tcPr>
                <w:p w14:paraId="0B7E39B6">
                  <w:pPr>
                    <w:widowControl/>
                    <w:jc w:val="center"/>
                    <w:rPr>
                      <w:color w:val="000000"/>
                      <w:kern w:val="0"/>
                    </w:rPr>
                  </w:pPr>
                  <w:r>
                    <w:rPr>
                      <w:color w:val="000000"/>
                      <w:kern w:val="0"/>
                    </w:rPr>
                    <w:t>30</w:t>
                  </w:r>
                </w:p>
              </w:tc>
              <w:tc>
                <w:tcPr>
                  <w:tcW w:w="851" w:type="dxa"/>
                  <w:tcBorders>
                    <w:top w:val="nil"/>
                    <w:left w:val="nil"/>
                    <w:bottom w:val="single" w:color="auto" w:sz="4" w:space="0"/>
                    <w:right w:val="single" w:color="auto" w:sz="4" w:space="0"/>
                  </w:tcBorders>
                  <w:shd w:val="clear" w:color="auto" w:fill="auto"/>
                  <w:vAlign w:val="center"/>
                </w:tcPr>
                <w:p w14:paraId="04789F89">
                  <w:pPr>
                    <w:widowControl/>
                    <w:jc w:val="center"/>
                    <w:rPr>
                      <w:color w:val="000000"/>
                      <w:kern w:val="0"/>
                    </w:rPr>
                  </w:pPr>
                  <w:r>
                    <w:rPr>
                      <w:color w:val="000000"/>
                      <w:kern w:val="0"/>
                    </w:rPr>
                    <w:t>2</w:t>
                  </w:r>
                </w:p>
              </w:tc>
              <w:tc>
                <w:tcPr>
                  <w:tcW w:w="850" w:type="dxa"/>
                  <w:vMerge w:val="restart"/>
                  <w:tcBorders>
                    <w:top w:val="nil"/>
                    <w:left w:val="single" w:color="auto" w:sz="4" w:space="0"/>
                    <w:bottom w:val="single" w:color="000000" w:sz="4" w:space="0"/>
                    <w:right w:val="single" w:color="auto" w:sz="4" w:space="0"/>
                  </w:tcBorders>
                  <w:shd w:val="clear" w:color="auto" w:fill="auto"/>
                  <w:vAlign w:val="center"/>
                </w:tcPr>
                <w:p w14:paraId="228D08E3">
                  <w:pPr>
                    <w:widowControl/>
                    <w:jc w:val="center"/>
                    <w:rPr>
                      <w:color w:val="000000"/>
                      <w:kern w:val="0"/>
                    </w:rPr>
                  </w:pPr>
                  <w:r>
                    <w:rPr>
                      <w:color w:val="000000"/>
                      <w:kern w:val="0"/>
                    </w:rPr>
                    <w:t>3</w:t>
                  </w:r>
                </w:p>
              </w:tc>
              <w:tc>
                <w:tcPr>
                  <w:tcW w:w="1276" w:type="dxa"/>
                  <w:vMerge w:val="restart"/>
                  <w:tcBorders>
                    <w:top w:val="nil"/>
                    <w:left w:val="single" w:color="auto" w:sz="4" w:space="0"/>
                    <w:bottom w:val="single" w:color="000000" w:sz="4" w:space="0"/>
                    <w:right w:val="single" w:color="auto" w:sz="4" w:space="0"/>
                  </w:tcBorders>
                  <w:shd w:val="clear" w:color="auto" w:fill="auto"/>
                  <w:vAlign w:val="center"/>
                </w:tcPr>
                <w:p w14:paraId="179AB632">
                  <w:pPr>
                    <w:widowControl/>
                    <w:rPr>
                      <w:color w:val="000000"/>
                      <w:kern w:val="0"/>
                    </w:rPr>
                  </w:pPr>
                  <w:r>
                    <w:rPr>
                      <w:color w:val="000000"/>
                      <w:kern w:val="0"/>
                    </w:rPr>
                    <w:t>N1、N16、N23</w:t>
                  </w:r>
                </w:p>
              </w:tc>
            </w:tr>
            <w:tr w14:paraId="02FBA8BE">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7FD0E79F">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0C52AF88">
                  <w:pPr>
                    <w:widowControl/>
                    <w:jc w:val="left"/>
                    <w:rPr>
                      <w:color w:val="000000"/>
                      <w:kern w:val="0"/>
                    </w:rPr>
                  </w:pPr>
                </w:p>
              </w:tc>
              <w:tc>
                <w:tcPr>
                  <w:tcW w:w="1030" w:type="dxa"/>
                  <w:vMerge w:val="continue"/>
                  <w:tcBorders>
                    <w:top w:val="single" w:color="auto" w:sz="4" w:space="0"/>
                    <w:left w:val="single" w:color="auto" w:sz="4" w:space="0"/>
                    <w:bottom w:val="single" w:color="000000" w:sz="4" w:space="0"/>
                    <w:right w:val="single" w:color="auto" w:sz="4" w:space="0"/>
                  </w:tcBorders>
                  <w:vAlign w:val="center"/>
                </w:tcPr>
                <w:p w14:paraId="5B24B61E">
                  <w:pPr>
                    <w:widowControl/>
                    <w:jc w:val="left"/>
                    <w:rPr>
                      <w:color w:val="000000"/>
                      <w:kern w:val="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14:paraId="2A6B8234">
                  <w:pPr>
                    <w:widowControl/>
                    <w:jc w:val="left"/>
                    <w:rPr>
                      <w:color w:val="000000"/>
                      <w:kern w:val="0"/>
                    </w:rPr>
                  </w:pPr>
                </w:p>
              </w:tc>
              <w:tc>
                <w:tcPr>
                  <w:tcW w:w="525" w:type="dxa"/>
                  <w:vMerge w:val="continue"/>
                  <w:tcBorders>
                    <w:top w:val="nil"/>
                    <w:left w:val="single" w:color="auto" w:sz="4" w:space="0"/>
                    <w:bottom w:val="single" w:color="000000" w:sz="4" w:space="0"/>
                    <w:right w:val="single" w:color="auto" w:sz="4" w:space="0"/>
                  </w:tcBorders>
                  <w:vAlign w:val="center"/>
                </w:tcPr>
                <w:p w14:paraId="796ECE8B">
                  <w:pPr>
                    <w:widowControl/>
                    <w:jc w:val="left"/>
                    <w:rPr>
                      <w:color w:val="000000"/>
                      <w:kern w:val="0"/>
                    </w:rPr>
                  </w:pPr>
                </w:p>
              </w:tc>
              <w:tc>
                <w:tcPr>
                  <w:tcW w:w="1132" w:type="dxa"/>
                  <w:tcBorders>
                    <w:top w:val="nil"/>
                    <w:left w:val="single" w:color="auto" w:sz="4" w:space="0"/>
                    <w:bottom w:val="single" w:color="auto" w:sz="4" w:space="0"/>
                    <w:right w:val="single" w:color="auto" w:sz="4" w:space="0"/>
                  </w:tcBorders>
                  <w:shd w:val="clear" w:color="auto" w:fill="auto"/>
                  <w:vAlign w:val="center"/>
                </w:tcPr>
                <w:p w14:paraId="2AF6998B">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516D2477">
                  <w:pPr>
                    <w:widowControl/>
                    <w:jc w:val="center"/>
                    <w:rPr>
                      <w:color w:val="000000"/>
                      <w:kern w:val="0"/>
                    </w:rPr>
                  </w:pPr>
                  <w:r>
                    <w:rPr>
                      <w:color w:val="000000"/>
                      <w:kern w:val="0"/>
                    </w:rPr>
                    <w:t>1</w:t>
                  </w:r>
                </w:p>
              </w:tc>
              <w:tc>
                <w:tcPr>
                  <w:tcW w:w="850" w:type="dxa"/>
                  <w:vMerge w:val="continue"/>
                  <w:tcBorders>
                    <w:top w:val="nil"/>
                    <w:left w:val="single" w:color="auto" w:sz="4" w:space="0"/>
                    <w:bottom w:val="single" w:color="000000" w:sz="4" w:space="0"/>
                    <w:right w:val="single" w:color="auto" w:sz="4" w:space="0"/>
                  </w:tcBorders>
                  <w:vAlign w:val="center"/>
                </w:tcPr>
                <w:p w14:paraId="631CC132">
                  <w:pPr>
                    <w:widowControl/>
                    <w:jc w:val="left"/>
                    <w:rPr>
                      <w:color w:val="000000"/>
                      <w:kern w:val="0"/>
                    </w:rPr>
                  </w:pPr>
                </w:p>
              </w:tc>
              <w:tc>
                <w:tcPr>
                  <w:tcW w:w="1276" w:type="dxa"/>
                  <w:vMerge w:val="continue"/>
                  <w:tcBorders>
                    <w:top w:val="nil"/>
                    <w:left w:val="single" w:color="auto" w:sz="4" w:space="0"/>
                    <w:bottom w:val="single" w:color="000000" w:sz="4" w:space="0"/>
                    <w:right w:val="single" w:color="auto" w:sz="4" w:space="0"/>
                  </w:tcBorders>
                  <w:vAlign w:val="center"/>
                </w:tcPr>
                <w:p w14:paraId="612C7E71">
                  <w:pPr>
                    <w:widowControl/>
                    <w:rPr>
                      <w:color w:val="000000"/>
                      <w:kern w:val="0"/>
                    </w:rPr>
                  </w:pPr>
                </w:p>
              </w:tc>
            </w:tr>
            <w:tr w14:paraId="3BA03CE5">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0B8545E3">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12D6C62C">
                  <w:pPr>
                    <w:widowControl/>
                    <w:jc w:val="left"/>
                    <w:rPr>
                      <w:color w:val="000000"/>
                      <w:kern w:val="0"/>
                    </w:rPr>
                  </w:pPr>
                </w:p>
              </w:tc>
              <w:tc>
                <w:tcPr>
                  <w:tcW w:w="1030" w:type="dxa"/>
                  <w:tcBorders>
                    <w:top w:val="single" w:color="auto" w:sz="4" w:space="0"/>
                    <w:left w:val="nil"/>
                    <w:bottom w:val="single" w:color="auto" w:sz="4" w:space="0"/>
                    <w:right w:val="single" w:color="auto" w:sz="4" w:space="0"/>
                  </w:tcBorders>
                  <w:shd w:val="clear" w:color="auto" w:fill="auto"/>
                  <w:vAlign w:val="center"/>
                </w:tcPr>
                <w:p w14:paraId="547D5300">
                  <w:pPr>
                    <w:widowControl/>
                    <w:jc w:val="center"/>
                    <w:rPr>
                      <w:color w:val="000000"/>
                      <w:kern w:val="0"/>
                    </w:rPr>
                  </w:pPr>
                  <w:r>
                    <w:rPr>
                      <w:color w:val="000000"/>
                      <w:kern w:val="0"/>
                    </w:rPr>
                    <w:t>直线塔</w:t>
                  </w:r>
                </w:p>
              </w:tc>
              <w:tc>
                <w:tcPr>
                  <w:tcW w:w="6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E60D76">
                  <w:pPr>
                    <w:widowControl/>
                    <w:jc w:val="center"/>
                    <w:rPr>
                      <w:color w:val="000000"/>
                      <w:kern w:val="0"/>
                    </w:rPr>
                  </w:pPr>
                  <w:r>
                    <w:rPr>
                      <w:color w:val="000000"/>
                      <w:kern w:val="0"/>
                    </w:rPr>
                    <w:t>V3-1B1Z4G</w:t>
                  </w:r>
                </w:p>
              </w:tc>
              <w:tc>
                <w:tcPr>
                  <w:tcW w:w="525" w:type="dxa"/>
                  <w:tcBorders>
                    <w:top w:val="single" w:color="auto" w:sz="4" w:space="0"/>
                    <w:left w:val="nil"/>
                    <w:bottom w:val="single" w:color="auto" w:sz="4" w:space="0"/>
                    <w:right w:val="single" w:color="auto" w:sz="4" w:space="0"/>
                  </w:tcBorders>
                  <w:shd w:val="clear" w:color="auto" w:fill="auto"/>
                  <w:vAlign w:val="center"/>
                </w:tcPr>
                <w:p w14:paraId="229F63F3">
                  <w:pPr>
                    <w:widowControl/>
                    <w:jc w:val="center"/>
                    <w:rPr>
                      <w:color w:val="000000"/>
                      <w:kern w:val="0"/>
                    </w:rPr>
                  </w:pPr>
                  <w:r>
                    <w:rPr>
                      <w:color w:val="000000"/>
                      <w:kern w:val="0"/>
                    </w:rPr>
                    <w:t>Z2</w:t>
                  </w:r>
                </w:p>
              </w:tc>
              <w:tc>
                <w:tcPr>
                  <w:tcW w:w="1132" w:type="dxa"/>
                  <w:tcBorders>
                    <w:top w:val="nil"/>
                    <w:left w:val="nil"/>
                    <w:bottom w:val="single" w:color="auto" w:sz="4" w:space="0"/>
                    <w:right w:val="single" w:color="auto" w:sz="4" w:space="0"/>
                  </w:tcBorders>
                  <w:shd w:val="clear" w:color="auto" w:fill="auto"/>
                  <w:vAlign w:val="center"/>
                </w:tcPr>
                <w:p w14:paraId="57CA3353">
                  <w:pPr>
                    <w:widowControl/>
                    <w:jc w:val="center"/>
                    <w:rPr>
                      <w:color w:val="000000"/>
                      <w:kern w:val="0"/>
                    </w:rPr>
                  </w:pPr>
                  <w:r>
                    <w:rPr>
                      <w:color w:val="000000"/>
                      <w:kern w:val="0"/>
                    </w:rPr>
                    <w:t>33</w:t>
                  </w:r>
                </w:p>
              </w:tc>
              <w:tc>
                <w:tcPr>
                  <w:tcW w:w="851" w:type="dxa"/>
                  <w:tcBorders>
                    <w:top w:val="nil"/>
                    <w:left w:val="nil"/>
                    <w:bottom w:val="single" w:color="auto" w:sz="4" w:space="0"/>
                    <w:right w:val="single" w:color="auto" w:sz="4" w:space="0"/>
                  </w:tcBorders>
                  <w:shd w:val="clear" w:color="auto" w:fill="auto"/>
                  <w:vAlign w:val="center"/>
                </w:tcPr>
                <w:p w14:paraId="031FCD06">
                  <w:pPr>
                    <w:widowControl/>
                    <w:jc w:val="center"/>
                    <w:rPr>
                      <w:color w:val="000000"/>
                      <w:kern w:val="0"/>
                    </w:rPr>
                  </w:pPr>
                  <w:r>
                    <w:rPr>
                      <w:color w:val="000000"/>
                      <w:kern w:val="0"/>
                    </w:rPr>
                    <w:t>1</w:t>
                  </w:r>
                </w:p>
              </w:tc>
              <w:tc>
                <w:tcPr>
                  <w:tcW w:w="850" w:type="dxa"/>
                  <w:tcBorders>
                    <w:top w:val="single" w:color="auto" w:sz="4" w:space="0"/>
                    <w:left w:val="nil"/>
                    <w:bottom w:val="single" w:color="auto" w:sz="4" w:space="0"/>
                    <w:right w:val="single" w:color="auto" w:sz="4" w:space="0"/>
                  </w:tcBorders>
                  <w:shd w:val="clear" w:color="auto" w:fill="auto"/>
                  <w:vAlign w:val="center"/>
                </w:tcPr>
                <w:p w14:paraId="760918CC">
                  <w:pPr>
                    <w:widowControl/>
                    <w:jc w:val="center"/>
                    <w:rPr>
                      <w:color w:val="000000"/>
                      <w:kern w:val="0"/>
                    </w:rPr>
                  </w:pPr>
                  <w:r>
                    <w:rPr>
                      <w:color w:val="000000"/>
                      <w:kern w:val="0"/>
                    </w:rPr>
                    <w:t>1</w:t>
                  </w:r>
                </w:p>
              </w:tc>
              <w:tc>
                <w:tcPr>
                  <w:tcW w:w="1276" w:type="dxa"/>
                  <w:tcBorders>
                    <w:top w:val="single" w:color="auto" w:sz="4" w:space="0"/>
                    <w:left w:val="nil"/>
                    <w:bottom w:val="single" w:color="auto" w:sz="4" w:space="0"/>
                    <w:right w:val="single" w:color="auto" w:sz="4" w:space="0"/>
                  </w:tcBorders>
                  <w:shd w:val="clear" w:color="auto" w:fill="auto"/>
                  <w:vAlign w:val="center"/>
                </w:tcPr>
                <w:p w14:paraId="56093E1A">
                  <w:pPr>
                    <w:widowControl/>
                    <w:rPr>
                      <w:color w:val="000000"/>
                      <w:kern w:val="0"/>
                    </w:rPr>
                  </w:pPr>
                  <w:r>
                    <w:rPr>
                      <w:color w:val="000000"/>
                      <w:kern w:val="0"/>
                    </w:rPr>
                    <w:t>N15</w:t>
                  </w:r>
                </w:p>
              </w:tc>
            </w:tr>
            <w:tr w14:paraId="1F05103E">
              <w:tblPrEx>
                <w:tblCellMar>
                  <w:top w:w="0" w:type="dxa"/>
                  <w:left w:w="108" w:type="dxa"/>
                  <w:bottom w:w="0" w:type="dxa"/>
                  <w:right w:w="108" w:type="dxa"/>
                </w:tblCellMar>
              </w:tblPrEx>
              <w:trPr>
                <w:trHeight w:val="20" w:hRule="atLeast"/>
              </w:trPr>
              <w:tc>
                <w:tcPr>
                  <w:tcW w:w="788" w:type="dxa"/>
                  <w:vMerge w:val="continue"/>
                  <w:tcBorders>
                    <w:top w:val="nil"/>
                    <w:left w:val="single" w:color="auto" w:sz="4" w:space="0"/>
                    <w:bottom w:val="single" w:color="auto" w:sz="4" w:space="0"/>
                    <w:right w:val="single" w:color="auto" w:sz="4" w:space="0"/>
                  </w:tcBorders>
                  <w:vAlign w:val="center"/>
                </w:tcPr>
                <w:p w14:paraId="0D4CE1AE">
                  <w:pPr>
                    <w:widowControl/>
                    <w:jc w:val="left"/>
                    <w:rPr>
                      <w:color w:val="000000"/>
                      <w:kern w:val="0"/>
                    </w:rPr>
                  </w:pPr>
                </w:p>
              </w:tc>
              <w:tc>
                <w:tcPr>
                  <w:tcW w:w="517" w:type="dxa"/>
                  <w:vMerge w:val="continue"/>
                  <w:tcBorders>
                    <w:top w:val="nil"/>
                    <w:left w:val="single" w:color="auto" w:sz="4" w:space="0"/>
                    <w:bottom w:val="single" w:color="auto" w:sz="4" w:space="0"/>
                    <w:right w:val="single" w:color="auto" w:sz="4" w:space="0"/>
                  </w:tcBorders>
                  <w:vAlign w:val="center"/>
                </w:tcPr>
                <w:p w14:paraId="597A846F">
                  <w:pPr>
                    <w:widowControl/>
                    <w:jc w:val="left"/>
                    <w:rPr>
                      <w:color w:val="000000"/>
                      <w:kern w:val="0"/>
                    </w:rPr>
                  </w:pPr>
                </w:p>
              </w:tc>
              <w:tc>
                <w:tcPr>
                  <w:tcW w:w="1030" w:type="dxa"/>
                  <w:tcBorders>
                    <w:top w:val="nil"/>
                    <w:left w:val="nil"/>
                    <w:bottom w:val="single" w:color="auto" w:sz="4" w:space="0"/>
                    <w:right w:val="single" w:color="auto" w:sz="4" w:space="0"/>
                  </w:tcBorders>
                  <w:shd w:val="clear" w:color="auto" w:fill="auto"/>
                  <w:vAlign w:val="center"/>
                </w:tcPr>
                <w:p w14:paraId="4C378751">
                  <w:pPr>
                    <w:widowControl/>
                    <w:jc w:val="center"/>
                    <w:rPr>
                      <w:color w:val="000000"/>
                      <w:kern w:val="0"/>
                    </w:rPr>
                  </w:pPr>
                  <w:r>
                    <w:rPr>
                      <w:color w:val="000000"/>
                      <w:kern w:val="0"/>
                    </w:rPr>
                    <w:t>耐张塔</w:t>
                  </w:r>
                </w:p>
              </w:tc>
              <w:tc>
                <w:tcPr>
                  <w:tcW w:w="611" w:type="dxa"/>
                  <w:vMerge w:val="continue"/>
                  <w:tcBorders>
                    <w:top w:val="single" w:color="auto" w:sz="4" w:space="0"/>
                    <w:left w:val="single" w:color="auto" w:sz="4" w:space="0"/>
                    <w:bottom w:val="single" w:color="auto" w:sz="4" w:space="0"/>
                    <w:right w:val="single" w:color="auto" w:sz="4" w:space="0"/>
                  </w:tcBorders>
                  <w:vAlign w:val="center"/>
                </w:tcPr>
                <w:p w14:paraId="094F04F9">
                  <w:pPr>
                    <w:widowControl/>
                    <w:jc w:val="left"/>
                    <w:rPr>
                      <w:color w:val="000000"/>
                      <w:kern w:val="0"/>
                    </w:rPr>
                  </w:pPr>
                </w:p>
              </w:tc>
              <w:tc>
                <w:tcPr>
                  <w:tcW w:w="525" w:type="dxa"/>
                  <w:tcBorders>
                    <w:top w:val="nil"/>
                    <w:left w:val="nil"/>
                    <w:bottom w:val="single" w:color="auto" w:sz="4" w:space="0"/>
                    <w:right w:val="single" w:color="auto" w:sz="4" w:space="0"/>
                  </w:tcBorders>
                  <w:shd w:val="clear" w:color="auto" w:fill="auto"/>
                  <w:vAlign w:val="center"/>
                </w:tcPr>
                <w:p w14:paraId="377E7011">
                  <w:pPr>
                    <w:widowControl/>
                    <w:jc w:val="center"/>
                    <w:rPr>
                      <w:color w:val="000000"/>
                      <w:kern w:val="0"/>
                    </w:rPr>
                  </w:pPr>
                  <w:r>
                    <w:rPr>
                      <w:color w:val="000000"/>
                      <w:kern w:val="0"/>
                    </w:rPr>
                    <w:t>J3</w:t>
                  </w:r>
                </w:p>
              </w:tc>
              <w:tc>
                <w:tcPr>
                  <w:tcW w:w="1132" w:type="dxa"/>
                  <w:tcBorders>
                    <w:top w:val="nil"/>
                    <w:left w:val="nil"/>
                    <w:bottom w:val="single" w:color="auto" w:sz="4" w:space="0"/>
                    <w:right w:val="single" w:color="auto" w:sz="4" w:space="0"/>
                  </w:tcBorders>
                  <w:shd w:val="clear" w:color="auto" w:fill="auto"/>
                  <w:vAlign w:val="center"/>
                </w:tcPr>
                <w:p w14:paraId="089E0B14">
                  <w:pPr>
                    <w:widowControl/>
                    <w:jc w:val="center"/>
                    <w:rPr>
                      <w:color w:val="000000"/>
                      <w:kern w:val="0"/>
                    </w:rPr>
                  </w:pPr>
                  <w:r>
                    <w:rPr>
                      <w:color w:val="000000"/>
                      <w:kern w:val="0"/>
                    </w:rPr>
                    <w:t>30</w:t>
                  </w:r>
                </w:p>
              </w:tc>
              <w:tc>
                <w:tcPr>
                  <w:tcW w:w="851" w:type="dxa"/>
                  <w:tcBorders>
                    <w:top w:val="nil"/>
                    <w:left w:val="nil"/>
                    <w:bottom w:val="single" w:color="auto" w:sz="4" w:space="0"/>
                    <w:right w:val="single" w:color="auto" w:sz="4" w:space="0"/>
                  </w:tcBorders>
                  <w:shd w:val="clear" w:color="auto" w:fill="auto"/>
                  <w:vAlign w:val="center"/>
                </w:tcPr>
                <w:p w14:paraId="321BBC02">
                  <w:pPr>
                    <w:widowControl/>
                    <w:jc w:val="center"/>
                    <w:rPr>
                      <w:color w:val="000000"/>
                      <w:kern w:val="0"/>
                    </w:rPr>
                  </w:pPr>
                  <w:r>
                    <w:rPr>
                      <w:color w:val="000000"/>
                      <w:kern w:val="0"/>
                    </w:rPr>
                    <w:t>2</w:t>
                  </w:r>
                </w:p>
              </w:tc>
              <w:tc>
                <w:tcPr>
                  <w:tcW w:w="850" w:type="dxa"/>
                  <w:tcBorders>
                    <w:top w:val="nil"/>
                    <w:left w:val="nil"/>
                    <w:bottom w:val="single" w:color="auto" w:sz="4" w:space="0"/>
                    <w:right w:val="single" w:color="auto" w:sz="4" w:space="0"/>
                  </w:tcBorders>
                  <w:shd w:val="clear" w:color="auto" w:fill="auto"/>
                  <w:vAlign w:val="center"/>
                </w:tcPr>
                <w:p w14:paraId="6D0865FA">
                  <w:pPr>
                    <w:widowControl/>
                    <w:jc w:val="center"/>
                    <w:rPr>
                      <w:color w:val="000000"/>
                      <w:kern w:val="0"/>
                    </w:rPr>
                  </w:pPr>
                  <w:r>
                    <w:rPr>
                      <w:color w:val="000000"/>
                      <w:kern w:val="0"/>
                    </w:rPr>
                    <w:t>2</w:t>
                  </w:r>
                </w:p>
              </w:tc>
              <w:tc>
                <w:tcPr>
                  <w:tcW w:w="1276" w:type="dxa"/>
                  <w:tcBorders>
                    <w:top w:val="nil"/>
                    <w:left w:val="nil"/>
                    <w:bottom w:val="single" w:color="auto" w:sz="4" w:space="0"/>
                    <w:right w:val="single" w:color="auto" w:sz="4" w:space="0"/>
                  </w:tcBorders>
                  <w:shd w:val="clear" w:color="auto" w:fill="auto"/>
                  <w:vAlign w:val="center"/>
                </w:tcPr>
                <w:p w14:paraId="763D0C12">
                  <w:pPr>
                    <w:widowControl/>
                    <w:rPr>
                      <w:color w:val="000000"/>
                      <w:kern w:val="0"/>
                    </w:rPr>
                  </w:pPr>
                  <w:r>
                    <w:rPr>
                      <w:color w:val="000000"/>
                      <w:kern w:val="0"/>
                    </w:rPr>
                    <w:t>N13、N14</w:t>
                  </w:r>
                </w:p>
              </w:tc>
            </w:tr>
          </w:tbl>
          <w:p w14:paraId="2BCF5E00">
            <w:pPr>
              <w:spacing w:line="360" w:lineRule="auto"/>
              <w:ind w:firstLine="480" w:firstLineChars="200"/>
              <w:rPr>
                <w:sz w:val="24"/>
              </w:rPr>
            </w:pPr>
            <w:r>
              <w:rPr>
                <w:sz w:val="24"/>
              </w:rPr>
              <w:t>②基础型式</w:t>
            </w:r>
          </w:p>
          <w:p w14:paraId="4D55E5C3">
            <w:pPr>
              <w:spacing w:line="360" w:lineRule="auto"/>
              <w:ind w:firstLine="480" w:firstLineChars="200"/>
              <w:rPr>
                <w:sz w:val="24"/>
              </w:rPr>
            </w:pPr>
            <w:r>
              <w:rPr>
                <w:rFonts w:hint="eastAsia"/>
                <w:sz w:val="24"/>
              </w:rPr>
              <w:t>全线大部分地段岩土的物理力学性较好，均可采用天然地基，全风化基岩地段的基础型式建议以掏挖式基础为主，强风化基岩地段可采用普通的柱基或墩基，但由于全风化基岩以风化砂状为主，浸水或雨水冲刷易产生滑塌，对基坑壁的稳定性有一定影响，所以雨季施工应对坑壁采取支撑、护壁等岩土工程保护措施</w:t>
            </w:r>
            <w:r>
              <w:rPr>
                <w:sz w:val="24"/>
              </w:rPr>
              <w:t>。</w:t>
            </w:r>
          </w:p>
          <w:p w14:paraId="735C59C8">
            <w:pPr>
              <w:spacing w:line="360" w:lineRule="auto"/>
              <w:ind w:firstLine="480" w:firstLineChars="200"/>
              <w:rPr>
                <w:sz w:val="24"/>
              </w:rPr>
            </w:pPr>
            <w:r>
              <w:rPr>
                <w:sz w:val="24"/>
              </w:rPr>
              <w:t>基础用钢筋为HPB300及HRB400钢筋；基础用</w:t>
            </w:r>
            <w:r>
              <w:rPr>
                <w:rFonts w:hint="eastAsia"/>
                <w:sz w:val="24"/>
              </w:rPr>
              <w:t>地脚螺栓为35#钢材，采用5.6级优质碳素钢</w:t>
            </w:r>
            <w:r>
              <w:rPr>
                <w:sz w:val="24"/>
              </w:rPr>
              <w:t>；基础用混凝土强度等级为C25（含保护帽）。本工程铁塔基础型式详见附图5。</w:t>
            </w:r>
          </w:p>
          <w:p w14:paraId="38ED35BB">
            <w:pPr>
              <w:spacing w:line="360" w:lineRule="auto"/>
              <w:ind w:firstLine="480" w:firstLineChars="200"/>
              <w:rPr>
                <w:sz w:val="24"/>
              </w:rPr>
            </w:pPr>
            <w:r>
              <w:rPr>
                <w:sz w:val="24"/>
              </w:rPr>
              <w:t>③铁塔与基础连接方式</w:t>
            </w:r>
          </w:p>
          <w:p w14:paraId="7F332C4F">
            <w:pPr>
              <w:spacing w:line="360" w:lineRule="auto"/>
              <w:ind w:firstLine="480" w:firstLineChars="200"/>
              <w:rPr>
                <w:sz w:val="24"/>
              </w:rPr>
            </w:pPr>
            <w:r>
              <w:rPr>
                <w:sz w:val="24"/>
              </w:rPr>
              <w:t>本工程铁塔与基础连接：采用地脚螺栓连接方式连接，基础均需设置素混凝土保护帽，保护帽强度等级与基础本体一致。</w:t>
            </w:r>
          </w:p>
          <w:p w14:paraId="6937C9AF">
            <w:pPr>
              <w:pStyle w:val="189"/>
              <w:numPr>
                <w:ilvl w:val="0"/>
                <w:numId w:val="1"/>
              </w:numPr>
              <w:ind w:left="0" w:right="0" w:firstLine="482"/>
              <w:jc w:val="both"/>
              <w:rPr>
                <w:b/>
                <w:bCs/>
                <w:sz w:val="24"/>
              </w:rPr>
            </w:pPr>
            <w:r>
              <w:rPr>
                <w:b/>
                <w:bCs/>
                <w:sz w:val="24"/>
              </w:rPr>
              <w:t>主要交叉跨越</w:t>
            </w:r>
          </w:p>
          <w:p w14:paraId="1C412980">
            <w:pPr>
              <w:pStyle w:val="190"/>
              <w:jc w:val="both"/>
              <w:rPr>
                <w:sz w:val="24"/>
                <w:lang w:val="en-US"/>
              </w:rPr>
            </w:pPr>
            <w:r>
              <w:rPr>
                <w:rFonts w:hint="eastAsia"/>
                <w:sz w:val="24"/>
                <w:lang w:val="en-US"/>
              </w:rPr>
              <w:t>南冲风电场110kV送出线路工程交叉跨越共计40次，其中跨35kV线4次、跨10kV线10次、跨380V线8次、跨220V线5次、跨通信线10次、跨S204省道3次。</w:t>
            </w:r>
            <w:r>
              <w:rPr>
                <w:sz w:val="24"/>
                <w:lang w:val="en-US"/>
              </w:rPr>
              <w:t>本工程主要交叉跨越见表2-5。</w:t>
            </w:r>
          </w:p>
          <w:p w14:paraId="0AE1CEB2">
            <w:pPr>
              <w:spacing w:line="360" w:lineRule="auto"/>
              <w:ind w:firstLine="480" w:firstLineChars="200"/>
              <w:rPr>
                <w:sz w:val="24"/>
              </w:rPr>
            </w:pPr>
            <w:r>
              <w:rPr>
                <w:sz w:val="24"/>
              </w:rPr>
              <w:t>线路对地及交叉跨越物的最小距离根据《110kV～750kV架空输电线路设计规范》（GB50545-2010）规定，项目110kV输电线路导线与各交叉跨越物的距离不小于表2-6所列数值。</w:t>
            </w:r>
          </w:p>
          <w:p w14:paraId="13C3492D">
            <w:pPr>
              <w:pStyle w:val="190"/>
              <w:spacing w:line="240" w:lineRule="auto"/>
              <w:ind w:firstLine="0"/>
              <w:jc w:val="center"/>
              <w:rPr>
                <w:rFonts w:eastAsia="黑体"/>
                <w:sz w:val="24"/>
                <w:lang w:val="en-US"/>
              </w:rPr>
            </w:pPr>
            <w:r>
              <w:rPr>
                <w:rFonts w:eastAsia="黑体"/>
                <w:sz w:val="24"/>
                <w:lang w:val="en-US"/>
              </w:rPr>
              <w:t>表2-5本工程主要交叉跨越情况一览表</w:t>
            </w:r>
          </w:p>
          <w:tbl>
            <w:tblPr>
              <w:tblStyle w:val="2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2"/>
              <w:gridCol w:w="2346"/>
              <w:gridCol w:w="888"/>
              <w:gridCol w:w="2679"/>
              <w:gridCol w:w="1193"/>
            </w:tblGrid>
            <w:tr w14:paraId="42E3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06" w:type="dxa"/>
                  <w:vAlign w:val="center"/>
                </w:tcPr>
                <w:p w14:paraId="51B8CAD5">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序</w:t>
                  </w:r>
                </w:p>
                <w:p w14:paraId="394A300F">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号</w:t>
                  </w:r>
                </w:p>
              </w:tc>
              <w:tc>
                <w:tcPr>
                  <w:tcW w:w="2369" w:type="dxa"/>
                  <w:vAlign w:val="center"/>
                </w:tcPr>
                <w:p w14:paraId="6E2291C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名称</w:t>
                  </w:r>
                </w:p>
              </w:tc>
              <w:tc>
                <w:tcPr>
                  <w:tcW w:w="891" w:type="dxa"/>
                  <w:vAlign w:val="center"/>
                </w:tcPr>
                <w:p w14:paraId="3F3E7EF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w:t>
                  </w:r>
                  <w:r>
                    <w:rPr>
                      <w:rFonts w:hint="eastAsia" w:ascii="Times New Roman" w:hAnsi="Times New Roman" w:cs="Times New Roman"/>
                      <w:sz w:val="21"/>
                      <w:szCs w:val="21"/>
                      <w:lang w:eastAsia="zh-CN"/>
                    </w:rPr>
                    <w:t>（穿）</w:t>
                  </w:r>
                </w:p>
                <w:p w14:paraId="5B98B7B2">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越次数</w:t>
                  </w:r>
                </w:p>
              </w:tc>
              <w:tc>
                <w:tcPr>
                  <w:tcW w:w="2710" w:type="dxa"/>
                  <w:vAlign w:val="center"/>
                </w:tcPr>
                <w:p w14:paraId="0CCC00D5">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备注</w:t>
                  </w:r>
                </w:p>
              </w:tc>
              <w:tc>
                <w:tcPr>
                  <w:tcW w:w="1205" w:type="dxa"/>
                  <w:vAlign w:val="center"/>
                </w:tcPr>
                <w:p w14:paraId="0948A4B4">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地点</w:t>
                  </w:r>
                </w:p>
              </w:tc>
            </w:tr>
            <w:tr w14:paraId="5294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06" w:type="dxa"/>
                  <w:vAlign w:val="center"/>
                </w:tcPr>
                <w:p w14:paraId="05CD054B">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2369" w:type="dxa"/>
                  <w:vAlign w:val="center"/>
                </w:tcPr>
                <w:p w14:paraId="2550CD90">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35kV</w:t>
                  </w:r>
                  <w:r>
                    <w:rPr>
                      <w:rFonts w:ascii="Times New Roman" w:hAnsi="Times New Roman" w:cs="Times New Roman"/>
                      <w:spacing w:val="-2"/>
                      <w:sz w:val="21"/>
                      <w:szCs w:val="21"/>
                      <w:lang w:eastAsia="zh-CN"/>
                    </w:rPr>
                    <w:t xml:space="preserve"> </w:t>
                  </w:r>
                  <w:r>
                    <w:rPr>
                      <w:rFonts w:ascii="Times New Roman" w:hAnsi="Times New Roman" w:cs="Times New Roman"/>
                      <w:sz w:val="21"/>
                      <w:szCs w:val="21"/>
                      <w:lang w:eastAsia="zh-CN"/>
                    </w:rPr>
                    <w:t>老得富线</w:t>
                  </w:r>
                  <w:r>
                    <w:rPr>
                      <w:rFonts w:hint="eastAsia" w:ascii="Times New Roman" w:hAnsi="Times New Roman" w:cs="Times New Roman"/>
                      <w:sz w:val="21"/>
                      <w:szCs w:val="21"/>
                      <w:lang w:eastAsia="zh-CN"/>
                    </w:rPr>
                    <w:t>（改建）</w:t>
                  </w:r>
                </w:p>
              </w:tc>
              <w:tc>
                <w:tcPr>
                  <w:tcW w:w="891" w:type="dxa"/>
                  <w:vAlign w:val="center"/>
                </w:tcPr>
                <w:p w14:paraId="27EAD372">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2</w:t>
                  </w:r>
                </w:p>
                <w:p w14:paraId="76BE96D9">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次</w:t>
                  </w:r>
                </w:p>
              </w:tc>
              <w:tc>
                <w:tcPr>
                  <w:tcW w:w="2710" w:type="dxa"/>
                  <w:vAlign w:val="center"/>
                </w:tcPr>
                <w:p w14:paraId="08AE0C4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现场未施工建成</w:t>
                  </w:r>
                </w:p>
              </w:tc>
              <w:tc>
                <w:tcPr>
                  <w:tcW w:w="1205" w:type="dxa"/>
                  <w:vAlign w:val="center"/>
                </w:tcPr>
                <w:p w14:paraId="1818D230">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小河边附</w:t>
                  </w:r>
                </w:p>
                <w:p w14:paraId="0B44343D">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近</w:t>
                  </w:r>
                </w:p>
              </w:tc>
            </w:tr>
            <w:tr w14:paraId="69C7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06" w:type="dxa"/>
                  <w:vAlign w:val="center"/>
                </w:tcPr>
                <w:p w14:paraId="2D1D82D7">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2369" w:type="dxa"/>
                  <w:vAlign w:val="center"/>
                </w:tcPr>
                <w:p w14:paraId="6031349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35kV</w:t>
                  </w:r>
                  <w:r>
                    <w:rPr>
                      <w:rFonts w:ascii="Times New Roman" w:hAnsi="Times New Roman" w:cs="Times New Roman"/>
                      <w:spacing w:val="-2"/>
                      <w:sz w:val="21"/>
                      <w:szCs w:val="21"/>
                      <w:lang w:eastAsia="zh-CN"/>
                    </w:rPr>
                    <w:t xml:space="preserve"> </w:t>
                  </w:r>
                  <w:r>
                    <w:rPr>
                      <w:rFonts w:ascii="Times New Roman" w:hAnsi="Times New Roman" w:cs="Times New Roman"/>
                      <w:sz w:val="21"/>
                      <w:szCs w:val="21"/>
                      <w:lang w:eastAsia="zh-CN"/>
                    </w:rPr>
                    <w:t>富得祖线</w:t>
                  </w:r>
                  <w:r>
                    <w:rPr>
                      <w:rFonts w:hint="eastAsia" w:ascii="Times New Roman" w:hAnsi="Times New Roman" w:cs="Times New Roman"/>
                      <w:sz w:val="21"/>
                      <w:szCs w:val="21"/>
                      <w:lang w:eastAsia="zh-CN"/>
                    </w:rPr>
                    <w:t>（改建）</w:t>
                  </w:r>
                </w:p>
              </w:tc>
              <w:tc>
                <w:tcPr>
                  <w:tcW w:w="891" w:type="dxa"/>
                  <w:vAlign w:val="center"/>
                </w:tcPr>
                <w:p w14:paraId="5ABA7CEF">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2</w:t>
                  </w:r>
                </w:p>
                <w:p w14:paraId="3F57C9FF">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次</w:t>
                  </w:r>
                </w:p>
              </w:tc>
              <w:tc>
                <w:tcPr>
                  <w:tcW w:w="2710" w:type="dxa"/>
                  <w:vAlign w:val="center"/>
                </w:tcPr>
                <w:p w14:paraId="25ED081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现场未施工建成</w:t>
                  </w:r>
                </w:p>
              </w:tc>
              <w:tc>
                <w:tcPr>
                  <w:tcW w:w="1205" w:type="dxa"/>
                  <w:vAlign w:val="center"/>
                </w:tcPr>
                <w:p w14:paraId="115B3225">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小河边附</w:t>
                  </w:r>
                </w:p>
                <w:p w14:paraId="729F713B">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近</w:t>
                  </w:r>
                </w:p>
              </w:tc>
            </w:tr>
            <w:tr w14:paraId="173C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506" w:type="dxa"/>
                  <w:vAlign w:val="center"/>
                </w:tcPr>
                <w:p w14:paraId="34505653">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w:t>
                  </w:r>
                </w:p>
              </w:tc>
              <w:tc>
                <w:tcPr>
                  <w:tcW w:w="2369" w:type="dxa"/>
                  <w:vAlign w:val="center"/>
                </w:tcPr>
                <w:p w14:paraId="090C8692">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S204</w:t>
                  </w:r>
                  <w:r>
                    <w:rPr>
                      <w:rFonts w:ascii="Times New Roman" w:hAnsi="Times New Roman" w:cs="Times New Roman"/>
                      <w:spacing w:val="-1"/>
                      <w:sz w:val="21"/>
                      <w:szCs w:val="21"/>
                      <w:lang w:eastAsia="zh-CN"/>
                    </w:rPr>
                    <w:t xml:space="preserve"> </w:t>
                  </w:r>
                  <w:r>
                    <w:rPr>
                      <w:rFonts w:ascii="Times New Roman" w:hAnsi="Times New Roman" w:cs="Times New Roman"/>
                      <w:sz w:val="21"/>
                      <w:szCs w:val="21"/>
                      <w:lang w:eastAsia="zh-CN"/>
                    </w:rPr>
                    <w:t>省道</w:t>
                  </w:r>
                </w:p>
              </w:tc>
              <w:tc>
                <w:tcPr>
                  <w:tcW w:w="891" w:type="dxa"/>
                  <w:vAlign w:val="center"/>
                </w:tcPr>
                <w:p w14:paraId="40934F67">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3</w:t>
                  </w:r>
                </w:p>
                <w:p w14:paraId="6E59FD6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次</w:t>
                  </w:r>
                </w:p>
              </w:tc>
              <w:tc>
                <w:tcPr>
                  <w:tcW w:w="2710" w:type="dxa"/>
                  <w:vAlign w:val="center"/>
                </w:tcPr>
                <w:p w14:paraId="0D5A5FB6">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满足跨越要求</w:t>
                  </w:r>
                </w:p>
              </w:tc>
              <w:tc>
                <w:tcPr>
                  <w:tcW w:w="1205" w:type="dxa"/>
                  <w:vAlign w:val="center"/>
                </w:tcPr>
                <w:p w14:paraId="5F168B2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大山口附</w:t>
                  </w:r>
                </w:p>
                <w:p w14:paraId="7EE44BCC">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近</w:t>
                  </w:r>
                </w:p>
              </w:tc>
            </w:tr>
          </w:tbl>
          <w:p w14:paraId="6A4DF7D9">
            <w:pPr>
              <w:spacing w:line="360" w:lineRule="auto"/>
              <w:ind w:firstLine="464" w:firstLineChars="200"/>
              <w:rPr>
                <w:bCs/>
                <w:sz w:val="24"/>
              </w:rPr>
            </w:pPr>
            <w:r>
              <w:rPr>
                <w:spacing w:val="-4"/>
                <w:sz w:val="24"/>
              </w:rPr>
              <w:t>本</w:t>
            </w:r>
            <w:r>
              <w:rPr>
                <w:bCs/>
                <w:sz w:val="24"/>
              </w:rPr>
              <w:t>项目拟建线路与交叉跨越物间的最小设计距离严格按照《110kV~750kV架空输电线路设计规范》（GB50545-2010）的相关规定，见表2-6。</w:t>
            </w:r>
          </w:p>
          <w:p w14:paraId="4C2A419B">
            <w:pPr>
              <w:jc w:val="center"/>
              <w:rPr>
                <w:rFonts w:eastAsia="黑体"/>
                <w:sz w:val="24"/>
              </w:rPr>
            </w:pPr>
            <w:r>
              <w:rPr>
                <w:rFonts w:eastAsia="黑体"/>
                <w:sz w:val="24"/>
              </w:rPr>
              <w:t>表2-6项目拟建线路与交叉跨越物间的最小设计距离一览表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2553"/>
              <w:gridCol w:w="1955"/>
              <w:gridCol w:w="1957"/>
            </w:tblGrid>
            <w:tr w14:paraId="3767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51" w:type="pct"/>
                  <w:vMerge w:val="restart"/>
                  <w:vAlign w:val="center"/>
                </w:tcPr>
                <w:p w14:paraId="0C23C83B">
                  <w:pPr>
                    <w:snapToGrid w:val="0"/>
                    <w:jc w:val="center"/>
                    <w:rPr>
                      <w:spacing w:val="-4"/>
                    </w:rPr>
                  </w:pPr>
                  <w:r>
                    <w:t>序号</w:t>
                  </w:r>
                </w:p>
              </w:tc>
              <w:tc>
                <w:tcPr>
                  <w:tcW w:w="1678" w:type="pct"/>
                  <w:vMerge w:val="restart"/>
                  <w:vAlign w:val="center"/>
                </w:tcPr>
                <w:p w14:paraId="53C528A5">
                  <w:pPr>
                    <w:snapToGrid w:val="0"/>
                    <w:jc w:val="center"/>
                    <w:rPr>
                      <w:spacing w:val="-4"/>
                    </w:rPr>
                  </w:pPr>
                  <w:r>
                    <w:t>跨越物名称</w:t>
                  </w:r>
                </w:p>
              </w:tc>
              <w:tc>
                <w:tcPr>
                  <w:tcW w:w="2571" w:type="pct"/>
                  <w:gridSpan w:val="2"/>
                  <w:vAlign w:val="center"/>
                </w:tcPr>
                <w:p w14:paraId="4DB51809">
                  <w:pPr>
                    <w:snapToGrid w:val="0"/>
                    <w:jc w:val="center"/>
                  </w:pPr>
                  <w:r>
                    <w:t>拟建线路与交叉跨越物间距离（m）</w:t>
                  </w:r>
                </w:p>
              </w:tc>
            </w:tr>
            <w:tr w14:paraId="2DF2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51" w:type="pct"/>
                  <w:vMerge w:val="continue"/>
                  <w:vAlign w:val="center"/>
                </w:tcPr>
                <w:p w14:paraId="27015660">
                  <w:pPr>
                    <w:snapToGrid w:val="0"/>
                    <w:jc w:val="center"/>
                  </w:pPr>
                </w:p>
              </w:tc>
              <w:tc>
                <w:tcPr>
                  <w:tcW w:w="1678" w:type="pct"/>
                  <w:vMerge w:val="continue"/>
                  <w:vAlign w:val="center"/>
                </w:tcPr>
                <w:p w14:paraId="795B5C5D">
                  <w:pPr>
                    <w:snapToGrid w:val="0"/>
                    <w:jc w:val="center"/>
                  </w:pPr>
                </w:p>
              </w:tc>
              <w:tc>
                <w:tcPr>
                  <w:tcW w:w="1285" w:type="pct"/>
                  <w:vAlign w:val="center"/>
                </w:tcPr>
                <w:p w14:paraId="40F36488">
                  <w:pPr>
                    <w:snapToGrid w:val="0"/>
                    <w:jc w:val="center"/>
                  </w:pPr>
                  <w:r>
                    <w:t>垂直距离</w:t>
                  </w:r>
                </w:p>
              </w:tc>
              <w:tc>
                <w:tcPr>
                  <w:tcW w:w="1286" w:type="pct"/>
                  <w:vAlign w:val="center"/>
                </w:tcPr>
                <w:p w14:paraId="54647BEA">
                  <w:pPr>
                    <w:snapToGrid w:val="0"/>
                    <w:jc w:val="center"/>
                  </w:pPr>
                  <w:r>
                    <w:t>水平距离</w:t>
                  </w:r>
                </w:p>
              </w:tc>
            </w:tr>
            <w:tr w14:paraId="32D9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4E94D08C">
                  <w:pPr>
                    <w:snapToGrid w:val="0"/>
                    <w:jc w:val="center"/>
                  </w:pPr>
                  <w:r>
                    <w:t>1</w:t>
                  </w:r>
                </w:p>
              </w:tc>
              <w:tc>
                <w:tcPr>
                  <w:tcW w:w="1678" w:type="pct"/>
                  <w:vAlign w:val="center"/>
                </w:tcPr>
                <w:p w14:paraId="3E116B84">
                  <w:pPr>
                    <w:snapToGrid w:val="0"/>
                    <w:jc w:val="center"/>
                  </w:pPr>
                  <w:r>
                    <w:t>居民区</w:t>
                  </w:r>
                </w:p>
              </w:tc>
              <w:tc>
                <w:tcPr>
                  <w:tcW w:w="1285" w:type="pct"/>
                  <w:vAlign w:val="center"/>
                </w:tcPr>
                <w:p w14:paraId="3D568CEE">
                  <w:pPr>
                    <w:snapToGrid w:val="0"/>
                    <w:jc w:val="center"/>
                  </w:pPr>
                  <w:r>
                    <w:rPr>
                      <w:spacing w:val="-4"/>
                    </w:rPr>
                    <w:t>7</w:t>
                  </w:r>
                </w:p>
              </w:tc>
              <w:tc>
                <w:tcPr>
                  <w:tcW w:w="1286" w:type="pct"/>
                  <w:vAlign w:val="center"/>
                </w:tcPr>
                <w:p w14:paraId="3C696878">
                  <w:pPr>
                    <w:snapToGrid w:val="0"/>
                    <w:jc w:val="center"/>
                    <w:rPr>
                      <w:spacing w:val="-4"/>
                    </w:rPr>
                  </w:pPr>
                </w:p>
              </w:tc>
            </w:tr>
            <w:tr w14:paraId="7C32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5F181869">
                  <w:pPr>
                    <w:snapToGrid w:val="0"/>
                    <w:jc w:val="center"/>
                  </w:pPr>
                  <w:r>
                    <w:t>2</w:t>
                  </w:r>
                </w:p>
              </w:tc>
              <w:tc>
                <w:tcPr>
                  <w:tcW w:w="1678" w:type="pct"/>
                  <w:vAlign w:val="center"/>
                </w:tcPr>
                <w:p w14:paraId="3A6D6B35">
                  <w:pPr>
                    <w:snapToGrid w:val="0"/>
                    <w:jc w:val="center"/>
                  </w:pPr>
                  <w:r>
                    <w:t>非居民区</w:t>
                  </w:r>
                </w:p>
              </w:tc>
              <w:tc>
                <w:tcPr>
                  <w:tcW w:w="1285" w:type="pct"/>
                  <w:vAlign w:val="center"/>
                </w:tcPr>
                <w:p w14:paraId="12B69BC9">
                  <w:pPr>
                    <w:snapToGrid w:val="0"/>
                    <w:jc w:val="center"/>
                  </w:pPr>
                  <w:r>
                    <w:rPr>
                      <w:spacing w:val="-4"/>
                    </w:rPr>
                    <w:t>6</w:t>
                  </w:r>
                </w:p>
              </w:tc>
              <w:tc>
                <w:tcPr>
                  <w:tcW w:w="1286" w:type="pct"/>
                  <w:vAlign w:val="center"/>
                </w:tcPr>
                <w:p w14:paraId="02832519">
                  <w:pPr>
                    <w:snapToGrid w:val="0"/>
                    <w:jc w:val="center"/>
                    <w:rPr>
                      <w:spacing w:val="-4"/>
                    </w:rPr>
                  </w:pPr>
                </w:p>
              </w:tc>
            </w:tr>
            <w:tr w14:paraId="193B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44797758">
                  <w:pPr>
                    <w:jc w:val="center"/>
                    <w:rPr>
                      <w:spacing w:val="-4"/>
                    </w:rPr>
                  </w:pPr>
                  <w:r>
                    <w:rPr>
                      <w:spacing w:val="-4"/>
                    </w:rPr>
                    <w:t>3</w:t>
                  </w:r>
                </w:p>
              </w:tc>
              <w:tc>
                <w:tcPr>
                  <w:tcW w:w="1678" w:type="pct"/>
                  <w:vAlign w:val="center"/>
                </w:tcPr>
                <w:p w14:paraId="02E43BD2">
                  <w:pPr>
                    <w:snapToGrid w:val="0"/>
                    <w:jc w:val="center"/>
                  </w:pPr>
                  <w:r>
                    <w:t>交通困难地区</w:t>
                  </w:r>
                </w:p>
              </w:tc>
              <w:tc>
                <w:tcPr>
                  <w:tcW w:w="1285" w:type="pct"/>
                  <w:vAlign w:val="center"/>
                </w:tcPr>
                <w:p w14:paraId="08D79A65">
                  <w:pPr>
                    <w:jc w:val="center"/>
                    <w:rPr>
                      <w:spacing w:val="-4"/>
                    </w:rPr>
                  </w:pPr>
                  <w:r>
                    <w:rPr>
                      <w:spacing w:val="-4"/>
                    </w:rPr>
                    <w:t>5</w:t>
                  </w:r>
                </w:p>
              </w:tc>
              <w:tc>
                <w:tcPr>
                  <w:tcW w:w="1286" w:type="pct"/>
                  <w:vAlign w:val="center"/>
                </w:tcPr>
                <w:p w14:paraId="524AC386">
                  <w:pPr>
                    <w:jc w:val="center"/>
                    <w:rPr>
                      <w:spacing w:val="-4"/>
                    </w:rPr>
                  </w:pPr>
                </w:p>
              </w:tc>
            </w:tr>
            <w:tr w14:paraId="722D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25CCECB4">
                  <w:pPr>
                    <w:jc w:val="center"/>
                    <w:rPr>
                      <w:spacing w:val="-4"/>
                    </w:rPr>
                  </w:pPr>
                  <w:r>
                    <w:rPr>
                      <w:spacing w:val="-4"/>
                    </w:rPr>
                    <w:t>4</w:t>
                  </w:r>
                </w:p>
              </w:tc>
              <w:tc>
                <w:tcPr>
                  <w:tcW w:w="1678" w:type="pct"/>
                  <w:vAlign w:val="center"/>
                </w:tcPr>
                <w:p w14:paraId="41A16B1D">
                  <w:pPr>
                    <w:snapToGrid w:val="0"/>
                    <w:jc w:val="center"/>
                  </w:pPr>
                  <w:r>
                    <w:t>步行可到达的山坡</w:t>
                  </w:r>
                </w:p>
              </w:tc>
              <w:tc>
                <w:tcPr>
                  <w:tcW w:w="1285" w:type="pct"/>
                  <w:vAlign w:val="center"/>
                </w:tcPr>
                <w:p w14:paraId="68971A70">
                  <w:pPr>
                    <w:jc w:val="center"/>
                    <w:rPr>
                      <w:spacing w:val="-4"/>
                    </w:rPr>
                  </w:pPr>
                  <w:r>
                    <w:rPr>
                      <w:spacing w:val="-4"/>
                    </w:rPr>
                    <w:t>5</w:t>
                  </w:r>
                </w:p>
              </w:tc>
              <w:tc>
                <w:tcPr>
                  <w:tcW w:w="1286" w:type="pct"/>
                  <w:vAlign w:val="center"/>
                </w:tcPr>
                <w:p w14:paraId="07DE31E7">
                  <w:pPr>
                    <w:jc w:val="center"/>
                    <w:rPr>
                      <w:spacing w:val="-4"/>
                    </w:rPr>
                  </w:pPr>
                  <w:r>
                    <w:rPr>
                      <w:spacing w:val="-4"/>
                    </w:rPr>
                    <w:t>5</w:t>
                  </w:r>
                </w:p>
              </w:tc>
            </w:tr>
            <w:tr w14:paraId="1A66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47E57B02">
                  <w:pPr>
                    <w:jc w:val="center"/>
                    <w:rPr>
                      <w:spacing w:val="-4"/>
                    </w:rPr>
                  </w:pPr>
                  <w:r>
                    <w:rPr>
                      <w:spacing w:val="-4"/>
                    </w:rPr>
                    <w:t>5</w:t>
                  </w:r>
                </w:p>
              </w:tc>
              <w:tc>
                <w:tcPr>
                  <w:tcW w:w="1678" w:type="pct"/>
                  <w:vAlign w:val="center"/>
                </w:tcPr>
                <w:p w14:paraId="49ACE9CC">
                  <w:pPr>
                    <w:snapToGrid w:val="0"/>
                    <w:jc w:val="center"/>
                  </w:pPr>
                  <w:r>
                    <w:t>步行不能到达的山坡，峭壁、岩石</w:t>
                  </w:r>
                </w:p>
              </w:tc>
              <w:tc>
                <w:tcPr>
                  <w:tcW w:w="1285" w:type="pct"/>
                  <w:vAlign w:val="center"/>
                </w:tcPr>
                <w:p w14:paraId="09920A6F">
                  <w:pPr>
                    <w:jc w:val="center"/>
                    <w:rPr>
                      <w:spacing w:val="-4"/>
                    </w:rPr>
                  </w:pPr>
                  <w:r>
                    <w:rPr>
                      <w:spacing w:val="-4"/>
                    </w:rPr>
                    <w:t>3</w:t>
                  </w:r>
                </w:p>
              </w:tc>
              <w:tc>
                <w:tcPr>
                  <w:tcW w:w="1286" w:type="pct"/>
                  <w:vAlign w:val="center"/>
                </w:tcPr>
                <w:p w14:paraId="42A6F733">
                  <w:pPr>
                    <w:jc w:val="center"/>
                    <w:rPr>
                      <w:spacing w:val="-4"/>
                    </w:rPr>
                  </w:pPr>
                  <w:r>
                    <w:rPr>
                      <w:spacing w:val="-4"/>
                    </w:rPr>
                    <w:t>3</w:t>
                  </w:r>
                </w:p>
              </w:tc>
            </w:tr>
            <w:tr w14:paraId="1852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609F26B4">
                  <w:pPr>
                    <w:jc w:val="center"/>
                    <w:rPr>
                      <w:spacing w:val="-4"/>
                    </w:rPr>
                  </w:pPr>
                  <w:r>
                    <w:rPr>
                      <w:spacing w:val="-4"/>
                    </w:rPr>
                    <w:t>6</w:t>
                  </w:r>
                </w:p>
              </w:tc>
              <w:tc>
                <w:tcPr>
                  <w:tcW w:w="1678" w:type="pct"/>
                  <w:vAlign w:val="center"/>
                </w:tcPr>
                <w:p w14:paraId="549CB8FB">
                  <w:pPr>
                    <w:snapToGrid w:val="0"/>
                    <w:jc w:val="center"/>
                  </w:pPr>
                  <w:r>
                    <w:t>果树及经济作物</w:t>
                  </w:r>
                </w:p>
              </w:tc>
              <w:tc>
                <w:tcPr>
                  <w:tcW w:w="1285" w:type="pct"/>
                  <w:vAlign w:val="center"/>
                </w:tcPr>
                <w:p w14:paraId="1B715D1D">
                  <w:pPr>
                    <w:jc w:val="center"/>
                    <w:rPr>
                      <w:spacing w:val="-4"/>
                    </w:rPr>
                  </w:pPr>
                  <w:r>
                    <w:rPr>
                      <w:spacing w:val="-4"/>
                    </w:rPr>
                    <w:t>3</w:t>
                  </w:r>
                </w:p>
              </w:tc>
              <w:tc>
                <w:tcPr>
                  <w:tcW w:w="1286" w:type="pct"/>
                  <w:vAlign w:val="center"/>
                </w:tcPr>
                <w:p w14:paraId="670DD289">
                  <w:pPr>
                    <w:jc w:val="center"/>
                    <w:rPr>
                      <w:spacing w:val="-4"/>
                    </w:rPr>
                  </w:pPr>
                </w:p>
              </w:tc>
            </w:tr>
            <w:tr w14:paraId="2A27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B1D5CD7">
                  <w:pPr>
                    <w:jc w:val="center"/>
                    <w:rPr>
                      <w:spacing w:val="-4"/>
                    </w:rPr>
                  </w:pPr>
                  <w:r>
                    <w:rPr>
                      <w:spacing w:val="-4"/>
                    </w:rPr>
                    <w:t>7</w:t>
                  </w:r>
                </w:p>
              </w:tc>
              <w:tc>
                <w:tcPr>
                  <w:tcW w:w="1678" w:type="pct"/>
                  <w:vAlign w:val="center"/>
                </w:tcPr>
                <w:p w14:paraId="707F65F7">
                  <w:pPr>
                    <w:snapToGrid w:val="0"/>
                    <w:jc w:val="center"/>
                  </w:pPr>
                  <w:r>
                    <w:t>耐火屋顶的建筑物</w:t>
                  </w:r>
                </w:p>
              </w:tc>
              <w:tc>
                <w:tcPr>
                  <w:tcW w:w="1285" w:type="pct"/>
                  <w:vAlign w:val="center"/>
                </w:tcPr>
                <w:p w14:paraId="6277A7F8">
                  <w:pPr>
                    <w:jc w:val="center"/>
                    <w:rPr>
                      <w:spacing w:val="-4"/>
                    </w:rPr>
                  </w:pPr>
                  <w:r>
                    <w:rPr>
                      <w:spacing w:val="-4"/>
                    </w:rPr>
                    <w:t>5</w:t>
                  </w:r>
                </w:p>
              </w:tc>
              <w:tc>
                <w:tcPr>
                  <w:tcW w:w="1286" w:type="pct"/>
                  <w:vAlign w:val="center"/>
                </w:tcPr>
                <w:p w14:paraId="2373BD05">
                  <w:pPr>
                    <w:jc w:val="center"/>
                    <w:rPr>
                      <w:spacing w:val="-4"/>
                    </w:rPr>
                  </w:pPr>
                  <w:r>
                    <w:rPr>
                      <w:spacing w:val="-4"/>
                    </w:rPr>
                    <w:t>4</w:t>
                  </w:r>
                </w:p>
              </w:tc>
            </w:tr>
            <w:tr w14:paraId="536C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ED61CF9">
                  <w:pPr>
                    <w:jc w:val="center"/>
                    <w:rPr>
                      <w:spacing w:val="-4"/>
                    </w:rPr>
                  </w:pPr>
                  <w:r>
                    <w:rPr>
                      <w:spacing w:val="-4"/>
                    </w:rPr>
                    <w:t>8</w:t>
                  </w:r>
                </w:p>
              </w:tc>
              <w:tc>
                <w:tcPr>
                  <w:tcW w:w="1678" w:type="pct"/>
                  <w:vAlign w:val="center"/>
                </w:tcPr>
                <w:p w14:paraId="37224464">
                  <w:pPr>
                    <w:snapToGrid w:val="0"/>
                    <w:jc w:val="center"/>
                  </w:pPr>
                  <w:r>
                    <w:t>窄轨铁路轨顶</w:t>
                  </w:r>
                </w:p>
              </w:tc>
              <w:tc>
                <w:tcPr>
                  <w:tcW w:w="1285" w:type="pct"/>
                  <w:vAlign w:val="center"/>
                </w:tcPr>
                <w:p w14:paraId="38A67231">
                  <w:pPr>
                    <w:jc w:val="center"/>
                    <w:rPr>
                      <w:spacing w:val="-4"/>
                    </w:rPr>
                  </w:pPr>
                  <w:r>
                    <w:rPr>
                      <w:spacing w:val="-4"/>
                    </w:rPr>
                    <w:t>7.5</w:t>
                  </w:r>
                </w:p>
              </w:tc>
              <w:tc>
                <w:tcPr>
                  <w:tcW w:w="1286" w:type="pct"/>
                  <w:vMerge w:val="restart"/>
                  <w:vAlign w:val="center"/>
                </w:tcPr>
                <w:p w14:paraId="64778EAD">
                  <w:pPr>
                    <w:jc w:val="center"/>
                    <w:rPr>
                      <w:spacing w:val="-4"/>
                    </w:rPr>
                  </w:pPr>
                  <w:r>
                    <w:rPr>
                      <w:spacing w:val="-4"/>
                    </w:rPr>
                    <w:t>交叉：30m</w:t>
                  </w:r>
                </w:p>
                <w:p w14:paraId="59A96A9F">
                  <w:pPr>
                    <w:jc w:val="center"/>
                    <w:rPr>
                      <w:spacing w:val="-4"/>
                    </w:rPr>
                  </w:pPr>
                  <w:r>
                    <w:rPr>
                      <w:spacing w:val="-4"/>
                    </w:rPr>
                    <w:t>平行：最高杆塔加3m</w:t>
                  </w:r>
                </w:p>
              </w:tc>
            </w:tr>
            <w:tr w14:paraId="39BF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7BB532B9">
                  <w:pPr>
                    <w:jc w:val="center"/>
                    <w:rPr>
                      <w:spacing w:val="-4"/>
                    </w:rPr>
                  </w:pPr>
                  <w:r>
                    <w:rPr>
                      <w:spacing w:val="-4"/>
                    </w:rPr>
                    <w:t>9</w:t>
                  </w:r>
                </w:p>
              </w:tc>
              <w:tc>
                <w:tcPr>
                  <w:tcW w:w="1678" w:type="pct"/>
                  <w:vAlign w:val="center"/>
                </w:tcPr>
                <w:p w14:paraId="7167D0C0">
                  <w:pPr>
                    <w:snapToGrid w:val="0"/>
                    <w:jc w:val="center"/>
                  </w:pPr>
                  <w:r>
                    <w:t>电气化铁路承力索</w:t>
                  </w:r>
                </w:p>
              </w:tc>
              <w:tc>
                <w:tcPr>
                  <w:tcW w:w="1285" w:type="pct"/>
                  <w:vAlign w:val="center"/>
                </w:tcPr>
                <w:p w14:paraId="36C0452B">
                  <w:pPr>
                    <w:jc w:val="center"/>
                    <w:rPr>
                      <w:spacing w:val="-4"/>
                    </w:rPr>
                  </w:pPr>
                  <w:r>
                    <w:rPr>
                      <w:spacing w:val="-4"/>
                    </w:rPr>
                    <w:t>3</w:t>
                  </w:r>
                </w:p>
              </w:tc>
              <w:tc>
                <w:tcPr>
                  <w:tcW w:w="1286" w:type="pct"/>
                  <w:vMerge w:val="continue"/>
                  <w:vAlign w:val="center"/>
                </w:tcPr>
                <w:p w14:paraId="092A605C">
                  <w:pPr>
                    <w:jc w:val="center"/>
                    <w:rPr>
                      <w:spacing w:val="-4"/>
                    </w:rPr>
                  </w:pPr>
                </w:p>
              </w:tc>
            </w:tr>
            <w:tr w14:paraId="0D21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7EB1C5D5">
                  <w:pPr>
                    <w:jc w:val="center"/>
                    <w:rPr>
                      <w:spacing w:val="-4"/>
                    </w:rPr>
                  </w:pPr>
                  <w:r>
                    <w:rPr>
                      <w:spacing w:val="-4"/>
                    </w:rPr>
                    <w:t>10</w:t>
                  </w:r>
                </w:p>
              </w:tc>
              <w:tc>
                <w:tcPr>
                  <w:tcW w:w="1678" w:type="pct"/>
                  <w:vAlign w:val="center"/>
                </w:tcPr>
                <w:p w14:paraId="04FF8474">
                  <w:pPr>
                    <w:snapToGrid w:val="0"/>
                    <w:jc w:val="center"/>
                  </w:pPr>
                  <w:r>
                    <w:t>公路（高速公路、二级公路、四级公路）</w:t>
                  </w:r>
                </w:p>
              </w:tc>
              <w:tc>
                <w:tcPr>
                  <w:tcW w:w="1285" w:type="pct"/>
                  <w:vAlign w:val="center"/>
                </w:tcPr>
                <w:p w14:paraId="59890438">
                  <w:pPr>
                    <w:jc w:val="center"/>
                    <w:rPr>
                      <w:spacing w:val="-4"/>
                    </w:rPr>
                  </w:pPr>
                  <w:r>
                    <w:rPr>
                      <w:spacing w:val="-4"/>
                    </w:rPr>
                    <w:t>7</w:t>
                  </w:r>
                </w:p>
              </w:tc>
              <w:tc>
                <w:tcPr>
                  <w:tcW w:w="1286" w:type="pct"/>
                  <w:vAlign w:val="center"/>
                </w:tcPr>
                <w:p w14:paraId="7873CD61">
                  <w:pPr>
                    <w:jc w:val="center"/>
                    <w:rPr>
                      <w:spacing w:val="-4"/>
                    </w:rPr>
                  </w:pPr>
                  <w:r>
                    <w:rPr>
                      <w:spacing w:val="-4"/>
                    </w:rPr>
                    <w:t>交叉：15</w:t>
                  </w:r>
                </w:p>
                <w:p w14:paraId="0D9AF7CE">
                  <w:pPr>
                    <w:jc w:val="center"/>
                    <w:rPr>
                      <w:spacing w:val="-4"/>
                    </w:rPr>
                  </w:pPr>
                  <w:r>
                    <w:rPr>
                      <w:spacing w:val="-4"/>
                    </w:rPr>
                    <w:t>平行：最高杆塔</w:t>
                  </w:r>
                </w:p>
              </w:tc>
            </w:tr>
            <w:tr w14:paraId="0155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774B14BF">
                  <w:pPr>
                    <w:jc w:val="center"/>
                    <w:rPr>
                      <w:spacing w:val="-4"/>
                    </w:rPr>
                  </w:pPr>
                  <w:r>
                    <w:rPr>
                      <w:spacing w:val="-4"/>
                    </w:rPr>
                    <w:t>11</w:t>
                  </w:r>
                </w:p>
              </w:tc>
              <w:tc>
                <w:tcPr>
                  <w:tcW w:w="1678" w:type="pct"/>
                  <w:vAlign w:val="center"/>
                </w:tcPr>
                <w:p w14:paraId="1667DB20">
                  <w:pPr>
                    <w:snapToGrid w:val="0"/>
                    <w:jc w:val="center"/>
                  </w:pPr>
                  <w:r>
                    <w:t>电力线路（电压较高的线路架设在电压较低线路的上方，同一等级电压的电网公用线架设在专用线上方）</w:t>
                  </w:r>
                </w:p>
              </w:tc>
              <w:tc>
                <w:tcPr>
                  <w:tcW w:w="1285" w:type="pct"/>
                  <w:vAlign w:val="center"/>
                </w:tcPr>
                <w:p w14:paraId="294E184B">
                  <w:pPr>
                    <w:jc w:val="center"/>
                    <w:rPr>
                      <w:spacing w:val="-4"/>
                    </w:rPr>
                  </w:pPr>
                  <w:r>
                    <w:rPr>
                      <w:spacing w:val="-4"/>
                    </w:rPr>
                    <w:t>4.0</w:t>
                  </w:r>
                </w:p>
              </w:tc>
              <w:tc>
                <w:tcPr>
                  <w:tcW w:w="1286" w:type="pct"/>
                  <w:vAlign w:val="center"/>
                </w:tcPr>
                <w:p w14:paraId="3406BB88">
                  <w:pPr>
                    <w:jc w:val="center"/>
                    <w:rPr>
                      <w:spacing w:val="-4"/>
                    </w:rPr>
                  </w:pPr>
                  <w:r>
                    <w:rPr>
                      <w:spacing w:val="-4"/>
                    </w:rPr>
                    <w:t>拥挤地区：5.0</w:t>
                  </w:r>
                </w:p>
              </w:tc>
            </w:tr>
            <w:tr w14:paraId="531A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7B06DAF">
                  <w:pPr>
                    <w:jc w:val="center"/>
                    <w:rPr>
                      <w:spacing w:val="-4"/>
                    </w:rPr>
                  </w:pPr>
                  <w:r>
                    <w:rPr>
                      <w:spacing w:val="-4"/>
                    </w:rPr>
                    <w:t>12</w:t>
                  </w:r>
                </w:p>
              </w:tc>
              <w:tc>
                <w:tcPr>
                  <w:tcW w:w="1678" w:type="pct"/>
                  <w:vAlign w:val="center"/>
                </w:tcPr>
                <w:p w14:paraId="066CB21D">
                  <w:pPr>
                    <w:snapToGrid w:val="0"/>
                    <w:jc w:val="center"/>
                  </w:pPr>
                  <w:r>
                    <w:t>弱电线路（输电线路架设在上方）</w:t>
                  </w:r>
                </w:p>
              </w:tc>
              <w:tc>
                <w:tcPr>
                  <w:tcW w:w="1285" w:type="pct"/>
                  <w:vAlign w:val="center"/>
                </w:tcPr>
                <w:p w14:paraId="12F9B1D1">
                  <w:pPr>
                    <w:jc w:val="center"/>
                    <w:rPr>
                      <w:spacing w:val="-4"/>
                    </w:rPr>
                  </w:pPr>
                  <w:r>
                    <w:rPr>
                      <w:spacing w:val="-4"/>
                    </w:rPr>
                    <w:t>3.0</w:t>
                  </w:r>
                </w:p>
              </w:tc>
              <w:tc>
                <w:tcPr>
                  <w:tcW w:w="1286" w:type="pct"/>
                  <w:vAlign w:val="center"/>
                </w:tcPr>
                <w:p w14:paraId="10276A02">
                  <w:pPr>
                    <w:jc w:val="center"/>
                    <w:rPr>
                      <w:spacing w:val="-4"/>
                    </w:rPr>
                  </w:pPr>
                  <w:r>
                    <w:rPr>
                      <w:spacing w:val="-4"/>
                    </w:rPr>
                    <w:t>拥挤地区：4.0</w:t>
                  </w:r>
                </w:p>
              </w:tc>
            </w:tr>
          </w:tbl>
          <w:p w14:paraId="2D1DFF7C">
            <w:pPr>
              <w:pStyle w:val="190"/>
              <w:ind w:firstLine="496" w:firstLineChars="200"/>
              <w:jc w:val="both"/>
              <w:rPr>
                <w:sz w:val="24"/>
                <w:lang w:val="en-US"/>
              </w:rPr>
            </w:pPr>
            <w:r>
              <w:rPr>
                <w:sz w:val="24"/>
                <w:lang w:val="en-US"/>
              </w:rPr>
              <w:t>根据项目拟建线路设计方案，本工程不涉及通航河道，拟建线路与交叉跨越物间最小距离均符合《110kV～750kV架空输电线路设计规范》（GB50545-2010）规定的设计</w:t>
            </w:r>
            <w:r>
              <w:rPr>
                <w:rFonts w:hint="eastAsia"/>
                <w:sz w:val="24"/>
                <w:lang w:val="en-US"/>
              </w:rPr>
              <w:t>限值</w:t>
            </w:r>
            <w:r>
              <w:rPr>
                <w:sz w:val="24"/>
                <w:lang w:val="en-US"/>
              </w:rPr>
              <w:t>要求。</w:t>
            </w:r>
          </w:p>
          <w:p w14:paraId="72DF0705">
            <w:pPr>
              <w:pStyle w:val="189"/>
              <w:numPr>
                <w:ilvl w:val="0"/>
                <w:numId w:val="1"/>
              </w:numPr>
              <w:ind w:left="0" w:right="0" w:firstLine="482"/>
              <w:jc w:val="both"/>
              <w:rPr>
                <w:b/>
                <w:bCs/>
                <w:sz w:val="24"/>
              </w:rPr>
            </w:pPr>
            <w:r>
              <w:rPr>
                <w:b/>
                <w:bCs/>
                <w:sz w:val="24"/>
              </w:rPr>
              <w:t>沿线森林分布情况</w:t>
            </w:r>
          </w:p>
          <w:p w14:paraId="272D5D39">
            <w:pPr>
              <w:pStyle w:val="190"/>
              <w:jc w:val="both"/>
              <w:rPr>
                <w:sz w:val="24"/>
                <w:lang w:val="en-US"/>
              </w:rPr>
            </w:pPr>
            <w:r>
              <w:rPr>
                <w:rFonts w:hint="eastAsia"/>
                <w:sz w:val="24"/>
                <w:lang w:val="en-US"/>
              </w:rPr>
              <w:t>本工程线路涉及林区多是集体林和经济林。工程区主要为低中山、岩溶地貌类型，岩溶发育表现为在山坡上溶沟、溶槽、石芽较发育，山顶或山脊溶蚀漏斗、溶蚀洼地较发育山顶地势较平坦，植被茂密，多为松树、灌木和低矮乔木。树木胸径在10-20cm之间，树木高度大部分在8-15m，个别大于20m。</w:t>
            </w:r>
          </w:p>
          <w:p w14:paraId="711D35E3">
            <w:pPr>
              <w:pStyle w:val="190"/>
              <w:jc w:val="both"/>
              <w:rPr>
                <w:sz w:val="24"/>
                <w:lang w:val="en-US"/>
              </w:rPr>
            </w:pPr>
            <w:r>
              <w:rPr>
                <w:rFonts w:hint="eastAsia"/>
                <w:sz w:val="24"/>
                <w:lang w:val="en-US"/>
              </w:rPr>
              <w:t>对于国家一级公益林和国家二级公益林，原则上进行避让。对于速生树种主要考虑砍伐，对于云南松、杂木林采用高跨。本次设计路径过林区采用高塔跨越，只在塔基位置处适当砍伐</w:t>
            </w:r>
            <w:r>
              <w:rPr>
                <w:sz w:val="24"/>
                <w:lang w:val="en-US"/>
              </w:rPr>
              <w:t>。</w:t>
            </w:r>
          </w:p>
          <w:p w14:paraId="08A93509">
            <w:pPr>
              <w:autoSpaceDE w:val="0"/>
              <w:autoSpaceDN w:val="0"/>
              <w:spacing w:line="360" w:lineRule="auto"/>
              <w:jc w:val="left"/>
              <w:rPr>
                <w:b/>
                <w:bCs/>
                <w:kern w:val="0"/>
                <w:sz w:val="24"/>
              </w:rPr>
            </w:pPr>
            <w:r>
              <w:rPr>
                <w:b/>
                <w:bCs/>
                <w:kern w:val="0"/>
                <w:sz w:val="24"/>
              </w:rPr>
              <w:t>2、施工总布置</w:t>
            </w:r>
          </w:p>
          <w:p w14:paraId="4BB38B47">
            <w:pPr>
              <w:pStyle w:val="61"/>
              <w:ind w:firstLine="482"/>
              <w:rPr>
                <w:rFonts w:ascii="Times New Roman" w:eastAsia="宋体" w:cs="Times New Roman"/>
                <w:b/>
                <w:bCs/>
                <w:spacing w:val="0"/>
                <w:szCs w:val="24"/>
              </w:rPr>
            </w:pPr>
            <w:r>
              <w:rPr>
                <w:rFonts w:ascii="Times New Roman" w:eastAsia="宋体" w:cs="Times New Roman"/>
                <w:b/>
                <w:bCs/>
                <w:spacing w:val="0"/>
                <w:szCs w:val="24"/>
              </w:rPr>
              <w:t>（1）塔基施工场地</w:t>
            </w:r>
          </w:p>
          <w:p w14:paraId="41F30CD1">
            <w:pPr>
              <w:pStyle w:val="2"/>
              <w:adjustRightInd w:val="0"/>
              <w:spacing w:before="0" w:after="0" w:line="360" w:lineRule="auto"/>
              <w:ind w:right="0" w:firstLine="480" w:firstLineChars="200"/>
              <w:rPr>
                <w:sz w:val="24"/>
                <w:szCs w:val="24"/>
              </w:rPr>
            </w:pPr>
            <w:r>
              <w:rPr>
                <w:sz w:val="24"/>
                <w:szCs w:val="24"/>
              </w:rPr>
              <w:t>塔基施工场地包括塔基基础之间用地、周边临时材料堆存区及施工工作面，根据塔基尺寸及工作要求确定塔基施工场地。塔基基础施工临时场地以单个塔基为单位零星布置。在塔基施工过程中每处塔基都有一处施工临时占地作为施工场地，用来临时堆置土方、砂石料、水、材料和工具等。根据塔基尺寸及同类项目经验确定单个塔</w:t>
            </w:r>
            <w:r>
              <w:rPr>
                <w:rFonts w:hint="eastAsia"/>
                <w:sz w:val="24"/>
                <w:szCs w:val="24"/>
              </w:rPr>
              <w:t>基</w:t>
            </w:r>
            <w:r>
              <w:rPr>
                <w:sz w:val="24"/>
                <w:szCs w:val="24"/>
              </w:rPr>
              <w:t>占地面积。</w:t>
            </w:r>
            <w:r>
              <w:rPr>
                <w:rFonts w:hint="eastAsia"/>
                <w:sz w:val="24"/>
                <w:szCs w:val="24"/>
              </w:rPr>
              <w:t>根据《南冲风电场1</w:t>
            </w:r>
            <w:r>
              <w:rPr>
                <w:sz w:val="24"/>
                <w:szCs w:val="24"/>
              </w:rPr>
              <w:t>10</w:t>
            </w:r>
            <w:r>
              <w:rPr>
                <w:rFonts w:hint="eastAsia"/>
                <w:sz w:val="24"/>
                <w:szCs w:val="24"/>
              </w:rPr>
              <w:t>k</w:t>
            </w:r>
            <w:r>
              <w:rPr>
                <w:sz w:val="24"/>
                <w:szCs w:val="24"/>
              </w:rPr>
              <w:t>V</w:t>
            </w:r>
            <w:r>
              <w:rPr>
                <w:rFonts w:hint="eastAsia"/>
                <w:sz w:val="24"/>
                <w:szCs w:val="24"/>
              </w:rPr>
              <w:t>送出线路工程可行性研究报告》，塔基永久总占地面积0.145hm</w:t>
            </w:r>
            <w:r>
              <w:rPr>
                <w:sz w:val="24"/>
                <w:szCs w:val="24"/>
                <w:vertAlign w:val="superscript"/>
              </w:rPr>
              <w:t>2</w:t>
            </w:r>
            <w:r>
              <w:rPr>
                <w:rFonts w:hint="eastAsia"/>
                <w:sz w:val="24"/>
                <w:szCs w:val="24"/>
              </w:rPr>
              <w:t>，塔基临时施工占地面积0.135hm</w:t>
            </w:r>
            <w:r>
              <w:rPr>
                <w:sz w:val="24"/>
                <w:szCs w:val="24"/>
                <w:vertAlign w:val="superscript"/>
              </w:rPr>
              <w:t>2</w:t>
            </w:r>
            <w:r>
              <w:rPr>
                <w:sz w:val="24"/>
                <w:szCs w:val="24"/>
              </w:rPr>
              <w:t>。</w:t>
            </w:r>
          </w:p>
          <w:p w14:paraId="243F8897">
            <w:pPr>
              <w:pStyle w:val="2"/>
              <w:adjustRightInd w:val="0"/>
              <w:spacing w:before="0" w:after="0" w:line="360" w:lineRule="auto"/>
              <w:ind w:right="0" w:firstLine="480" w:firstLineChars="200"/>
              <w:rPr>
                <w:sz w:val="24"/>
                <w:szCs w:val="24"/>
              </w:rPr>
            </w:pPr>
            <w:r>
              <w:rPr>
                <w:sz w:val="24"/>
                <w:szCs w:val="24"/>
              </w:rPr>
              <w:t>塔基施工场地施工结束后除基础占用区域外，其它区域按原地类恢复原状。</w:t>
            </w:r>
          </w:p>
          <w:p w14:paraId="3467DA74">
            <w:pPr>
              <w:pStyle w:val="2"/>
              <w:adjustRightInd w:val="0"/>
              <w:spacing w:before="0" w:after="0" w:line="360" w:lineRule="auto"/>
              <w:ind w:right="0" w:firstLine="482" w:firstLineChars="200"/>
              <w:rPr>
                <w:b/>
                <w:bCs/>
                <w:sz w:val="24"/>
                <w:szCs w:val="24"/>
              </w:rPr>
            </w:pPr>
            <w:r>
              <w:rPr>
                <w:b/>
                <w:bCs/>
                <w:sz w:val="24"/>
                <w:szCs w:val="24"/>
              </w:rPr>
              <w:t>（2）线路施工场地</w:t>
            </w:r>
          </w:p>
          <w:p w14:paraId="0F346691">
            <w:pPr>
              <w:pStyle w:val="2"/>
              <w:adjustRightInd w:val="0"/>
              <w:spacing w:before="0" w:after="0" w:line="360" w:lineRule="auto"/>
              <w:ind w:right="0" w:firstLine="480" w:firstLineChars="200"/>
              <w:rPr>
                <w:sz w:val="24"/>
              </w:rPr>
            </w:pPr>
            <w:r>
              <w:rPr>
                <w:sz w:val="24"/>
              </w:rPr>
              <w:t>线路施工场地包括牵张场及跨越施工场地。</w:t>
            </w:r>
          </w:p>
          <w:p w14:paraId="48DCBF6F">
            <w:pPr>
              <w:pStyle w:val="2"/>
              <w:adjustRightInd w:val="0"/>
              <w:spacing w:before="0" w:after="0" w:line="360" w:lineRule="auto"/>
              <w:ind w:right="0" w:firstLine="480" w:firstLineChars="200"/>
              <w:rPr>
                <w:sz w:val="24"/>
              </w:rPr>
            </w:pPr>
            <w:r>
              <w:rPr>
                <w:sz w:val="24"/>
              </w:rPr>
              <w:t>a、牵张场</w:t>
            </w:r>
          </w:p>
          <w:p w14:paraId="4B3B42C6">
            <w:pPr>
              <w:pStyle w:val="2"/>
              <w:adjustRightInd w:val="0"/>
              <w:spacing w:before="0" w:after="0" w:line="360" w:lineRule="auto"/>
              <w:ind w:right="0" w:firstLine="480" w:firstLineChars="200"/>
              <w:rPr>
                <w:sz w:val="24"/>
              </w:rPr>
            </w:pPr>
            <w:r>
              <w:rPr>
                <w:sz w:val="24"/>
              </w:rPr>
              <w:t>输电线路塔设过程中导线采用张力牵引线，以防止导线磨损，所以每回线路都要设置张力场和牵引场（即牵张场地）。牵张场一般每3~5km设置一处，或者控制在塔位不超过16基的线路范围内。</w:t>
            </w:r>
          </w:p>
          <w:p w14:paraId="3B7D756E">
            <w:pPr>
              <w:pStyle w:val="2"/>
              <w:adjustRightInd w:val="0"/>
              <w:spacing w:before="0" w:after="0" w:line="360" w:lineRule="auto"/>
              <w:ind w:right="0" w:firstLine="480" w:firstLineChars="200"/>
              <w:rPr>
                <w:sz w:val="24"/>
              </w:rPr>
            </w:pPr>
            <w:r>
              <w:rPr>
                <w:sz w:val="24"/>
              </w:rPr>
              <w:t>牵张场一般选择地形平缓的场地进行施工，尽量避免占用乔木林地，使用完毕后恢复原始功能，每处牵张场占地约500m</w:t>
            </w:r>
            <w:r>
              <w:rPr>
                <w:sz w:val="24"/>
                <w:vertAlign w:val="superscript"/>
              </w:rPr>
              <w:t>2</w:t>
            </w:r>
            <w:r>
              <w:rPr>
                <w:sz w:val="24"/>
              </w:rPr>
              <w:t>。张力放线后尽快进行架线，通常以张力放线施工阶段</w:t>
            </w:r>
            <w:r>
              <w:rPr>
                <w:rFonts w:hint="eastAsia"/>
                <w:sz w:val="24"/>
              </w:rPr>
              <w:t>做</w:t>
            </w:r>
            <w:r>
              <w:rPr>
                <w:sz w:val="24"/>
              </w:rPr>
              <w:t>紧线段，以直线塔为紧线塔，紧线完毕后尽快进行附件安装。</w:t>
            </w:r>
          </w:p>
          <w:p w14:paraId="570ECC16">
            <w:pPr>
              <w:pStyle w:val="2"/>
              <w:adjustRightInd w:val="0"/>
              <w:spacing w:before="0" w:after="0" w:line="360" w:lineRule="auto"/>
              <w:ind w:right="0" w:firstLine="480" w:firstLineChars="200"/>
              <w:rPr>
                <w:sz w:val="24"/>
                <w:szCs w:val="24"/>
              </w:rPr>
            </w:pPr>
            <w:r>
              <w:rPr>
                <w:sz w:val="24"/>
              </w:rPr>
              <w:t>牵张场平面布置包括施工通道、机械布置区、导线集放区、锚线区、压接区、工具集放区、工棚布置区、休息区、油料区和标志牌布置区。各区域四周采用硬围栏封闭，区域之间用红白三角旗隔开。为方便机械设备和导线的运输与吊装，在牵张场地内规划出施工通道，通道宽度在3.0m左右，一般满足施工车辆通行即可</w:t>
            </w:r>
            <w:r>
              <w:rPr>
                <w:sz w:val="24"/>
                <w:szCs w:val="24"/>
              </w:rPr>
              <w:t>。</w:t>
            </w:r>
          </w:p>
          <w:p w14:paraId="6DB83AA3">
            <w:pPr>
              <w:pStyle w:val="2"/>
              <w:adjustRightInd w:val="0"/>
              <w:spacing w:before="0" w:after="0" w:line="360" w:lineRule="auto"/>
              <w:ind w:right="0"/>
              <w:jc w:val="center"/>
              <w:rPr>
                <w:rFonts w:eastAsia="仿宋_GB2312"/>
              </w:rPr>
            </w:pPr>
            <w:r>
              <w:rPr>
                <w:rFonts w:eastAsia="仿宋_GB2312"/>
              </w:rPr>
              <w:drawing>
                <wp:inline distT="0" distB="0" distL="0" distR="0">
                  <wp:extent cx="1910080" cy="1497330"/>
                  <wp:effectExtent l="0" t="0" r="0" b="7620"/>
                  <wp:docPr id="1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917795" cy="1502925"/>
                          </a:xfrm>
                          <a:prstGeom prst="rect">
                            <a:avLst/>
                          </a:prstGeom>
                          <a:noFill/>
                          <a:ln>
                            <a:noFill/>
                          </a:ln>
                          <a:effectLst/>
                        </pic:spPr>
                      </pic:pic>
                    </a:graphicData>
                  </a:graphic>
                </wp:inline>
              </w:drawing>
            </w:r>
            <w:r>
              <w:rPr>
                <w:rFonts w:eastAsia="仿宋_GB2312"/>
              </w:rPr>
              <w:drawing>
                <wp:inline distT="0" distB="0" distL="0" distR="0">
                  <wp:extent cx="1914525" cy="1492250"/>
                  <wp:effectExtent l="0" t="0" r="0" b="0"/>
                  <wp:docPr id="20" name="图片 24" descr="001109b38b7e09b07b2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4" descr="001109b38b7e09b07b240b"/>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919665" cy="1496555"/>
                          </a:xfrm>
                          <a:prstGeom prst="rect">
                            <a:avLst/>
                          </a:prstGeom>
                          <a:noFill/>
                          <a:ln>
                            <a:noFill/>
                          </a:ln>
                          <a:effectLst/>
                        </pic:spPr>
                      </pic:pic>
                    </a:graphicData>
                  </a:graphic>
                </wp:inline>
              </w:drawing>
            </w:r>
          </w:p>
          <w:p w14:paraId="4FAE6677">
            <w:pPr>
              <w:pStyle w:val="2"/>
              <w:adjustRightInd w:val="0"/>
              <w:spacing w:before="0" w:after="0" w:line="360" w:lineRule="auto"/>
              <w:ind w:right="0"/>
              <w:jc w:val="center"/>
              <w:rPr>
                <w:rFonts w:eastAsia="黑体"/>
                <w:bCs/>
                <w:sz w:val="24"/>
                <w:szCs w:val="24"/>
              </w:rPr>
            </w:pPr>
            <w:r>
              <w:rPr>
                <w:rFonts w:eastAsia="黑体"/>
                <w:bCs/>
                <w:sz w:val="24"/>
                <w:szCs w:val="24"/>
              </w:rPr>
              <w:t>图2-3牵张场布置形式示意图</w:t>
            </w:r>
          </w:p>
          <w:p w14:paraId="709DC8C1">
            <w:pPr>
              <w:pStyle w:val="2"/>
              <w:adjustRightInd w:val="0"/>
              <w:spacing w:before="0" w:after="0" w:line="360" w:lineRule="auto"/>
              <w:ind w:right="0" w:firstLine="480" w:firstLineChars="200"/>
              <w:rPr>
                <w:sz w:val="24"/>
              </w:rPr>
            </w:pPr>
            <w:r>
              <w:rPr>
                <w:sz w:val="24"/>
              </w:rPr>
              <w:t>b、跨越施工场地</w:t>
            </w:r>
          </w:p>
          <w:p w14:paraId="702B9909">
            <w:pPr>
              <w:pStyle w:val="2"/>
              <w:adjustRightInd w:val="0"/>
              <w:spacing w:before="0" w:after="0" w:line="360" w:lineRule="auto"/>
              <w:ind w:right="0" w:firstLine="480" w:firstLineChars="200"/>
              <w:rPr>
                <w:sz w:val="24"/>
              </w:rPr>
            </w:pPr>
            <w:r>
              <w:rPr>
                <w:sz w:val="24"/>
              </w:rPr>
              <w:t>本工程线路共跨（穿）越障碍40次，</w:t>
            </w:r>
            <w:r>
              <w:rPr>
                <w:rFonts w:hint="eastAsia"/>
                <w:sz w:val="24"/>
              </w:rPr>
              <w:t>其中跨35kV线4次、跨10kV线10次、跨380V线8次、跨220V线5次、跨通信线10次、跨S204省道3次</w:t>
            </w:r>
            <w:r>
              <w:rPr>
                <w:sz w:val="24"/>
              </w:rPr>
              <w:t>。35kV以下电力线路及通讯线路等级较低，不考虑跨越施工场地，直接跨越</w:t>
            </w:r>
            <w:r>
              <w:rPr>
                <w:rFonts w:hint="eastAsia"/>
                <w:sz w:val="24"/>
              </w:rPr>
              <w:t>；根据建设单位提供的资料，本项目跨越省道时采用索道封网跨越，不设跨越塔架，不形成临时用地。</w:t>
            </w:r>
            <w:r>
              <w:rPr>
                <w:sz w:val="24"/>
              </w:rPr>
              <w:t>。</w:t>
            </w:r>
          </w:p>
          <w:p w14:paraId="539AD119">
            <w:pPr>
              <w:pStyle w:val="61"/>
              <w:ind w:firstLine="0" w:firstLineChars="0"/>
              <w:jc w:val="center"/>
              <w:rPr>
                <w:rFonts w:ascii="Times New Roman" w:cs="Times New Roman"/>
              </w:rPr>
            </w:pPr>
            <w:r>
              <w:rPr>
                <w:rFonts w:ascii="Times New Roman" w:cs="Times New Roman"/>
              </w:rPr>
              <w:drawing>
                <wp:inline distT="0" distB="0" distL="0" distR="0">
                  <wp:extent cx="2419350" cy="1476375"/>
                  <wp:effectExtent l="0" t="0" r="0" b="0"/>
                  <wp:docPr id="21" name="图片 25" descr="跨越架+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5" descr="跨越架+网"/>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419350" cy="1476375"/>
                          </a:xfrm>
                          <a:prstGeom prst="rect">
                            <a:avLst/>
                          </a:prstGeom>
                          <a:noFill/>
                          <a:ln>
                            <a:noFill/>
                          </a:ln>
                          <a:effectLst/>
                        </pic:spPr>
                      </pic:pic>
                    </a:graphicData>
                  </a:graphic>
                </wp:inline>
              </w:drawing>
            </w:r>
            <w:r>
              <w:rPr>
                <w:rFonts w:ascii="Times New Roman" w:cs="Times New Roman"/>
              </w:rPr>
              <w:drawing>
                <wp:inline distT="0" distB="0" distL="0" distR="0">
                  <wp:extent cx="2324100" cy="1466850"/>
                  <wp:effectExtent l="0" t="0" r="0" b="0"/>
                  <wp:docPr id="22" name="图片 275" descr="2009122508042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75" descr="200912250804252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324100" cy="1466850"/>
                          </a:xfrm>
                          <a:prstGeom prst="rect">
                            <a:avLst/>
                          </a:prstGeom>
                          <a:noFill/>
                          <a:ln>
                            <a:noFill/>
                          </a:ln>
                          <a:effectLst/>
                        </pic:spPr>
                      </pic:pic>
                    </a:graphicData>
                  </a:graphic>
                </wp:inline>
              </w:drawing>
            </w:r>
          </w:p>
          <w:p w14:paraId="75549C66">
            <w:pPr>
              <w:pStyle w:val="2"/>
              <w:adjustRightInd w:val="0"/>
              <w:spacing w:before="0" w:after="0" w:line="360" w:lineRule="auto"/>
              <w:ind w:right="0"/>
              <w:jc w:val="center"/>
              <w:rPr>
                <w:rFonts w:eastAsia="黑体"/>
                <w:bCs/>
                <w:sz w:val="24"/>
                <w:szCs w:val="24"/>
              </w:rPr>
            </w:pPr>
            <w:r>
              <w:rPr>
                <w:rFonts w:eastAsia="黑体"/>
                <w:bCs/>
                <w:sz w:val="24"/>
                <w:szCs w:val="24"/>
              </w:rPr>
              <w:t>图2-4线路工程临时跨越形式照片</w:t>
            </w:r>
          </w:p>
          <w:p w14:paraId="4A00D99C">
            <w:pPr>
              <w:pStyle w:val="2"/>
              <w:adjustRightInd w:val="0"/>
              <w:ind w:firstLine="482" w:firstLineChars="200"/>
              <w:rPr>
                <w:b/>
                <w:bCs/>
                <w:sz w:val="24"/>
              </w:rPr>
            </w:pPr>
            <w:r>
              <w:rPr>
                <w:b/>
                <w:bCs/>
                <w:sz w:val="24"/>
              </w:rPr>
              <w:t>（3）材料堆放场</w:t>
            </w:r>
          </w:p>
          <w:p w14:paraId="1DA90686">
            <w:pPr>
              <w:pStyle w:val="2"/>
              <w:adjustRightInd w:val="0"/>
              <w:spacing w:before="0" w:after="0" w:line="360" w:lineRule="auto"/>
              <w:ind w:right="0" w:firstLine="480" w:firstLineChars="200"/>
              <w:rPr>
                <w:sz w:val="24"/>
              </w:rPr>
            </w:pPr>
            <w:r>
              <w:rPr>
                <w:sz w:val="24"/>
              </w:rPr>
              <w:t>根据沿线的交通情况，本工程沿线拟租用已有库房或场地作为材料站，具体地点将由施工单位选定，便于塔材、钢材、线材、水泥、金具和绝缘子的集散。如线路沿线无可供租用的场地，可将材料堆放于塔基施工场地和牵张场的材料堆放区，不新增占地。</w:t>
            </w:r>
          </w:p>
          <w:p w14:paraId="786BF5C7">
            <w:pPr>
              <w:pStyle w:val="2"/>
              <w:adjustRightInd w:val="0"/>
              <w:ind w:firstLine="482" w:firstLineChars="200"/>
              <w:rPr>
                <w:b/>
                <w:bCs/>
                <w:sz w:val="24"/>
              </w:rPr>
            </w:pPr>
            <w:r>
              <w:rPr>
                <w:b/>
                <w:bCs/>
                <w:sz w:val="24"/>
              </w:rPr>
              <w:t>（4）施工</w:t>
            </w:r>
            <w:r>
              <w:rPr>
                <w:rFonts w:hint="eastAsia"/>
                <w:b/>
                <w:bCs/>
                <w:sz w:val="24"/>
              </w:rPr>
              <w:t>生产</w:t>
            </w:r>
            <w:r>
              <w:rPr>
                <w:b/>
                <w:bCs/>
                <w:sz w:val="24"/>
              </w:rPr>
              <w:t>生活区</w:t>
            </w:r>
          </w:p>
          <w:p w14:paraId="60C0CED9">
            <w:pPr>
              <w:pStyle w:val="2"/>
              <w:adjustRightInd w:val="0"/>
              <w:spacing w:before="0" w:after="0" w:line="360" w:lineRule="auto"/>
              <w:ind w:right="0" w:firstLine="480" w:firstLineChars="200"/>
              <w:rPr>
                <w:sz w:val="24"/>
              </w:rPr>
            </w:pPr>
            <w:r>
              <w:rPr>
                <w:sz w:val="24"/>
              </w:rPr>
              <w:t>输电线路施工时由于线路塔基及牵张场较分散，施工周期短，沿线村庄较多，临时生活用房采用租用民房的方式解决</w:t>
            </w:r>
            <w:r>
              <w:rPr>
                <w:rFonts w:hint="eastAsia"/>
                <w:sz w:val="24"/>
              </w:rPr>
              <w:t>，不设施工生活区</w:t>
            </w:r>
            <w:r>
              <w:rPr>
                <w:sz w:val="24"/>
              </w:rPr>
              <w:t>。</w:t>
            </w:r>
          </w:p>
          <w:p w14:paraId="5FCC48E6">
            <w:pPr>
              <w:pStyle w:val="2"/>
              <w:adjustRightInd w:val="0"/>
              <w:spacing w:line="360" w:lineRule="auto"/>
              <w:ind w:firstLine="480" w:firstLineChars="200"/>
              <w:rPr>
                <w:sz w:val="24"/>
              </w:rPr>
            </w:pPr>
            <w:r>
              <w:rPr>
                <w:rFonts w:hint="eastAsia"/>
                <w:sz w:val="24"/>
              </w:rPr>
              <w:t>本项目施工生产区包括塔基施工场地和牵张场。生产</w:t>
            </w:r>
            <w:r>
              <w:rPr>
                <w:sz w:val="24"/>
              </w:rPr>
              <w:t>设施占地情况详见表2-7。</w:t>
            </w:r>
          </w:p>
          <w:p w14:paraId="3B15993D">
            <w:pPr>
              <w:pStyle w:val="2"/>
              <w:adjustRightInd w:val="0"/>
              <w:spacing w:before="0" w:after="0" w:line="240" w:lineRule="auto"/>
              <w:ind w:right="0"/>
              <w:jc w:val="center"/>
              <w:rPr>
                <w:rFonts w:eastAsia="黑体"/>
                <w:bCs/>
                <w:sz w:val="24"/>
                <w:szCs w:val="24"/>
              </w:rPr>
            </w:pPr>
            <w:r>
              <w:rPr>
                <w:rFonts w:eastAsia="黑体"/>
                <w:bCs/>
                <w:sz w:val="24"/>
                <w:szCs w:val="24"/>
              </w:rPr>
              <w:t>表2-7设施占地情况汇总一览表</w:t>
            </w:r>
          </w:p>
          <w:tbl>
            <w:tblPr>
              <w:tblStyle w:val="45"/>
              <w:tblW w:w="4999" w:type="pct"/>
              <w:tblInd w:w="0" w:type="dxa"/>
              <w:tblLayout w:type="autofit"/>
              <w:tblCellMar>
                <w:top w:w="0" w:type="dxa"/>
                <w:left w:w="108" w:type="dxa"/>
                <w:bottom w:w="0" w:type="dxa"/>
                <w:right w:w="108" w:type="dxa"/>
              </w:tblCellMar>
            </w:tblPr>
            <w:tblGrid>
              <w:gridCol w:w="1473"/>
              <w:gridCol w:w="2110"/>
              <w:gridCol w:w="1124"/>
              <w:gridCol w:w="1546"/>
              <w:gridCol w:w="1363"/>
            </w:tblGrid>
            <w:tr w14:paraId="2ECE96BF">
              <w:tblPrEx>
                <w:tblCellMar>
                  <w:top w:w="0" w:type="dxa"/>
                  <w:left w:w="108" w:type="dxa"/>
                  <w:bottom w:w="0" w:type="dxa"/>
                  <w:right w:w="108" w:type="dxa"/>
                </w:tblCellMar>
              </w:tblPrEx>
              <w:trPr>
                <w:trHeight w:val="555" w:hRule="atLeast"/>
              </w:trPr>
              <w:tc>
                <w:tcPr>
                  <w:tcW w:w="2352" w:type="pct"/>
                  <w:gridSpan w:val="2"/>
                  <w:tcBorders>
                    <w:top w:val="single" w:color="000000" w:sz="4" w:space="0"/>
                    <w:left w:val="single" w:color="000000" w:sz="4" w:space="0"/>
                    <w:bottom w:val="single" w:color="000000" w:sz="4" w:space="0"/>
                    <w:right w:val="single" w:color="000000" w:sz="4" w:space="0"/>
                  </w:tcBorders>
                  <w:noWrap/>
                  <w:vAlign w:val="center"/>
                </w:tcPr>
                <w:p w14:paraId="46A49266">
                  <w:pPr>
                    <w:snapToGrid w:val="0"/>
                    <w:jc w:val="center"/>
                  </w:pPr>
                  <w:r>
                    <w:t>设施名称</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329139B5">
                  <w:pPr>
                    <w:snapToGrid w:val="0"/>
                    <w:jc w:val="center"/>
                  </w:pPr>
                  <w:r>
                    <w:t>数量(个)</w:t>
                  </w:r>
                </w:p>
              </w:tc>
              <w:tc>
                <w:tcPr>
                  <w:tcW w:w="1015" w:type="pct"/>
                  <w:tcBorders>
                    <w:top w:val="single" w:color="000000" w:sz="4" w:space="0"/>
                    <w:left w:val="single" w:color="000000" w:sz="4" w:space="0"/>
                    <w:bottom w:val="single" w:color="000000" w:sz="4" w:space="0"/>
                    <w:right w:val="single" w:color="000000" w:sz="4" w:space="0"/>
                  </w:tcBorders>
                  <w:vAlign w:val="center"/>
                </w:tcPr>
                <w:p w14:paraId="085FA8C1">
                  <w:pPr>
                    <w:snapToGrid w:val="0"/>
                    <w:jc w:val="center"/>
                  </w:pPr>
                  <w:r>
                    <w:t>永久占地面积(hm</w:t>
                  </w:r>
                  <w:r>
                    <w:rPr>
                      <w:vertAlign w:val="superscript"/>
                    </w:rPr>
                    <w:t>2</w:t>
                  </w:r>
                  <w:r>
                    <w:t>)</w:t>
                  </w:r>
                </w:p>
              </w:tc>
              <w:tc>
                <w:tcPr>
                  <w:tcW w:w="895" w:type="pct"/>
                  <w:tcBorders>
                    <w:top w:val="single" w:color="000000" w:sz="4" w:space="0"/>
                    <w:left w:val="single" w:color="000000" w:sz="4" w:space="0"/>
                    <w:bottom w:val="single" w:color="000000" w:sz="4" w:space="0"/>
                    <w:right w:val="single" w:color="000000" w:sz="4" w:space="0"/>
                  </w:tcBorders>
                  <w:vAlign w:val="center"/>
                </w:tcPr>
                <w:p w14:paraId="58D998FA">
                  <w:pPr>
                    <w:snapToGrid w:val="0"/>
                    <w:jc w:val="center"/>
                  </w:pPr>
                  <w:r>
                    <w:t>临时占地面积(hm</w:t>
                  </w:r>
                  <w:r>
                    <w:rPr>
                      <w:vertAlign w:val="superscript"/>
                    </w:rPr>
                    <w:t>2</w:t>
                  </w:r>
                  <w:r>
                    <w:t>)</w:t>
                  </w:r>
                </w:p>
              </w:tc>
            </w:tr>
            <w:tr w14:paraId="4E32E8C8">
              <w:tblPrEx>
                <w:tblCellMar>
                  <w:top w:w="0" w:type="dxa"/>
                  <w:left w:w="108" w:type="dxa"/>
                  <w:bottom w:w="0" w:type="dxa"/>
                  <w:right w:w="108" w:type="dxa"/>
                </w:tblCellMar>
              </w:tblPrEx>
              <w:trPr>
                <w:trHeight w:val="315" w:hRule="atLeast"/>
              </w:trPr>
              <w:tc>
                <w:tcPr>
                  <w:tcW w:w="967" w:type="pct"/>
                  <w:vMerge w:val="restart"/>
                  <w:tcBorders>
                    <w:top w:val="single" w:color="000000" w:sz="4" w:space="0"/>
                    <w:left w:val="single" w:color="000000" w:sz="4" w:space="0"/>
                    <w:bottom w:val="single" w:color="000000" w:sz="4" w:space="0"/>
                    <w:right w:val="single" w:color="000000" w:sz="4" w:space="0"/>
                  </w:tcBorders>
                  <w:vAlign w:val="center"/>
                </w:tcPr>
                <w:p w14:paraId="32E027C5">
                  <w:pPr>
                    <w:snapToGrid w:val="0"/>
                    <w:jc w:val="center"/>
                  </w:pPr>
                  <w:r>
                    <w:rPr>
                      <w:rFonts w:hint="eastAsia"/>
                    </w:rPr>
                    <w:t>施工生产区</w:t>
                  </w:r>
                </w:p>
              </w:tc>
              <w:tc>
                <w:tcPr>
                  <w:tcW w:w="1385" w:type="pct"/>
                  <w:tcBorders>
                    <w:top w:val="single" w:color="000000" w:sz="4" w:space="0"/>
                    <w:left w:val="single" w:color="000000" w:sz="4" w:space="0"/>
                    <w:bottom w:val="single" w:color="000000" w:sz="4" w:space="0"/>
                    <w:right w:val="single" w:color="000000" w:sz="4" w:space="0"/>
                  </w:tcBorders>
                  <w:vAlign w:val="center"/>
                </w:tcPr>
                <w:p w14:paraId="5C628CE0">
                  <w:pPr>
                    <w:snapToGrid w:val="0"/>
                    <w:jc w:val="center"/>
                  </w:pPr>
                  <w:r>
                    <w:t>塔基施工场地</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4BC3652F">
                  <w:pPr>
                    <w:snapToGrid w:val="0"/>
                    <w:jc w:val="center"/>
                  </w:pPr>
                  <w:r>
                    <w:t>23</w:t>
                  </w:r>
                </w:p>
              </w:tc>
              <w:tc>
                <w:tcPr>
                  <w:tcW w:w="1015" w:type="pct"/>
                  <w:tcBorders>
                    <w:top w:val="single" w:color="000000" w:sz="4" w:space="0"/>
                    <w:left w:val="single" w:color="000000" w:sz="4" w:space="0"/>
                    <w:bottom w:val="single" w:color="000000" w:sz="4" w:space="0"/>
                    <w:right w:val="single" w:color="000000" w:sz="4" w:space="0"/>
                  </w:tcBorders>
                  <w:vAlign w:val="center"/>
                </w:tcPr>
                <w:p w14:paraId="220DA6ED">
                  <w:pPr>
                    <w:snapToGrid w:val="0"/>
                    <w:jc w:val="center"/>
                  </w:pPr>
                  <w:r>
                    <w:t>/</w:t>
                  </w:r>
                </w:p>
              </w:tc>
              <w:tc>
                <w:tcPr>
                  <w:tcW w:w="895" w:type="pct"/>
                  <w:tcBorders>
                    <w:top w:val="single" w:color="000000" w:sz="4" w:space="0"/>
                    <w:left w:val="single" w:color="000000" w:sz="4" w:space="0"/>
                    <w:bottom w:val="single" w:color="000000" w:sz="4" w:space="0"/>
                    <w:right w:val="single" w:color="000000" w:sz="4" w:space="0"/>
                  </w:tcBorders>
                  <w:vAlign w:val="center"/>
                </w:tcPr>
                <w:p w14:paraId="00C98654">
                  <w:pPr>
                    <w:snapToGrid w:val="0"/>
                    <w:jc w:val="center"/>
                  </w:pPr>
                  <w:r>
                    <w:t>0.135</w:t>
                  </w:r>
                </w:p>
              </w:tc>
            </w:tr>
            <w:tr w14:paraId="1BC2819C">
              <w:tblPrEx>
                <w:tblCellMar>
                  <w:top w:w="0" w:type="dxa"/>
                  <w:left w:w="108" w:type="dxa"/>
                  <w:bottom w:w="0" w:type="dxa"/>
                  <w:right w:w="108" w:type="dxa"/>
                </w:tblCellMar>
              </w:tblPrEx>
              <w:trPr>
                <w:trHeight w:val="315" w:hRule="atLeast"/>
              </w:trPr>
              <w:tc>
                <w:tcPr>
                  <w:tcW w:w="967" w:type="pct"/>
                  <w:vMerge w:val="continue"/>
                  <w:tcBorders>
                    <w:top w:val="single" w:color="000000" w:sz="4" w:space="0"/>
                    <w:left w:val="single" w:color="000000" w:sz="4" w:space="0"/>
                    <w:bottom w:val="single" w:color="000000" w:sz="4" w:space="0"/>
                    <w:right w:val="single" w:color="000000" w:sz="4" w:space="0"/>
                  </w:tcBorders>
                  <w:vAlign w:val="center"/>
                </w:tcPr>
                <w:p w14:paraId="7E07F88F">
                  <w:pPr>
                    <w:snapToGrid w:val="0"/>
                    <w:jc w:val="center"/>
                  </w:pPr>
                </w:p>
              </w:tc>
              <w:tc>
                <w:tcPr>
                  <w:tcW w:w="1385" w:type="pct"/>
                  <w:tcBorders>
                    <w:top w:val="single" w:color="000000" w:sz="4" w:space="0"/>
                    <w:left w:val="single" w:color="000000" w:sz="4" w:space="0"/>
                    <w:bottom w:val="single" w:color="000000" w:sz="4" w:space="0"/>
                    <w:right w:val="single" w:color="000000" w:sz="4" w:space="0"/>
                  </w:tcBorders>
                  <w:vAlign w:val="center"/>
                </w:tcPr>
                <w:p w14:paraId="12D77A3E">
                  <w:pPr>
                    <w:snapToGrid w:val="0"/>
                    <w:jc w:val="center"/>
                  </w:pPr>
                  <w:r>
                    <w:rPr>
                      <w:rFonts w:hint="eastAsia"/>
                    </w:rPr>
                    <w:t>牵张场</w:t>
                  </w:r>
                </w:p>
              </w:tc>
              <w:tc>
                <w:tcPr>
                  <w:tcW w:w="738" w:type="pct"/>
                  <w:tcBorders>
                    <w:top w:val="single" w:color="000000" w:sz="4" w:space="0"/>
                    <w:left w:val="single" w:color="000000" w:sz="4" w:space="0"/>
                    <w:bottom w:val="single" w:color="000000" w:sz="4" w:space="0"/>
                    <w:right w:val="single" w:color="000000" w:sz="4" w:space="0"/>
                  </w:tcBorders>
                  <w:noWrap/>
                  <w:vAlign w:val="center"/>
                </w:tcPr>
                <w:p w14:paraId="6F794C66">
                  <w:pPr>
                    <w:snapToGrid w:val="0"/>
                    <w:jc w:val="center"/>
                  </w:pPr>
                  <w:r>
                    <w:rPr>
                      <w:rFonts w:hint="eastAsia"/>
                    </w:rPr>
                    <w:t>6</w:t>
                  </w:r>
                </w:p>
              </w:tc>
              <w:tc>
                <w:tcPr>
                  <w:tcW w:w="1015" w:type="pct"/>
                  <w:tcBorders>
                    <w:top w:val="single" w:color="000000" w:sz="4" w:space="0"/>
                    <w:left w:val="single" w:color="000000" w:sz="4" w:space="0"/>
                    <w:bottom w:val="single" w:color="000000" w:sz="4" w:space="0"/>
                    <w:right w:val="single" w:color="000000" w:sz="4" w:space="0"/>
                  </w:tcBorders>
                  <w:vAlign w:val="center"/>
                </w:tcPr>
                <w:p w14:paraId="1B74E7E2">
                  <w:pPr>
                    <w:snapToGrid w:val="0"/>
                    <w:jc w:val="center"/>
                  </w:pPr>
                  <w:r>
                    <w:t>/</w:t>
                  </w:r>
                </w:p>
              </w:tc>
              <w:tc>
                <w:tcPr>
                  <w:tcW w:w="895" w:type="pct"/>
                  <w:tcBorders>
                    <w:top w:val="single" w:color="000000" w:sz="4" w:space="0"/>
                    <w:left w:val="single" w:color="000000" w:sz="4" w:space="0"/>
                    <w:bottom w:val="single" w:color="000000" w:sz="4" w:space="0"/>
                    <w:right w:val="single" w:color="000000" w:sz="4" w:space="0"/>
                  </w:tcBorders>
                  <w:vAlign w:val="center"/>
                </w:tcPr>
                <w:p w14:paraId="6EF08245">
                  <w:pPr>
                    <w:snapToGrid w:val="0"/>
                    <w:jc w:val="center"/>
                  </w:pPr>
                  <w:r>
                    <w:rPr>
                      <w:rFonts w:hint="eastAsia"/>
                    </w:rPr>
                    <w:t>0</w:t>
                  </w:r>
                  <w:r>
                    <w:t>.3</w:t>
                  </w:r>
                </w:p>
              </w:tc>
            </w:tr>
            <w:tr w14:paraId="1B7B9002">
              <w:tblPrEx>
                <w:tblCellMar>
                  <w:top w:w="0" w:type="dxa"/>
                  <w:left w:w="108" w:type="dxa"/>
                  <w:bottom w:w="0" w:type="dxa"/>
                  <w:right w:w="108" w:type="dxa"/>
                </w:tblCellMar>
              </w:tblPrEx>
              <w:trPr>
                <w:trHeight w:val="285" w:hRule="atLeast"/>
              </w:trPr>
              <w:tc>
                <w:tcPr>
                  <w:tcW w:w="967" w:type="pct"/>
                  <w:vMerge w:val="continue"/>
                  <w:tcBorders>
                    <w:top w:val="single" w:color="000000" w:sz="4" w:space="0"/>
                    <w:left w:val="single" w:color="000000" w:sz="4" w:space="0"/>
                    <w:bottom w:val="single" w:color="000000" w:sz="4" w:space="0"/>
                    <w:right w:val="single" w:color="000000" w:sz="4" w:space="0"/>
                  </w:tcBorders>
                  <w:vAlign w:val="center"/>
                </w:tcPr>
                <w:p w14:paraId="54156E89">
                  <w:pPr>
                    <w:snapToGrid w:val="0"/>
                    <w:jc w:val="center"/>
                  </w:pPr>
                </w:p>
              </w:tc>
              <w:tc>
                <w:tcPr>
                  <w:tcW w:w="2123" w:type="pct"/>
                  <w:gridSpan w:val="2"/>
                  <w:tcBorders>
                    <w:top w:val="single" w:color="000000" w:sz="4" w:space="0"/>
                    <w:left w:val="single" w:color="000000" w:sz="4" w:space="0"/>
                    <w:bottom w:val="single" w:color="000000" w:sz="4" w:space="0"/>
                    <w:right w:val="single" w:color="000000" w:sz="4" w:space="0"/>
                  </w:tcBorders>
                  <w:vAlign w:val="center"/>
                </w:tcPr>
                <w:p w14:paraId="553E5117">
                  <w:pPr>
                    <w:snapToGrid w:val="0"/>
                    <w:jc w:val="center"/>
                  </w:pPr>
                  <w:r>
                    <w:t>小计</w:t>
                  </w:r>
                </w:p>
              </w:tc>
              <w:tc>
                <w:tcPr>
                  <w:tcW w:w="1015" w:type="pct"/>
                  <w:tcBorders>
                    <w:top w:val="single" w:color="000000" w:sz="4" w:space="0"/>
                    <w:left w:val="single" w:color="000000" w:sz="4" w:space="0"/>
                    <w:bottom w:val="single" w:color="000000" w:sz="4" w:space="0"/>
                    <w:right w:val="single" w:color="000000" w:sz="4" w:space="0"/>
                  </w:tcBorders>
                  <w:vAlign w:val="center"/>
                </w:tcPr>
                <w:p w14:paraId="52B9B898">
                  <w:pPr>
                    <w:snapToGrid w:val="0"/>
                    <w:jc w:val="center"/>
                  </w:pPr>
                  <w:r>
                    <w:t>0</w:t>
                  </w:r>
                </w:p>
              </w:tc>
              <w:tc>
                <w:tcPr>
                  <w:tcW w:w="895" w:type="pct"/>
                  <w:tcBorders>
                    <w:top w:val="single" w:color="000000" w:sz="4" w:space="0"/>
                    <w:left w:val="single" w:color="000000" w:sz="4" w:space="0"/>
                    <w:bottom w:val="single" w:color="000000" w:sz="4" w:space="0"/>
                    <w:right w:val="single" w:color="000000" w:sz="4" w:space="0"/>
                  </w:tcBorders>
                  <w:vAlign w:val="center"/>
                </w:tcPr>
                <w:p w14:paraId="39EB85DF">
                  <w:pPr>
                    <w:snapToGrid w:val="0"/>
                    <w:jc w:val="center"/>
                  </w:pPr>
                  <w:r>
                    <w:t>0.435</w:t>
                  </w:r>
                </w:p>
              </w:tc>
            </w:tr>
          </w:tbl>
          <w:p w14:paraId="6E5067F4">
            <w:pPr>
              <w:pStyle w:val="2"/>
              <w:adjustRightInd w:val="0"/>
              <w:spacing w:before="0" w:after="0" w:line="360" w:lineRule="auto"/>
              <w:ind w:right="0"/>
              <w:jc w:val="center"/>
              <w:rPr>
                <w:sz w:val="24"/>
              </w:rPr>
            </w:pPr>
          </w:p>
          <w:p w14:paraId="1DB0E392">
            <w:pPr>
              <w:pStyle w:val="2"/>
              <w:adjustRightInd w:val="0"/>
              <w:spacing w:after="0" w:line="360" w:lineRule="auto"/>
              <w:rPr>
                <w:b/>
                <w:bCs/>
                <w:sz w:val="24"/>
                <w:szCs w:val="24"/>
              </w:rPr>
            </w:pPr>
            <w:r>
              <w:rPr>
                <w:b/>
                <w:bCs/>
                <w:sz w:val="24"/>
                <w:szCs w:val="24"/>
              </w:rPr>
              <w:t>3、工程占地</w:t>
            </w:r>
          </w:p>
          <w:p w14:paraId="2617091E">
            <w:pPr>
              <w:pStyle w:val="2"/>
              <w:adjustRightInd w:val="0"/>
              <w:spacing w:before="0" w:after="0" w:line="360" w:lineRule="auto"/>
              <w:ind w:right="0" w:firstLine="480" w:firstLineChars="200"/>
              <w:rPr>
                <w:sz w:val="24"/>
              </w:rPr>
            </w:pPr>
            <w:r>
              <w:rPr>
                <w:sz w:val="24"/>
              </w:rPr>
              <w:t>本工程总占地面积为0.6836hm</w:t>
            </w:r>
            <w:r>
              <w:rPr>
                <w:sz w:val="24"/>
                <w:vertAlign w:val="superscript"/>
              </w:rPr>
              <w:t>2</w:t>
            </w:r>
            <w:r>
              <w:rPr>
                <w:sz w:val="24"/>
              </w:rPr>
              <w:t>，其中，塔基</w:t>
            </w:r>
            <w:r>
              <w:rPr>
                <w:rFonts w:hint="eastAsia"/>
                <w:sz w:val="24"/>
              </w:rPr>
              <w:t>永久</w:t>
            </w:r>
            <w:r>
              <w:rPr>
                <w:sz w:val="24"/>
              </w:rPr>
              <w:t>占地0.145hm</w:t>
            </w:r>
            <w:r>
              <w:rPr>
                <w:sz w:val="24"/>
                <w:vertAlign w:val="superscript"/>
              </w:rPr>
              <w:t>2</w:t>
            </w:r>
            <w:r>
              <w:rPr>
                <w:sz w:val="24"/>
              </w:rPr>
              <w:t>，塔基</w:t>
            </w:r>
            <w:r>
              <w:rPr>
                <w:rFonts w:hint="eastAsia"/>
                <w:sz w:val="24"/>
              </w:rPr>
              <w:t>临时</w:t>
            </w:r>
            <w:r>
              <w:rPr>
                <w:sz w:val="24"/>
              </w:rPr>
              <w:t>施工场地0.135hm</w:t>
            </w:r>
            <w:r>
              <w:rPr>
                <w:sz w:val="24"/>
                <w:vertAlign w:val="superscript"/>
              </w:rPr>
              <w:t>2</w:t>
            </w:r>
            <w:r>
              <w:rPr>
                <w:sz w:val="24"/>
              </w:rPr>
              <w:t>，</w:t>
            </w:r>
            <w:r>
              <w:rPr>
                <w:rFonts w:hint="eastAsia"/>
                <w:sz w:val="24"/>
              </w:rPr>
              <w:t>牵张场</w:t>
            </w:r>
            <w:r>
              <w:rPr>
                <w:sz w:val="24"/>
              </w:rPr>
              <w:t>区占地0.3hm</w:t>
            </w:r>
            <w:r>
              <w:rPr>
                <w:sz w:val="24"/>
                <w:vertAlign w:val="superscript"/>
              </w:rPr>
              <w:t>2</w:t>
            </w:r>
            <w:r>
              <w:rPr>
                <w:sz w:val="24"/>
              </w:rPr>
              <w:t>，</w:t>
            </w:r>
            <w:r>
              <w:rPr>
                <w:rFonts w:hint="eastAsia"/>
                <w:sz w:val="24"/>
              </w:rPr>
              <w:t>临时便道区</w:t>
            </w:r>
            <w:r>
              <w:rPr>
                <w:sz w:val="24"/>
              </w:rPr>
              <w:t>占地0.1036hm</w:t>
            </w:r>
            <w:r>
              <w:rPr>
                <w:sz w:val="24"/>
                <w:vertAlign w:val="superscript"/>
              </w:rPr>
              <w:t>2</w:t>
            </w:r>
            <w:r>
              <w:rPr>
                <w:sz w:val="24"/>
              </w:rPr>
              <w:t>。按占地性质分，永久占地0.145hm</w:t>
            </w:r>
            <w:r>
              <w:rPr>
                <w:sz w:val="24"/>
                <w:vertAlign w:val="superscript"/>
              </w:rPr>
              <w:t>2</w:t>
            </w:r>
            <w:r>
              <w:rPr>
                <w:sz w:val="24"/>
              </w:rPr>
              <w:t>，临时占地0.5386hm</w:t>
            </w:r>
            <w:r>
              <w:rPr>
                <w:sz w:val="24"/>
                <w:vertAlign w:val="superscript"/>
              </w:rPr>
              <w:t>2</w:t>
            </w:r>
            <w:r>
              <w:rPr>
                <w:sz w:val="24"/>
              </w:rPr>
              <w:t>。按照占地类型分，占</w:t>
            </w:r>
            <w:r>
              <w:rPr>
                <w:rFonts w:hint="eastAsia"/>
                <w:sz w:val="24"/>
              </w:rPr>
              <w:t>乔木林地0.2141</w:t>
            </w:r>
            <w:r>
              <w:rPr>
                <w:sz w:val="24"/>
              </w:rPr>
              <w:t>hm</w:t>
            </w:r>
            <w:r>
              <w:rPr>
                <w:sz w:val="24"/>
                <w:vertAlign w:val="superscript"/>
              </w:rPr>
              <w:t>2</w:t>
            </w:r>
            <w:r>
              <w:rPr>
                <w:rFonts w:hint="eastAsia"/>
                <w:sz w:val="24"/>
              </w:rPr>
              <w:t>，灌木林地0.1956</w:t>
            </w:r>
            <w:r>
              <w:rPr>
                <w:sz w:val="24"/>
              </w:rPr>
              <w:t>hm</w:t>
            </w:r>
            <w:r>
              <w:rPr>
                <w:sz w:val="24"/>
                <w:vertAlign w:val="superscript"/>
              </w:rPr>
              <w:t>2</w:t>
            </w:r>
            <w:r>
              <w:rPr>
                <w:rFonts w:hint="eastAsia"/>
                <w:sz w:val="24"/>
              </w:rPr>
              <w:t>，草地0.1472</w:t>
            </w:r>
            <w:r>
              <w:rPr>
                <w:sz w:val="24"/>
              </w:rPr>
              <w:t>hm</w:t>
            </w:r>
            <w:r>
              <w:rPr>
                <w:sz w:val="24"/>
                <w:vertAlign w:val="superscript"/>
              </w:rPr>
              <w:t>2</w:t>
            </w:r>
            <w:r>
              <w:rPr>
                <w:rFonts w:hint="eastAsia"/>
                <w:sz w:val="24"/>
              </w:rPr>
              <w:t>，园地0.1052</w:t>
            </w:r>
            <w:r>
              <w:rPr>
                <w:sz w:val="24"/>
              </w:rPr>
              <w:t>hm</w:t>
            </w:r>
            <w:r>
              <w:rPr>
                <w:sz w:val="24"/>
                <w:vertAlign w:val="superscript"/>
              </w:rPr>
              <w:t>2</w:t>
            </w:r>
            <w:r>
              <w:rPr>
                <w:rFonts w:hint="eastAsia"/>
                <w:sz w:val="24"/>
              </w:rPr>
              <w:t>，占</w:t>
            </w:r>
            <w:r>
              <w:rPr>
                <w:sz w:val="24"/>
              </w:rPr>
              <w:t>耕地0.0215hm</w:t>
            </w:r>
            <w:r>
              <w:rPr>
                <w:sz w:val="24"/>
                <w:vertAlign w:val="superscript"/>
              </w:rPr>
              <w:t>2</w:t>
            </w:r>
            <w:r>
              <w:rPr>
                <w:sz w:val="24"/>
              </w:rPr>
              <w:t>。工程占地情况详见表2-8。</w:t>
            </w:r>
          </w:p>
          <w:p w14:paraId="58D7327E">
            <w:pPr>
              <w:pStyle w:val="2"/>
              <w:adjustRightInd w:val="0"/>
              <w:spacing w:before="0" w:after="0" w:line="240" w:lineRule="auto"/>
              <w:ind w:right="0"/>
              <w:jc w:val="center"/>
              <w:rPr>
                <w:rFonts w:eastAsia="黑体"/>
                <w:bCs/>
                <w:sz w:val="24"/>
                <w:szCs w:val="24"/>
              </w:rPr>
            </w:pPr>
            <w:bookmarkStart w:id="36" w:name="_Toc261834546"/>
            <w:r>
              <w:rPr>
                <w:rFonts w:eastAsia="黑体"/>
                <w:bCs/>
                <w:sz w:val="24"/>
                <w:szCs w:val="24"/>
              </w:rPr>
              <w:t>表2-8工程征占地统计表</w:t>
            </w:r>
            <w:bookmarkEnd w:id="36"/>
          </w:p>
          <w:p w14:paraId="5CC59CC3">
            <w:pPr>
              <w:pStyle w:val="2"/>
              <w:adjustRightInd w:val="0"/>
              <w:spacing w:before="0" w:after="0" w:line="240" w:lineRule="auto"/>
              <w:ind w:right="0"/>
              <w:jc w:val="right"/>
              <w:rPr>
                <w:rFonts w:eastAsia="黑体"/>
                <w:bCs/>
                <w:sz w:val="21"/>
                <w:szCs w:val="21"/>
              </w:rPr>
            </w:pPr>
            <w:r>
              <w:rPr>
                <w:rFonts w:hint="eastAsia" w:eastAsia="黑体"/>
                <w:bCs/>
                <w:sz w:val="21"/>
                <w:szCs w:val="21"/>
              </w:rPr>
              <w:t>（面积：</w:t>
            </w:r>
            <w:r>
              <w:rPr>
                <w:rFonts w:eastAsia="黑体"/>
                <w:bCs/>
                <w:sz w:val="21"/>
                <w:szCs w:val="21"/>
              </w:rPr>
              <w:t>hm</w:t>
            </w:r>
            <w:r>
              <w:rPr>
                <w:rFonts w:eastAsia="黑体"/>
                <w:bCs/>
                <w:sz w:val="21"/>
                <w:szCs w:val="21"/>
                <w:vertAlign w:val="superscript"/>
              </w:rPr>
              <w:t>2</w:t>
            </w:r>
            <w:r>
              <w:rPr>
                <w:rFonts w:hint="eastAsia" w:eastAsia="黑体"/>
                <w:bCs/>
                <w:sz w:val="21"/>
                <w:szCs w:val="21"/>
              </w:rPr>
              <w:t>）</w:t>
            </w:r>
          </w:p>
          <w:tbl>
            <w:tblPr>
              <w:tblStyle w:val="45"/>
              <w:tblW w:w="7460" w:type="dxa"/>
              <w:tblInd w:w="0" w:type="dxa"/>
              <w:tblLayout w:type="autofit"/>
              <w:tblCellMar>
                <w:top w:w="0" w:type="dxa"/>
                <w:left w:w="108" w:type="dxa"/>
                <w:bottom w:w="0" w:type="dxa"/>
                <w:right w:w="108" w:type="dxa"/>
              </w:tblCellMar>
            </w:tblPr>
            <w:tblGrid>
              <w:gridCol w:w="697"/>
              <w:gridCol w:w="956"/>
              <w:gridCol w:w="1058"/>
              <w:gridCol w:w="1197"/>
              <w:gridCol w:w="860"/>
              <w:gridCol w:w="840"/>
              <w:gridCol w:w="794"/>
              <w:gridCol w:w="1058"/>
            </w:tblGrid>
            <w:tr w14:paraId="186E73A6">
              <w:tblPrEx>
                <w:tblCellMar>
                  <w:top w:w="0" w:type="dxa"/>
                  <w:left w:w="108" w:type="dxa"/>
                  <w:bottom w:w="0" w:type="dxa"/>
                  <w:right w:w="108" w:type="dxa"/>
                </w:tblCellMar>
              </w:tblPrEx>
              <w:trPr>
                <w:trHeight w:val="2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09FD7970">
                  <w:pPr>
                    <w:widowControl/>
                    <w:jc w:val="center"/>
                    <w:rPr>
                      <w:color w:val="000000"/>
                      <w:kern w:val="0"/>
                    </w:rPr>
                  </w:pPr>
                  <w:r>
                    <w:rPr>
                      <w:color w:val="000000"/>
                      <w:kern w:val="0"/>
                    </w:rPr>
                    <w:t>占地类型</w:t>
                  </w:r>
                </w:p>
              </w:tc>
              <w:tc>
                <w:tcPr>
                  <w:tcW w:w="960" w:type="dxa"/>
                  <w:tcBorders>
                    <w:top w:val="single" w:color="auto" w:sz="4" w:space="0"/>
                    <w:left w:val="nil"/>
                    <w:bottom w:val="single" w:color="auto" w:sz="4" w:space="0"/>
                    <w:right w:val="single" w:color="auto" w:sz="4" w:space="0"/>
                  </w:tcBorders>
                  <w:shd w:val="clear" w:color="auto" w:fill="auto"/>
                  <w:vAlign w:val="center"/>
                </w:tcPr>
                <w:p w14:paraId="5C2886A1">
                  <w:pPr>
                    <w:widowControl/>
                    <w:jc w:val="center"/>
                    <w:rPr>
                      <w:color w:val="000000"/>
                      <w:kern w:val="0"/>
                    </w:rPr>
                  </w:pPr>
                  <w:r>
                    <w:rPr>
                      <w:color w:val="000000"/>
                      <w:kern w:val="0"/>
                    </w:rPr>
                    <w:t>工程组成</w:t>
                  </w:r>
                </w:p>
              </w:tc>
              <w:tc>
                <w:tcPr>
                  <w:tcW w:w="1060" w:type="dxa"/>
                  <w:tcBorders>
                    <w:top w:val="single" w:color="auto" w:sz="4" w:space="0"/>
                    <w:left w:val="nil"/>
                    <w:bottom w:val="single" w:color="auto" w:sz="4" w:space="0"/>
                    <w:right w:val="single" w:color="auto" w:sz="4" w:space="0"/>
                  </w:tcBorders>
                  <w:shd w:val="clear" w:color="auto" w:fill="auto"/>
                  <w:vAlign w:val="center"/>
                </w:tcPr>
                <w:p w14:paraId="19C1B4E1">
                  <w:pPr>
                    <w:widowControl/>
                    <w:jc w:val="center"/>
                    <w:rPr>
                      <w:color w:val="000000"/>
                      <w:kern w:val="0"/>
                    </w:rPr>
                  </w:pPr>
                  <w:r>
                    <w:rPr>
                      <w:color w:val="000000"/>
                      <w:kern w:val="0"/>
                    </w:rPr>
                    <w:t>乔木林地</w:t>
                  </w:r>
                </w:p>
              </w:tc>
              <w:tc>
                <w:tcPr>
                  <w:tcW w:w="1200" w:type="dxa"/>
                  <w:tcBorders>
                    <w:top w:val="single" w:color="auto" w:sz="4" w:space="0"/>
                    <w:left w:val="nil"/>
                    <w:bottom w:val="single" w:color="auto" w:sz="4" w:space="0"/>
                    <w:right w:val="single" w:color="auto" w:sz="4" w:space="0"/>
                  </w:tcBorders>
                  <w:shd w:val="clear" w:color="auto" w:fill="auto"/>
                  <w:vAlign w:val="center"/>
                </w:tcPr>
                <w:p w14:paraId="3744EA90">
                  <w:pPr>
                    <w:widowControl/>
                    <w:jc w:val="center"/>
                    <w:rPr>
                      <w:color w:val="000000"/>
                      <w:kern w:val="0"/>
                    </w:rPr>
                  </w:pPr>
                  <w:r>
                    <w:rPr>
                      <w:color w:val="000000"/>
                      <w:kern w:val="0"/>
                    </w:rPr>
                    <w:t>灌木林地</w:t>
                  </w:r>
                </w:p>
              </w:tc>
              <w:tc>
                <w:tcPr>
                  <w:tcW w:w="860" w:type="dxa"/>
                  <w:tcBorders>
                    <w:top w:val="single" w:color="auto" w:sz="4" w:space="0"/>
                    <w:left w:val="nil"/>
                    <w:bottom w:val="single" w:color="auto" w:sz="4" w:space="0"/>
                    <w:right w:val="single" w:color="auto" w:sz="4" w:space="0"/>
                  </w:tcBorders>
                  <w:shd w:val="clear" w:color="auto" w:fill="auto"/>
                  <w:vAlign w:val="center"/>
                </w:tcPr>
                <w:p w14:paraId="69E77372">
                  <w:pPr>
                    <w:widowControl/>
                    <w:jc w:val="center"/>
                    <w:rPr>
                      <w:color w:val="000000"/>
                      <w:kern w:val="0"/>
                    </w:rPr>
                  </w:pPr>
                  <w:r>
                    <w:rPr>
                      <w:color w:val="000000"/>
                      <w:kern w:val="0"/>
                    </w:rPr>
                    <w:t>草地</w:t>
                  </w:r>
                </w:p>
              </w:tc>
              <w:tc>
                <w:tcPr>
                  <w:tcW w:w="840" w:type="dxa"/>
                  <w:tcBorders>
                    <w:top w:val="single" w:color="auto" w:sz="4" w:space="0"/>
                    <w:left w:val="nil"/>
                    <w:bottom w:val="single" w:color="auto" w:sz="4" w:space="0"/>
                    <w:right w:val="single" w:color="auto" w:sz="4" w:space="0"/>
                  </w:tcBorders>
                  <w:shd w:val="clear" w:color="auto" w:fill="auto"/>
                  <w:vAlign w:val="center"/>
                </w:tcPr>
                <w:p w14:paraId="6F44D426">
                  <w:pPr>
                    <w:widowControl/>
                    <w:jc w:val="center"/>
                    <w:rPr>
                      <w:color w:val="000000"/>
                      <w:kern w:val="0"/>
                    </w:rPr>
                  </w:pPr>
                  <w:r>
                    <w:rPr>
                      <w:color w:val="000000"/>
                      <w:kern w:val="0"/>
                    </w:rPr>
                    <w:t>园地</w:t>
                  </w:r>
                </w:p>
              </w:tc>
              <w:tc>
                <w:tcPr>
                  <w:tcW w:w="780" w:type="dxa"/>
                  <w:tcBorders>
                    <w:top w:val="single" w:color="auto" w:sz="4" w:space="0"/>
                    <w:left w:val="nil"/>
                    <w:bottom w:val="single" w:color="auto" w:sz="4" w:space="0"/>
                    <w:right w:val="single" w:color="auto" w:sz="4" w:space="0"/>
                  </w:tcBorders>
                  <w:shd w:val="clear" w:color="auto" w:fill="auto"/>
                  <w:vAlign w:val="center"/>
                </w:tcPr>
                <w:p w14:paraId="3E8B99AF">
                  <w:pPr>
                    <w:widowControl/>
                    <w:jc w:val="center"/>
                    <w:rPr>
                      <w:color w:val="000000"/>
                      <w:kern w:val="0"/>
                    </w:rPr>
                  </w:pPr>
                  <w:r>
                    <w:rPr>
                      <w:color w:val="000000"/>
                      <w:kern w:val="0"/>
                    </w:rPr>
                    <w:t>农田</w:t>
                  </w:r>
                </w:p>
              </w:tc>
              <w:tc>
                <w:tcPr>
                  <w:tcW w:w="1060" w:type="dxa"/>
                  <w:tcBorders>
                    <w:top w:val="single" w:color="auto" w:sz="4" w:space="0"/>
                    <w:left w:val="nil"/>
                    <w:bottom w:val="single" w:color="auto" w:sz="4" w:space="0"/>
                    <w:right w:val="single" w:color="auto" w:sz="4" w:space="0"/>
                  </w:tcBorders>
                  <w:shd w:val="clear" w:color="auto" w:fill="auto"/>
                  <w:vAlign w:val="center"/>
                </w:tcPr>
                <w:p w14:paraId="0C93AD5D">
                  <w:pPr>
                    <w:widowControl/>
                    <w:jc w:val="center"/>
                    <w:rPr>
                      <w:b/>
                      <w:bCs/>
                      <w:color w:val="000000"/>
                      <w:kern w:val="0"/>
                    </w:rPr>
                  </w:pPr>
                  <w:r>
                    <w:rPr>
                      <w:b/>
                      <w:bCs/>
                      <w:color w:val="000000"/>
                      <w:kern w:val="0"/>
                    </w:rPr>
                    <w:t>总计</w:t>
                  </w:r>
                </w:p>
              </w:tc>
            </w:tr>
            <w:tr w14:paraId="118EFEAA">
              <w:tblPrEx>
                <w:tblCellMar>
                  <w:top w:w="0" w:type="dxa"/>
                  <w:left w:w="108" w:type="dxa"/>
                  <w:bottom w:w="0" w:type="dxa"/>
                  <w:right w:w="108" w:type="dxa"/>
                </w:tblCellMar>
              </w:tblPrEx>
              <w:trPr>
                <w:trHeight w:val="20" w:hRule="atLeast"/>
              </w:trPr>
              <w:tc>
                <w:tcPr>
                  <w:tcW w:w="700" w:type="dxa"/>
                  <w:vMerge w:val="restart"/>
                  <w:tcBorders>
                    <w:top w:val="nil"/>
                    <w:left w:val="single" w:color="auto" w:sz="4" w:space="0"/>
                    <w:bottom w:val="single" w:color="auto" w:sz="4" w:space="0"/>
                    <w:right w:val="single" w:color="auto" w:sz="4" w:space="0"/>
                  </w:tcBorders>
                  <w:shd w:val="clear" w:color="auto" w:fill="auto"/>
                  <w:vAlign w:val="center"/>
                </w:tcPr>
                <w:p w14:paraId="605756E2">
                  <w:pPr>
                    <w:widowControl/>
                    <w:jc w:val="center"/>
                    <w:rPr>
                      <w:color w:val="000000"/>
                      <w:kern w:val="0"/>
                    </w:rPr>
                  </w:pPr>
                  <w:r>
                    <w:rPr>
                      <w:color w:val="000000"/>
                      <w:kern w:val="0"/>
                    </w:rPr>
                    <w:t>永久占地</w:t>
                  </w:r>
                </w:p>
              </w:tc>
              <w:tc>
                <w:tcPr>
                  <w:tcW w:w="960" w:type="dxa"/>
                  <w:tcBorders>
                    <w:top w:val="nil"/>
                    <w:left w:val="nil"/>
                    <w:bottom w:val="single" w:color="auto" w:sz="4" w:space="0"/>
                    <w:right w:val="single" w:color="auto" w:sz="4" w:space="0"/>
                  </w:tcBorders>
                  <w:shd w:val="clear" w:color="auto" w:fill="auto"/>
                  <w:vAlign w:val="center"/>
                </w:tcPr>
                <w:p w14:paraId="11AD030E">
                  <w:pPr>
                    <w:widowControl/>
                    <w:jc w:val="center"/>
                    <w:rPr>
                      <w:color w:val="000000"/>
                      <w:kern w:val="0"/>
                    </w:rPr>
                  </w:pPr>
                  <w:r>
                    <w:rPr>
                      <w:color w:val="000000"/>
                      <w:kern w:val="0"/>
                    </w:rPr>
                    <w:t>塔基</w:t>
                  </w:r>
                </w:p>
              </w:tc>
              <w:tc>
                <w:tcPr>
                  <w:tcW w:w="1060" w:type="dxa"/>
                  <w:tcBorders>
                    <w:top w:val="nil"/>
                    <w:left w:val="nil"/>
                    <w:bottom w:val="single" w:color="auto" w:sz="4" w:space="0"/>
                    <w:right w:val="single" w:color="auto" w:sz="4" w:space="0"/>
                  </w:tcBorders>
                  <w:shd w:val="clear" w:color="auto" w:fill="auto"/>
                  <w:vAlign w:val="center"/>
                </w:tcPr>
                <w:p w14:paraId="355AF997">
                  <w:pPr>
                    <w:widowControl/>
                    <w:jc w:val="center"/>
                    <w:rPr>
                      <w:color w:val="000000"/>
                      <w:kern w:val="0"/>
                    </w:rPr>
                  </w:pPr>
                  <w:r>
                    <w:rPr>
                      <w:color w:val="000000"/>
                      <w:kern w:val="0"/>
                    </w:rPr>
                    <w:t xml:space="preserve">0.081 </w:t>
                  </w:r>
                </w:p>
              </w:tc>
              <w:tc>
                <w:tcPr>
                  <w:tcW w:w="1200" w:type="dxa"/>
                  <w:tcBorders>
                    <w:top w:val="nil"/>
                    <w:left w:val="nil"/>
                    <w:bottom w:val="single" w:color="auto" w:sz="4" w:space="0"/>
                    <w:right w:val="single" w:color="auto" w:sz="4" w:space="0"/>
                  </w:tcBorders>
                  <w:shd w:val="clear" w:color="auto" w:fill="auto"/>
                  <w:vAlign w:val="center"/>
                </w:tcPr>
                <w:p w14:paraId="7E25F6F6">
                  <w:pPr>
                    <w:widowControl/>
                    <w:jc w:val="center"/>
                    <w:rPr>
                      <w:color w:val="000000"/>
                      <w:kern w:val="0"/>
                    </w:rPr>
                  </w:pPr>
                  <w:r>
                    <w:rPr>
                      <w:color w:val="000000"/>
                      <w:kern w:val="0"/>
                    </w:rPr>
                    <w:t xml:space="preserve">0.029 </w:t>
                  </w:r>
                </w:p>
              </w:tc>
              <w:tc>
                <w:tcPr>
                  <w:tcW w:w="860" w:type="dxa"/>
                  <w:tcBorders>
                    <w:top w:val="nil"/>
                    <w:left w:val="nil"/>
                    <w:bottom w:val="single" w:color="auto" w:sz="4" w:space="0"/>
                    <w:right w:val="single" w:color="auto" w:sz="4" w:space="0"/>
                  </w:tcBorders>
                  <w:shd w:val="clear" w:color="auto" w:fill="auto"/>
                  <w:vAlign w:val="center"/>
                </w:tcPr>
                <w:p w14:paraId="118024CB">
                  <w:pPr>
                    <w:widowControl/>
                    <w:jc w:val="center"/>
                    <w:rPr>
                      <w:color w:val="000000"/>
                      <w:kern w:val="0"/>
                    </w:rPr>
                  </w:pPr>
                  <w:r>
                    <w:rPr>
                      <w:color w:val="000000"/>
                      <w:kern w:val="0"/>
                    </w:rPr>
                    <w:t xml:space="preserve">0.015 </w:t>
                  </w:r>
                </w:p>
              </w:tc>
              <w:tc>
                <w:tcPr>
                  <w:tcW w:w="840" w:type="dxa"/>
                  <w:tcBorders>
                    <w:top w:val="nil"/>
                    <w:left w:val="nil"/>
                    <w:bottom w:val="single" w:color="auto" w:sz="4" w:space="0"/>
                    <w:right w:val="single" w:color="auto" w:sz="4" w:space="0"/>
                  </w:tcBorders>
                  <w:shd w:val="clear" w:color="auto" w:fill="auto"/>
                  <w:vAlign w:val="center"/>
                </w:tcPr>
                <w:p w14:paraId="7C104919">
                  <w:pPr>
                    <w:widowControl/>
                    <w:jc w:val="center"/>
                    <w:rPr>
                      <w:color w:val="000000"/>
                      <w:kern w:val="0"/>
                    </w:rPr>
                  </w:pPr>
                  <w:r>
                    <w:rPr>
                      <w:color w:val="000000"/>
                      <w:kern w:val="0"/>
                    </w:rPr>
                    <w:t xml:space="preserve">0.013 </w:t>
                  </w:r>
                </w:p>
              </w:tc>
              <w:tc>
                <w:tcPr>
                  <w:tcW w:w="780" w:type="dxa"/>
                  <w:tcBorders>
                    <w:top w:val="nil"/>
                    <w:left w:val="nil"/>
                    <w:bottom w:val="single" w:color="auto" w:sz="4" w:space="0"/>
                    <w:right w:val="single" w:color="auto" w:sz="4" w:space="0"/>
                  </w:tcBorders>
                  <w:shd w:val="clear" w:color="auto" w:fill="auto"/>
                  <w:vAlign w:val="center"/>
                </w:tcPr>
                <w:p w14:paraId="17D13D9E">
                  <w:pPr>
                    <w:widowControl/>
                    <w:jc w:val="center"/>
                    <w:rPr>
                      <w:color w:val="000000"/>
                      <w:kern w:val="0"/>
                    </w:rPr>
                  </w:pPr>
                  <w:r>
                    <w:rPr>
                      <w:color w:val="000000"/>
                      <w:kern w:val="0"/>
                    </w:rPr>
                    <w:t xml:space="preserve">0.007 </w:t>
                  </w:r>
                </w:p>
              </w:tc>
              <w:tc>
                <w:tcPr>
                  <w:tcW w:w="1060" w:type="dxa"/>
                  <w:tcBorders>
                    <w:top w:val="nil"/>
                    <w:left w:val="nil"/>
                    <w:bottom w:val="single" w:color="auto" w:sz="4" w:space="0"/>
                    <w:right w:val="single" w:color="auto" w:sz="4" w:space="0"/>
                  </w:tcBorders>
                  <w:shd w:val="clear" w:color="auto" w:fill="auto"/>
                  <w:vAlign w:val="center"/>
                </w:tcPr>
                <w:p w14:paraId="5135A1DA">
                  <w:pPr>
                    <w:widowControl/>
                    <w:jc w:val="center"/>
                    <w:rPr>
                      <w:b/>
                      <w:bCs/>
                      <w:color w:val="000000"/>
                      <w:kern w:val="0"/>
                    </w:rPr>
                  </w:pPr>
                  <w:r>
                    <w:rPr>
                      <w:b/>
                      <w:bCs/>
                      <w:color w:val="000000"/>
                      <w:kern w:val="0"/>
                    </w:rPr>
                    <w:t>0.145</w:t>
                  </w:r>
                </w:p>
              </w:tc>
            </w:tr>
            <w:tr w14:paraId="77772787">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35CC8AC3">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02F42DDD">
                  <w:pPr>
                    <w:widowControl/>
                    <w:jc w:val="center"/>
                    <w:rPr>
                      <w:b/>
                      <w:bCs/>
                      <w:color w:val="000000"/>
                      <w:kern w:val="0"/>
                    </w:rPr>
                  </w:pPr>
                  <w:r>
                    <w:rPr>
                      <w:b/>
                      <w:bCs/>
                      <w:color w:val="000000"/>
                      <w:kern w:val="0"/>
                    </w:rPr>
                    <w:t>小计</w:t>
                  </w:r>
                </w:p>
              </w:tc>
              <w:tc>
                <w:tcPr>
                  <w:tcW w:w="1060" w:type="dxa"/>
                  <w:tcBorders>
                    <w:top w:val="nil"/>
                    <w:left w:val="nil"/>
                    <w:bottom w:val="single" w:color="auto" w:sz="4" w:space="0"/>
                    <w:right w:val="single" w:color="auto" w:sz="4" w:space="0"/>
                  </w:tcBorders>
                  <w:shd w:val="clear" w:color="auto" w:fill="auto"/>
                  <w:vAlign w:val="center"/>
                </w:tcPr>
                <w:p w14:paraId="6C9034A6">
                  <w:pPr>
                    <w:widowControl/>
                    <w:jc w:val="center"/>
                    <w:rPr>
                      <w:b/>
                      <w:bCs/>
                      <w:color w:val="000000"/>
                      <w:kern w:val="0"/>
                    </w:rPr>
                  </w:pPr>
                  <w:r>
                    <w:rPr>
                      <w:b/>
                      <w:bCs/>
                      <w:color w:val="000000"/>
                      <w:kern w:val="0"/>
                    </w:rPr>
                    <w:t xml:space="preserve">0.081 </w:t>
                  </w:r>
                </w:p>
              </w:tc>
              <w:tc>
                <w:tcPr>
                  <w:tcW w:w="1200" w:type="dxa"/>
                  <w:tcBorders>
                    <w:top w:val="nil"/>
                    <w:left w:val="nil"/>
                    <w:bottom w:val="single" w:color="auto" w:sz="4" w:space="0"/>
                    <w:right w:val="single" w:color="auto" w:sz="4" w:space="0"/>
                  </w:tcBorders>
                  <w:shd w:val="clear" w:color="auto" w:fill="auto"/>
                  <w:vAlign w:val="center"/>
                </w:tcPr>
                <w:p w14:paraId="7340BB71">
                  <w:pPr>
                    <w:widowControl/>
                    <w:jc w:val="center"/>
                    <w:rPr>
                      <w:b/>
                      <w:bCs/>
                      <w:color w:val="000000"/>
                      <w:kern w:val="0"/>
                    </w:rPr>
                  </w:pPr>
                  <w:r>
                    <w:rPr>
                      <w:b/>
                      <w:bCs/>
                      <w:color w:val="000000"/>
                      <w:kern w:val="0"/>
                    </w:rPr>
                    <w:t xml:space="preserve">0.029 </w:t>
                  </w:r>
                </w:p>
              </w:tc>
              <w:tc>
                <w:tcPr>
                  <w:tcW w:w="860" w:type="dxa"/>
                  <w:tcBorders>
                    <w:top w:val="nil"/>
                    <w:left w:val="nil"/>
                    <w:bottom w:val="single" w:color="auto" w:sz="4" w:space="0"/>
                    <w:right w:val="single" w:color="auto" w:sz="4" w:space="0"/>
                  </w:tcBorders>
                  <w:shd w:val="clear" w:color="auto" w:fill="auto"/>
                  <w:vAlign w:val="center"/>
                </w:tcPr>
                <w:p w14:paraId="1563C7A1">
                  <w:pPr>
                    <w:widowControl/>
                    <w:jc w:val="center"/>
                    <w:rPr>
                      <w:b/>
                      <w:bCs/>
                      <w:color w:val="000000"/>
                      <w:kern w:val="0"/>
                    </w:rPr>
                  </w:pPr>
                  <w:r>
                    <w:rPr>
                      <w:b/>
                      <w:bCs/>
                      <w:color w:val="000000"/>
                      <w:kern w:val="0"/>
                    </w:rPr>
                    <w:t xml:space="preserve">0.015 </w:t>
                  </w:r>
                </w:p>
              </w:tc>
              <w:tc>
                <w:tcPr>
                  <w:tcW w:w="840" w:type="dxa"/>
                  <w:tcBorders>
                    <w:top w:val="nil"/>
                    <w:left w:val="nil"/>
                    <w:bottom w:val="single" w:color="auto" w:sz="4" w:space="0"/>
                    <w:right w:val="single" w:color="auto" w:sz="4" w:space="0"/>
                  </w:tcBorders>
                  <w:shd w:val="clear" w:color="auto" w:fill="auto"/>
                  <w:vAlign w:val="center"/>
                </w:tcPr>
                <w:p w14:paraId="2FEE1C6B">
                  <w:pPr>
                    <w:widowControl/>
                    <w:jc w:val="center"/>
                    <w:rPr>
                      <w:b/>
                      <w:bCs/>
                      <w:color w:val="000000"/>
                      <w:kern w:val="0"/>
                    </w:rPr>
                  </w:pPr>
                  <w:r>
                    <w:rPr>
                      <w:b/>
                      <w:bCs/>
                      <w:color w:val="000000"/>
                      <w:kern w:val="0"/>
                    </w:rPr>
                    <w:t xml:space="preserve">0.013 </w:t>
                  </w:r>
                </w:p>
              </w:tc>
              <w:tc>
                <w:tcPr>
                  <w:tcW w:w="780" w:type="dxa"/>
                  <w:tcBorders>
                    <w:top w:val="nil"/>
                    <w:left w:val="nil"/>
                    <w:bottom w:val="single" w:color="auto" w:sz="4" w:space="0"/>
                    <w:right w:val="single" w:color="auto" w:sz="4" w:space="0"/>
                  </w:tcBorders>
                  <w:shd w:val="clear" w:color="auto" w:fill="auto"/>
                  <w:vAlign w:val="center"/>
                </w:tcPr>
                <w:p w14:paraId="5CC4FFCC">
                  <w:pPr>
                    <w:widowControl/>
                    <w:jc w:val="center"/>
                    <w:rPr>
                      <w:b/>
                      <w:bCs/>
                      <w:color w:val="000000"/>
                      <w:kern w:val="0"/>
                    </w:rPr>
                  </w:pPr>
                  <w:r>
                    <w:rPr>
                      <w:b/>
                      <w:bCs/>
                      <w:color w:val="000000"/>
                      <w:kern w:val="0"/>
                    </w:rPr>
                    <w:t xml:space="preserve">0.007 </w:t>
                  </w:r>
                </w:p>
              </w:tc>
              <w:tc>
                <w:tcPr>
                  <w:tcW w:w="1060" w:type="dxa"/>
                  <w:tcBorders>
                    <w:top w:val="nil"/>
                    <w:left w:val="nil"/>
                    <w:bottom w:val="single" w:color="auto" w:sz="4" w:space="0"/>
                    <w:right w:val="single" w:color="auto" w:sz="4" w:space="0"/>
                  </w:tcBorders>
                  <w:shd w:val="clear" w:color="auto" w:fill="auto"/>
                  <w:vAlign w:val="center"/>
                </w:tcPr>
                <w:p w14:paraId="0C962787">
                  <w:pPr>
                    <w:widowControl/>
                    <w:jc w:val="center"/>
                    <w:rPr>
                      <w:b/>
                      <w:bCs/>
                      <w:color w:val="000000"/>
                      <w:kern w:val="0"/>
                    </w:rPr>
                  </w:pPr>
                  <w:r>
                    <w:rPr>
                      <w:b/>
                      <w:bCs/>
                      <w:color w:val="000000"/>
                      <w:kern w:val="0"/>
                    </w:rPr>
                    <w:t>0.145</w:t>
                  </w:r>
                </w:p>
              </w:tc>
            </w:tr>
            <w:tr w14:paraId="7EC83654">
              <w:tblPrEx>
                <w:tblCellMar>
                  <w:top w:w="0" w:type="dxa"/>
                  <w:left w:w="108" w:type="dxa"/>
                  <w:bottom w:w="0" w:type="dxa"/>
                  <w:right w:w="108" w:type="dxa"/>
                </w:tblCellMar>
              </w:tblPrEx>
              <w:trPr>
                <w:trHeight w:val="20" w:hRule="atLeast"/>
              </w:trPr>
              <w:tc>
                <w:tcPr>
                  <w:tcW w:w="700" w:type="dxa"/>
                  <w:vMerge w:val="restart"/>
                  <w:tcBorders>
                    <w:top w:val="nil"/>
                    <w:left w:val="single" w:color="auto" w:sz="4" w:space="0"/>
                    <w:bottom w:val="single" w:color="auto" w:sz="4" w:space="0"/>
                    <w:right w:val="single" w:color="auto" w:sz="4" w:space="0"/>
                  </w:tcBorders>
                  <w:shd w:val="clear" w:color="auto" w:fill="auto"/>
                  <w:vAlign w:val="center"/>
                </w:tcPr>
                <w:p w14:paraId="31345CCE">
                  <w:pPr>
                    <w:widowControl/>
                    <w:jc w:val="center"/>
                    <w:rPr>
                      <w:color w:val="000000"/>
                      <w:kern w:val="0"/>
                    </w:rPr>
                  </w:pPr>
                  <w:r>
                    <w:rPr>
                      <w:color w:val="000000"/>
                      <w:kern w:val="0"/>
                    </w:rPr>
                    <w:t>临时占地</w:t>
                  </w:r>
                </w:p>
              </w:tc>
              <w:tc>
                <w:tcPr>
                  <w:tcW w:w="960" w:type="dxa"/>
                  <w:tcBorders>
                    <w:top w:val="nil"/>
                    <w:left w:val="nil"/>
                    <w:bottom w:val="single" w:color="auto" w:sz="4" w:space="0"/>
                    <w:right w:val="single" w:color="auto" w:sz="4" w:space="0"/>
                  </w:tcBorders>
                  <w:shd w:val="clear" w:color="auto" w:fill="auto"/>
                  <w:vAlign w:val="center"/>
                </w:tcPr>
                <w:p w14:paraId="40D920EE">
                  <w:pPr>
                    <w:widowControl/>
                    <w:jc w:val="center"/>
                    <w:rPr>
                      <w:color w:val="000000"/>
                      <w:kern w:val="0"/>
                    </w:rPr>
                  </w:pPr>
                  <w:r>
                    <w:rPr>
                      <w:color w:val="000000"/>
                      <w:kern w:val="0"/>
                    </w:rPr>
                    <w:t>牵张场</w:t>
                  </w:r>
                </w:p>
              </w:tc>
              <w:tc>
                <w:tcPr>
                  <w:tcW w:w="1060" w:type="dxa"/>
                  <w:tcBorders>
                    <w:top w:val="nil"/>
                    <w:left w:val="nil"/>
                    <w:bottom w:val="single" w:color="auto" w:sz="4" w:space="0"/>
                    <w:right w:val="single" w:color="auto" w:sz="4" w:space="0"/>
                  </w:tcBorders>
                  <w:shd w:val="clear" w:color="auto" w:fill="auto"/>
                  <w:vAlign w:val="center"/>
                </w:tcPr>
                <w:p w14:paraId="64D118FC">
                  <w:pPr>
                    <w:widowControl/>
                    <w:jc w:val="center"/>
                    <w:rPr>
                      <w:color w:val="000000"/>
                      <w:kern w:val="0"/>
                    </w:rPr>
                  </w:pPr>
                  <w:r>
                    <w:rPr>
                      <w:color w:val="000000"/>
                      <w:kern w:val="0"/>
                    </w:rPr>
                    <w:t>0</w:t>
                  </w:r>
                </w:p>
              </w:tc>
              <w:tc>
                <w:tcPr>
                  <w:tcW w:w="1200" w:type="dxa"/>
                  <w:tcBorders>
                    <w:top w:val="nil"/>
                    <w:left w:val="nil"/>
                    <w:bottom w:val="single" w:color="auto" w:sz="4" w:space="0"/>
                    <w:right w:val="single" w:color="auto" w:sz="4" w:space="0"/>
                  </w:tcBorders>
                  <w:shd w:val="clear" w:color="auto" w:fill="auto"/>
                  <w:vAlign w:val="center"/>
                </w:tcPr>
                <w:p w14:paraId="44B8632C">
                  <w:pPr>
                    <w:widowControl/>
                    <w:jc w:val="center"/>
                    <w:rPr>
                      <w:color w:val="000000"/>
                      <w:kern w:val="0"/>
                    </w:rPr>
                  </w:pPr>
                  <w:r>
                    <w:rPr>
                      <w:color w:val="000000"/>
                      <w:kern w:val="0"/>
                    </w:rPr>
                    <w:t>0.132</w:t>
                  </w:r>
                </w:p>
              </w:tc>
              <w:tc>
                <w:tcPr>
                  <w:tcW w:w="860" w:type="dxa"/>
                  <w:tcBorders>
                    <w:top w:val="nil"/>
                    <w:left w:val="nil"/>
                    <w:bottom w:val="single" w:color="auto" w:sz="4" w:space="0"/>
                    <w:right w:val="single" w:color="auto" w:sz="4" w:space="0"/>
                  </w:tcBorders>
                  <w:shd w:val="clear" w:color="auto" w:fill="auto"/>
                  <w:vAlign w:val="center"/>
                </w:tcPr>
                <w:p w14:paraId="70C170D7">
                  <w:pPr>
                    <w:widowControl/>
                    <w:jc w:val="center"/>
                    <w:rPr>
                      <w:color w:val="000000"/>
                      <w:kern w:val="0"/>
                    </w:rPr>
                  </w:pPr>
                  <w:r>
                    <w:rPr>
                      <w:color w:val="000000"/>
                      <w:kern w:val="0"/>
                    </w:rPr>
                    <w:t>0.102</w:t>
                  </w:r>
                </w:p>
              </w:tc>
              <w:tc>
                <w:tcPr>
                  <w:tcW w:w="840" w:type="dxa"/>
                  <w:tcBorders>
                    <w:top w:val="nil"/>
                    <w:left w:val="nil"/>
                    <w:bottom w:val="single" w:color="auto" w:sz="4" w:space="0"/>
                    <w:right w:val="single" w:color="auto" w:sz="4" w:space="0"/>
                  </w:tcBorders>
                  <w:shd w:val="clear" w:color="auto" w:fill="auto"/>
                  <w:vAlign w:val="center"/>
                </w:tcPr>
                <w:p w14:paraId="4812CA7C">
                  <w:pPr>
                    <w:widowControl/>
                    <w:jc w:val="center"/>
                    <w:rPr>
                      <w:color w:val="000000"/>
                      <w:kern w:val="0"/>
                    </w:rPr>
                  </w:pPr>
                  <w:r>
                    <w:rPr>
                      <w:color w:val="000000"/>
                      <w:kern w:val="0"/>
                    </w:rPr>
                    <w:t>0.066</w:t>
                  </w:r>
                </w:p>
              </w:tc>
              <w:tc>
                <w:tcPr>
                  <w:tcW w:w="780" w:type="dxa"/>
                  <w:tcBorders>
                    <w:top w:val="nil"/>
                    <w:left w:val="nil"/>
                    <w:bottom w:val="single" w:color="auto" w:sz="4" w:space="0"/>
                    <w:right w:val="single" w:color="auto" w:sz="4" w:space="0"/>
                  </w:tcBorders>
                  <w:shd w:val="clear" w:color="auto" w:fill="auto"/>
                  <w:vAlign w:val="center"/>
                </w:tcPr>
                <w:p w14:paraId="13EEE3EC">
                  <w:pPr>
                    <w:widowControl/>
                    <w:jc w:val="center"/>
                    <w:rPr>
                      <w:color w:val="000000"/>
                      <w:kern w:val="0"/>
                    </w:rPr>
                  </w:pPr>
                  <w:r>
                    <w:rPr>
                      <w:color w:val="000000"/>
                      <w:kern w:val="0"/>
                    </w:rPr>
                    <w:t>0</w:t>
                  </w:r>
                </w:p>
              </w:tc>
              <w:tc>
                <w:tcPr>
                  <w:tcW w:w="1060" w:type="dxa"/>
                  <w:tcBorders>
                    <w:top w:val="nil"/>
                    <w:left w:val="nil"/>
                    <w:bottom w:val="single" w:color="auto" w:sz="4" w:space="0"/>
                    <w:right w:val="single" w:color="auto" w:sz="4" w:space="0"/>
                  </w:tcBorders>
                  <w:shd w:val="clear" w:color="auto" w:fill="auto"/>
                  <w:vAlign w:val="center"/>
                </w:tcPr>
                <w:p w14:paraId="4EAA854A">
                  <w:pPr>
                    <w:widowControl/>
                    <w:jc w:val="center"/>
                    <w:rPr>
                      <w:b/>
                      <w:bCs/>
                      <w:color w:val="000000"/>
                      <w:kern w:val="0"/>
                    </w:rPr>
                  </w:pPr>
                  <w:r>
                    <w:rPr>
                      <w:b/>
                      <w:bCs/>
                      <w:color w:val="000000"/>
                      <w:kern w:val="0"/>
                    </w:rPr>
                    <w:t>0.3</w:t>
                  </w:r>
                </w:p>
              </w:tc>
            </w:tr>
            <w:tr w14:paraId="05839F7C">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61D93B89">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65CDDCE5">
                  <w:pPr>
                    <w:widowControl/>
                    <w:jc w:val="center"/>
                    <w:rPr>
                      <w:color w:val="000000"/>
                      <w:kern w:val="0"/>
                    </w:rPr>
                  </w:pPr>
                  <w:r>
                    <w:rPr>
                      <w:color w:val="000000"/>
                      <w:kern w:val="0"/>
                    </w:rPr>
                    <w:t>临时便道区</w:t>
                  </w:r>
                </w:p>
              </w:tc>
              <w:tc>
                <w:tcPr>
                  <w:tcW w:w="1060" w:type="dxa"/>
                  <w:tcBorders>
                    <w:top w:val="nil"/>
                    <w:left w:val="nil"/>
                    <w:bottom w:val="single" w:color="auto" w:sz="4" w:space="0"/>
                    <w:right w:val="single" w:color="auto" w:sz="4" w:space="0"/>
                  </w:tcBorders>
                  <w:shd w:val="clear" w:color="auto" w:fill="auto"/>
                  <w:vAlign w:val="center"/>
                </w:tcPr>
                <w:p w14:paraId="25A02D23">
                  <w:pPr>
                    <w:widowControl/>
                    <w:jc w:val="center"/>
                    <w:rPr>
                      <w:color w:val="000000"/>
                      <w:kern w:val="0"/>
                    </w:rPr>
                  </w:pPr>
                  <w:r>
                    <w:rPr>
                      <w:color w:val="000000"/>
                      <w:kern w:val="0"/>
                    </w:rPr>
                    <w:t>0.0571</w:t>
                  </w:r>
                </w:p>
              </w:tc>
              <w:tc>
                <w:tcPr>
                  <w:tcW w:w="1200" w:type="dxa"/>
                  <w:tcBorders>
                    <w:top w:val="nil"/>
                    <w:left w:val="nil"/>
                    <w:bottom w:val="single" w:color="auto" w:sz="4" w:space="0"/>
                    <w:right w:val="single" w:color="auto" w:sz="4" w:space="0"/>
                  </w:tcBorders>
                  <w:shd w:val="clear" w:color="auto" w:fill="auto"/>
                  <w:vAlign w:val="center"/>
                </w:tcPr>
                <w:p w14:paraId="0CF0596E">
                  <w:pPr>
                    <w:widowControl/>
                    <w:jc w:val="center"/>
                    <w:rPr>
                      <w:color w:val="000000"/>
                      <w:kern w:val="0"/>
                    </w:rPr>
                  </w:pPr>
                  <w:r>
                    <w:rPr>
                      <w:color w:val="000000"/>
                      <w:kern w:val="0"/>
                    </w:rPr>
                    <w:t>0.0086</w:t>
                  </w:r>
                </w:p>
              </w:tc>
              <w:tc>
                <w:tcPr>
                  <w:tcW w:w="860" w:type="dxa"/>
                  <w:tcBorders>
                    <w:top w:val="nil"/>
                    <w:left w:val="nil"/>
                    <w:bottom w:val="single" w:color="auto" w:sz="4" w:space="0"/>
                    <w:right w:val="single" w:color="auto" w:sz="4" w:space="0"/>
                  </w:tcBorders>
                  <w:shd w:val="clear" w:color="auto" w:fill="auto"/>
                  <w:vAlign w:val="center"/>
                </w:tcPr>
                <w:p w14:paraId="7BA38FE6">
                  <w:pPr>
                    <w:widowControl/>
                    <w:jc w:val="center"/>
                    <w:rPr>
                      <w:color w:val="000000"/>
                      <w:kern w:val="0"/>
                    </w:rPr>
                  </w:pPr>
                  <w:r>
                    <w:rPr>
                      <w:color w:val="000000"/>
                      <w:kern w:val="0"/>
                    </w:rPr>
                    <w:t>0.0132</w:t>
                  </w:r>
                </w:p>
              </w:tc>
              <w:tc>
                <w:tcPr>
                  <w:tcW w:w="840" w:type="dxa"/>
                  <w:tcBorders>
                    <w:top w:val="nil"/>
                    <w:left w:val="nil"/>
                    <w:bottom w:val="single" w:color="auto" w:sz="4" w:space="0"/>
                    <w:right w:val="single" w:color="auto" w:sz="4" w:space="0"/>
                  </w:tcBorders>
                  <w:shd w:val="clear" w:color="auto" w:fill="auto"/>
                  <w:vAlign w:val="center"/>
                </w:tcPr>
                <w:p w14:paraId="4CD45A92">
                  <w:pPr>
                    <w:widowControl/>
                    <w:jc w:val="center"/>
                    <w:rPr>
                      <w:color w:val="000000"/>
                      <w:kern w:val="0"/>
                    </w:rPr>
                  </w:pPr>
                  <w:r>
                    <w:rPr>
                      <w:color w:val="000000"/>
                      <w:kern w:val="0"/>
                    </w:rPr>
                    <w:t>0.0152</w:t>
                  </w:r>
                </w:p>
              </w:tc>
              <w:tc>
                <w:tcPr>
                  <w:tcW w:w="780" w:type="dxa"/>
                  <w:tcBorders>
                    <w:top w:val="nil"/>
                    <w:left w:val="nil"/>
                    <w:bottom w:val="single" w:color="auto" w:sz="4" w:space="0"/>
                    <w:right w:val="single" w:color="auto" w:sz="4" w:space="0"/>
                  </w:tcBorders>
                  <w:shd w:val="clear" w:color="auto" w:fill="auto"/>
                  <w:vAlign w:val="center"/>
                </w:tcPr>
                <w:p w14:paraId="09A38229">
                  <w:pPr>
                    <w:widowControl/>
                    <w:jc w:val="center"/>
                    <w:rPr>
                      <w:color w:val="000000"/>
                      <w:kern w:val="0"/>
                    </w:rPr>
                  </w:pPr>
                  <w:r>
                    <w:rPr>
                      <w:color w:val="000000"/>
                      <w:kern w:val="0"/>
                    </w:rPr>
                    <w:t>0.01</w:t>
                  </w:r>
                </w:p>
              </w:tc>
              <w:tc>
                <w:tcPr>
                  <w:tcW w:w="1060" w:type="dxa"/>
                  <w:tcBorders>
                    <w:top w:val="nil"/>
                    <w:left w:val="nil"/>
                    <w:bottom w:val="single" w:color="auto" w:sz="4" w:space="0"/>
                    <w:right w:val="single" w:color="auto" w:sz="4" w:space="0"/>
                  </w:tcBorders>
                  <w:shd w:val="clear" w:color="auto" w:fill="auto"/>
                  <w:vAlign w:val="center"/>
                </w:tcPr>
                <w:p w14:paraId="60C520AE">
                  <w:pPr>
                    <w:widowControl/>
                    <w:jc w:val="center"/>
                    <w:rPr>
                      <w:b/>
                      <w:bCs/>
                      <w:color w:val="000000"/>
                      <w:kern w:val="0"/>
                    </w:rPr>
                  </w:pPr>
                  <w:r>
                    <w:rPr>
                      <w:b/>
                      <w:bCs/>
                      <w:color w:val="000000"/>
                      <w:kern w:val="0"/>
                    </w:rPr>
                    <w:t>0.1036</w:t>
                  </w:r>
                </w:p>
              </w:tc>
            </w:tr>
            <w:tr w14:paraId="2E9F7FFB">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258A1D95">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3E9DA62F">
                  <w:pPr>
                    <w:widowControl/>
                    <w:jc w:val="center"/>
                    <w:rPr>
                      <w:color w:val="000000"/>
                      <w:kern w:val="0"/>
                    </w:rPr>
                  </w:pPr>
                  <w:r>
                    <w:rPr>
                      <w:color w:val="000000"/>
                      <w:kern w:val="0"/>
                    </w:rPr>
                    <w:t>塔基临时施工场地</w:t>
                  </w:r>
                </w:p>
              </w:tc>
              <w:tc>
                <w:tcPr>
                  <w:tcW w:w="1060" w:type="dxa"/>
                  <w:tcBorders>
                    <w:top w:val="nil"/>
                    <w:left w:val="nil"/>
                    <w:bottom w:val="single" w:color="auto" w:sz="4" w:space="0"/>
                    <w:right w:val="single" w:color="auto" w:sz="4" w:space="0"/>
                  </w:tcBorders>
                  <w:shd w:val="clear" w:color="auto" w:fill="auto"/>
                  <w:vAlign w:val="center"/>
                </w:tcPr>
                <w:p w14:paraId="40FD36BC">
                  <w:pPr>
                    <w:widowControl/>
                    <w:jc w:val="center"/>
                    <w:rPr>
                      <w:color w:val="000000"/>
                      <w:kern w:val="0"/>
                    </w:rPr>
                  </w:pPr>
                  <w:r>
                    <w:rPr>
                      <w:color w:val="000000"/>
                      <w:kern w:val="0"/>
                    </w:rPr>
                    <w:t xml:space="preserve">0.076 </w:t>
                  </w:r>
                </w:p>
              </w:tc>
              <w:tc>
                <w:tcPr>
                  <w:tcW w:w="1200" w:type="dxa"/>
                  <w:tcBorders>
                    <w:top w:val="nil"/>
                    <w:left w:val="nil"/>
                    <w:bottom w:val="single" w:color="auto" w:sz="4" w:space="0"/>
                    <w:right w:val="single" w:color="auto" w:sz="4" w:space="0"/>
                  </w:tcBorders>
                  <w:shd w:val="clear" w:color="auto" w:fill="auto"/>
                  <w:vAlign w:val="center"/>
                </w:tcPr>
                <w:p w14:paraId="4D29A615">
                  <w:pPr>
                    <w:widowControl/>
                    <w:jc w:val="center"/>
                    <w:rPr>
                      <w:color w:val="000000"/>
                      <w:kern w:val="0"/>
                    </w:rPr>
                  </w:pPr>
                  <w:r>
                    <w:rPr>
                      <w:color w:val="000000"/>
                      <w:kern w:val="0"/>
                    </w:rPr>
                    <w:t xml:space="preserve">0.026 </w:t>
                  </w:r>
                </w:p>
              </w:tc>
              <w:tc>
                <w:tcPr>
                  <w:tcW w:w="860" w:type="dxa"/>
                  <w:tcBorders>
                    <w:top w:val="nil"/>
                    <w:left w:val="nil"/>
                    <w:bottom w:val="single" w:color="auto" w:sz="4" w:space="0"/>
                    <w:right w:val="single" w:color="auto" w:sz="4" w:space="0"/>
                  </w:tcBorders>
                  <w:shd w:val="clear" w:color="auto" w:fill="auto"/>
                  <w:vAlign w:val="center"/>
                </w:tcPr>
                <w:p w14:paraId="51D56106">
                  <w:pPr>
                    <w:widowControl/>
                    <w:jc w:val="center"/>
                    <w:rPr>
                      <w:color w:val="000000"/>
                      <w:kern w:val="0"/>
                    </w:rPr>
                  </w:pPr>
                  <w:r>
                    <w:rPr>
                      <w:color w:val="000000"/>
                      <w:kern w:val="0"/>
                    </w:rPr>
                    <w:t xml:space="preserve">0.017 </w:t>
                  </w:r>
                </w:p>
              </w:tc>
              <w:tc>
                <w:tcPr>
                  <w:tcW w:w="840" w:type="dxa"/>
                  <w:tcBorders>
                    <w:top w:val="nil"/>
                    <w:left w:val="nil"/>
                    <w:bottom w:val="single" w:color="auto" w:sz="4" w:space="0"/>
                    <w:right w:val="single" w:color="auto" w:sz="4" w:space="0"/>
                  </w:tcBorders>
                  <w:shd w:val="clear" w:color="auto" w:fill="auto"/>
                  <w:vAlign w:val="center"/>
                </w:tcPr>
                <w:p w14:paraId="01F80484">
                  <w:pPr>
                    <w:widowControl/>
                    <w:jc w:val="center"/>
                    <w:rPr>
                      <w:color w:val="000000"/>
                      <w:kern w:val="0"/>
                    </w:rPr>
                  </w:pPr>
                  <w:r>
                    <w:rPr>
                      <w:color w:val="000000"/>
                      <w:kern w:val="0"/>
                    </w:rPr>
                    <w:t xml:space="preserve">0.011 </w:t>
                  </w:r>
                </w:p>
              </w:tc>
              <w:tc>
                <w:tcPr>
                  <w:tcW w:w="780" w:type="dxa"/>
                  <w:tcBorders>
                    <w:top w:val="nil"/>
                    <w:left w:val="nil"/>
                    <w:bottom w:val="single" w:color="auto" w:sz="4" w:space="0"/>
                    <w:right w:val="single" w:color="auto" w:sz="4" w:space="0"/>
                  </w:tcBorders>
                  <w:shd w:val="clear" w:color="auto" w:fill="auto"/>
                  <w:vAlign w:val="center"/>
                </w:tcPr>
                <w:p w14:paraId="22D1ED8F">
                  <w:pPr>
                    <w:widowControl/>
                    <w:jc w:val="center"/>
                    <w:rPr>
                      <w:color w:val="000000"/>
                      <w:kern w:val="0"/>
                    </w:rPr>
                  </w:pPr>
                  <w:r>
                    <w:rPr>
                      <w:color w:val="000000"/>
                      <w:kern w:val="0"/>
                    </w:rPr>
                    <w:t xml:space="preserve">0.005 </w:t>
                  </w:r>
                </w:p>
              </w:tc>
              <w:tc>
                <w:tcPr>
                  <w:tcW w:w="1060" w:type="dxa"/>
                  <w:tcBorders>
                    <w:top w:val="nil"/>
                    <w:left w:val="nil"/>
                    <w:bottom w:val="single" w:color="auto" w:sz="4" w:space="0"/>
                    <w:right w:val="single" w:color="auto" w:sz="4" w:space="0"/>
                  </w:tcBorders>
                  <w:shd w:val="clear" w:color="auto" w:fill="auto"/>
                  <w:vAlign w:val="center"/>
                </w:tcPr>
                <w:p w14:paraId="6A9343DE">
                  <w:pPr>
                    <w:widowControl/>
                    <w:jc w:val="center"/>
                    <w:rPr>
                      <w:b/>
                      <w:bCs/>
                      <w:color w:val="000000"/>
                      <w:kern w:val="0"/>
                    </w:rPr>
                  </w:pPr>
                  <w:r>
                    <w:rPr>
                      <w:b/>
                      <w:bCs/>
                      <w:color w:val="000000"/>
                      <w:kern w:val="0"/>
                    </w:rPr>
                    <w:t>0.135</w:t>
                  </w:r>
                </w:p>
              </w:tc>
            </w:tr>
            <w:tr w14:paraId="3B0FBD45">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37FD7BFA">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1289FDB7">
                  <w:pPr>
                    <w:widowControl/>
                    <w:jc w:val="center"/>
                    <w:rPr>
                      <w:b/>
                      <w:bCs/>
                      <w:color w:val="000000"/>
                      <w:kern w:val="0"/>
                    </w:rPr>
                  </w:pPr>
                  <w:r>
                    <w:rPr>
                      <w:b/>
                      <w:bCs/>
                      <w:color w:val="000000"/>
                      <w:kern w:val="0"/>
                    </w:rPr>
                    <w:t>小计</w:t>
                  </w:r>
                </w:p>
              </w:tc>
              <w:tc>
                <w:tcPr>
                  <w:tcW w:w="1060" w:type="dxa"/>
                  <w:tcBorders>
                    <w:top w:val="nil"/>
                    <w:left w:val="nil"/>
                    <w:bottom w:val="single" w:color="auto" w:sz="4" w:space="0"/>
                    <w:right w:val="single" w:color="auto" w:sz="4" w:space="0"/>
                  </w:tcBorders>
                  <w:shd w:val="clear" w:color="auto" w:fill="auto"/>
                  <w:vAlign w:val="center"/>
                </w:tcPr>
                <w:p w14:paraId="52D70B6E">
                  <w:pPr>
                    <w:widowControl/>
                    <w:jc w:val="center"/>
                    <w:rPr>
                      <w:b/>
                      <w:bCs/>
                      <w:color w:val="000000"/>
                      <w:kern w:val="0"/>
                    </w:rPr>
                  </w:pPr>
                  <w:r>
                    <w:rPr>
                      <w:b/>
                      <w:bCs/>
                      <w:color w:val="000000"/>
                      <w:kern w:val="0"/>
                    </w:rPr>
                    <w:t xml:space="preserve">0.1331 </w:t>
                  </w:r>
                </w:p>
              </w:tc>
              <w:tc>
                <w:tcPr>
                  <w:tcW w:w="1200" w:type="dxa"/>
                  <w:tcBorders>
                    <w:top w:val="nil"/>
                    <w:left w:val="nil"/>
                    <w:bottom w:val="single" w:color="auto" w:sz="4" w:space="0"/>
                    <w:right w:val="single" w:color="auto" w:sz="4" w:space="0"/>
                  </w:tcBorders>
                  <w:shd w:val="clear" w:color="auto" w:fill="auto"/>
                  <w:vAlign w:val="center"/>
                </w:tcPr>
                <w:p w14:paraId="1EDE4C69">
                  <w:pPr>
                    <w:widowControl/>
                    <w:jc w:val="center"/>
                    <w:rPr>
                      <w:b/>
                      <w:bCs/>
                      <w:color w:val="000000"/>
                      <w:kern w:val="0"/>
                    </w:rPr>
                  </w:pPr>
                  <w:r>
                    <w:rPr>
                      <w:b/>
                      <w:bCs/>
                      <w:color w:val="000000"/>
                      <w:kern w:val="0"/>
                    </w:rPr>
                    <w:t xml:space="preserve">0.1666 </w:t>
                  </w:r>
                </w:p>
              </w:tc>
              <w:tc>
                <w:tcPr>
                  <w:tcW w:w="860" w:type="dxa"/>
                  <w:tcBorders>
                    <w:top w:val="nil"/>
                    <w:left w:val="nil"/>
                    <w:bottom w:val="single" w:color="auto" w:sz="4" w:space="0"/>
                    <w:right w:val="single" w:color="auto" w:sz="4" w:space="0"/>
                  </w:tcBorders>
                  <w:shd w:val="clear" w:color="auto" w:fill="auto"/>
                  <w:vAlign w:val="center"/>
                </w:tcPr>
                <w:p w14:paraId="51261CA1">
                  <w:pPr>
                    <w:widowControl/>
                    <w:jc w:val="center"/>
                    <w:rPr>
                      <w:b/>
                      <w:bCs/>
                      <w:color w:val="000000"/>
                      <w:kern w:val="0"/>
                    </w:rPr>
                  </w:pPr>
                  <w:r>
                    <w:rPr>
                      <w:b/>
                      <w:bCs/>
                      <w:color w:val="000000"/>
                      <w:kern w:val="0"/>
                    </w:rPr>
                    <w:t xml:space="preserve">0.1322 </w:t>
                  </w:r>
                </w:p>
              </w:tc>
              <w:tc>
                <w:tcPr>
                  <w:tcW w:w="840" w:type="dxa"/>
                  <w:tcBorders>
                    <w:top w:val="nil"/>
                    <w:left w:val="nil"/>
                    <w:bottom w:val="single" w:color="auto" w:sz="4" w:space="0"/>
                    <w:right w:val="single" w:color="auto" w:sz="4" w:space="0"/>
                  </w:tcBorders>
                  <w:shd w:val="clear" w:color="auto" w:fill="auto"/>
                  <w:vAlign w:val="center"/>
                </w:tcPr>
                <w:p w14:paraId="3E252714">
                  <w:pPr>
                    <w:widowControl/>
                    <w:jc w:val="center"/>
                    <w:rPr>
                      <w:b/>
                      <w:bCs/>
                      <w:color w:val="000000"/>
                      <w:kern w:val="0"/>
                    </w:rPr>
                  </w:pPr>
                  <w:r>
                    <w:rPr>
                      <w:b/>
                      <w:bCs/>
                      <w:color w:val="000000"/>
                      <w:kern w:val="0"/>
                    </w:rPr>
                    <w:t xml:space="preserve">0.0922 </w:t>
                  </w:r>
                </w:p>
              </w:tc>
              <w:tc>
                <w:tcPr>
                  <w:tcW w:w="780" w:type="dxa"/>
                  <w:tcBorders>
                    <w:top w:val="nil"/>
                    <w:left w:val="nil"/>
                    <w:bottom w:val="single" w:color="auto" w:sz="4" w:space="0"/>
                    <w:right w:val="single" w:color="auto" w:sz="4" w:space="0"/>
                  </w:tcBorders>
                  <w:shd w:val="clear" w:color="auto" w:fill="auto"/>
                  <w:vAlign w:val="center"/>
                </w:tcPr>
                <w:p w14:paraId="3258F4E5">
                  <w:pPr>
                    <w:widowControl/>
                    <w:jc w:val="center"/>
                    <w:rPr>
                      <w:b/>
                      <w:bCs/>
                      <w:color w:val="000000"/>
                      <w:kern w:val="0"/>
                    </w:rPr>
                  </w:pPr>
                  <w:r>
                    <w:rPr>
                      <w:b/>
                      <w:bCs/>
                      <w:color w:val="000000"/>
                      <w:kern w:val="0"/>
                    </w:rPr>
                    <w:t xml:space="preserve">0.0145 </w:t>
                  </w:r>
                </w:p>
              </w:tc>
              <w:tc>
                <w:tcPr>
                  <w:tcW w:w="1060" w:type="dxa"/>
                  <w:tcBorders>
                    <w:top w:val="nil"/>
                    <w:left w:val="nil"/>
                    <w:bottom w:val="single" w:color="auto" w:sz="4" w:space="0"/>
                    <w:right w:val="single" w:color="auto" w:sz="4" w:space="0"/>
                  </w:tcBorders>
                  <w:shd w:val="clear" w:color="auto" w:fill="auto"/>
                  <w:vAlign w:val="center"/>
                </w:tcPr>
                <w:p w14:paraId="19B7CBBC">
                  <w:pPr>
                    <w:widowControl/>
                    <w:jc w:val="center"/>
                    <w:rPr>
                      <w:b/>
                      <w:bCs/>
                      <w:color w:val="000000"/>
                      <w:kern w:val="0"/>
                    </w:rPr>
                  </w:pPr>
                  <w:r>
                    <w:rPr>
                      <w:b/>
                      <w:bCs/>
                      <w:color w:val="000000"/>
                      <w:kern w:val="0"/>
                    </w:rPr>
                    <w:t>0.5386</w:t>
                  </w:r>
                </w:p>
              </w:tc>
            </w:tr>
            <w:tr w14:paraId="17A2708F">
              <w:tblPrEx>
                <w:tblCellMar>
                  <w:top w:w="0" w:type="dxa"/>
                  <w:left w:w="108" w:type="dxa"/>
                  <w:bottom w:w="0" w:type="dxa"/>
                  <w:right w:w="108" w:type="dxa"/>
                </w:tblCellMar>
              </w:tblPrEx>
              <w:trPr>
                <w:trHeight w:val="20" w:hRule="atLeast"/>
              </w:trPr>
              <w:tc>
                <w:tcPr>
                  <w:tcW w:w="16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DCCEF7">
                  <w:pPr>
                    <w:widowControl/>
                    <w:jc w:val="center"/>
                    <w:rPr>
                      <w:b/>
                      <w:bCs/>
                      <w:color w:val="000000"/>
                      <w:kern w:val="0"/>
                    </w:rPr>
                  </w:pPr>
                  <w:r>
                    <w:rPr>
                      <w:b/>
                      <w:bCs/>
                      <w:color w:val="000000"/>
                      <w:kern w:val="0"/>
                    </w:rPr>
                    <w:t>总计</w:t>
                  </w:r>
                </w:p>
              </w:tc>
              <w:tc>
                <w:tcPr>
                  <w:tcW w:w="1060" w:type="dxa"/>
                  <w:tcBorders>
                    <w:top w:val="nil"/>
                    <w:left w:val="nil"/>
                    <w:bottom w:val="single" w:color="auto" w:sz="4" w:space="0"/>
                    <w:right w:val="single" w:color="auto" w:sz="4" w:space="0"/>
                  </w:tcBorders>
                  <w:shd w:val="clear" w:color="auto" w:fill="auto"/>
                  <w:vAlign w:val="center"/>
                </w:tcPr>
                <w:p w14:paraId="62FCBDD5">
                  <w:pPr>
                    <w:widowControl/>
                    <w:jc w:val="center"/>
                    <w:rPr>
                      <w:b/>
                      <w:bCs/>
                      <w:color w:val="000000"/>
                      <w:kern w:val="0"/>
                    </w:rPr>
                  </w:pPr>
                  <w:r>
                    <w:rPr>
                      <w:b/>
                      <w:bCs/>
                      <w:color w:val="000000"/>
                      <w:kern w:val="0"/>
                    </w:rPr>
                    <w:t xml:space="preserve">0.2141 </w:t>
                  </w:r>
                </w:p>
              </w:tc>
              <w:tc>
                <w:tcPr>
                  <w:tcW w:w="1200" w:type="dxa"/>
                  <w:tcBorders>
                    <w:top w:val="nil"/>
                    <w:left w:val="nil"/>
                    <w:bottom w:val="single" w:color="auto" w:sz="4" w:space="0"/>
                    <w:right w:val="single" w:color="auto" w:sz="4" w:space="0"/>
                  </w:tcBorders>
                  <w:shd w:val="clear" w:color="auto" w:fill="auto"/>
                  <w:vAlign w:val="center"/>
                </w:tcPr>
                <w:p w14:paraId="150B87FF">
                  <w:pPr>
                    <w:widowControl/>
                    <w:jc w:val="center"/>
                    <w:rPr>
                      <w:b/>
                      <w:bCs/>
                      <w:color w:val="000000"/>
                      <w:kern w:val="0"/>
                    </w:rPr>
                  </w:pPr>
                  <w:r>
                    <w:rPr>
                      <w:b/>
                      <w:bCs/>
                      <w:color w:val="000000"/>
                      <w:kern w:val="0"/>
                    </w:rPr>
                    <w:t xml:space="preserve">0.1956 </w:t>
                  </w:r>
                </w:p>
              </w:tc>
              <w:tc>
                <w:tcPr>
                  <w:tcW w:w="860" w:type="dxa"/>
                  <w:tcBorders>
                    <w:top w:val="nil"/>
                    <w:left w:val="nil"/>
                    <w:bottom w:val="single" w:color="auto" w:sz="4" w:space="0"/>
                    <w:right w:val="single" w:color="auto" w:sz="4" w:space="0"/>
                  </w:tcBorders>
                  <w:shd w:val="clear" w:color="auto" w:fill="auto"/>
                  <w:vAlign w:val="center"/>
                </w:tcPr>
                <w:p w14:paraId="766CFF86">
                  <w:pPr>
                    <w:widowControl/>
                    <w:jc w:val="center"/>
                    <w:rPr>
                      <w:b/>
                      <w:bCs/>
                      <w:color w:val="000000"/>
                      <w:kern w:val="0"/>
                    </w:rPr>
                  </w:pPr>
                  <w:r>
                    <w:rPr>
                      <w:b/>
                      <w:bCs/>
                      <w:color w:val="000000"/>
                      <w:kern w:val="0"/>
                    </w:rPr>
                    <w:t xml:space="preserve">0.1472 </w:t>
                  </w:r>
                </w:p>
              </w:tc>
              <w:tc>
                <w:tcPr>
                  <w:tcW w:w="840" w:type="dxa"/>
                  <w:tcBorders>
                    <w:top w:val="nil"/>
                    <w:left w:val="nil"/>
                    <w:bottom w:val="single" w:color="auto" w:sz="4" w:space="0"/>
                    <w:right w:val="single" w:color="auto" w:sz="4" w:space="0"/>
                  </w:tcBorders>
                  <w:shd w:val="clear" w:color="auto" w:fill="auto"/>
                  <w:vAlign w:val="center"/>
                </w:tcPr>
                <w:p w14:paraId="4E93B93B">
                  <w:pPr>
                    <w:widowControl/>
                    <w:jc w:val="center"/>
                    <w:rPr>
                      <w:b/>
                      <w:bCs/>
                      <w:color w:val="000000"/>
                      <w:kern w:val="0"/>
                    </w:rPr>
                  </w:pPr>
                  <w:r>
                    <w:rPr>
                      <w:b/>
                      <w:bCs/>
                      <w:color w:val="000000"/>
                      <w:kern w:val="0"/>
                    </w:rPr>
                    <w:t xml:space="preserve">0.1052 </w:t>
                  </w:r>
                </w:p>
              </w:tc>
              <w:tc>
                <w:tcPr>
                  <w:tcW w:w="780" w:type="dxa"/>
                  <w:tcBorders>
                    <w:top w:val="nil"/>
                    <w:left w:val="nil"/>
                    <w:bottom w:val="single" w:color="auto" w:sz="4" w:space="0"/>
                    <w:right w:val="single" w:color="auto" w:sz="4" w:space="0"/>
                  </w:tcBorders>
                  <w:shd w:val="clear" w:color="auto" w:fill="auto"/>
                  <w:vAlign w:val="center"/>
                </w:tcPr>
                <w:p w14:paraId="1435E886">
                  <w:pPr>
                    <w:widowControl/>
                    <w:jc w:val="center"/>
                    <w:rPr>
                      <w:b/>
                      <w:bCs/>
                      <w:color w:val="000000"/>
                      <w:kern w:val="0"/>
                    </w:rPr>
                  </w:pPr>
                  <w:r>
                    <w:rPr>
                      <w:b/>
                      <w:bCs/>
                      <w:color w:val="000000"/>
                      <w:kern w:val="0"/>
                    </w:rPr>
                    <w:t xml:space="preserve">0.0215 </w:t>
                  </w:r>
                </w:p>
              </w:tc>
              <w:tc>
                <w:tcPr>
                  <w:tcW w:w="1060" w:type="dxa"/>
                  <w:tcBorders>
                    <w:top w:val="nil"/>
                    <w:left w:val="nil"/>
                    <w:bottom w:val="single" w:color="auto" w:sz="4" w:space="0"/>
                    <w:right w:val="single" w:color="auto" w:sz="4" w:space="0"/>
                  </w:tcBorders>
                  <w:shd w:val="clear" w:color="auto" w:fill="auto"/>
                  <w:vAlign w:val="center"/>
                </w:tcPr>
                <w:p w14:paraId="73261938">
                  <w:pPr>
                    <w:widowControl/>
                    <w:jc w:val="center"/>
                    <w:rPr>
                      <w:b/>
                      <w:bCs/>
                      <w:color w:val="000000"/>
                      <w:kern w:val="0"/>
                    </w:rPr>
                  </w:pPr>
                  <w:r>
                    <w:rPr>
                      <w:b/>
                      <w:bCs/>
                      <w:color w:val="000000"/>
                      <w:kern w:val="0"/>
                    </w:rPr>
                    <w:t>0.6836</w:t>
                  </w:r>
                </w:p>
              </w:tc>
            </w:tr>
          </w:tbl>
          <w:p w14:paraId="7857D2F2">
            <w:pPr>
              <w:pStyle w:val="2"/>
              <w:adjustRightInd w:val="0"/>
              <w:spacing w:before="0" w:after="0" w:line="360" w:lineRule="auto"/>
              <w:ind w:right="0"/>
              <w:rPr>
                <w:sz w:val="24"/>
              </w:rPr>
            </w:pPr>
          </w:p>
        </w:tc>
      </w:tr>
      <w:tr w14:paraId="3A8F7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12" w:type="pct"/>
            <w:vAlign w:val="center"/>
          </w:tcPr>
          <w:p w14:paraId="3B490B4C">
            <w:pPr>
              <w:adjustRightInd w:val="0"/>
              <w:snapToGrid w:val="0"/>
              <w:jc w:val="center"/>
              <w:rPr>
                <w:kern w:val="0"/>
                <w:sz w:val="24"/>
              </w:rPr>
            </w:pPr>
            <w:r>
              <w:rPr>
                <w:kern w:val="0"/>
                <w:sz w:val="24"/>
              </w:rPr>
              <w:t>施工方案</w:t>
            </w:r>
          </w:p>
        </w:tc>
        <w:tc>
          <w:tcPr>
            <w:tcW w:w="4188" w:type="pct"/>
          </w:tcPr>
          <w:p w14:paraId="7C432631">
            <w:pPr>
              <w:adjustRightInd w:val="0"/>
              <w:snapToGrid w:val="0"/>
              <w:spacing w:line="360" w:lineRule="auto"/>
              <w:jc w:val="left"/>
              <w:rPr>
                <w:b/>
                <w:bCs/>
                <w:kern w:val="0"/>
                <w:sz w:val="24"/>
              </w:rPr>
            </w:pPr>
            <w:r>
              <w:rPr>
                <w:b/>
                <w:bCs/>
                <w:kern w:val="0"/>
                <w:sz w:val="24"/>
              </w:rPr>
              <w:t>1、施工交通</w:t>
            </w:r>
          </w:p>
          <w:p w14:paraId="371D1FDC">
            <w:pPr>
              <w:pStyle w:val="2"/>
              <w:adjustRightInd w:val="0"/>
              <w:spacing w:before="0" w:after="0" w:line="360" w:lineRule="auto"/>
              <w:ind w:right="0" w:firstLine="480" w:firstLineChars="200"/>
              <w:rPr>
                <w:sz w:val="24"/>
                <w:szCs w:val="24"/>
              </w:rPr>
            </w:pPr>
            <w:r>
              <w:rPr>
                <w:sz w:val="24"/>
                <w:szCs w:val="24"/>
              </w:rPr>
              <w:t>线路工程起点和终点位置均有道路通过，线路附近有省道、高速公路等线路交叉，也有村镇大路等可供应用，个别山地段交通稍差，线路工程仅需修建部分人抬道路。</w:t>
            </w:r>
          </w:p>
          <w:p w14:paraId="15D21076">
            <w:pPr>
              <w:pStyle w:val="61"/>
              <w:ind w:firstLine="472"/>
              <w:rPr>
                <w:rFonts w:ascii="Times New Roman" w:eastAsia="宋体" w:cs="Times New Roman"/>
                <w:szCs w:val="24"/>
              </w:rPr>
            </w:pPr>
            <w:r>
              <w:rPr>
                <w:rFonts w:hint="eastAsia" w:ascii="Times New Roman" w:eastAsia="宋体" w:cs="Times New Roman"/>
                <w:szCs w:val="24"/>
              </w:rPr>
              <w:t>根据南冲风电场1</w:t>
            </w:r>
            <w:r>
              <w:rPr>
                <w:rFonts w:ascii="Times New Roman" w:eastAsia="宋体" w:cs="Times New Roman"/>
                <w:szCs w:val="24"/>
              </w:rPr>
              <w:t>10</w:t>
            </w:r>
            <w:r>
              <w:rPr>
                <w:rFonts w:hint="eastAsia" w:ascii="Times New Roman" w:eastAsia="宋体" w:cs="Times New Roman"/>
                <w:szCs w:val="24"/>
              </w:rPr>
              <w:t>k</w:t>
            </w:r>
            <w:r>
              <w:rPr>
                <w:rFonts w:ascii="Times New Roman" w:eastAsia="宋体" w:cs="Times New Roman"/>
                <w:szCs w:val="24"/>
              </w:rPr>
              <w:t>V</w:t>
            </w:r>
            <w:r>
              <w:rPr>
                <w:rFonts w:hint="eastAsia" w:ascii="Times New Roman" w:eastAsia="宋体" w:cs="Times New Roman"/>
                <w:szCs w:val="24"/>
              </w:rPr>
              <w:t>送出线路工程可研设计成果</w:t>
            </w:r>
            <w:r>
              <w:rPr>
                <w:rFonts w:ascii="Times New Roman" w:eastAsia="宋体" w:cs="Times New Roman"/>
                <w:szCs w:val="24"/>
              </w:rPr>
              <w:t>，工程区大部分处于</w:t>
            </w:r>
            <w:r>
              <w:rPr>
                <w:rFonts w:hint="eastAsia" w:ascii="Times New Roman" w:eastAsia="宋体" w:cs="Times New Roman"/>
                <w:szCs w:val="24"/>
              </w:rPr>
              <w:t>中山山地</w:t>
            </w:r>
            <w:r>
              <w:rPr>
                <w:rFonts w:ascii="Times New Roman" w:eastAsia="宋体" w:cs="Times New Roman"/>
                <w:szCs w:val="24"/>
              </w:rPr>
              <w:t>地区，对于沿线地形坡度较明显、不易施工车辆通行及机械化运输的山地区域，本工程不再新开辟施工简易道路，施工人员通行及材料运输全部采用人抬方式（或利用骡、马等畜力运输）。部分塔位可利用项目区沿线现有的山间小路、机耕人行道路，沿线塔位没有山间小路可利用的，需临时开辟人抬道路，开辟人抬道路土石方挖填</w:t>
            </w:r>
            <w:r>
              <w:rPr>
                <w:rFonts w:hint="eastAsia" w:ascii="Times New Roman" w:eastAsia="宋体" w:cs="Times New Roman"/>
                <w:szCs w:val="24"/>
              </w:rPr>
              <w:t>量小，</w:t>
            </w:r>
            <w:r>
              <w:rPr>
                <w:rFonts w:ascii="Times New Roman" w:eastAsia="宋体" w:cs="Times New Roman"/>
                <w:szCs w:val="24"/>
              </w:rPr>
              <w:t>对地表扰动程度较轻。</w:t>
            </w:r>
          </w:p>
          <w:p w14:paraId="36CE491F">
            <w:pPr>
              <w:pStyle w:val="2"/>
              <w:adjustRightInd w:val="0"/>
              <w:spacing w:before="0" w:after="0" w:line="360" w:lineRule="auto"/>
              <w:ind w:right="0" w:firstLine="480" w:firstLineChars="200"/>
              <w:rPr>
                <w:sz w:val="24"/>
                <w:szCs w:val="24"/>
              </w:rPr>
            </w:pPr>
            <w:r>
              <w:rPr>
                <w:sz w:val="24"/>
                <w:szCs w:val="24"/>
              </w:rPr>
              <w:t>根据主体工程设计，人抬道路</w:t>
            </w:r>
            <w:r>
              <w:rPr>
                <w:rFonts w:hint="eastAsia"/>
                <w:sz w:val="24"/>
                <w:szCs w:val="24"/>
              </w:rPr>
              <w:t>（临时便道区）</w:t>
            </w:r>
            <w:r>
              <w:rPr>
                <w:sz w:val="24"/>
                <w:szCs w:val="24"/>
              </w:rPr>
              <w:t>地表扰动较轻，主要对沿线树枝进行清理，占地面积约0.1036hm</w:t>
            </w:r>
            <w:r>
              <w:rPr>
                <w:sz w:val="24"/>
                <w:szCs w:val="24"/>
                <w:vertAlign w:val="superscript"/>
              </w:rPr>
              <w:t>2</w:t>
            </w:r>
            <w:r>
              <w:rPr>
                <w:sz w:val="24"/>
                <w:szCs w:val="24"/>
              </w:rPr>
              <w:t>。</w:t>
            </w:r>
          </w:p>
          <w:p w14:paraId="22D80454">
            <w:pPr>
              <w:adjustRightInd w:val="0"/>
              <w:snapToGrid w:val="0"/>
              <w:spacing w:line="360" w:lineRule="auto"/>
              <w:jc w:val="left"/>
              <w:rPr>
                <w:b/>
                <w:bCs/>
                <w:kern w:val="0"/>
                <w:sz w:val="24"/>
              </w:rPr>
            </w:pPr>
            <w:r>
              <w:rPr>
                <w:b/>
                <w:bCs/>
                <w:kern w:val="0"/>
                <w:sz w:val="24"/>
              </w:rPr>
              <w:t>2、主要材料及来源</w:t>
            </w:r>
          </w:p>
          <w:p w14:paraId="542ACABA">
            <w:pPr>
              <w:pStyle w:val="2"/>
              <w:adjustRightInd w:val="0"/>
              <w:spacing w:before="0" w:after="0" w:line="360" w:lineRule="auto"/>
              <w:ind w:right="0" w:firstLine="480" w:firstLineChars="200"/>
              <w:rPr>
                <w:sz w:val="24"/>
              </w:rPr>
            </w:pPr>
            <w:r>
              <w:rPr>
                <w:sz w:val="24"/>
              </w:rPr>
              <w:t>工程所需主要外购材料有水泥、钢材、钢筋、粉煤灰、木材、油料及火工材料等。根据工程所在地周边情况，从项目区周边或邻近地区购买，通过公路运输至工地，物资供应条件较好。</w:t>
            </w:r>
          </w:p>
          <w:p w14:paraId="08B034F7">
            <w:pPr>
              <w:pStyle w:val="2"/>
              <w:adjustRightInd w:val="0"/>
              <w:spacing w:before="0" w:after="0" w:line="360" w:lineRule="auto"/>
              <w:ind w:right="0" w:firstLine="480" w:firstLineChars="200"/>
              <w:rPr>
                <w:sz w:val="24"/>
                <w:szCs w:val="24"/>
              </w:rPr>
            </w:pPr>
            <w:r>
              <w:rPr>
                <w:sz w:val="24"/>
                <w:szCs w:val="24"/>
              </w:rPr>
              <w:t>砂石料：本项目所需砂石料均从合法料场及建材市场购买，本项目砂石料从合法商业料场购买，开采方式由料场业主根据实际情况确定，砂石料场水土流失防治责任范围由料场开采方负责。</w:t>
            </w:r>
          </w:p>
          <w:p w14:paraId="6AEC90B7">
            <w:pPr>
              <w:adjustRightInd w:val="0"/>
              <w:snapToGrid w:val="0"/>
              <w:spacing w:line="360" w:lineRule="auto"/>
              <w:jc w:val="left"/>
              <w:rPr>
                <w:b/>
                <w:bCs/>
                <w:kern w:val="0"/>
                <w:sz w:val="24"/>
              </w:rPr>
            </w:pPr>
            <w:r>
              <w:rPr>
                <w:b/>
                <w:bCs/>
                <w:kern w:val="0"/>
                <w:sz w:val="24"/>
              </w:rPr>
              <w:t>3、水、电、通讯系统</w:t>
            </w:r>
          </w:p>
          <w:p w14:paraId="1078A409">
            <w:pPr>
              <w:pStyle w:val="61"/>
              <w:ind w:firstLine="480"/>
              <w:rPr>
                <w:rFonts w:ascii="Times New Roman" w:eastAsia="宋体" w:cs="Times New Roman"/>
                <w:spacing w:val="0"/>
                <w:szCs w:val="24"/>
              </w:rPr>
            </w:pPr>
            <w:r>
              <w:rPr>
                <w:rFonts w:ascii="Times New Roman" w:eastAsia="宋体" w:cs="Times New Roman"/>
                <w:spacing w:val="0"/>
                <w:szCs w:val="24"/>
              </w:rPr>
              <w:t>水：施工过程中用水量较小，施工初期用水采用运水的方式。线路施工用水量较小，主要为施工人员饮用水及少量机械用水，沿途村庄及沟箐人工运输。施工临时用水可以引接附近村镇取水。</w:t>
            </w:r>
          </w:p>
          <w:p w14:paraId="7F39A1F1">
            <w:pPr>
              <w:pStyle w:val="61"/>
              <w:ind w:firstLine="480"/>
              <w:rPr>
                <w:rFonts w:ascii="Times New Roman" w:eastAsia="宋体" w:cs="Times New Roman"/>
                <w:spacing w:val="0"/>
                <w:szCs w:val="24"/>
              </w:rPr>
            </w:pPr>
            <w:bookmarkStart w:id="37" w:name="_Toc279258371"/>
            <w:r>
              <w:rPr>
                <w:rFonts w:ascii="Times New Roman" w:eastAsia="宋体" w:cs="Times New Roman"/>
                <w:spacing w:val="0"/>
                <w:szCs w:val="24"/>
              </w:rPr>
              <w:t>电：线路沿途的少量施工用量采用柴油发电机进行自发电。</w:t>
            </w:r>
          </w:p>
          <w:bookmarkEnd w:id="37"/>
          <w:p w14:paraId="61068EFD">
            <w:pPr>
              <w:pStyle w:val="189"/>
              <w:ind w:left="0" w:right="0" w:firstLine="480"/>
              <w:jc w:val="both"/>
              <w:rPr>
                <w:sz w:val="24"/>
              </w:rPr>
            </w:pPr>
            <w:r>
              <w:rPr>
                <w:sz w:val="24"/>
              </w:rPr>
              <w:t>通信：沿线主要经过地区位于村镇附近，无人烟稀少及交通极其困难地带，沿线通信基站均有分布，因此维护通信主要方式依靠手机实现远程联系，同时运行维护人员应配备基本的手持对讲系统，便于距离较近的维护人员间通信的需求。本工程</w:t>
            </w:r>
            <w:r>
              <w:rPr>
                <w:rFonts w:hint="eastAsia"/>
                <w:sz w:val="24"/>
              </w:rPr>
              <w:t>不须</w:t>
            </w:r>
            <w:r>
              <w:rPr>
                <w:sz w:val="24"/>
              </w:rPr>
              <w:t>配备其他特殊的通信工具。</w:t>
            </w:r>
          </w:p>
          <w:p w14:paraId="53A8643D">
            <w:pPr>
              <w:adjustRightInd w:val="0"/>
              <w:snapToGrid w:val="0"/>
              <w:spacing w:line="360" w:lineRule="auto"/>
              <w:jc w:val="left"/>
              <w:rPr>
                <w:b/>
                <w:bCs/>
                <w:kern w:val="0"/>
                <w:sz w:val="24"/>
              </w:rPr>
            </w:pPr>
            <w:r>
              <w:rPr>
                <w:b/>
                <w:bCs/>
                <w:kern w:val="0"/>
                <w:sz w:val="24"/>
              </w:rPr>
              <w:t>4、施工期劳动定员及工作制度</w:t>
            </w:r>
          </w:p>
          <w:p w14:paraId="5407AD51">
            <w:pPr>
              <w:spacing w:line="360" w:lineRule="auto"/>
              <w:ind w:firstLine="480"/>
              <w:rPr>
                <w:kern w:val="0"/>
                <w:sz w:val="24"/>
              </w:rPr>
            </w:pPr>
            <w:r>
              <w:rPr>
                <w:kern w:val="0"/>
                <w:sz w:val="24"/>
              </w:rPr>
              <w:t>新建输电线路平均每天施工人员约50人，沿线路分散部分，主要招收当地劳动力。由于线路施工点较为分散，故工程线路不设置集中式施工营地，施工人员依托沿线附近村庄已有生活设施安排食宿。</w:t>
            </w:r>
          </w:p>
          <w:p w14:paraId="60DA7BFA">
            <w:pPr>
              <w:adjustRightInd w:val="0"/>
              <w:snapToGrid w:val="0"/>
              <w:spacing w:line="360" w:lineRule="auto"/>
              <w:jc w:val="left"/>
              <w:rPr>
                <w:b/>
                <w:bCs/>
                <w:kern w:val="0"/>
                <w:sz w:val="24"/>
              </w:rPr>
            </w:pPr>
            <w:r>
              <w:rPr>
                <w:b/>
                <w:bCs/>
                <w:kern w:val="0"/>
                <w:sz w:val="24"/>
              </w:rPr>
              <w:t>5、主要施工机械器具</w:t>
            </w:r>
          </w:p>
          <w:p w14:paraId="38D30C8C">
            <w:pPr>
              <w:pStyle w:val="189"/>
              <w:ind w:firstLine="480"/>
              <w:jc w:val="both"/>
            </w:pPr>
            <w:r>
              <w:rPr>
                <w:sz w:val="24"/>
              </w:rPr>
              <w:t>施工期主要施工机具见</w:t>
            </w:r>
            <w:r>
              <w:rPr>
                <w:sz w:val="24"/>
              </w:rPr>
              <w:fldChar w:fldCharType="begin"/>
            </w:r>
            <w:r>
              <w:rPr>
                <w:sz w:val="24"/>
              </w:rPr>
              <w:instrText xml:space="preserve">REF_Ref21790781\h\*MERGEFORMAT</w:instrText>
            </w:r>
            <w:r>
              <w:rPr>
                <w:sz w:val="24"/>
              </w:rPr>
              <w:fldChar w:fldCharType="separate"/>
            </w:r>
            <w:r>
              <w:rPr>
                <w:sz w:val="24"/>
              </w:rPr>
              <w:t>表</w:t>
            </w:r>
            <w:r>
              <w:rPr>
                <w:sz w:val="24"/>
              </w:rPr>
              <w:fldChar w:fldCharType="end"/>
            </w:r>
            <w:r>
              <w:rPr>
                <w:sz w:val="24"/>
              </w:rPr>
              <w:t>。</w:t>
            </w:r>
          </w:p>
          <w:p w14:paraId="139531D3">
            <w:pPr>
              <w:jc w:val="center"/>
              <w:rPr>
                <w:rFonts w:eastAsia="黑体"/>
                <w:sz w:val="24"/>
              </w:rPr>
            </w:pPr>
            <w:bookmarkStart w:id="38" w:name="_Ref21790781"/>
            <w:r>
              <w:rPr>
                <w:rFonts w:eastAsia="黑体"/>
                <w:sz w:val="24"/>
              </w:rPr>
              <w:t>表</w:t>
            </w:r>
            <w:bookmarkEnd w:id="38"/>
            <w:r>
              <w:rPr>
                <w:rFonts w:eastAsia="黑体"/>
                <w:sz w:val="24"/>
              </w:rPr>
              <w:t>2-9本工程主要施工机具一览表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3095"/>
              <w:gridCol w:w="2738"/>
            </w:tblGrid>
            <w:tr w14:paraId="3F05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5DA532C2">
                  <w:pPr>
                    <w:snapToGrid w:val="0"/>
                    <w:jc w:val="center"/>
                  </w:pPr>
                  <w:r>
                    <w:t>序号</w:t>
                  </w:r>
                </w:p>
              </w:tc>
              <w:tc>
                <w:tcPr>
                  <w:tcW w:w="3095" w:type="dxa"/>
                  <w:vAlign w:val="center"/>
                </w:tcPr>
                <w:p w14:paraId="259924C7">
                  <w:pPr>
                    <w:snapToGrid w:val="0"/>
                    <w:jc w:val="center"/>
                  </w:pPr>
                  <w:r>
                    <w:t>主要施工机具</w:t>
                  </w:r>
                </w:p>
              </w:tc>
              <w:tc>
                <w:tcPr>
                  <w:tcW w:w="2738" w:type="dxa"/>
                </w:tcPr>
                <w:p w14:paraId="7F24BA22">
                  <w:pPr>
                    <w:snapToGrid w:val="0"/>
                    <w:jc w:val="center"/>
                  </w:pPr>
                  <w:r>
                    <w:t>备注</w:t>
                  </w:r>
                </w:p>
              </w:tc>
            </w:tr>
            <w:tr w14:paraId="2F3A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58E56A77">
                  <w:pPr>
                    <w:snapToGrid w:val="0"/>
                    <w:jc w:val="center"/>
                  </w:pPr>
                  <w:r>
                    <w:t>1</w:t>
                  </w:r>
                </w:p>
              </w:tc>
              <w:tc>
                <w:tcPr>
                  <w:tcW w:w="3095" w:type="dxa"/>
                  <w:vAlign w:val="center"/>
                </w:tcPr>
                <w:p w14:paraId="74323BC8">
                  <w:pPr>
                    <w:snapToGrid w:val="0"/>
                    <w:jc w:val="center"/>
                  </w:pPr>
                  <w:r>
                    <w:rPr>
                      <w:rFonts w:hint="eastAsia"/>
                    </w:rPr>
                    <w:t>自卸卡车</w:t>
                  </w:r>
                </w:p>
              </w:tc>
              <w:tc>
                <w:tcPr>
                  <w:tcW w:w="2738" w:type="dxa"/>
                </w:tcPr>
                <w:p w14:paraId="462C5EB8">
                  <w:pPr>
                    <w:snapToGrid w:val="0"/>
                    <w:jc w:val="center"/>
                  </w:pPr>
                  <w:r>
                    <w:t>材料运输</w:t>
                  </w:r>
                  <w:r>
                    <w:rPr>
                      <w:rFonts w:hint="eastAsia"/>
                    </w:rPr>
                    <w:t>和</w:t>
                  </w:r>
                  <w:r>
                    <w:t>装卸</w:t>
                  </w:r>
                </w:p>
              </w:tc>
            </w:tr>
            <w:tr w14:paraId="6A2D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72F7EDD1">
                  <w:pPr>
                    <w:snapToGrid w:val="0"/>
                    <w:jc w:val="center"/>
                  </w:pPr>
                  <w:r>
                    <w:t>2</w:t>
                  </w:r>
                </w:p>
              </w:tc>
              <w:tc>
                <w:tcPr>
                  <w:tcW w:w="3095" w:type="dxa"/>
                  <w:vAlign w:val="center"/>
                </w:tcPr>
                <w:p w14:paraId="2C6B540D">
                  <w:pPr>
                    <w:snapToGrid w:val="0"/>
                    <w:jc w:val="center"/>
                  </w:pPr>
                  <w:r>
                    <w:rPr>
                      <w:rFonts w:hint="eastAsia"/>
                    </w:rPr>
                    <w:t>吊装机械</w:t>
                  </w:r>
                </w:p>
              </w:tc>
              <w:tc>
                <w:tcPr>
                  <w:tcW w:w="2738" w:type="dxa"/>
                </w:tcPr>
                <w:p w14:paraId="2C844A92">
                  <w:pPr>
                    <w:snapToGrid w:val="0"/>
                    <w:jc w:val="center"/>
                  </w:pPr>
                  <w:r>
                    <w:t>材料</w:t>
                  </w:r>
                  <w:r>
                    <w:rPr>
                      <w:rFonts w:hint="eastAsia"/>
                    </w:rPr>
                    <w:t>吊装</w:t>
                  </w:r>
                </w:p>
              </w:tc>
            </w:tr>
            <w:tr w14:paraId="70EF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6EA106AE">
                  <w:pPr>
                    <w:snapToGrid w:val="0"/>
                    <w:jc w:val="center"/>
                  </w:pPr>
                  <w:r>
                    <w:t>3</w:t>
                  </w:r>
                </w:p>
              </w:tc>
              <w:tc>
                <w:tcPr>
                  <w:tcW w:w="3095" w:type="dxa"/>
                  <w:vAlign w:val="center"/>
                </w:tcPr>
                <w:p w14:paraId="328A3E31">
                  <w:pPr>
                    <w:snapToGrid w:val="0"/>
                    <w:jc w:val="center"/>
                  </w:pPr>
                  <w:r>
                    <w:t>混凝土振捣器</w:t>
                  </w:r>
                </w:p>
              </w:tc>
              <w:tc>
                <w:tcPr>
                  <w:tcW w:w="2738" w:type="dxa"/>
                </w:tcPr>
                <w:p w14:paraId="7C80B6BD">
                  <w:pPr>
                    <w:snapToGrid w:val="0"/>
                    <w:jc w:val="center"/>
                  </w:pPr>
                  <w:r>
                    <w:t>铁塔基础施工</w:t>
                  </w:r>
                </w:p>
              </w:tc>
            </w:tr>
            <w:tr w14:paraId="6BF3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4D633459">
                  <w:pPr>
                    <w:snapToGrid w:val="0"/>
                    <w:jc w:val="center"/>
                  </w:pPr>
                  <w:r>
                    <w:t>4</w:t>
                  </w:r>
                </w:p>
              </w:tc>
              <w:tc>
                <w:tcPr>
                  <w:tcW w:w="3095" w:type="dxa"/>
                  <w:vAlign w:val="center"/>
                </w:tcPr>
                <w:p w14:paraId="71DC1BF6">
                  <w:pPr>
                    <w:snapToGrid w:val="0"/>
                    <w:jc w:val="center"/>
                  </w:pPr>
                  <w:r>
                    <w:t>交流电焊机</w:t>
                  </w:r>
                </w:p>
              </w:tc>
              <w:tc>
                <w:tcPr>
                  <w:tcW w:w="2738" w:type="dxa"/>
                </w:tcPr>
                <w:p w14:paraId="2429A035">
                  <w:pPr>
                    <w:snapToGrid w:val="0"/>
                    <w:jc w:val="center"/>
                  </w:pPr>
                  <w:r>
                    <w:t>塔材焊接</w:t>
                  </w:r>
                </w:p>
              </w:tc>
            </w:tr>
            <w:tr w14:paraId="0FCD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0686554B">
                  <w:pPr>
                    <w:snapToGrid w:val="0"/>
                    <w:jc w:val="center"/>
                  </w:pPr>
                  <w:r>
                    <w:t>5</w:t>
                  </w:r>
                </w:p>
              </w:tc>
              <w:tc>
                <w:tcPr>
                  <w:tcW w:w="3095" w:type="dxa"/>
                  <w:vAlign w:val="center"/>
                </w:tcPr>
                <w:p w14:paraId="6A82CCED">
                  <w:pPr>
                    <w:snapToGrid w:val="0"/>
                    <w:jc w:val="center"/>
                  </w:pPr>
                  <w:r>
                    <w:t>牵引机</w:t>
                  </w:r>
                </w:p>
              </w:tc>
              <w:tc>
                <w:tcPr>
                  <w:tcW w:w="2738" w:type="dxa"/>
                </w:tcPr>
                <w:p w14:paraId="36FC8028">
                  <w:pPr>
                    <w:snapToGrid w:val="0"/>
                    <w:jc w:val="center"/>
                  </w:pPr>
                  <w:r>
                    <w:t>放紧线</w:t>
                  </w:r>
                </w:p>
              </w:tc>
            </w:tr>
            <w:tr w14:paraId="78EC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52FACF3C">
                  <w:pPr>
                    <w:snapToGrid w:val="0"/>
                    <w:jc w:val="center"/>
                  </w:pPr>
                  <w:r>
                    <w:t>6</w:t>
                  </w:r>
                </w:p>
              </w:tc>
              <w:tc>
                <w:tcPr>
                  <w:tcW w:w="3095" w:type="dxa"/>
                  <w:vAlign w:val="center"/>
                </w:tcPr>
                <w:p w14:paraId="7AED1E1D">
                  <w:pPr>
                    <w:snapToGrid w:val="0"/>
                    <w:jc w:val="center"/>
                  </w:pPr>
                  <w:r>
                    <w:t>张力机</w:t>
                  </w:r>
                </w:p>
              </w:tc>
              <w:tc>
                <w:tcPr>
                  <w:tcW w:w="2738" w:type="dxa"/>
                </w:tcPr>
                <w:p w14:paraId="75A93F42">
                  <w:pPr>
                    <w:snapToGrid w:val="0"/>
                    <w:jc w:val="center"/>
                  </w:pPr>
                  <w:r>
                    <w:t>放紧线</w:t>
                  </w:r>
                </w:p>
              </w:tc>
            </w:tr>
            <w:tr w14:paraId="3034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776" w:type="dxa"/>
                  <w:vAlign w:val="center"/>
                </w:tcPr>
                <w:p w14:paraId="2EFDFD52">
                  <w:pPr>
                    <w:snapToGrid w:val="0"/>
                    <w:jc w:val="center"/>
                  </w:pPr>
                  <w:r>
                    <w:t>7</w:t>
                  </w:r>
                </w:p>
              </w:tc>
              <w:tc>
                <w:tcPr>
                  <w:tcW w:w="3095" w:type="dxa"/>
                  <w:vAlign w:val="center"/>
                </w:tcPr>
                <w:p w14:paraId="60EC0270">
                  <w:pPr>
                    <w:snapToGrid w:val="0"/>
                    <w:jc w:val="center"/>
                  </w:pPr>
                  <w:r>
                    <w:t>无人机/飞艇</w:t>
                  </w:r>
                </w:p>
              </w:tc>
              <w:tc>
                <w:tcPr>
                  <w:tcW w:w="2738" w:type="dxa"/>
                </w:tcPr>
                <w:p w14:paraId="59265FBF">
                  <w:pPr>
                    <w:snapToGrid w:val="0"/>
                    <w:jc w:val="center"/>
                  </w:pPr>
                  <w:r>
                    <w:t>放紧线</w:t>
                  </w:r>
                </w:p>
              </w:tc>
            </w:tr>
          </w:tbl>
          <w:p w14:paraId="58CFA72B">
            <w:pPr>
              <w:pStyle w:val="190"/>
              <w:rPr>
                <w:lang w:val="en-US"/>
              </w:rPr>
            </w:pPr>
          </w:p>
          <w:p w14:paraId="314CFAF5">
            <w:pPr>
              <w:adjustRightInd w:val="0"/>
              <w:snapToGrid w:val="0"/>
              <w:spacing w:line="360" w:lineRule="auto"/>
              <w:jc w:val="left"/>
              <w:rPr>
                <w:b/>
                <w:bCs/>
                <w:kern w:val="0"/>
                <w:sz w:val="24"/>
              </w:rPr>
            </w:pPr>
            <w:r>
              <w:rPr>
                <w:b/>
                <w:bCs/>
                <w:kern w:val="0"/>
                <w:sz w:val="24"/>
              </w:rPr>
              <w:t>6、土石方平衡及渣场布置</w:t>
            </w:r>
          </w:p>
          <w:p w14:paraId="714456C7">
            <w:pPr>
              <w:pStyle w:val="189"/>
              <w:ind w:left="0" w:right="0" w:firstLine="480"/>
              <w:jc w:val="both"/>
              <w:rPr>
                <w:sz w:val="24"/>
                <w:szCs w:val="22"/>
              </w:rPr>
            </w:pPr>
            <w:r>
              <w:rPr>
                <w:sz w:val="24"/>
                <w:szCs w:val="22"/>
              </w:rPr>
              <w:t>本工程共开挖土石方7214m</w:t>
            </w:r>
            <w:r>
              <w:rPr>
                <w:sz w:val="24"/>
                <w:szCs w:val="22"/>
                <w:vertAlign w:val="superscript"/>
              </w:rPr>
              <w:t>3</w:t>
            </w:r>
            <w:r>
              <w:rPr>
                <w:sz w:val="24"/>
                <w:szCs w:val="22"/>
              </w:rPr>
              <w:t>（含表土剥离5960m</w:t>
            </w:r>
            <w:r>
              <w:rPr>
                <w:sz w:val="24"/>
                <w:szCs w:val="22"/>
                <w:vertAlign w:val="superscript"/>
              </w:rPr>
              <w:t>3</w:t>
            </w:r>
            <w:r>
              <w:rPr>
                <w:sz w:val="24"/>
                <w:szCs w:val="22"/>
              </w:rPr>
              <w:t>），回填利用7214m</w:t>
            </w:r>
            <w:r>
              <w:rPr>
                <w:sz w:val="24"/>
                <w:szCs w:val="22"/>
                <w:vertAlign w:val="superscript"/>
              </w:rPr>
              <w:t>3</w:t>
            </w:r>
            <w:r>
              <w:rPr>
                <w:sz w:val="24"/>
                <w:szCs w:val="22"/>
              </w:rPr>
              <w:t>（含复耕及绿化覆土5960m</w:t>
            </w:r>
            <w:r>
              <w:rPr>
                <w:sz w:val="24"/>
                <w:szCs w:val="22"/>
                <w:vertAlign w:val="superscript"/>
              </w:rPr>
              <w:t>3</w:t>
            </w:r>
            <w:r>
              <w:rPr>
                <w:sz w:val="24"/>
                <w:szCs w:val="22"/>
              </w:rPr>
              <w:t>），不产生废弃土石方，不布设弃渣场。</w:t>
            </w:r>
          </w:p>
          <w:p w14:paraId="65C1FEF6">
            <w:pPr>
              <w:pStyle w:val="190"/>
              <w:rPr>
                <w:sz w:val="24"/>
                <w:szCs w:val="22"/>
                <w:lang w:val="en-US"/>
              </w:rPr>
            </w:pPr>
            <w:r>
              <w:rPr>
                <w:sz w:val="24"/>
                <w:szCs w:val="22"/>
              </w:rPr>
              <w:t>土石方平衡表见表</w:t>
            </w:r>
            <w:r>
              <w:rPr>
                <w:sz w:val="24"/>
                <w:szCs w:val="22"/>
                <w:lang w:val="en-US"/>
              </w:rPr>
              <w:t>2-10。</w:t>
            </w:r>
          </w:p>
          <w:p w14:paraId="5E5F0825">
            <w:pPr>
              <w:pStyle w:val="190"/>
              <w:ind w:firstLine="0"/>
              <w:jc w:val="center"/>
              <w:rPr>
                <w:highlight w:val="yellow"/>
              </w:rPr>
            </w:pPr>
          </w:p>
          <w:p w14:paraId="670CE086">
            <w:pPr>
              <w:pStyle w:val="190"/>
              <w:ind w:firstLine="0"/>
              <w:jc w:val="center"/>
              <w:rPr>
                <w:rFonts w:eastAsia="黑体"/>
                <w:sz w:val="24"/>
                <w:szCs w:val="22"/>
                <w:lang w:val="en-US"/>
              </w:rPr>
            </w:pPr>
          </w:p>
          <w:p w14:paraId="740E5350">
            <w:pPr>
              <w:pStyle w:val="190"/>
              <w:ind w:firstLine="0"/>
              <w:jc w:val="center"/>
              <w:rPr>
                <w:rFonts w:eastAsia="黑体"/>
                <w:sz w:val="24"/>
                <w:szCs w:val="22"/>
                <w:lang w:val="en-US"/>
              </w:rPr>
            </w:pPr>
          </w:p>
          <w:p w14:paraId="649F0DB6">
            <w:pPr>
              <w:pStyle w:val="190"/>
              <w:ind w:firstLine="0"/>
              <w:jc w:val="center"/>
              <w:rPr>
                <w:rFonts w:eastAsia="黑体"/>
                <w:sz w:val="24"/>
                <w:szCs w:val="22"/>
                <w:lang w:val="en-US"/>
              </w:rPr>
            </w:pPr>
          </w:p>
          <w:p w14:paraId="44DDDD74">
            <w:pPr>
              <w:pStyle w:val="190"/>
              <w:ind w:firstLine="0"/>
              <w:jc w:val="center"/>
              <w:rPr>
                <w:rFonts w:eastAsia="黑体"/>
                <w:sz w:val="24"/>
                <w:szCs w:val="22"/>
                <w:lang w:val="en-US"/>
              </w:rPr>
            </w:pPr>
          </w:p>
          <w:p w14:paraId="0E8578EB">
            <w:pPr>
              <w:pStyle w:val="190"/>
              <w:ind w:firstLine="0"/>
              <w:jc w:val="center"/>
              <w:rPr>
                <w:rFonts w:eastAsia="黑体"/>
                <w:sz w:val="24"/>
                <w:szCs w:val="22"/>
                <w:lang w:val="en-US"/>
              </w:rPr>
            </w:pPr>
          </w:p>
          <w:p w14:paraId="317C97AE">
            <w:pPr>
              <w:pStyle w:val="190"/>
              <w:ind w:firstLine="0"/>
              <w:jc w:val="center"/>
              <w:rPr>
                <w:rFonts w:eastAsia="黑体"/>
                <w:sz w:val="24"/>
                <w:szCs w:val="22"/>
                <w:lang w:val="en-US"/>
              </w:rPr>
            </w:pPr>
          </w:p>
          <w:p w14:paraId="13D3AC8E">
            <w:pPr>
              <w:pStyle w:val="270"/>
              <w:ind w:firstLine="0" w:firstLineChars="0"/>
              <w:rPr>
                <w:kern w:val="0"/>
              </w:rPr>
            </w:pPr>
          </w:p>
        </w:tc>
      </w:tr>
    </w:tbl>
    <w:p w14:paraId="2D8F6A35">
      <w:pPr>
        <w:adjustRightInd w:val="0"/>
        <w:snapToGrid w:val="0"/>
        <w:jc w:val="center"/>
        <w:rPr>
          <w:kern w:val="0"/>
          <w:sz w:val="24"/>
        </w:rPr>
        <w:sectPr>
          <w:pgSz w:w="11906" w:h="16838"/>
          <w:pgMar w:top="1440" w:right="1800" w:bottom="1440" w:left="1800" w:header="851" w:footer="1077" w:gutter="0"/>
          <w:cols w:space="720" w:num="1"/>
          <w:docGrid w:linePitch="312" w:charSpace="0"/>
        </w:sectPr>
      </w:pPr>
    </w:p>
    <w:p w14:paraId="71EA5170">
      <w:pPr>
        <w:adjustRightInd w:val="0"/>
        <w:snapToGrid w:val="0"/>
        <w:jc w:val="center"/>
        <w:rPr>
          <w:rFonts w:eastAsia="黑体"/>
          <w:kern w:val="0"/>
          <w:sz w:val="24"/>
        </w:rPr>
      </w:pPr>
      <w:r>
        <w:rPr>
          <w:rFonts w:eastAsia="黑体"/>
          <w:kern w:val="0"/>
          <w:sz w:val="24"/>
        </w:rPr>
        <w:t>表2-10本工程土石方平衡表</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1858"/>
        <w:gridCol w:w="1548"/>
        <w:gridCol w:w="1548"/>
        <w:gridCol w:w="1548"/>
        <w:gridCol w:w="935"/>
        <w:gridCol w:w="1548"/>
        <w:gridCol w:w="1548"/>
        <w:gridCol w:w="1548"/>
        <w:gridCol w:w="935"/>
      </w:tblGrid>
      <w:tr w14:paraId="6468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34" w:type="pct"/>
            <w:vMerge w:val="restart"/>
            <w:shd w:val="clear" w:color="auto" w:fill="auto"/>
            <w:noWrap/>
            <w:vAlign w:val="center"/>
          </w:tcPr>
          <w:p w14:paraId="0503F7BB">
            <w:pPr>
              <w:widowControl/>
              <w:jc w:val="center"/>
              <w:rPr>
                <w:kern w:val="0"/>
              </w:rPr>
            </w:pPr>
            <w:r>
              <w:rPr>
                <w:kern w:val="0"/>
              </w:rPr>
              <w:t>序号</w:t>
            </w:r>
          </w:p>
        </w:tc>
        <w:tc>
          <w:tcPr>
            <w:tcW w:w="666" w:type="pct"/>
            <w:vMerge w:val="restart"/>
            <w:shd w:val="clear" w:color="auto" w:fill="auto"/>
            <w:noWrap/>
            <w:vAlign w:val="center"/>
          </w:tcPr>
          <w:p w14:paraId="044378E9">
            <w:pPr>
              <w:widowControl/>
              <w:jc w:val="center"/>
              <w:rPr>
                <w:kern w:val="0"/>
              </w:rPr>
            </w:pPr>
            <w:r>
              <w:rPr>
                <w:kern w:val="0"/>
              </w:rPr>
              <w:t>分区</w:t>
            </w:r>
          </w:p>
        </w:tc>
        <w:tc>
          <w:tcPr>
            <w:tcW w:w="2000" w:type="pct"/>
            <w:gridSpan w:val="4"/>
            <w:vMerge w:val="restart"/>
            <w:shd w:val="clear" w:color="auto" w:fill="auto"/>
            <w:noWrap/>
            <w:vAlign w:val="center"/>
          </w:tcPr>
          <w:p w14:paraId="2B822A0F">
            <w:pPr>
              <w:widowControl/>
              <w:jc w:val="center"/>
              <w:rPr>
                <w:kern w:val="0"/>
              </w:rPr>
            </w:pPr>
            <w:r>
              <w:rPr>
                <w:kern w:val="0"/>
              </w:rPr>
              <w:t>开挖量</w:t>
            </w:r>
            <w:r>
              <w:rPr>
                <w:rFonts w:hint="eastAsia"/>
                <w:kern w:val="0"/>
              </w:rPr>
              <w:t>（m</w:t>
            </w:r>
            <w:r>
              <w:rPr>
                <w:kern w:val="0"/>
                <w:vertAlign w:val="superscript"/>
              </w:rPr>
              <w:t>3</w:t>
            </w:r>
            <w:r>
              <w:rPr>
                <w:rFonts w:hint="eastAsia"/>
                <w:kern w:val="0"/>
              </w:rPr>
              <w:t>）</w:t>
            </w:r>
          </w:p>
        </w:tc>
        <w:tc>
          <w:tcPr>
            <w:tcW w:w="2000" w:type="pct"/>
            <w:gridSpan w:val="4"/>
            <w:vMerge w:val="restart"/>
            <w:shd w:val="clear" w:color="auto" w:fill="auto"/>
            <w:noWrap/>
            <w:vAlign w:val="center"/>
          </w:tcPr>
          <w:p w14:paraId="3B9449C1">
            <w:pPr>
              <w:widowControl/>
              <w:jc w:val="center"/>
              <w:rPr>
                <w:kern w:val="0"/>
              </w:rPr>
            </w:pPr>
            <w:r>
              <w:rPr>
                <w:kern w:val="0"/>
              </w:rPr>
              <w:t>回填量</w:t>
            </w:r>
            <w:r>
              <w:rPr>
                <w:rFonts w:hint="eastAsia"/>
                <w:kern w:val="0"/>
              </w:rPr>
              <w:t>（m</w:t>
            </w:r>
            <w:r>
              <w:rPr>
                <w:kern w:val="0"/>
                <w:vertAlign w:val="superscript"/>
              </w:rPr>
              <w:t>3</w:t>
            </w:r>
            <w:r>
              <w:rPr>
                <w:rFonts w:hint="eastAsia"/>
                <w:kern w:val="0"/>
              </w:rPr>
              <w:t>）</w:t>
            </w:r>
          </w:p>
        </w:tc>
      </w:tr>
      <w:tr w14:paraId="48A5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34" w:type="pct"/>
            <w:vMerge w:val="continue"/>
            <w:vAlign w:val="center"/>
          </w:tcPr>
          <w:p w14:paraId="2191A868">
            <w:pPr>
              <w:widowControl/>
              <w:jc w:val="center"/>
              <w:rPr>
                <w:kern w:val="0"/>
              </w:rPr>
            </w:pPr>
          </w:p>
        </w:tc>
        <w:tc>
          <w:tcPr>
            <w:tcW w:w="666" w:type="pct"/>
            <w:vMerge w:val="continue"/>
            <w:vAlign w:val="center"/>
          </w:tcPr>
          <w:p w14:paraId="6BF66E54">
            <w:pPr>
              <w:widowControl/>
              <w:jc w:val="center"/>
              <w:rPr>
                <w:kern w:val="0"/>
              </w:rPr>
            </w:pPr>
          </w:p>
        </w:tc>
        <w:tc>
          <w:tcPr>
            <w:tcW w:w="2000" w:type="pct"/>
            <w:gridSpan w:val="4"/>
            <w:vMerge w:val="continue"/>
            <w:vAlign w:val="center"/>
          </w:tcPr>
          <w:p w14:paraId="67F37078">
            <w:pPr>
              <w:widowControl/>
              <w:jc w:val="center"/>
              <w:rPr>
                <w:kern w:val="0"/>
              </w:rPr>
            </w:pPr>
          </w:p>
        </w:tc>
        <w:tc>
          <w:tcPr>
            <w:tcW w:w="2000" w:type="pct"/>
            <w:gridSpan w:val="4"/>
            <w:vMerge w:val="continue"/>
            <w:vAlign w:val="center"/>
          </w:tcPr>
          <w:p w14:paraId="012E916D">
            <w:pPr>
              <w:widowControl/>
              <w:jc w:val="center"/>
              <w:rPr>
                <w:kern w:val="0"/>
              </w:rPr>
            </w:pPr>
          </w:p>
        </w:tc>
      </w:tr>
      <w:tr w14:paraId="7FF4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34" w:type="pct"/>
            <w:vMerge w:val="continue"/>
            <w:vAlign w:val="center"/>
          </w:tcPr>
          <w:p w14:paraId="1629AE30">
            <w:pPr>
              <w:widowControl/>
              <w:jc w:val="center"/>
              <w:rPr>
                <w:kern w:val="0"/>
              </w:rPr>
            </w:pPr>
          </w:p>
        </w:tc>
        <w:tc>
          <w:tcPr>
            <w:tcW w:w="666" w:type="pct"/>
            <w:vMerge w:val="continue"/>
            <w:vAlign w:val="center"/>
          </w:tcPr>
          <w:p w14:paraId="580C19CA">
            <w:pPr>
              <w:widowControl/>
              <w:jc w:val="center"/>
              <w:rPr>
                <w:kern w:val="0"/>
              </w:rPr>
            </w:pPr>
          </w:p>
        </w:tc>
        <w:tc>
          <w:tcPr>
            <w:tcW w:w="555" w:type="pct"/>
            <w:shd w:val="clear" w:color="auto" w:fill="auto"/>
            <w:noWrap/>
            <w:vAlign w:val="center"/>
          </w:tcPr>
          <w:p w14:paraId="6346369E">
            <w:pPr>
              <w:widowControl/>
              <w:jc w:val="center"/>
              <w:rPr>
                <w:kern w:val="0"/>
              </w:rPr>
            </w:pPr>
            <w:r>
              <w:rPr>
                <w:kern w:val="0"/>
              </w:rPr>
              <w:t>表土剥离</w:t>
            </w:r>
          </w:p>
        </w:tc>
        <w:tc>
          <w:tcPr>
            <w:tcW w:w="555" w:type="pct"/>
            <w:shd w:val="clear" w:color="auto" w:fill="auto"/>
            <w:noWrap/>
            <w:vAlign w:val="center"/>
          </w:tcPr>
          <w:p w14:paraId="17AA3C3E">
            <w:pPr>
              <w:widowControl/>
              <w:jc w:val="center"/>
              <w:rPr>
                <w:kern w:val="0"/>
              </w:rPr>
            </w:pPr>
            <w:r>
              <w:rPr>
                <w:kern w:val="0"/>
              </w:rPr>
              <w:t>一般开挖</w:t>
            </w:r>
          </w:p>
        </w:tc>
        <w:tc>
          <w:tcPr>
            <w:tcW w:w="555" w:type="pct"/>
            <w:shd w:val="clear" w:color="auto" w:fill="auto"/>
            <w:noWrap/>
            <w:vAlign w:val="center"/>
          </w:tcPr>
          <w:p w14:paraId="78D5DF20">
            <w:pPr>
              <w:widowControl/>
              <w:jc w:val="center"/>
              <w:rPr>
                <w:kern w:val="0"/>
              </w:rPr>
            </w:pPr>
            <w:r>
              <w:rPr>
                <w:kern w:val="0"/>
              </w:rPr>
              <w:t>场地平整</w:t>
            </w:r>
          </w:p>
        </w:tc>
        <w:tc>
          <w:tcPr>
            <w:tcW w:w="334" w:type="pct"/>
            <w:shd w:val="clear" w:color="auto" w:fill="auto"/>
            <w:noWrap/>
            <w:vAlign w:val="center"/>
          </w:tcPr>
          <w:p w14:paraId="3FDDCF34">
            <w:pPr>
              <w:widowControl/>
              <w:jc w:val="center"/>
              <w:rPr>
                <w:kern w:val="0"/>
              </w:rPr>
            </w:pPr>
            <w:r>
              <w:rPr>
                <w:kern w:val="0"/>
              </w:rPr>
              <w:t>小计</w:t>
            </w:r>
          </w:p>
        </w:tc>
        <w:tc>
          <w:tcPr>
            <w:tcW w:w="555" w:type="pct"/>
            <w:shd w:val="clear" w:color="auto" w:fill="auto"/>
            <w:noWrap/>
            <w:vAlign w:val="center"/>
          </w:tcPr>
          <w:p w14:paraId="3B62CC0B">
            <w:pPr>
              <w:widowControl/>
              <w:jc w:val="center"/>
              <w:rPr>
                <w:kern w:val="0"/>
              </w:rPr>
            </w:pPr>
            <w:r>
              <w:rPr>
                <w:kern w:val="0"/>
              </w:rPr>
              <w:t>一般回填</w:t>
            </w:r>
          </w:p>
        </w:tc>
        <w:tc>
          <w:tcPr>
            <w:tcW w:w="555" w:type="pct"/>
            <w:shd w:val="clear" w:color="auto" w:fill="auto"/>
            <w:noWrap/>
            <w:vAlign w:val="center"/>
          </w:tcPr>
          <w:p w14:paraId="583A86C7">
            <w:pPr>
              <w:widowControl/>
              <w:jc w:val="center"/>
              <w:rPr>
                <w:kern w:val="0"/>
              </w:rPr>
            </w:pPr>
            <w:r>
              <w:rPr>
                <w:kern w:val="0"/>
              </w:rPr>
              <w:t>绿化覆土</w:t>
            </w:r>
          </w:p>
        </w:tc>
        <w:tc>
          <w:tcPr>
            <w:tcW w:w="555" w:type="pct"/>
            <w:shd w:val="clear" w:color="auto" w:fill="auto"/>
            <w:noWrap/>
            <w:vAlign w:val="center"/>
          </w:tcPr>
          <w:p w14:paraId="585176C1">
            <w:pPr>
              <w:widowControl/>
              <w:jc w:val="center"/>
              <w:rPr>
                <w:kern w:val="0"/>
              </w:rPr>
            </w:pPr>
            <w:r>
              <w:rPr>
                <w:kern w:val="0"/>
              </w:rPr>
              <w:t>复耕覆土</w:t>
            </w:r>
          </w:p>
        </w:tc>
        <w:tc>
          <w:tcPr>
            <w:tcW w:w="334" w:type="pct"/>
            <w:shd w:val="clear" w:color="auto" w:fill="auto"/>
            <w:noWrap/>
            <w:vAlign w:val="center"/>
          </w:tcPr>
          <w:p w14:paraId="4845AA9F">
            <w:pPr>
              <w:widowControl/>
              <w:jc w:val="center"/>
              <w:rPr>
                <w:kern w:val="0"/>
              </w:rPr>
            </w:pPr>
            <w:r>
              <w:rPr>
                <w:kern w:val="0"/>
              </w:rPr>
              <w:t>小计</w:t>
            </w:r>
          </w:p>
        </w:tc>
      </w:tr>
      <w:tr w14:paraId="7A83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34" w:type="pct"/>
            <w:shd w:val="clear" w:color="auto" w:fill="auto"/>
            <w:noWrap/>
            <w:vAlign w:val="center"/>
          </w:tcPr>
          <w:p w14:paraId="71643EED">
            <w:pPr>
              <w:widowControl/>
              <w:jc w:val="center"/>
              <w:rPr>
                <w:color w:val="000000"/>
                <w:kern w:val="0"/>
              </w:rPr>
            </w:pPr>
            <w:r>
              <w:rPr>
                <w:color w:val="000000"/>
                <w:kern w:val="0"/>
              </w:rPr>
              <w:t>1</w:t>
            </w:r>
          </w:p>
        </w:tc>
        <w:tc>
          <w:tcPr>
            <w:tcW w:w="666" w:type="pct"/>
            <w:shd w:val="clear" w:color="auto" w:fill="auto"/>
            <w:vAlign w:val="center"/>
          </w:tcPr>
          <w:p w14:paraId="2DCEEC2E">
            <w:pPr>
              <w:widowControl/>
              <w:jc w:val="center"/>
              <w:rPr>
                <w:color w:val="000000"/>
                <w:kern w:val="0"/>
              </w:rPr>
            </w:pPr>
            <w:r>
              <w:rPr>
                <w:color w:val="000000"/>
                <w:kern w:val="0"/>
              </w:rPr>
              <w:t>塔基区</w:t>
            </w:r>
          </w:p>
        </w:tc>
        <w:tc>
          <w:tcPr>
            <w:tcW w:w="555" w:type="pct"/>
            <w:shd w:val="clear" w:color="auto" w:fill="auto"/>
            <w:noWrap/>
            <w:vAlign w:val="center"/>
          </w:tcPr>
          <w:p w14:paraId="764771B5">
            <w:pPr>
              <w:widowControl/>
              <w:jc w:val="center"/>
              <w:rPr>
                <w:color w:val="000000"/>
                <w:kern w:val="0"/>
              </w:rPr>
            </w:pPr>
            <w:r>
              <w:rPr>
                <w:color w:val="000000"/>
                <w:kern w:val="0"/>
              </w:rPr>
              <w:t>640</w:t>
            </w:r>
          </w:p>
        </w:tc>
        <w:tc>
          <w:tcPr>
            <w:tcW w:w="555" w:type="pct"/>
            <w:shd w:val="clear" w:color="auto" w:fill="auto"/>
            <w:noWrap/>
            <w:vAlign w:val="center"/>
          </w:tcPr>
          <w:p w14:paraId="2DE21428">
            <w:pPr>
              <w:widowControl/>
              <w:jc w:val="center"/>
              <w:rPr>
                <w:color w:val="000000"/>
                <w:kern w:val="0"/>
              </w:rPr>
            </w:pPr>
            <w:r>
              <w:rPr>
                <w:color w:val="000000"/>
                <w:kern w:val="0"/>
              </w:rPr>
              <w:t>902</w:t>
            </w:r>
          </w:p>
        </w:tc>
        <w:tc>
          <w:tcPr>
            <w:tcW w:w="555" w:type="pct"/>
            <w:shd w:val="clear" w:color="auto" w:fill="auto"/>
            <w:noWrap/>
            <w:vAlign w:val="center"/>
          </w:tcPr>
          <w:p w14:paraId="552C0F7B">
            <w:pPr>
              <w:widowControl/>
              <w:jc w:val="center"/>
              <w:rPr>
                <w:color w:val="000000"/>
                <w:kern w:val="0"/>
              </w:rPr>
            </w:pPr>
          </w:p>
        </w:tc>
        <w:tc>
          <w:tcPr>
            <w:tcW w:w="334" w:type="pct"/>
            <w:shd w:val="clear" w:color="auto" w:fill="auto"/>
            <w:noWrap/>
            <w:vAlign w:val="center"/>
          </w:tcPr>
          <w:p w14:paraId="165AD06E">
            <w:pPr>
              <w:widowControl/>
              <w:jc w:val="center"/>
              <w:rPr>
                <w:color w:val="000000"/>
                <w:kern w:val="0"/>
              </w:rPr>
            </w:pPr>
            <w:r>
              <w:rPr>
                <w:color w:val="000000"/>
                <w:kern w:val="0"/>
              </w:rPr>
              <w:t>1542</w:t>
            </w:r>
          </w:p>
        </w:tc>
        <w:tc>
          <w:tcPr>
            <w:tcW w:w="555" w:type="pct"/>
            <w:shd w:val="clear" w:color="auto" w:fill="auto"/>
            <w:noWrap/>
            <w:vAlign w:val="center"/>
          </w:tcPr>
          <w:p w14:paraId="34FAD145">
            <w:pPr>
              <w:widowControl/>
              <w:jc w:val="center"/>
              <w:rPr>
                <w:color w:val="000000"/>
                <w:kern w:val="0"/>
              </w:rPr>
            </w:pPr>
            <w:r>
              <w:rPr>
                <w:color w:val="000000"/>
                <w:kern w:val="0"/>
              </w:rPr>
              <w:t>902</w:t>
            </w:r>
          </w:p>
        </w:tc>
        <w:tc>
          <w:tcPr>
            <w:tcW w:w="555" w:type="pct"/>
            <w:shd w:val="clear" w:color="auto" w:fill="auto"/>
            <w:noWrap/>
            <w:vAlign w:val="center"/>
          </w:tcPr>
          <w:p w14:paraId="153B1E95">
            <w:pPr>
              <w:widowControl/>
              <w:jc w:val="center"/>
              <w:rPr>
                <w:color w:val="000000"/>
                <w:kern w:val="0"/>
              </w:rPr>
            </w:pPr>
            <w:r>
              <w:rPr>
                <w:color w:val="000000"/>
                <w:kern w:val="0"/>
              </w:rPr>
              <w:t>460</w:t>
            </w:r>
          </w:p>
        </w:tc>
        <w:tc>
          <w:tcPr>
            <w:tcW w:w="555" w:type="pct"/>
            <w:shd w:val="clear" w:color="auto" w:fill="auto"/>
            <w:noWrap/>
            <w:vAlign w:val="center"/>
          </w:tcPr>
          <w:p w14:paraId="1810FDCB">
            <w:pPr>
              <w:widowControl/>
              <w:jc w:val="center"/>
              <w:rPr>
                <w:color w:val="000000"/>
                <w:kern w:val="0"/>
              </w:rPr>
            </w:pPr>
            <w:r>
              <w:rPr>
                <w:color w:val="000000"/>
                <w:kern w:val="0"/>
              </w:rPr>
              <w:t>180</w:t>
            </w:r>
          </w:p>
        </w:tc>
        <w:tc>
          <w:tcPr>
            <w:tcW w:w="334" w:type="pct"/>
            <w:shd w:val="clear" w:color="auto" w:fill="auto"/>
            <w:noWrap/>
            <w:vAlign w:val="center"/>
          </w:tcPr>
          <w:p w14:paraId="5EE5090B">
            <w:pPr>
              <w:widowControl/>
              <w:jc w:val="center"/>
              <w:rPr>
                <w:color w:val="000000"/>
                <w:kern w:val="0"/>
              </w:rPr>
            </w:pPr>
            <w:r>
              <w:rPr>
                <w:color w:val="000000"/>
                <w:kern w:val="0"/>
              </w:rPr>
              <w:t>1542</w:t>
            </w:r>
          </w:p>
        </w:tc>
      </w:tr>
      <w:tr w14:paraId="2847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34" w:type="pct"/>
            <w:shd w:val="clear" w:color="auto" w:fill="auto"/>
            <w:noWrap/>
            <w:vAlign w:val="center"/>
          </w:tcPr>
          <w:p w14:paraId="1BE49A01">
            <w:pPr>
              <w:widowControl/>
              <w:jc w:val="center"/>
              <w:rPr>
                <w:color w:val="000000"/>
                <w:kern w:val="0"/>
              </w:rPr>
            </w:pPr>
            <w:r>
              <w:rPr>
                <w:color w:val="000000"/>
                <w:kern w:val="0"/>
              </w:rPr>
              <w:t>2</w:t>
            </w:r>
          </w:p>
        </w:tc>
        <w:tc>
          <w:tcPr>
            <w:tcW w:w="666" w:type="pct"/>
            <w:shd w:val="clear" w:color="auto" w:fill="auto"/>
            <w:vAlign w:val="center"/>
          </w:tcPr>
          <w:p w14:paraId="2BF4DF9F">
            <w:pPr>
              <w:widowControl/>
              <w:jc w:val="center"/>
              <w:rPr>
                <w:color w:val="000000"/>
                <w:kern w:val="0"/>
              </w:rPr>
            </w:pPr>
            <w:r>
              <w:rPr>
                <w:color w:val="000000"/>
                <w:kern w:val="0"/>
              </w:rPr>
              <w:t>塔基施工区</w:t>
            </w:r>
          </w:p>
        </w:tc>
        <w:tc>
          <w:tcPr>
            <w:tcW w:w="555" w:type="pct"/>
            <w:shd w:val="clear" w:color="auto" w:fill="auto"/>
            <w:noWrap/>
            <w:vAlign w:val="center"/>
          </w:tcPr>
          <w:p w14:paraId="6C33A6A2">
            <w:pPr>
              <w:widowControl/>
              <w:jc w:val="center"/>
              <w:rPr>
                <w:color w:val="000000"/>
                <w:kern w:val="0"/>
              </w:rPr>
            </w:pPr>
            <w:r>
              <w:rPr>
                <w:color w:val="000000"/>
                <w:kern w:val="0"/>
              </w:rPr>
              <w:t>2300</w:t>
            </w:r>
          </w:p>
        </w:tc>
        <w:tc>
          <w:tcPr>
            <w:tcW w:w="555" w:type="pct"/>
            <w:shd w:val="clear" w:color="auto" w:fill="auto"/>
            <w:noWrap/>
            <w:vAlign w:val="center"/>
          </w:tcPr>
          <w:p w14:paraId="148C86D2">
            <w:pPr>
              <w:widowControl/>
              <w:jc w:val="center"/>
              <w:rPr>
                <w:color w:val="000000"/>
                <w:kern w:val="0"/>
              </w:rPr>
            </w:pPr>
          </w:p>
        </w:tc>
        <w:tc>
          <w:tcPr>
            <w:tcW w:w="555" w:type="pct"/>
            <w:shd w:val="clear" w:color="auto" w:fill="auto"/>
            <w:noWrap/>
            <w:vAlign w:val="center"/>
          </w:tcPr>
          <w:p w14:paraId="6E1CE467">
            <w:pPr>
              <w:widowControl/>
              <w:jc w:val="center"/>
              <w:rPr>
                <w:kern w:val="0"/>
              </w:rPr>
            </w:pPr>
          </w:p>
        </w:tc>
        <w:tc>
          <w:tcPr>
            <w:tcW w:w="334" w:type="pct"/>
            <w:shd w:val="clear" w:color="auto" w:fill="auto"/>
            <w:noWrap/>
            <w:vAlign w:val="center"/>
          </w:tcPr>
          <w:p w14:paraId="65733382">
            <w:pPr>
              <w:widowControl/>
              <w:jc w:val="center"/>
              <w:rPr>
                <w:color w:val="000000"/>
                <w:kern w:val="0"/>
              </w:rPr>
            </w:pPr>
            <w:r>
              <w:rPr>
                <w:color w:val="000000"/>
                <w:kern w:val="0"/>
              </w:rPr>
              <w:t>2300</w:t>
            </w:r>
          </w:p>
        </w:tc>
        <w:tc>
          <w:tcPr>
            <w:tcW w:w="555" w:type="pct"/>
            <w:shd w:val="clear" w:color="auto" w:fill="auto"/>
            <w:noWrap/>
            <w:vAlign w:val="center"/>
          </w:tcPr>
          <w:p w14:paraId="0F8BF83E">
            <w:pPr>
              <w:widowControl/>
              <w:jc w:val="center"/>
              <w:rPr>
                <w:color w:val="000000"/>
                <w:kern w:val="0"/>
              </w:rPr>
            </w:pPr>
          </w:p>
        </w:tc>
        <w:tc>
          <w:tcPr>
            <w:tcW w:w="555" w:type="pct"/>
            <w:shd w:val="clear" w:color="auto" w:fill="auto"/>
            <w:noWrap/>
            <w:vAlign w:val="center"/>
          </w:tcPr>
          <w:p w14:paraId="07BF193A">
            <w:pPr>
              <w:widowControl/>
              <w:jc w:val="center"/>
              <w:rPr>
                <w:color w:val="000000"/>
                <w:kern w:val="0"/>
              </w:rPr>
            </w:pPr>
            <w:r>
              <w:rPr>
                <w:color w:val="000000"/>
                <w:kern w:val="0"/>
              </w:rPr>
              <w:t>1980</w:t>
            </w:r>
          </w:p>
        </w:tc>
        <w:tc>
          <w:tcPr>
            <w:tcW w:w="555" w:type="pct"/>
            <w:shd w:val="clear" w:color="auto" w:fill="auto"/>
            <w:noWrap/>
            <w:vAlign w:val="center"/>
          </w:tcPr>
          <w:p w14:paraId="49376A1C">
            <w:pPr>
              <w:widowControl/>
              <w:jc w:val="center"/>
              <w:rPr>
                <w:color w:val="000000"/>
                <w:kern w:val="0"/>
              </w:rPr>
            </w:pPr>
            <w:r>
              <w:rPr>
                <w:color w:val="000000"/>
                <w:kern w:val="0"/>
              </w:rPr>
              <w:t>320</w:t>
            </w:r>
          </w:p>
        </w:tc>
        <w:tc>
          <w:tcPr>
            <w:tcW w:w="334" w:type="pct"/>
            <w:shd w:val="clear" w:color="auto" w:fill="auto"/>
            <w:noWrap/>
            <w:vAlign w:val="center"/>
          </w:tcPr>
          <w:p w14:paraId="6DEE9C2B">
            <w:pPr>
              <w:widowControl/>
              <w:jc w:val="center"/>
              <w:rPr>
                <w:color w:val="000000"/>
                <w:kern w:val="0"/>
              </w:rPr>
            </w:pPr>
            <w:r>
              <w:rPr>
                <w:color w:val="000000"/>
                <w:kern w:val="0"/>
              </w:rPr>
              <w:t>2300</w:t>
            </w:r>
          </w:p>
        </w:tc>
      </w:tr>
      <w:tr w14:paraId="37C2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4" w:type="pct"/>
            <w:shd w:val="clear" w:color="auto" w:fill="auto"/>
            <w:noWrap/>
            <w:vAlign w:val="center"/>
          </w:tcPr>
          <w:p w14:paraId="5947CD5A">
            <w:pPr>
              <w:widowControl/>
              <w:jc w:val="center"/>
              <w:rPr>
                <w:color w:val="000000"/>
                <w:kern w:val="0"/>
              </w:rPr>
            </w:pPr>
            <w:r>
              <w:rPr>
                <w:color w:val="000000"/>
                <w:kern w:val="0"/>
              </w:rPr>
              <w:t>3</w:t>
            </w:r>
          </w:p>
        </w:tc>
        <w:tc>
          <w:tcPr>
            <w:tcW w:w="666" w:type="pct"/>
            <w:shd w:val="clear" w:color="auto" w:fill="auto"/>
            <w:vAlign w:val="center"/>
          </w:tcPr>
          <w:p w14:paraId="329DE1AB">
            <w:pPr>
              <w:widowControl/>
              <w:jc w:val="center"/>
              <w:rPr>
                <w:color w:val="000000"/>
                <w:kern w:val="0"/>
              </w:rPr>
            </w:pPr>
            <w:r>
              <w:rPr>
                <w:color w:val="000000"/>
                <w:kern w:val="0"/>
              </w:rPr>
              <w:t>牵张场地区</w:t>
            </w:r>
          </w:p>
        </w:tc>
        <w:tc>
          <w:tcPr>
            <w:tcW w:w="555" w:type="pct"/>
            <w:shd w:val="clear" w:color="auto" w:fill="auto"/>
            <w:noWrap/>
            <w:vAlign w:val="center"/>
          </w:tcPr>
          <w:p w14:paraId="6DE72D24">
            <w:pPr>
              <w:widowControl/>
              <w:jc w:val="center"/>
              <w:rPr>
                <w:color w:val="000000"/>
                <w:kern w:val="0"/>
              </w:rPr>
            </w:pPr>
            <w:r>
              <w:rPr>
                <w:color w:val="000000"/>
                <w:kern w:val="0"/>
              </w:rPr>
              <w:t>720</w:t>
            </w:r>
          </w:p>
        </w:tc>
        <w:tc>
          <w:tcPr>
            <w:tcW w:w="555" w:type="pct"/>
            <w:shd w:val="clear" w:color="auto" w:fill="auto"/>
            <w:noWrap/>
            <w:vAlign w:val="center"/>
          </w:tcPr>
          <w:p w14:paraId="58BBBDFB">
            <w:pPr>
              <w:widowControl/>
              <w:jc w:val="center"/>
              <w:rPr>
                <w:color w:val="000000"/>
                <w:kern w:val="0"/>
              </w:rPr>
            </w:pPr>
          </w:p>
        </w:tc>
        <w:tc>
          <w:tcPr>
            <w:tcW w:w="555" w:type="pct"/>
            <w:shd w:val="clear" w:color="auto" w:fill="auto"/>
            <w:noWrap/>
            <w:vAlign w:val="center"/>
          </w:tcPr>
          <w:p w14:paraId="3574226C">
            <w:pPr>
              <w:widowControl/>
              <w:jc w:val="center"/>
              <w:rPr>
                <w:color w:val="000000"/>
                <w:kern w:val="0"/>
              </w:rPr>
            </w:pPr>
            <w:r>
              <w:rPr>
                <w:color w:val="000000"/>
                <w:kern w:val="0"/>
              </w:rPr>
              <w:t>20</w:t>
            </w:r>
          </w:p>
        </w:tc>
        <w:tc>
          <w:tcPr>
            <w:tcW w:w="334" w:type="pct"/>
            <w:shd w:val="clear" w:color="auto" w:fill="auto"/>
            <w:noWrap/>
            <w:vAlign w:val="center"/>
          </w:tcPr>
          <w:p w14:paraId="435953B7">
            <w:pPr>
              <w:widowControl/>
              <w:jc w:val="center"/>
              <w:rPr>
                <w:color w:val="000000"/>
                <w:kern w:val="0"/>
              </w:rPr>
            </w:pPr>
            <w:r>
              <w:rPr>
                <w:color w:val="000000"/>
                <w:kern w:val="0"/>
              </w:rPr>
              <w:t>740</w:t>
            </w:r>
          </w:p>
        </w:tc>
        <w:tc>
          <w:tcPr>
            <w:tcW w:w="555" w:type="pct"/>
            <w:shd w:val="clear" w:color="auto" w:fill="auto"/>
            <w:noWrap/>
            <w:vAlign w:val="center"/>
          </w:tcPr>
          <w:p w14:paraId="54ED5C16">
            <w:pPr>
              <w:widowControl/>
              <w:jc w:val="center"/>
              <w:rPr>
                <w:color w:val="000000"/>
                <w:kern w:val="0"/>
              </w:rPr>
            </w:pPr>
            <w:r>
              <w:rPr>
                <w:color w:val="000000"/>
                <w:kern w:val="0"/>
              </w:rPr>
              <w:t>20</w:t>
            </w:r>
          </w:p>
        </w:tc>
        <w:tc>
          <w:tcPr>
            <w:tcW w:w="555" w:type="pct"/>
            <w:shd w:val="clear" w:color="auto" w:fill="auto"/>
            <w:noWrap/>
            <w:vAlign w:val="center"/>
          </w:tcPr>
          <w:p w14:paraId="30F29235">
            <w:pPr>
              <w:widowControl/>
              <w:jc w:val="center"/>
              <w:rPr>
                <w:color w:val="000000"/>
                <w:kern w:val="0"/>
              </w:rPr>
            </w:pPr>
            <w:r>
              <w:rPr>
                <w:color w:val="000000"/>
                <w:kern w:val="0"/>
              </w:rPr>
              <w:t>720</w:t>
            </w:r>
          </w:p>
        </w:tc>
        <w:tc>
          <w:tcPr>
            <w:tcW w:w="555" w:type="pct"/>
            <w:shd w:val="clear" w:color="auto" w:fill="auto"/>
            <w:noWrap/>
            <w:vAlign w:val="center"/>
          </w:tcPr>
          <w:p w14:paraId="64DFC967">
            <w:pPr>
              <w:widowControl/>
              <w:jc w:val="center"/>
              <w:rPr>
                <w:color w:val="000000"/>
                <w:kern w:val="0"/>
              </w:rPr>
            </w:pPr>
          </w:p>
        </w:tc>
        <w:tc>
          <w:tcPr>
            <w:tcW w:w="334" w:type="pct"/>
            <w:shd w:val="clear" w:color="auto" w:fill="auto"/>
            <w:noWrap/>
            <w:vAlign w:val="center"/>
          </w:tcPr>
          <w:p w14:paraId="783E5F90">
            <w:pPr>
              <w:widowControl/>
              <w:jc w:val="center"/>
              <w:rPr>
                <w:color w:val="000000"/>
                <w:kern w:val="0"/>
              </w:rPr>
            </w:pPr>
            <w:r>
              <w:rPr>
                <w:color w:val="000000"/>
                <w:kern w:val="0"/>
              </w:rPr>
              <w:t>740</w:t>
            </w:r>
          </w:p>
        </w:tc>
      </w:tr>
      <w:tr w14:paraId="68A0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4" w:type="pct"/>
            <w:shd w:val="clear" w:color="auto" w:fill="auto"/>
            <w:noWrap/>
            <w:vAlign w:val="center"/>
          </w:tcPr>
          <w:p w14:paraId="3C2995CF">
            <w:pPr>
              <w:widowControl/>
              <w:jc w:val="center"/>
              <w:rPr>
                <w:color w:val="000000"/>
                <w:kern w:val="0"/>
              </w:rPr>
            </w:pPr>
            <w:r>
              <w:rPr>
                <w:color w:val="000000"/>
                <w:kern w:val="0"/>
              </w:rPr>
              <w:t>4</w:t>
            </w:r>
          </w:p>
        </w:tc>
        <w:tc>
          <w:tcPr>
            <w:tcW w:w="666" w:type="pct"/>
            <w:shd w:val="clear" w:color="auto" w:fill="auto"/>
            <w:vAlign w:val="center"/>
          </w:tcPr>
          <w:p w14:paraId="2265001E">
            <w:pPr>
              <w:widowControl/>
              <w:jc w:val="center"/>
              <w:rPr>
                <w:color w:val="000000"/>
                <w:kern w:val="0"/>
              </w:rPr>
            </w:pPr>
            <w:r>
              <w:rPr>
                <w:color w:val="000000"/>
                <w:kern w:val="0"/>
              </w:rPr>
              <w:t>人抬道路区</w:t>
            </w:r>
          </w:p>
        </w:tc>
        <w:tc>
          <w:tcPr>
            <w:tcW w:w="555" w:type="pct"/>
            <w:shd w:val="clear" w:color="auto" w:fill="auto"/>
            <w:noWrap/>
            <w:vAlign w:val="center"/>
          </w:tcPr>
          <w:p w14:paraId="17C2312E">
            <w:pPr>
              <w:widowControl/>
              <w:jc w:val="center"/>
              <w:rPr>
                <w:color w:val="000000"/>
                <w:kern w:val="0"/>
              </w:rPr>
            </w:pPr>
            <w:r>
              <w:rPr>
                <w:color w:val="000000"/>
                <w:kern w:val="0"/>
              </w:rPr>
              <w:t>2300</w:t>
            </w:r>
          </w:p>
        </w:tc>
        <w:tc>
          <w:tcPr>
            <w:tcW w:w="555" w:type="pct"/>
            <w:shd w:val="clear" w:color="auto" w:fill="auto"/>
            <w:noWrap/>
            <w:vAlign w:val="center"/>
          </w:tcPr>
          <w:p w14:paraId="0FE5609F">
            <w:pPr>
              <w:widowControl/>
              <w:jc w:val="center"/>
              <w:rPr>
                <w:color w:val="000000"/>
                <w:kern w:val="0"/>
              </w:rPr>
            </w:pPr>
            <w:r>
              <w:rPr>
                <w:color w:val="000000"/>
                <w:kern w:val="0"/>
              </w:rPr>
              <w:t>32</w:t>
            </w:r>
          </w:p>
        </w:tc>
        <w:tc>
          <w:tcPr>
            <w:tcW w:w="555" w:type="pct"/>
            <w:shd w:val="clear" w:color="auto" w:fill="auto"/>
            <w:noWrap/>
            <w:vAlign w:val="center"/>
          </w:tcPr>
          <w:p w14:paraId="6DB85BFF">
            <w:pPr>
              <w:widowControl/>
              <w:jc w:val="center"/>
              <w:rPr>
                <w:color w:val="000000"/>
                <w:kern w:val="0"/>
              </w:rPr>
            </w:pPr>
          </w:p>
        </w:tc>
        <w:tc>
          <w:tcPr>
            <w:tcW w:w="334" w:type="pct"/>
            <w:shd w:val="clear" w:color="auto" w:fill="auto"/>
            <w:noWrap/>
            <w:vAlign w:val="center"/>
          </w:tcPr>
          <w:p w14:paraId="54AE343B">
            <w:pPr>
              <w:widowControl/>
              <w:jc w:val="center"/>
              <w:rPr>
                <w:color w:val="000000"/>
                <w:kern w:val="0"/>
              </w:rPr>
            </w:pPr>
            <w:r>
              <w:rPr>
                <w:color w:val="000000"/>
                <w:kern w:val="0"/>
              </w:rPr>
              <w:t>2632</w:t>
            </w:r>
          </w:p>
        </w:tc>
        <w:tc>
          <w:tcPr>
            <w:tcW w:w="555" w:type="pct"/>
            <w:shd w:val="clear" w:color="auto" w:fill="auto"/>
            <w:noWrap/>
            <w:vAlign w:val="center"/>
          </w:tcPr>
          <w:p w14:paraId="3A16992B">
            <w:pPr>
              <w:widowControl/>
              <w:jc w:val="center"/>
              <w:rPr>
                <w:color w:val="000000"/>
                <w:kern w:val="0"/>
              </w:rPr>
            </w:pPr>
            <w:r>
              <w:rPr>
                <w:color w:val="000000"/>
                <w:kern w:val="0"/>
              </w:rPr>
              <w:t>32</w:t>
            </w:r>
          </w:p>
        </w:tc>
        <w:tc>
          <w:tcPr>
            <w:tcW w:w="555" w:type="pct"/>
            <w:shd w:val="clear" w:color="auto" w:fill="auto"/>
            <w:noWrap/>
            <w:vAlign w:val="center"/>
          </w:tcPr>
          <w:p w14:paraId="0FFEE961">
            <w:pPr>
              <w:widowControl/>
              <w:jc w:val="center"/>
              <w:rPr>
                <w:color w:val="000000"/>
                <w:kern w:val="0"/>
              </w:rPr>
            </w:pPr>
            <w:r>
              <w:rPr>
                <w:color w:val="000000"/>
                <w:kern w:val="0"/>
              </w:rPr>
              <w:t>2100</w:t>
            </w:r>
          </w:p>
        </w:tc>
        <w:tc>
          <w:tcPr>
            <w:tcW w:w="555" w:type="pct"/>
            <w:shd w:val="clear" w:color="auto" w:fill="auto"/>
            <w:noWrap/>
            <w:vAlign w:val="center"/>
          </w:tcPr>
          <w:p w14:paraId="414BF126">
            <w:pPr>
              <w:widowControl/>
              <w:jc w:val="center"/>
              <w:rPr>
                <w:color w:val="000000"/>
                <w:kern w:val="0"/>
              </w:rPr>
            </w:pPr>
            <w:r>
              <w:rPr>
                <w:color w:val="000000"/>
                <w:kern w:val="0"/>
              </w:rPr>
              <w:t>200</w:t>
            </w:r>
          </w:p>
        </w:tc>
        <w:tc>
          <w:tcPr>
            <w:tcW w:w="334" w:type="pct"/>
            <w:shd w:val="clear" w:color="auto" w:fill="auto"/>
            <w:noWrap/>
            <w:vAlign w:val="center"/>
          </w:tcPr>
          <w:p w14:paraId="196F2084">
            <w:pPr>
              <w:widowControl/>
              <w:jc w:val="center"/>
              <w:rPr>
                <w:color w:val="000000"/>
                <w:kern w:val="0"/>
              </w:rPr>
            </w:pPr>
            <w:r>
              <w:rPr>
                <w:color w:val="000000"/>
                <w:kern w:val="0"/>
              </w:rPr>
              <w:t>2632</w:t>
            </w:r>
          </w:p>
        </w:tc>
      </w:tr>
      <w:tr w14:paraId="11A8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00" w:type="pct"/>
            <w:gridSpan w:val="2"/>
            <w:shd w:val="clear" w:color="auto" w:fill="auto"/>
            <w:noWrap/>
            <w:vAlign w:val="center"/>
          </w:tcPr>
          <w:p w14:paraId="716DEC82">
            <w:pPr>
              <w:widowControl/>
              <w:jc w:val="center"/>
              <w:rPr>
                <w:color w:val="000000"/>
                <w:kern w:val="0"/>
              </w:rPr>
            </w:pPr>
            <w:r>
              <w:rPr>
                <w:color w:val="000000"/>
                <w:kern w:val="0"/>
              </w:rPr>
              <w:t>合计</w:t>
            </w:r>
          </w:p>
        </w:tc>
        <w:tc>
          <w:tcPr>
            <w:tcW w:w="555" w:type="pct"/>
            <w:shd w:val="clear" w:color="auto" w:fill="auto"/>
            <w:noWrap/>
            <w:vAlign w:val="center"/>
          </w:tcPr>
          <w:p w14:paraId="21173568">
            <w:pPr>
              <w:widowControl/>
              <w:jc w:val="center"/>
              <w:rPr>
                <w:color w:val="000000"/>
                <w:kern w:val="0"/>
              </w:rPr>
            </w:pPr>
            <w:r>
              <w:rPr>
                <w:color w:val="000000"/>
                <w:kern w:val="0"/>
              </w:rPr>
              <w:t>5960</w:t>
            </w:r>
          </w:p>
        </w:tc>
        <w:tc>
          <w:tcPr>
            <w:tcW w:w="555" w:type="pct"/>
            <w:shd w:val="clear" w:color="auto" w:fill="auto"/>
            <w:noWrap/>
            <w:vAlign w:val="center"/>
          </w:tcPr>
          <w:p w14:paraId="1268AC21">
            <w:pPr>
              <w:widowControl/>
              <w:jc w:val="center"/>
              <w:rPr>
                <w:color w:val="000000"/>
                <w:kern w:val="0"/>
              </w:rPr>
            </w:pPr>
            <w:r>
              <w:rPr>
                <w:color w:val="000000"/>
                <w:kern w:val="0"/>
              </w:rPr>
              <w:t>934</w:t>
            </w:r>
          </w:p>
        </w:tc>
        <w:tc>
          <w:tcPr>
            <w:tcW w:w="555" w:type="pct"/>
            <w:shd w:val="clear" w:color="auto" w:fill="auto"/>
            <w:noWrap/>
            <w:vAlign w:val="center"/>
          </w:tcPr>
          <w:p w14:paraId="54A01D31">
            <w:pPr>
              <w:widowControl/>
              <w:jc w:val="center"/>
              <w:rPr>
                <w:color w:val="000000"/>
                <w:kern w:val="0"/>
              </w:rPr>
            </w:pPr>
            <w:r>
              <w:rPr>
                <w:color w:val="000000"/>
                <w:kern w:val="0"/>
              </w:rPr>
              <w:t>20</w:t>
            </w:r>
          </w:p>
        </w:tc>
        <w:tc>
          <w:tcPr>
            <w:tcW w:w="334" w:type="pct"/>
            <w:shd w:val="clear" w:color="auto" w:fill="auto"/>
            <w:noWrap/>
            <w:vAlign w:val="center"/>
          </w:tcPr>
          <w:p w14:paraId="1D8CCB47">
            <w:pPr>
              <w:widowControl/>
              <w:jc w:val="center"/>
              <w:rPr>
                <w:color w:val="000000"/>
                <w:kern w:val="0"/>
              </w:rPr>
            </w:pPr>
            <w:r>
              <w:rPr>
                <w:color w:val="000000"/>
                <w:kern w:val="0"/>
              </w:rPr>
              <w:t>7214</w:t>
            </w:r>
          </w:p>
        </w:tc>
        <w:tc>
          <w:tcPr>
            <w:tcW w:w="555" w:type="pct"/>
            <w:shd w:val="clear" w:color="auto" w:fill="auto"/>
            <w:noWrap/>
            <w:vAlign w:val="center"/>
          </w:tcPr>
          <w:p w14:paraId="3D5F1A8A">
            <w:pPr>
              <w:widowControl/>
              <w:jc w:val="center"/>
              <w:rPr>
                <w:color w:val="000000"/>
                <w:kern w:val="0"/>
              </w:rPr>
            </w:pPr>
            <w:r>
              <w:rPr>
                <w:color w:val="000000"/>
                <w:kern w:val="0"/>
              </w:rPr>
              <w:t>954</w:t>
            </w:r>
          </w:p>
        </w:tc>
        <w:tc>
          <w:tcPr>
            <w:tcW w:w="555" w:type="pct"/>
            <w:shd w:val="clear" w:color="auto" w:fill="auto"/>
            <w:noWrap/>
            <w:vAlign w:val="center"/>
          </w:tcPr>
          <w:p w14:paraId="0489FF5F">
            <w:pPr>
              <w:widowControl/>
              <w:jc w:val="center"/>
              <w:rPr>
                <w:color w:val="000000"/>
                <w:kern w:val="0"/>
              </w:rPr>
            </w:pPr>
            <w:r>
              <w:rPr>
                <w:color w:val="000000"/>
                <w:kern w:val="0"/>
              </w:rPr>
              <w:t>5260</w:t>
            </w:r>
          </w:p>
        </w:tc>
        <w:tc>
          <w:tcPr>
            <w:tcW w:w="555" w:type="pct"/>
            <w:shd w:val="clear" w:color="auto" w:fill="auto"/>
            <w:noWrap/>
            <w:vAlign w:val="center"/>
          </w:tcPr>
          <w:p w14:paraId="3D168DD1">
            <w:pPr>
              <w:widowControl/>
              <w:jc w:val="center"/>
              <w:rPr>
                <w:color w:val="000000"/>
                <w:kern w:val="0"/>
              </w:rPr>
            </w:pPr>
            <w:r>
              <w:rPr>
                <w:color w:val="000000"/>
                <w:kern w:val="0"/>
              </w:rPr>
              <w:t>700</w:t>
            </w:r>
          </w:p>
        </w:tc>
        <w:tc>
          <w:tcPr>
            <w:tcW w:w="334" w:type="pct"/>
            <w:shd w:val="clear" w:color="auto" w:fill="auto"/>
            <w:noWrap/>
            <w:vAlign w:val="center"/>
          </w:tcPr>
          <w:p w14:paraId="254B6E82">
            <w:pPr>
              <w:widowControl/>
              <w:jc w:val="center"/>
              <w:rPr>
                <w:color w:val="000000"/>
                <w:kern w:val="0"/>
              </w:rPr>
            </w:pPr>
            <w:r>
              <w:rPr>
                <w:color w:val="000000"/>
                <w:kern w:val="0"/>
              </w:rPr>
              <w:t>7214</w:t>
            </w:r>
          </w:p>
        </w:tc>
      </w:tr>
    </w:tbl>
    <w:p w14:paraId="034F4820">
      <w:pPr>
        <w:pStyle w:val="189"/>
        <w:ind w:left="0" w:firstLine="0" w:firstLineChars="0"/>
        <w:jc w:val="left"/>
      </w:pPr>
      <w:r>
        <w:rPr>
          <w:sz w:val="21"/>
          <w:szCs w:val="18"/>
        </w:rPr>
        <w:t>注：1、表中土石方数据均为自然方；2、平衡验算：开挖+调入=回填+调出+废弃。</w:t>
      </w:r>
    </w:p>
    <w:p w14:paraId="138E9CB0">
      <w:pPr>
        <w:pStyle w:val="189"/>
        <w:ind w:firstLine="560"/>
        <w:sectPr>
          <w:pgSz w:w="16838" w:h="11906" w:orient="landscape"/>
          <w:pgMar w:top="1800" w:right="1440" w:bottom="1800" w:left="1440" w:header="851" w:footer="1077" w:gutter="0"/>
          <w:cols w:space="720" w:num="1"/>
          <w:docGrid w:linePitch="312" w:charSpace="0"/>
        </w:sectPr>
      </w:pPr>
    </w:p>
    <w:tbl>
      <w:tblPr>
        <w:tblStyle w:val="45"/>
        <w:tblW w:w="519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560"/>
      </w:tblGrid>
      <w:tr w14:paraId="1AC36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02" w:type="pct"/>
            <w:vAlign w:val="center"/>
          </w:tcPr>
          <w:p w14:paraId="611DD418">
            <w:pPr>
              <w:adjustRightInd w:val="0"/>
              <w:snapToGrid w:val="0"/>
              <w:jc w:val="center"/>
              <w:rPr>
                <w:kern w:val="0"/>
                <w:sz w:val="24"/>
              </w:rPr>
            </w:pPr>
            <w:r>
              <w:rPr>
                <w:kern w:val="0"/>
                <w:sz w:val="24"/>
              </w:rPr>
              <w:t>施工方案</w:t>
            </w:r>
          </w:p>
        </w:tc>
        <w:tc>
          <w:tcPr>
            <w:tcW w:w="4697" w:type="pct"/>
          </w:tcPr>
          <w:p w14:paraId="505E8A7D">
            <w:pPr>
              <w:adjustRightInd w:val="0"/>
              <w:snapToGrid w:val="0"/>
              <w:spacing w:line="360" w:lineRule="auto"/>
              <w:jc w:val="left"/>
              <w:rPr>
                <w:b/>
                <w:bCs/>
                <w:kern w:val="0"/>
                <w:sz w:val="24"/>
              </w:rPr>
            </w:pPr>
            <w:r>
              <w:rPr>
                <w:b/>
                <w:bCs/>
                <w:kern w:val="0"/>
                <w:sz w:val="24"/>
              </w:rPr>
              <w:t>7、施工工艺及方法</w:t>
            </w:r>
          </w:p>
          <w:p w14:paraId="42545782">
            <w:pPr>
              <w:pStyle w:val="2"/>
              <w:adjustRightInd w:val="0"/>
              <w:spacing w:before="0" w:after="0" w:line="360" w:lineRule="auto"/>
              <w:ind w:right="0" w:firstLine="480" w:firstLineChars="200"/>
              <w:rPr>
                <w:sz w:val="24"/>
              </w:rPr>
            </w:pPr>
            <w:r>
              <w:rPr>
                <w:sz w:val="24"/>
              </w:rPr>
              <w:t>线路工程施工分四个阶段：一是施工准备；二是基础施工；三是铁塔施工；四是架线。</w:t>
            </w:r>
          </w:p>
          <w:p w14:paraId="38ADED98">
            <w:pPr>
              <w:pStyle w:val="2"/>
              <w:adjustRightInd w:val="0"/>
              <w:spacing w:before="0" w:after="0" w:line="360" w:lineRule="auto"/>
              <w:ind w:right="0" w:firstLine="480" w:firstLineChars="200"/>
              <w:rPr>
                <w:sz w:val="24"/>
              </w:rPr>
            </w:pPr>
            <w:r>
              <w:rPr>
                <w:sz w:val="24"/>
              </w:rPr>
              <w:t>1）施工准备</w:t>
            </w:r>
          </w:p>
          <w:p w14:paraId="0380B21F">
            <w:pPr>
              <w:pStyle w:val="2"/>
              <w:adjustRightInd w:val="0"/>
              <w:spacing w:before="0" w:after="0" w:line="360" w:lineRule="auto"/>
              <w:ind w:right="0" w:firstLine="480" w:firstLineChars="200"/>
              <w:rPr>
                <w:sz w:val="24"/>
              </w:rPr>
            </w:pPr>
            <w:r>
              <w:rPr>
                <w:sz w:val="24"/>
              </w:rPr>
              <w:t>施工准备阶段主要是施工备料及临时施工道路的施工，本工程线路沿线公路较多，材料运输尽量利用已有公路，施工时也需进行一些简易的人抬路及机动车便道施工。</w:t>
            </w:r>
          </w:p>
          <w:p w14:paraId="7B3DF0D4">
            <w:pPr>
              <w:pStyle w:val="2"/>
              <w:adjustRightInd w:val="0"/>
              <w:spacing w:before="0" w:after="0" w:line="360" w:lineRule="auto"/>
              <w:ind w:right="0" w:firstLine="480" w:firstLineChars="200"/>
              <w:rPr>
                <w:sz w:val="24"/>
              </w:rPr>
            </w:pPr>
            <w:r>
              <w:rPr>
                <w:sz w:val="24"/>
              </w:rPr>
              <w:t>2）塔基施工</w:t>
            </w:r>
          </w:p>
          <w:p w14:paraId="124CDD3E">
            <w:pPr>
              <w:pStyle w:val="2"/>
              <w:adjustRightInd w:val="0"/>
              <w:spacing w:before="0" w:after="0" w:line="360" w:lineRule="auto"/>
              <w:ind w:right="0" w:firstLine="480" w:firstLineChars="200"/>
              <w:rPr>
                <w:sz w:val="24"/>
              </w:rPr>
            </w:pPr>
            <w:r>
              <w:rPr>
                <w:sz w:val="24"/>
              </w:rPr>
              <w:t>①表土剥离</w:t>
            </w:r>
          </w:p>
          <w:p w14:paraId="29D0607A">
            <w:pPr>
              <w:pStyle w:val="2"/>
              <w:adjustRightInd w:val="0"/>
              <w:spacing w:before="0" w:after="0" w:line="360" w:lineRule="auto"/>
              <w:ind w:right="0" w:firstLine="480" w:firstLineChars="200"/>
              <w:rPr>
                <w:sz w:val="24"/>
              </w:rPr>
            </w:pPr>
            <w:r>
              <w:rPr>
                <w:sz w:val="24"/>
              </w:rPr>
              <w:t>本工程对耕地、园地、林地及草地的扰动开挖区域进行表土剥离，并保存和利用。塔基区表土主要采用人工进行剥离，具体施工工艺流程为施工准备、测量放样、表土剥离、堆存保护。</w:t>
            </w:r>
          </w:p>
          <w:p w14:paraId="3A11F0B4">
            <w:pPr>
              <w:pStyle w:val="2"/>
              <w:adjustRightInd w:val="0"/>
              <w:spacing w:before="0" w:after="0" w:line="360" w:lineRule="auto"/>
              <w:ind w:right="0" w:firstLine="480" w:firstLineChars="200"/>
              <w:rPr>
                <w:sz w:val="24"/>
              </w:rPr>
            </w:pPr>
            <w:r>
              <w:rPr>
                <w:sz w:val="24"/>
              </w:rPr>
              <w:t>②塔基开挖余土堆放</w:t>
            </w:r>
          </w:p>
          <w:p w14:paraId="5D4BEEB3">
            <w:pPr>
              <w:pStyle w:val="2"/>
              <w:adjustRightInd w:val="0"/>
              <w:spacing w:before="0" w:after="0" w:line="360" w:lineRule="auto"/>
              <w:ind w:right="0" w:firstLine="480" w:firstLineChars="200"/>
              <w:rPr>
                <w:sz w:val="24"/>
              </w:rPr>
            </w:pPr>
            <w:r>
              <w:rPr>
                <w:sz w:val="24"/>
              </w:rPr>
              <w:t>山丘区塔基基础余土堆放：塔基基础余土为土石渣，搬运下山难度大、投资高，因此，主体考虑施工期将山区塔基挖方就近堆放在塔基区施工场地，余方中的石方最终可考虑作为塔基挡土墙、护坡的建筑材料，土方就地在塔基征地范围内回填、平整。</w:t>
            </w:r>
          </w:p>
          <w:p w14:paraId="4511238A">
            <w:pPr>
              <w:pStyle w:val="2"/>
              <w:adjustRightInd w:val="0"/>
              <w:spacing w:before="0" w:after="0" w:line="360" w:lineRule="auto"/>
              <w:ind w:right="0" w:firstLine="480" w:firstLineChars="200"/>
              <w:rPr>
                <w:sz w:val="24"/>
              </w:rPr>
            </w:pPr>
            <w:r>
              <w:rPr>
                <w:sz w:val="24"/>
              </w:rPr>
              <w:t>③基坑开挖</w:t>
            </w:r>
          </w:p>
          <w:p w14:paraId="3D8D4F28">
            <w:pPr>
              <w:pStyle w:val="2"/>
              <w:adjustRightInd w:val="0"/>
              <w:spacing w:before="0" w:after="0" w:line="360" w:lineRule="auto"/>
              <w:ind w:right="0" w:firstLine="480" w:firstLineChars="200"/>
              <w:rPr>
                <w:sz w:val="24"/>
              </w:rPr>
            </w:pPr>
            <w:r>
              <w:rPr>
                <w:sz w:val="24"/>
              </w:rPr>
              <w:t>土质基坑基础采用明挖方式，在挖掘前首先清理基面及基面附近的浮石等杂物，开挖自上而下进行，基坑四壁保持稳定放坡或用挡土板支护。</w:t>
            </w:r>
          </w:p>
          <w:p w14:paraId="71228C31">
            <w:pPr>
              <w:pStyle w:val="2"/>
              <w:adjustRightInd w:val="0"/>
              <w:spacing w:before="0" w:after="0" w:line="360" w:lineRule="auto"/>
              <w:ind w:right="0" w:firstLine="480" w:firstLineChars="200"/>
              <w:rPr>
                <w:sz w:val="24"/>
              </w:rPr>
            </w:pPr>
            <w:r>
              <w:rPr>
                <w:sz w:val="24"/>
              </w:rPr>
              <w:t>遇地下水水位较高时，采用钢梁及钢模板组合挡土板配合抽水机抽水进行开挖施工，或采用单个基坑开挖后先浇筑混凝土基础以及基坑周围采用明沟排水法进行开挖施工。</w:t>
            </w:r>
          </w:p>
          <w:p w14:paraId="55692BC3">
            <w:pPr>
              <w:pStyle w:val="2"/>
              <w:adjustRightInd w:val="0"/>
              <w:spacing w:before="0" w:after="0" w:line="360" w:lineRule="auto"/>
              <w:ind w:right="0" w:firstLine="480" w:firstLineChars="200"/>
              <w:rPr>
                <w:sz w:val="24"/>
              </w:rPr>
            </w:pPr>
            <w:r>
              <w:rPr>
                <w:sz w:val="24"/>
              </w:rPr>
              <w:t>在交通条件许可的塔位采用挖掘机突击挖坑的方式，以缩短挖坑的时间，避免坑壁坍塌。基坑开挖尽量保持坑壁成型完好，并做好临时堆土处理，避免坑内积水以及影响周围环境和破坏植被，基础坑开挖好后应尽快浇筑混凝土。</w:t>
            </w:r>
          </w:p>
          <w:p w14:paraId="3EC0AA56">
            <w:pPr>
              <w:pStyle w:val="2"/>
              <w:adjustRightInd w:val="0"/>
              <w:spacing w:before="0" w:after="0" w:line="360" w:lineRule="auto"/>
              <w:ind w:right="0" w:firstLine="480" w:firstLineChars="200"/>
              <w:rPr>
                <w:sz w:val="24"/>
              </w:rPr>
            </w:pPr>
            <w:r>
              <w:rPr>
                <w:sz w:val="24"/>
              </w:rPr>
              <w:t>④混凝土浇筑</w:t>
            </w:r>
          </w:p>
          <w:p w14:paraId="00537E90">
            <w:pPr>
              <w:pStyle w:val="2"/>
              <w:adjustRightInd w:val="0"/>
              <w:spacing w:before="0" w:after="0" w:line="360" w:lineRule="auto"/>
              <w:ind w:right="0" w:firstLine="480" w:firstLineChars="200"/>
              <w:rPr>
                <w:sz w:val="24"/>
              </w:rPr>
            </w:pPr>
            <w:r>
              <w:rPr>
                <w:sz w:val="24"/>
              </w:rPr>
              <w:t>购买成品混凝土或现场拌和的混凝土，需及时进行浇筑，浇筑先从一角或一处开始，</w:t>
            </w:r>
            <w:r>
              <w:rPr>
                <w:rFonts w:hint="eastAsia"/>
                <w:sz w:val="24"/>
              </w:rPr>
              <w:t>延伸</w:t>
            </w:r>
            <w:r>
              <w:rPr>
                <w:sz w:val="24"/>
              </w:rPr>
              <w:t>入四周。混凝土倾倒入模盒内，其自由倾落高度不超过2m，超过2m时设置溜管、斜槽或串筒倾倒，以防离析。混凝土分层浇筑和捣固，每层厚度为20cm，留有振捣窗口的地方在振捣后及时封严。</w:t>
            </w:r>
          </w:p>
          <w:p w14:paraId="6F425A52">
            <w:pPr>
              <w:widowControl/>
              <w:adjustRightInd w:val="0"/>
              <w:snapToGrid w:val="0"/>
              <w:spacing w:line="360" w:lineRule="auto"/>
              <w:ind w:firstLine="480" w:firstLineChars="200"/>
              <w:rPr>
                <w:kern w:val="0"/>
                <w:sz w:val="24"/>
                <w:szCs w:val="18"/>
              </w:rPr>
            </w:pPr>
            <w:r>
              <w:rPr>
                <w:kern w:val="0"/>
                <w:sz w:val="24"/>
                <w:szCs w:val="18"/>
              </w:rPr>
              <w:t>另外，在铁塔基础基面土方开挖时，根据铁塔不等高腿的配置情况，结合现场实际地形慎重进行挖方作业；挖方时，上坡边坡一次按规定放足，避免立塔完成后进行二次放坡；基础高差超过3m时，注意内边坡保护，尽量少挖土方，当内边坡放坡不足时，砌挡土墙；对降基较大的塔位，在坡脚修筑排水沟，在坡顶修筑截水沟，有效地疏导坡上的水流，防止雨水对已开挖坡面和基面的冲刷；施工中</w:t>
            </w:r>
            <w:r>
              <w:rPr>
                <w:rFonts w:hint="eastAsia"/>
                <w:kern w:val="0"/>
                <w:sz w:val="24"/>
                <w:szCs w:val="18"/>
              </w:rPr>
              <w:t>维护</w:t>
            </w:r>
            <w:r>
              <w:rPr>
                <w:kern w:val="0"/>
                <w:sz w:val="24"/>
                <w:szCs w:val="18"/>
              </w:rPr>
              <w:t>边坡稳定和尽量不破坏自然植被。</w:t>
            </w:r>
          </w:p>
          <w:p w14:paraId="71F3F020">
            <w:pPr>
              <w:pStyle w:val="2"/>
              <w:adjustRightInd w:val="0"/>
              <w:spacing w:before="0" w:after="0" w:line="360" w:lineRule="auto"/>
              <w:ind w:right="0" w:firstLine="480" w:firstLineChars="200"/>
              <w:rPr>
                <w:sz w:val="24"/>
                <w:szCs w:val="24"/>
              </w:rPr>
            </w:pPr>
            <w:r>
              <w:rPr>
                <w:kern w:val="2"/>
                <w:sz w:val="24"/>
                <w:szCs w:val="24"/>
              </w:rPr>
              <w:t>基础施工时，尽量缩短基坑暴露时间，做到随挖随</w:t>
            </w:r>
            <w:r>
              <w:rPr>
                <w:rFonts w:hint="eastAsia"/>
                <w:kern w:val="2"/>
                <w:sz w:val="24"/>
                <w:szCs w:val="24"/>
              </w:rPr>
              <w:t>浇筑</w:t>
            </w:r>
            <w:r>
              <w:rPr>
                <w:kern w:val="2"/>
                <w:sz w:val="24"/>
                <w:szCs w:val="24"/>
              </w:rPr>
              <w:t>基础，同时做好基面及基坑的排水工作；基坑开挖时，</w:t>
            </w:r>
            <w:r>
              <w:rPr>
                <w:rFonts w:hint="eastAsia"/>
                <w:kern w:val="2"/>
                <w:sz w:val="24"/>
                <w:szCs w:val="24"/>
              </w:rPr>
              <w:t>尽量减少</w:t>
            </w:r>
            <w:r>
              <w:rPr>
                <w:kern w:val="2"/>
                <w:sz w:val="24"/>
                <w:szCs w:val="24"/>
              </w:rPr>
              <w:t>对基底土层的扰动</w:t>
            </w:r>
            <w:r>
              <w:rPr>
                <w:sz w:val="24"/>
                <w:szCs w:val="24"/>
              </w:rPr>
              <w:t>。</w:t>
            </w:r>
          </w:p>
          <w:p w14:paraId="364FFBFA">
            <w:pPr>
              <w:pStyle w:val="2"/>
              <w:adjustRightInd w:val="0"/>
              <w:spacing w:before="0" w:after="0" w:line="360" w:lineRule="auto"/>
              <w:ind w:right="0"/>
              <w:jc w:val="center"/>
            </w:pPr>
            <w:r>
              <w:object>
                <v:shape id="_x0000_i1025" o:spt="75" type="#_x0000_t75" style="height:104.15pt;width:348.95pt;" o:ole="t" filled="f" o:preferrelative="t" stroked="f" coordsize="21600,21600">
                  <v:path/>
                  <v:fill on="f" focussize="0,0"/>
                  <v:stroke on="f" joinstyle="miter"/>
                  <v:imagedata r:id="rId37" o:title=""/>
                  <o:lock v:ext="edit" aspectratio="t"/>
                  <w10:wrap type="none"/>
                  <w10:anchorlock/>
                </v:shape>
                <o:OLEObject Type="Embed" ProgID="Visio.Drawing.15" ShapeID="_x0000_i1025" DrawAspect="Content" ObjectID="_1468075725" r:id="rId36">
                  <o:LockedField>false</o:LockedField>
                </o:OLEObject>
              </w:object>
            </w:r>
          </w:p>
          <w:p w14:paraId="35828581">
            <w:pPr>
              <w:pStyle w:val="2"/>
              <w:adjustRightInd w:val="0"/>
              <w:spacing w:before="0" w:after="0" w:line="360" w:lineRule="auto"/>
              <w:ind w:right="0"/>
              <w:jc w:val="center"/>
              <w:rPr>
                <w:rFonts w:eastAsia="黑体"/>
                <w:bCs/>
                <w:sz w:val="24"/>
              </w:rPr>
            </w:pPr>
            <w:r>
              <w:rPr>
                <w:rFonts w:eastAsia="黑体"/>
                <w:bCs/>
                <w:sz w:val="24"/>
              </w:rPr>
              <w:t>图2-6土石方施工流程图</w:t>
            </w:r>
          </w:p>
          <w:p w14:paraId="6B487DFA">
            <w:pPr>
              <w:pStyle w:val="2"/>
              <w:adjustRightInd w:val="0"/>
              <w:spacing w:before="0" w:after="0" w:line="360" w:lineRule="auto"/>
              <w:ind w:right="0"/>
              <w:jc w:val="center"/>
              <w:rPr>
                <w:rFonts w:eastAsia="黑体"/>
                <w:sz w:val="24"/>
              </w:rPr>
            </w:pPr>
            <w:r>
              <w:object>
                <v:shape id="_x0000_i1026" o:spt="75" type="#_x0000_t75" style="height:101.25pt;width:411.75pt;" o:ole="t" filled="f" o:preferrelative="t" stroked="f" coordsize="21600,21600">
                  <v:path/>
                  <v:fill on="f" focussize="0,0"/>
                  <v:stroke on="f" joinstyle="miter"/>
                  <v:imagedata r:id="rId39" o:title=""/>
                  <o:lock v:ext="edit" aspectratio="t"/>
                  <w10:wrap type="none"/>
                  <w10:anchorlock/>
                </v:shape>
                <o:OLEObject Type="Embed" ProgID="Visio.Drawing.11" ShapeID="_x0000_i1026" DrawAspect="Content" ObjectID="_1468075726" r:id="rId38">
                  <o:LockedField>false</o:LockedField>
                </o:OLEObject>
              </w:object>
            </w:r>
          </w:p>
          <w:p w14:paraId="5715D109">
            <w:pPr>
              <w:pStyle w:val="2"/>
              <w:adjustRightInd w:val="0"/>
              <w:spacing w:before="0" w:after="0" w:line="360" w:lineRule="auto"/>
              <w:ind w:right="0"/>
              <w:jc w:val="center"/>
              <w:rPr>
                <w:rFonts w:eastAsia="黑体"/>
                <w:sz w:val="40"/>
                <w:szCs w:val="24"/>
              </w:rPr>
            </w:pPr>
            <w:r>
              <w:rPr>
                <w:rFonts w:eastAsia="黑体"/>
                <w:sz w:val="24"/>
              </w:rPr>
              <w:t>图2-7</w:t>
            </w:r>
            <w:r>
              <w:rPr>
                <w:rFonts w:eastAsia="黑体"/>
                <w:bCs/>
                <w:sz w:val="24"/>
                <w:lang w:val="zh-CN"/>
              </w:rPr>
              <w:t>基础工程施工流程图</w:t>
            </w:r>
          </w:p>
          <w:p w14:paraId="7B0131CA">
            <w:pPr>
              <w:pStyle w:val="61"/>
              <w:ind w:firstLine="472"/>
              <w:rPr>
                <w:rFonts w:ascii="Times New Roman" w:eastAsia="宋体" w:cs="Times New Roman"/>
                <w:szCs w:val="24"/>
              </w:rPr>
            </w:pPr>
            <w:r>
              <w:rPr>
                <w:rFonts w:ascii="Times New Roman" w:eastAsia="宋体" w:cs="Times New Roman"/>
                <w:szCs w:val="24"/>
              </w:rPr>
              <w:t>3）铁塔组立及架线施工</w:t>
            </w:r>
          </w:p>
          <w:p w14:paraId="77E00552">
            <w:pPr>
              <w:pStyle w:val="61"/>
              <w:ind w:firstLine="472"/>
              <w:rPr>
                <w:rFonts w:ascii="Times New Roman" w:eastAsia="宋体" w:cs="Times New Roman"/>
                <w:szCs w:val="24"/>
              </w:rPr>
            </w:pPr>
            <w:r>
              <w:rPr>
                <w:rFonts w:ascii="Times New Roman" w:eastAsia="宋体" w:cs="Times New Roman"/>
                <w:szCs w:val="24"/>
              </w:rPr>
              <w:t>①铁塔组立</w:t>
            </w:r>
          </w:p>
          <w:p w14:paraId="68390D34">
            <w:pPr>
              <w:pStyle w:val="61"/>
              <w:ind w:firstLine="472"/>
              <w:rPr>
                <w:rFonts w:ascii="Times New Roman" w:eastAsia="宋体" w:cs="Times New Roman"/>
                <w:szCs w:val="24"/>
              </w:rPr>
            </w:pPr>
            <w:r>
              <w:rPr>
                <w:rFonts w:ascii="Times New Roman" w:eastAsia="宋体" w:cs="Times New Roman"/>
                <w:szCs w:val="24"/>
              </w:rPr>
              <w:t>工程所用直线塔或耐张塔根据铁塔结构特点采用悬浮摇臂抱杆或落地通天摇臂抱杆分解阻力。铁塔组立接地工程施工流程见图2-8。</w:t>
            </w:r>
          </w:p>
          <w:p w14:paraId="6FBC6BD0">
            <w:pPr>
              <w:pStyle w:val="61"/>
              <w:ind w:firstLine="0" w:firstLineChars="0"/>
              <w:jc w:val="center"/>
              <w:rPr>
                <w:rFonts w:ascii="Times New Roman" w:cs="Times New Roman"/>
              </w:rPr>
            </w:pPr>
            <w:r>
              <w:rPr>
                <w:rFonts w:ascii="Times New Roman" w:cs="Times New Roman"/>
              </w:rPr>
              <w:object>
                <v:shape id="_x0000_i1027" o:spt="75" type="#_x0000_t75" style="height:150.75pt;width:417.2pt;" o:ole="t" filled="f" o:preferrelative="t" stroked="f" coordsize="21600,21600">
                  <v:path/>
                  <v:fill on="f" focussize="0,0"/>
                  <v:stroke on="f" joinstyle="miter"/>
                  <v:imagedata r:id="rId41" o:title=""/>
                  <o:lock v:ext="edit" aspectratio="t"/>
                  <w10:wrap type="none"/>
                  <w10:anchorlock/>
                </v:shape>
                <o:OLEObject Type="Embed" ProgID="Visio.Drawing.11" ShapeID="_x0000_i1027" DrawAspect="Content" ObjectID="_1468075727" r:id="rId40">
                  <o:LockedField>false</o:LockedField>
                </o:OLEObject>
              </w:object>
            </w:r>
          </w:p>
          <w:p w14:paraId="2A81084B">
            <w:pPr>
              <w:pStyle w:val="2"/>
              <w:adjustRightInd w:val="0"/>
              <w:spacing w:before="0" w:after="0" w:line="360" w:lineRule="auto"/>
              <w:ind w:right="0"/>
              <w:jc w:val="center"/>
              <w:rPr>
                <w:rFonts w:eastAsia="黑体"/>
                <w:sz w:val="24"/>
              </w:rPr>
            </w:pPr>
            <w:r>
              <w:rPr>
                <w:rFonts w:eastAsia="黑体"/>
                <w:sz w:val="24"/>
              </w:rPr>
              <w:t>图2-8铁塔组立接地工程施工流程图</w:t>
            </w:r>
          </w:p>
          <w:p w14:paraId="3327F74B">
            <w:pPr>
              <w:pStyle w:val="61"/>
              <w:ind w:firstLine="472"/>
              <w:rPr>
                <w:rFonts w:ascii="Times New Roman" w:eastAsia="宋体" w:cs="Times New Roman"/>
                <w:szCs w:val="24"/>
              </w:rPr>
            </w:pPr>
            <w:r>
              <w:rPr>
                <w:rFonts w:ascii="Times New Roman" w:eastAsia="宋体" w:cs="Times New Roman"/>
                <w:szCs w:val="24"/>
              </w:rPr>
              <w:t>②架线及附件安装</w:t>
            </w:r>
          </w:p>
          <w:p w14:paraId="1F46CE1E">
            <w:pPr>
              <w:pStyle w:val="61"/>
              <w:ind w:firstLine="472"/>
              <w:rPr>
                <w:rFonts w:ascii="Times New Roman" w:eastAsia="宋体" w:cs="Times New Roman"/>
                <w:szCs w:val="24"/>
              </w:rPr>
            </w:pPr>
            <w:r>
              <w:rPr>
                <w:rFonts w:ascii="Times New Roman" w:eastAsia="宋体" w:cs="Times New Roman"/>
                <w:szCs w:val="24"/>
              </w:rPr>
              <w:t>架线及附件安装时，根据地形地貌情况及林地分布情况，分别采用张力放线、飞艇放线、无人机放线多种工艺。</w:t>
            </w:r>
          </w:p>
          <w:p w14:paraId="7A5E0E84">
            <w:pPr>
              <w:pStyle w:val="61"/>
              <w:ind w:firstLine="472"/>
              <w:rPr>
                <w:rFonts w:ascii="Times New Roman" w:eastAsia="宋体" w:cs="Times New Roman"/>
                <w:szCs w:val="24"/>
              </w:rPr>
            </w:pPr>
            <w:r>
              <w:rPr>
                <w:rFonts w:ascii="Times New Roman" w:eastAsia="宋体" w:cs="Times New Roman"/>
                <w:szCs w:val="24"/>
              </w:rPr>
              <w:t>a）牵张力放线施工方法</w:t>
            </w:r>
          </w:p>
          <w:p w14:paraId="055FD1F2">
            <w:pPr>
              <w:pStyle w:val="61"/>
              <w:ind w:firstLine="472"/>
              <w:rPr>
                <w:rFonts w:ascii="Times New Roman" w:eastAsia="宋体" w:cs="Times New Roman"/>
                <w:szCs w:val="24"/>
              </w:rPr>
            </w:pPr>
            <w:r>
              <w:rPr>
                <w:rFonts w:ascii="Times New Roman" w:eastAsia="宋体" w:cs="Times New Roman"/>
                <w:szCs w:val="24"/>
              </w:rPr>
              <w:t>线路在经过地形相对平缓及林木稀疏处采用牵张力放线施工方法。施工单位根据自身条件选择一牵四或一牵二两种放线方法。</w:t>
            </w:r>
          </w:p>
          <w:p w14:paraId="4805EB48">
            <w:pPr>
              <w:pStyle w:val="61"/>
              <w:ind w:firstLine="472"/>
              <w:rPr>
                <w:rFonts w:ascii="Times New Roman" w:eastAsia="宋体" w:cs="Times New Roman"/>
                <w:szCs w:val="24"/>
              </w:rPr>
            </w:pPr>
            <w:r>
              <w:rPr>
                <w:rFonts w:ascii="Times New Roman" w:eastAsia="宋体" w:cs="Times New Roman"/>
                <w:szCs w:val="24"/>
              </w:rPr>
              <w:t>当导线采用一牵四方式张力放线时，每极四根子导线应基本同时紧线，同时观测弧垂，并及时安装附件；当导线按一牵二方式张力放线时，先将四根子导线展放完毕，再将四根子导线同时紧线或分两次紧线；导、地线在放线过程中应</w:t>
            </w:r>
            <w:r>
              <w:rPr>
                <w:rFonts w:hint="eastAsia" w:ascii="Times New Roman" w:eastAsia="宋体" w:cs="Times New Roman"/>
                <w:szCs w:val="24"/>
              </w:rPr>
              <w:t>防止</w:t>
            </w:r>
            <w:r>
              <w:rPr>
                <w:rFonts w:ascii="Times New Roman" w:eastAsia="宋体" w:cs="Times New Roman"/>
                <w:szCs w:val="24"/>
              </w:rPr>
              <w:t>导、地线落地拖拉及相互摩擦。</w:t>
            </w:r>
          </w:p>
          <w:p w14:paraId="2620161B">
            <w:pPr>
              <w:pStyle w:val="61"/>
              <w:ind w:firstLine="472"/>
              <w:rPr>
                <w:rFonts w:ascii="Times New Roman" w:eastAsia="宋体" w:cs="Times New Roman"/>
                <w:szCs w:val="24"/>
              </w:rPr>
            </w:pPr>
            <w:r>
              <w:rPr>
                <w:rFonts w:ascii="Times New Roman" w:eastAsia="宋体" w:cs="Times New Roman"/>
                <w:szCs w:val="24"/>
              </w:rPr>
              <w:t>紧线按地线→导线顺序进行，紧线布置与常规放线相同，导、地线采用直线塔紧线，耐张塔高空断线、高空压接、平衡对外拉线方式。</w:t>
            </w:r>
          </w:p>
          <w:p w14:paraId="37FCC155">
            <w:pPr>
              <w:pStyle w:val="61"/>
              <w:ind w:firstLine="472"/>
              <w:rPr>
                <w:rFonts w:ascii="Times New Roman" w:eastAsia="宋体" w:cs="Times New Roman"/>
                <w:szCs w:val="24"/>
              </w:rPr>
            </w:pPr>
            <w:r>
              <w:rPr>
                <w:rFonts w:ascii="Times New Roman" w:eastAsia="宋体" w:cs="Times New Roman"/>
                <w:szCs w:val="24"/>
              </w:rPr>
              <w:t>架空地线展放及收紧、展放导引绳、牵放牵引绳、牵放导线、锚固导线、紧线临锚、附件安装、压接升空、间隔棒安装、耐张塔平衡挂线和跳线安装等。线路沿线设置牵张场，采用张力机紧线，一般以张力放线施工段作为紧线段，以直线塔作为紧线操作塔。紧线完毕后进行附件、线夹、防振金具、间隔棒等安装。架线施工中对交叉跨越情况一般采用占地和扰动均较小的搭建竹木塔架的方法，在需跨越的线路、公路、铁路的两侧搭建竹木塔架，竹木塔架高度以不影响其运行为准。</w:t>
            </w:r>
          </w:p>
          <w:p w14:paraId="7691A434">
            <w:pPr>
              <w:pStyle w:val="61"/>
              <w:ind w:firstLine="472"/>
              <w:rPr>
                <w:rFonts w:ascii="Times New Roman" w:eastAsia="宋体" w:cs="Times New Roman"/>
                <w:szCs w:val="24"/>
              </w:rPr>
            </w:pPr>
            <w:r>
              <w:rPr>
                <w:rFonts w:ascii="Times New Roman" w:eastAsia="宋体" w:cs="Times New Roman"/>
                <w:szCs w:val="24"/>
              </w:rPr>
              <w:t>b）交叉跨越施工方法</w:t>
            </w:r>
          </w:p>
          <w:p w14:paraId="4C556649">
            <w:pPr>
              <w:pStyle w:val="61"/>
              <w:ind w:firstLine="472"/>
              <w:rPr>
                <w:rFonts w:ascii="Times New Roman" w:eastAsia="宋体" w:cs="Times New Roman"/>
                <w:szCs w:val="24"/>
              </w:rPr>
            </w:pPr>
            <w:r>
              <w:rPr>
                <w:rFonts w:ascii="Times New Roman" w:eastAsia="宋体" w:cs="Times New Roman"/>
                <w:szCs w:val="24"/>
              </w:rPr>
              <w:t>在跨越公路施工时应搭设临时跨越架，以免阻碍交通或损坏导线。</w:t>
            </w:r>
          </w:p>
          <w:p w14:paraId="0341E10E">
            <w:pPr>
              <w:pStyle w:val="61"/>
              <w:ind w:firstLine="472"/>
              <w:rPr>
                <w:rFonts w:ascii="Times New Roman" w:eastAsia="宋体" w:cs="Times New Roman"/>
                <w:szCs w:val="24"/>
              </w:rPr>
            </w:pPr>
            <w:r>
              <w:rPr>
                <w:rFonts w:ascii="Times New Roman" w:eastAsia="宋体" w:cs="Times New Roman"/>
                <w:szCs w:val="24"/>
              </w:rPr>
              <w:t>c）飞艇放线工艺</w:t>
            </w:r>
          </w:p>
          <w:p w14:paraId="11638418">
            <w:pPr>
              <w:pStyle w:val="61"/>
              <w:ind w:firstLine="472"/>
              <w:rPr>
                <w:rFonts w:ascii="Times New Roman" w:eastAsia="宋体" w:cs="Times New Roman"/>
                <w:szCs w:val="24"/>
              </w:rPr>
            </w:pPr>
            <w:r>
              <w:rPr>
                <w:rFonts w:ascii="Times New Roman" w:eastAsia="宋体" w:cs="Times New Roman"/>
                <w:szCs w:val="24"/>
              </w:rPr>
              <w:t>飞艇艇囊用氮气填充，充气后自重仅为3kg左右，飞艇一次最长牵放引绳的长度为2500m，续航时间40分钟。将引绳全部置于起点的地面上，并将绳盘上的绳头带上塔顶，当飞艇在塔顶悬停并从遥控放线器中放出一段5m~10m的引绳到塔顶后，将飞艇放下的绳头和从地面塔顶的绳头相连，飞艇便可牵引引绳向终点飞去。引绳的张力可由地面绳盘操控员的命令进行指挥控制，飞艇在飞至终点后待引绳下降，当塔顶或地面人员将引绳抓住后，遥控人员把遥控脱绳器打开，将飞艇的绳头抛下，完成一段线路的牵放。</w:t>
            </w:r>
          </w:p>
          <w:p w14:paraId="31CF546E">
            <w:pPr>
              <w:pStyle w:val="61"/>
              <w:ind w:firstLine="472"/>
              <w:rPr>
                <w:rFonts w:ascii="Times New Roman" w:eastAsia="宋体" w:cs="Times New Roman"/>
                <w:szCs w:val="24"/>
              </w:rPr>
            </w:pPr>
            <w:r>
              <w:rPr>
                <w:rFonts w:ascii="Times New Roman" w:eastAsia="宋体" w:cs="Times New Roman"/>
                <w:szCs w:val="24"/>
              </w:rPr>
              <w:t>d）无人机放线工艺</w:t>
            </w:r>
          </w:p>
          <w:p w14:paraId="79E6C3EB">
            <w:pPr>
              <w:pStyle w:val="277"/>
              <w:rPr>
                <w:rFonts w:eastAsia="宋体"/>
                <w:szCs w:val="24"/>
              </w:rPr>
            </w:pPr>
            <w:r>
              <w:rPr>
                <w:rFonts w:eastAsia="宋体"/>
                <w:szCs w:val="24"/>
              </w:rPr>
              <w:t>无人机放线技术在输电线路放线施工中得到了广泛应用，具体施工工艺如下：</w:t>
            </w:r>
          </w:p>
          <w:p w14:paraId="24F704E9">
            <w:pPr>
              <w:pStyle w:val="2"/>
              <w:adjustRightInd w:val="0"/>
              <w:spacing w:before="0" w:after="0" w:line="360" w:lineRule="auto"/>
              <w:ind w:right="0" w:firstLine="480" w:firstLineChars="200"/>
              <w:rPr>
                <w:sz w:val="24"/>
                <w:szCs w:val="24"/>
              </w:rPr>
            </w:pPr>
            <w:r>
              <w:rPr>
                <w:sz w:val="24"/>
                <w:szCs w:val="24"/>
              </w:rPr>
              <w:t>无人机放线：一般是在机身下悬挂一平衡重物，导引绳连接其上，在地面展放机械的配合下牵引飞过塔位。由塔上人员配合或机上操作人员借助导杆将导引绳放入牵引滑车槽内，再用导引绳牵牵引绳，通过相与相间渡绳等操作，最后用牵引绳牵放导线。</w:t>
            </w:r>
          </w:p>
          <w:p w14:paraId="33841FE8">
            <w:pPr>
              <w:pStyle w:val="2"/>
              <w:adjustRightInd w:val="0"/>
              <w:spacing w:before="0" w:after="0" w:line="360" w:lineRule="auto"/>
              <w:ind w:right="0"/>
              <w:jc w:val="center"/>
              <w:rPr>
                <w:rFonts w:eastAsia="仿宋_GB2312"/>
              </w:rPr>
            </w:pPr>
            <w:r>
              <w:rPr>
                <w:rFonts w:eastAsia="仿宋_GB2312"/>
              </w:rPr>
              <w:drawing>
                <wp:inline distT="0" distB="0" distL="0" distR="0">
                  <wp:extent cx="2628900" cy="1981200"/>
                  <wp:effectExtent l="0" t="0" r="0" b="0"/>
                  <wp:docPr id="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2628900" cy="1981200"/>
                          </a:xfrm>
                          <a:prstGeom prst="rect">
                            <a:avLst/>
                          </a:prstGeom>
                          <a:noFill/>
                          <a:ln>
                            <a:noFill/>
                          </a:ln>
                          <a:effectLst/>
                        </pic:spPr>
                      </pic:pic>
                    </a:graphicData>
                  </a:graphic>
                </wp:inline>
              </w:drawing>
            </w:r>
            <w:r>
              <w:rPr>
                <w:rFonts w:eastAsia="仿宋_GB2312"/>
              </w:rPr>
              <w:drawing>
                <wp:inline distT="0" distB="0" distL="0" distR="0">
                  <wp:extent cx="2638425" cy="1981200"/>
                  <wp:effectExtent l="0" t="0" r="0" b="0"/>
                  <wp:docPr id="28"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638425" cy="1981200"/>
                          </a:xfrm>
                          <a:prstGeom prst="rect">
                            <a:avLst/>
                          </a:prstGeom>
                          <a:noFill/>
                          <a:ln>
                            <a:noFill/>
                          </a:ln>
                          <a:effectLst/>
                        </pic:spPr>
                      </pic:pic>
                    </a:graphicData>
                  </a:graphic>
                </wp:inline>
              </w:drawing>
            </w:r>
          </w:p>
          <w:p w14:paraId="6EC8E923">
            <w:pPr>
              <w:pStyle w:val="2"/>
              <w:adjustRightInd w:val="0"/>
              <w:spacing w:before="0" w:after="0" w:line="360" w:lineRule="auto"/>
              <w:ind w:right="0"/>
              <w:jc w:val="center"/>
              <w:rPr>
                <w:rFonts w:eastAsia="黑体"/>
                <w:sz w:val="40"/>
                <w:szCs w:val="24"/>
              </w:rPr>
            </w:pPr>
            <w:r>
              <w:rPr>
                <w:rFonts w:eastAsia="黑体"/>
                <w:bCs/>
                <w:sz w:val="24"/>
                <w:szCs w:val="21"/>
              </w:rPr>
              <w:t>图2-9无人机展放导引绳施工工艺</w:t>
            </w:r>
          </w:p>
          <w:p w14:paraId="2CA4C619">
            <w:pPr>
              <w:adjustRightInd w:val="0"/>
              <w:snapToGrid w:val="0"/>
              <w:spacing w:line="360" w:lineRule="auto"/>
              <w:jc w:val="left"/>
              <w:rPr>
                <w:b/>
                <w:bCs/>
                <w:kern w:val="0"/>
                <w:sz w:val="24"/>
              </w:rPr>
            </w:pPr>
            <w:r>
              <w:rPr>
                <w:b/>
                <w:bCs/>
                <w:kern w:val="0"/>
                <w:sz w:val="24"/>
              </w:rPr>
              <w:t>7、施工</w:t>
            </w:r>
            <w:r>
              <w:rPr>
                <w:rFonts w:hint="eastAsia"/>
                <w:b/>
                <w:bCs/>
                <w:kern w:val="0"/>
                <w:sz w:val="24"/>
              </w:rPr>
              <w:t>组织及劳动定员</w:t>
            </w:r>
          </w:p>
          <w:p w14:paraId="48507397">
            <w:pPr>
              <w:pStyle w:val="270"/>
              <w:ind w:firstLine="480"/>
              <w:rPr>
                <w:kern w:val="0"/>
              </w:rPr>
            </w:pPr>
            <w:r>
              <w:rPr>
                <w:kern w:val="0"/>
              </w:rPr>
              <w:t>本项目总工期6个月，预计于2026年8月开工，2027年1月完工。</w:t>
            </w:r>
          </w:p>
          <w:p w14:paraId="516F3EC6">
            <w:pPr>
              <w:pStyle w:val="270"/>
              <w:ind w:firstLine="480"/>
              <w:rPr>
                <w:kern w:val="0"/>
              </w:rPr>
            </w:pPr>
            <w:r>
              <w:rPr>
                <w:kern w:val="0"/>
              </w:rPr>
              <w:t>按照工程施工组织计划，输电线路工程工期5个月，预计于2026年9月</w:t>
            </w:r>
            <w:r>
              <w:rPr>
                <w:rFonts w:hint="eastAsia"/>
                <w:kern w:val="0"/>
              </w:rPr>
              <w:t>正式</w:t>
            </w:r>
            <w:r>
              <w:rPr>
                <w:kern w:val="0"/>
              </w:rPr>
              <w:t>开工，2027年1月底完工。工程施工准备期1个月，主要内容为线路复测和施工便道的清理，场地三通一平；</w:t>
            </w:r>
          </w:p>
          <w:p w14:paraId="33C80061">
            <w:pPr>
              <w:pStyle w:val="270"/>
              <w:ind w:firstLine="480"/>
              <w:rPr>
                <w:kern w:val="0"/>
              </w:rPr>
            </w:pPr>
            <w:r>
              <w:rPr>
                <w:rFonts w:hint="eastAsia"/>
                <w:kern w:val="0"/>
              </w:rPr>
              <w:t>线路工程每天施工约</w:t>
            </w:r>
            <w:r>
              <w:rPr>
                <w:kern w:val="0"/>
              </w:rPr>
              <w:t>50</w:t>
            </w:r>
            <w:r>
              <w:rPr>
                <w:rFonts w:hint="eastAsia"/>
                <w:kern w:val="0"/>
              </w:rPr>
              <w:t>人，不设置集中式施工营地，施工人员依托沿线附近村庄已有生活设施安排食宿。</w:t>
            </w:r>
          </w:p>
        </w:tc>
      </w:tr>
      <w:tr w14:paraId="2E842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302" w:type="pct"/>
            <w:vAlign w:val="center"/>
          </w:tcPr>
          <w:p w14:paraId="55C25C2B">
            <w:pPr>
              <w:adjustRightInd w:val="0"/>
              <w:snapToGrid w:val="0"/>
              <w:jc w:val="center"/>
              <w:rPr>
                <w:kern w:val="0"/>
                <w:sz w:val="24"/>
              </w:rPr>
            </w:pPr>
            <w:r>
              <w:rPr>
                <w:kern w:val="0"/>
                <w:sz w:val="24"/>
              </w:rPr>
              <w:t>其他</w:t>
            </w:r>
          </w:p>
        </w:tc>
        <w:tc>
          <w:tcPr>
            <w:tcW w:w="4697" w:type="pct"/>
          </w:tcPr>
          <w:p w14:paraId="1C56BFA1">
            <w:pPr>
              <w:pStyle w:val="2"/>
              <w:adjustRightInd w:val="0"/>
              <w:spacing w:before="0" w:after="0" w:line="360" w:lineRule="auto"/>
              <w:ind w:right="0"/>
              <w:rPr>
                <w:b/>
                <w:bCs/>
                <w:sz w:val="24"/>
                <w:szCs w:val="24"/>
              </w:rPr>
            </w:pPr>
            <w:r>
              <w:rPr>
                <w:rFonts w:hint="eastAsia"/>
                <w:b/>
                <w:bCs/>
                <w:sz w:val="24"/>
                <w:szCs w:val="24"/>
              </w:rPr>
              <w:t>1、项目线路路径比选分析</w:t>
            </w:r>
          </w:p>
          <w:p w14:paraId="11E00F36">
            <w:pPr>
              <w:pStyle w:val="2"/>
              <w:adjustRightInd w:val="0"/>
              <w:spacing w:before="0" w:after="0" w:line="360" w:lineRule="auto"/>
              <w:ind w:right="0" w:firstLine="480" w:firstLineChars="200"/>
              <w:rPr>
                <w:sz w:val="24"/>
                <w:szCs w:val="24"/>
              </w:rPr>
            </w:pPr>
            <w:r>
              <w:rPr>
                <w:rFonts w:hint="eastAsia"/>
                <w:sz w:val="24"/>
                <w:szCs w:val="24"/>
              </w:rPr>
              <w:t>本项目送出线路路径拟定2个方案进行叙述，具体情况如下:</w:t>
            </w:r>
          </w:p>
          <w:p w14:paraId="5BB452C6">
            <w:pPr>
              <w:pStyle w:val="2"/>
              <w:adjustRightInd w:val="0"/>
              <w:spacing w:before="0" w:after="0" w:line="360" w:lineRule="auto"/>
              <w:ind w:right="0" w:firstLine="480" w:firstLineChars="200"/>
              <w:rPr>
                <w:sz w:val="24"/>
                <w:szCs w:val="24"/>
              </w:rPr>
            </w:pPr>
            <w:r>
              <w:rPr>
                <w:rFonts w:hint="eastAsia"/>
                <w:sz w:val="24"/>
                <w:szCs w:val="24"/>
              </w:rPr>
              <w:t>1）方案一（推荐方案）</w:t>
            </w:r>
          </w:p>
          <w:p w14:paraId="3947E45E">
            <w:pPr>
              <w:pStyle w:val="2"/>
              <w:adjustRightInd w:val="0"/>
              <w:spacing w:before="0" w:after="0" w:line="360" w:lineRule="auto"/>
              <w:ind w:right="0" w:firstLine="480" w:firstLineChars="200"/>
              <w:rPr>
                <w:sz w:val="24"/>
              </w:rPr>
            </w:pPr>
            <w:r>
              <w:rPr>
                <w:rFonts w:hint="eastAsia"/>
                <w:sz w:val="24"/>
              </w:rPr>
              <w:t>线路从南冲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线路全长约4.851km，线路曲折系数1.1，线路经过20mm冰区长度约4.431km，30mm冰区长度约0.42km。该方案不涉及国家级及省级公益林、生态保护红线、永久基本农田、矿区。全线位于曲靖市富源县境内。</w:t>
            </w:r>
          </w:p>
          <w:p w14:paraId="2FD84CB3">
            <w:pPr>
              <w:pStyle w:val="2"/>
              <w:adjustRightInd w:val="0"/>
              <w:spacing w:before="0" w:after="0" w:line="360" w:lineRule="auto"/>
              <w:ind w:right="0" w:firstLine="480" w:firstLineChars="200"/>
              <w:rPr>
                <w:sz w:val="24"/>
                <w:szCs w:val="24"/>
              </w:rPr>
            </w:pPr>
            <w:r>
              <w:rPr>
                <w:rFonts w:hint="eastAsia"/>
                <w:sz w:val="24"/>
              </w:rPr>
              <w:t>该方案全线地形比例：线路经过地区海拔在1780m～2160m之间，山地55%、高山15%、丘陵30%</w:t>
            </w:r>
            <w:r>
              <w:rPr>
                <w:rFonts w:hint="eastAsia"/>
                <w:sz w:val="24"/>
                <w:szCs w:val="24"/>
              </w:rPr>
              <w:t>。</w:t>
            </w:r>
          </w:p>
          <w:p w14:paraId="02022890">
            <w:pPr>
              <w:pStyle w:val="2"/>
              <w:adjustRightInd w:val="0"/>
              <w:spacing w:before="0" w:after="0" w:line="360" w:lineRule="auto"/>
              <w:ind w:right="0" w:firstLine="480" w:firstLineChars="200"/>
              <w:rPr>
                <w:sz w:val="24"/>
                <w:szCs w:val="24"/>
              </w:rPr>
            </w:pPr>
            <w:r>
              <w:rPr>
                <w:sz w:val="24"/>
                <w:szCs w:val="24"/>
              </w:rPr>
              <w:t>2</w:t>
            </w:r>
            <w:r>
              <w:rPr>
                <w:rFonts w:hint="eastAsia"/>
                <w:sz w:val="24"/>
                <w:szCs w:val="24"/>
              </w:rPr>
              <w:t>）方案二（比较方案）</w:t>
            </w:r>
          </w:p>
          <w:p w14:paraId="2A9063DE">
            <w:pPr>
              <w:pStyle w:val="2"/>
              <w:adjustRightInd w:val="0"/>
              <w:spacing w:before="0" w:after="0" w:line="360" w:lineRule="auto"/>
              <w:ind w:right="0" w:firstLine="480" w:firstLineChars="200"/>
              <w:rPr>
                <w:sz w:val="24"/>
                <w:szCs w:val="24"/>
              </w:rPr>
            </w:pPr>
            <w:r>
              <w:rPr>
                <w:rFonts w:hint="eastAsia"/>
                <w:sz w:val="24"/>
                <w:szCs w:val="24"/>
              </w:rPr>
              <w:t>线路从南冲升压站西南方向侧110kV构架出线后向南方向走线，从小达村东边经过至大树脚附近后连续右转，在大树脚附近跨S204省道后右转向西北方向走线跨已建35kV富得祖线、在宽塘附近跨35kV老得富线后经得麦冲、大山口，在大山口西边再次跨35kV老得富线后在小河边附近跨电网公司规划改建的两条35kV老得富线后右转跨电网公司规划改建的35kV富得祖线后从110kV铜厂变南侧采用架空接入本期构架，线路全长约8.935km，线路曲折系数2.02，线路经过20mm冰区长度约6.435km，30mm冰区长度约2.5km。</w:t>
            </w:r>
            <w:r>
              <w:rPr>
                <w:rFonts w:hint="eastAsia"/>
                <w:sz w:val="24"/>
              </w:rPr>
              <w:t>该方案不涉及国家级及省级公益林、生态保护红线、永久基本农田</w:t>
            </w:r>
            <w:r>
              <w:rPr>
                <w:rFonts w:hint="eastAsia"/>
                <w:sz w:val="24"/>
                <w:szCs w:val="24"/>
              </w:rPr>
              <w:t>，经过矿区。全线位于曲靖市富源县境内。</w:t>
            </w:r>
          </w:p>
          <w:p w14:paraId="57954D22">
            <w:pPr>
              <w:pStyle w:val="2"/>
              <w:adjustRightInd w:val="0"/>
              <w:spacing w:before="0" w:after="0" w:line="360" w:lineRule="auto"/>
              <w:ind w:right="0" w:firstLine="480" w:firstLineChars="200"/>
              <w:rPr>
                <w:sz w:val="24"/>
                <w:szCs w:val="24"/>
              </w:rPr>
            </w:pPr>
            <w:r>
              <w:rPr>
                <w:rFonts w:hint="eastAsia"/>
                <w:sz w:val="24"/>
                <w:szCs w:val="24"/>
              </w:rPr>
              <w:t>该方案全线地形比例：线路经过地区海拔在1830m～2210m之间，山地50%、高山30%、丘陵20%。</w:t>
            </w:r>
          </w:p>
          <w:p w14:paraId="6FFB3C56">
            <w:pPr>
              <w:pStyle w:val="2"/>
              <w:adjustRightInd w:val="0"/>
              <w:spacing w:before="0" w:after="0" w:line="360" w:lineRule="auto"/>
              <w:ind w:right="0" w:firstLine="480" w:firstLineChars="200"/>
              <w:rPr>
                <w:sz w:val="24"/>
                <w:szCs w:val="24"/>
              </w:rPr>
            </w:pPr>
            <w:r>
              <w:rPr>
                <w:rFonts w:hint="eastAsia"/>
                <w:sz w:val="24"/>
                <w:szCs w:val="24"/>
              </w:rPr>
              <w:t>3）路线对比</w:t>
            </w:r>
          </w:p>
          <w:p w14:paraId="7984749E">
            <w:pPr>
              <w:pStyle w:val="2"/>
              <w:adjustRightInd w:val="0"/>
              <w:spacing w:before="0" w:after="0" w:line="360" w:lineRule="auto"/>
              <w:ind w:right="0" w:firstLine="480" w:firstLineChars="200"/>
              <w:rPr>
                <w:sz w:val="24"/>
                <w:szCs w:val="24"/>
              </w:rPr>
            </w:pPr>
            <w:r>
              <w:rPr>
                <w:rFonts w:hint="eastAsia"/>
                <w:sz w:val="24"/>
                <w:szCs w:val="24"/>
              </w:rPr>
              <w:t>规划线路与已建线路交叉跨越情况：本期规划两条路径均存在与已建线路及其他规划线路不同次数的交叉跨越，已建线路及其他规划线路均为35kV线路，已建及其他规划35kV线路本期新建线路需跨越。已建35kV线路根据现场初步踏勘已考虑交叉跨越距离，其他规划线路经现场初步踏勘线路还未施工建成，本期经对接收资已初步考虑交叉跨越点位置及距离。</w:t>
            </w:r>
          </w:p>
          <w:p w14:paraId="697ABF64">
            <w:pPr>
              <w:pStyle w:val="2"/>
              <w:adjustRightInd w:val="0"/>
              <w:spacing w:before="0" w:after="0" w:line="360" w:lineRule="auto"/>
              <w:ind w:right="0" w:firstLine="480" w:firstLineChars="200"/>
              <w:rPr>
                <w:sz w:val="24"/>
                <w:szCs w:val="24"/>
              </w:rPr>
            </w:pPr>
            <w:r>
              <w:rPr>
                <w:rFonts w:hint="eastAsia"/>
                <w:sz w:val="24"/>
                <w:szCs w:val="24"/>
              </w:rPr>
              <w:t>规划线路与沿线敏感因素的情况：本期推荐路径（方案一）、对比方案（方案二）均不涉及国家级及省级公益林、生态保护红线、永久基本农田，推荐路径（方案一）未经过矿区、对比方案（方案二）经过矿区。</w:t>
            </w:r>
          </w:p>
          <w:p w14:paraId="4DBC238A">
            <w:pPr>
              <w:pStyle w:val="2"/>
              <w:adjustRightInd w:val="0"/>
              <w:spacing w:before="0" w:after="0" w:line="360" w:lineRule="auto"/>
              <w:ind w:right="0" w:firstLine="480" w:firstLineChars="200"/>
              <w:rPr>
                <w:sz w:val="24"/>
                <w:szCs w:val="24"/>
              </w:rPr>
            </w:pPr>
            <w:r>
              <w:rPr>
                <w:rFonts w:hint="eastAsia"/>
                <w:sz w:val="24"/>
                <w:szCs w:val="24"/>
              </w:rPr>
              <w:t>据各路径方案的走向、地质、交通、森林分布、交叉、矿产分布、水文及敏感因素情况，各路径方案的综合比较见下表：</w:t>
            </w:r>
          </w:p>
          <w:p w14:paraId="720870BC">
            <w:pPr>
              <w:tabs>
                <w:tab w:val="left" w:pos="2520"/>
                <w:tab w:val="center" w:pos="4513"/>
              </w:tabs>
              <w:adjustRightInd w:val="0"/>
              <w:snapToGrid w:val="0"/>
              <w:jc w:val="center"/>
              <w:rPr>
                <w:rFonts w:eastAsia="黑体"/>
                <w:sz w:val="24"/>
                <w:szCs w:val="32"/>
              </w:rPr>
            </w:pPr>
            <w:r>
              <w:rPr>
                <w:rFonts w:eastAsia="黑体"/>
                <w:sz w:val="24"/>
                <w:szCs w:val="32"/>
              </w:rPr>
              <w:t>表2-8</w:t>
            </w:r>
            <w:r>
              <w:rPr>
                <w:rFonts w:hint="eastAsia" w:eastAsia="黑体"/>
                <w:sz w:val="24"/>
                <w:szCs w:val="32"/>
              </w:rPr>
              <w:t>南冲风电场 110kV 送出线路工程路径方案对比表</w:t>
            </w:r>
          </w:p>
          <w:tbl>
            <w:tblPr>
              <w:tblStyle w:val="45"/>
              <w:tblW w:w="8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380"/>
              <w:gridCol w:w="2977"/>
              <w:gridCol w:w="2977"/>
            </w:tblGrid>
            <w:tr w14:paraId="73FB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29B6C42A">
                  <w:pPr>
                    <w:widowControl/>
                    <w:jc w:val="center"/>
                    <w:rPr>
                      <w:color w:val="000000"/>
                      <w:kern w:val="0"/>
                    </w:rPr>
                  </w:pPr>
                  <w:r>
                    <w:rPr>
                      <w:color w:val="000000"/>
                      <w:kern w:val="0"/>
                    </w:rPr>
                    <w:t>序号</w:t>
                  </w:r>
                </w:p>
              </w:tc>
              <w:tc>
                <w:tcPr>
                  <w:tcW w:w="1380" w:type="dxa"/>
                  <w:shd w:val="clear" w:color="auto" w:fill="auto"/>
                  <w:vAlign w:val="center"/>
                </w:tcPr>
                <w:p w14:paraId="63904670">
                  <w:pPr>
                    <w:widowControl/>
                    <w:jc w:val="center"/>
                    <w:rPr>
                      <w:color w:val="000000"/>
                      <w:kern w:val="0"/>
                    </w:rPr>
                  </w:pPr>
                  <w:r>
                    <w:rPr>
                      <w:color w:val="000000"/>
                      <w:kern w:val="0"/>
                    </w:rPr>
                    <w:t>项目</w:t>
                  </w:r>
                </w:p>
              </w:tc>
              <w:tc>
                <w:tcPr>
                  <w:tcW w:w="2977" w:type="dxa"/>
                  <w:shd w:val="clear" w:color="auto" w:fill="auto"/>
                  <w:vAlign w:val="center"/>
                </w:tcPr>
                <w:p w14:paraId="30EB25F5">
                  <w:pPr>
                    <w:widowControl/>
                    <w:jc w:val="center"/>
                    <w:rPr>
                      <w:color w:val="000000"/>
                      <w:kern w:val="0"/>
                    </w:rPr>
                  </w:pPr>
                  <w:r>
                    <w:rPr>
                      <w:color w:val="000000"/>
                      <w:kern w:val="0"/>
                    </w:rPr>
                    <w:t>方案一（推荐方案）</w:t>
                  </w:r>
                </w:p>
              </w:tc>
              <w:tc>
                <w:tcPr>
                  <w:tcW w:w="2977" w:type="dxa"/>
                  <w:shd w:val="clear" w:color="auto" w:fill="auto"/>
                  <w:vAlign w:val="center"/>
                </w:tcPr>
                <w:p w14:paraId="481BF7BA">
                  <w:pPr>
                    <w:widowControl/>
                    <w:jc w:val="center"/>
                    <w:rPr>
                      <w:color w:val="000000"/>
                      <w:kern w:val="0"/>
                    </w:rPr>
                  </w:pPr>
                  <w:r>
                    <w:rPr>
                      <w:color w:val="000000"/>
                      <w:kern w:val="0"/>
                    </w:rPr>
                    <w:t>方案二（对比方案）</w:t>
                  </w:r>
                </w:p>
              </w:tc>
            </w:tr>
            <w:tr w14:paraId="2BEE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1234A03B">
                  <w:pPr>
                    <w:widowControl/>
                    <w:jc w:val="center"/>
                    <w:rPr>
                      <w:color w:val="000000"/>
                      <w:kern w:val="0"/>
                    </w:rPr>
                  </w:pPr>
                  <w:r>
                    <w:rPr>
                      <w:color w:val="000000"/>
                      <w:kern w:val="0"/>
                    </w:rPr>
                    <w:t>1</w:t>
                  </w:r>
                </w:p>
              </w:tc>
              <w:tc>
                <w:tcPr>
                  <w:tcW w:w="1380" w:type="dxa"/>
                  <w:shd w:val="clear" w:color="auto" w:fill="auto"/>
                  <w:vAlign w:val="center"/>
                </w:tcPr>
                <w:p w14:paraId="07F3B999">
                  <w:pPr>
                    <w:widowControl/>
                    <w:jc w:val="center"/>
                    <w:rPr>
                      <w:color w:val="000000"/>
                      <w:kern w:val="0"/>
                    </w:rPr>
                  </w:pPr>
                  <w:r>
                    <w:rPr>
                      <w:color w:val="000000"/>
                      <w:kern w:val="0"/>
                    </w:rPr>
                    <w:t>线路长度</w:t>
                  </w:r>
                </w:p>
              </w:tc>
              <w:tc>
                <w:tcPr>
                  <w:tcW w:w="2977" w:type="dxa"/>
                  <w:vAlign w:val="center"/>
                </w:tcPr>
                <w:p w14:paraId="2C23E4F8">
                  <w:pPr>
                    <w:widowControl/>
                    <w:jc w:val="center"/>
                    <w:rPr>
                      <w:color w:val="000000"/>
                      <w:kern w:val="0"/>
                    </w:rPr>
                  </w:pPr>
                  <w:r>
                    <w:rPr>
                      <w:rFonts w:hint="eastAsia"/>
                    </w:rPr>
                    <w:t>单回路：</w:t>
                  </w:r>
                  <w:r>
                    <w:t>4.851km</w:t>
                  </w:r>
                </w:p>
              </w:tc>
              <w:tc>
                <w:tcPr>
                  <w:tcW w:w="2977" w:type="dxa"/>
                  <w:vAlign w:val="center"/>
                </w:tcPr>
                <w:p w14:paraId="7813D562">
                  <w:pPr>
                    <w:widowControl/>
                    <w:jc w:val="center"/>
                    <w:rPr>
                      <w:color w:val="000000"/>
                      <w:kern w:val="0"/>
                    </w:rPr>
                  </w:pPr>
                  <w:r>
                    <w:rPr>
                      <w:rFonts w:hint="eastAsia"/>
                    </w:rPr>
                    <w:t>单回路：</w:t>
                  </w:r>
                  <w:r>
                    <w:t>8.935km</w:t>
                  </w:r>
                </w:p>
              </w:tc>
            </w:tr>
            <w:tr w14:paraId="4FA1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64CB7A3E">
                  <w:pPr>
                    <w:widowControl/>
                    <w:jc w:val="center"/>
                    <w:rPr>
                      <w:color w:val="000000"/>
                      <w:kern w:val="0"/>
                    </w:rPr>
                  </w:pPr>
                  <w:r>
                    <w:rPr>
                      <w:color w:val="000000"/>
                      <w:kern w:val="0"/>
                    </w:rPr>
                    <w:t>2</w:t>
                  </w:r>
                </w:p>
              </w:tc>
              <w:tc>
                <w:tcPr>
                  <w:tcW w:w="1380" w:type="dxa"/>
                  <w:shd w:val="clear" w:color="auto" w:fill="auto"/>
                  <w:vAlign w:val="center"/>
                </w:tcPr>
                <w:p w14:paraId="6D1D845F">
                  <w:pPr>
                    <w:widowControl/>
                    <w:jc w:val="center"/>
                    <w:rPr>
                      <w:color w:val="000000"/>
                      <w:kern w:val="0"/>
                    </w:rPr>
                  </w:pPr>
                  <w:r>
                    <w:rPr>
                      <w:color w:val="000000"/>
                      <w:kern w:val="0"/>
                    </w:rPr>
                    <w:t>曲折系数</w:t>
                  </w:r>
                </w:p>
              </w:tc>
              <w:tc>
                <w:tcPr>
                  <w:tcW w:w="2977" w:type="dxa"/>
                  <w:vAlign w:val="center"/>
                </w:tcPr>
                <w:p w14:paraId="206C2746">
                  <w:pPr>
                    <w:widowControl/>
                    <w:jc w:val="center"/>
                    <w:rPr>
                      <w:color w:val="000000"/>
                      <w:kern w:val="0"/>
                    </w:rPr>
                  </w:pPr>
                  <w:r>
                    <w:t>1.1</w:t>
                  </w:r>
                </w:p>
              </w:tc>
              <w:tc>
                <w:tcPr>
                  <w:tcW w:w="2977" w:type="dxa"/>
                  <w:vAlign w:val="center"/>
                </w:tcPr>
                <w:p w14:paraId="702B7E85">
                  <w:pPr>
                    <w:widowControl/>
                    <w:jc w:val="center"/>
                    <w:rPr>
                      <w:color w:val="000000"/>
                      <w:kern w:val="0"/>
                    </w:rPr>
                  </w:pPr>
                  <w:r>
                    <w:t>2.02</w:t>
                  </w:r>
                </w:p>
              </w:tc>
            </w:tr>
            <w:tr w14:paraId="19B9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07E51785">
                  <w:pPr>
                    <w:widowControl/>
                    <w:jc w:val="center"/>
                    <w:rPr>
                      <w:color w:val="000000"/>
                      <w:kern w:val="0"/>
                    </w:rPr>
                  </w:pPr>
                  <w:r>
                    <w:rPr>
                      <w:color w:val="000000"/>
                      <w:kern w:val="0"/>
                    </w:rPr>
                    <w:t>3</w:t>
                  </w:r>
                </w:p>
              </w:tc>
              <w:tc>
                <w:tcPr>
                  <w:tcW w:w="1380" w:type="dxa"/>
                  <w:shd w:val="clear" w:color="auto" w:fill="auto"/>
                  <w:vAlign w:val="center"/>
                </w:tcPr>
                <w:p w14:paraId="7AC404CE">
                  <w:pPr>
                    <w:widowControl/>
                    <w:jc w:val="center"/>
                    <w:rPr>
                      <w:color w:val="000000"/>
                      <w:kern w:val="0"/>
                    </w:rPr>
                  </w:pPr>
                  <w:r>
                    <w:rPr>
                      <w:color w:val="000000"/>
                      <w:kern w:val="0"/>
                    </w:rPr>
                    <w:t>海拔</w:t>
                  </w:r>
                </w:p>
              </w:tc>
              <w:tc>
                <w:tcPr>
                  <w:tcW w:w="2977" w:type="dxa"/>
                  <w:vAlign w:val="center"/>
                </w:tcPr>
                <w:p w14:paraId="4CF95B94">
                  <w:pPr>
                    <w:widowControl/>
                    <w:jc w:val="center"/>
                    <w:rPr>
                      <w:color w:val="000000"/>
                      <w:kern w:val="0"/>
                    </w:rPr>
                  </w:pPr>
                  <w:r>
                    <w:t>1780m</w:t>
                  </w:r>
                  <w:r>
                    <w:rPr>
                      <w:rFonts w:hint="eastAsia"/>
                    </w:rPr>
                    <w:t>～</w:t>
                  </w:r>
                  <w:r>
                    <w:t>2160m</w:t>
                  </w:r>
                </w:p>
              </w:tc>
              <w:tc>
                <w:tcPr>
                  <w:tcW w:w="2977" w:type="dxa"/>
                  <w:vAlign w:val="center"/>
                </w:tcPr>
                <w:p w14:paraId="153B29A4">
                  <w:pPr>
                    <w:widowControl/>
                    <w:jc w:val="center"/>
                    <w:rPr>
                      <w:color w:val="000000"/>
                      <w:kern w:val="0"/>
                    </w:rPr>
                  </w:pPr>
                  <w:r>
                    <w:t>1830m</w:t>
                  </w:r>
                  <w:r>
                    <w:rPr>
                      <w:rFonts w:hint="eastAsia"/>
                    </w:rPr>
                    <w:t>～</w:t>
                  </w:r>
                  <w:r>
                    <w:t>2210m</w:t>
                  </w:r>
                </w:p>
              </w:tc>
            </w:tr>
            <w:tr w14:paraId="777F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880" w:type="dxa"/>
                  <w:shd w:val="clear" w:color="auto" w:fill="auto"/>
                  <w:vAlign w:val="center"/>
                </w:tcPr>
                <w:p w14:paraId="6F6BCBCD">
                  <w:pPr>
                    <w:widowControl/>
                    <w:jc w:val="center"/>
                    <w:rPr>
                      <w:color w:val="000000"/>
                      <w:kern w:val="0"/>
                    </w:rPr>
                  </w:pPr>
                  <w:r>
                    <w:rPr>
                      <w:color w:val="000000"/>
                      <w:kern w:val="0"/>
                    </w:rPr>
                    <w:t>4</w:t>
                  </w:r>
                </w:p>
              </w:tc>
              <w:tc>
                <w:tcPr>
                  <w:tcW w:w="1380" w:type="dxa"/>
                  <w:shd w:val="clear" w:color="auto" w:fill="auto"/>
                  <w:vAlign w:val="center"/>
                </w:tcPr>
                <w:p w14:paraId="15765822">
                  <w:pPr>
                    <w:widowControl/>
                    <w:jc w:val="center"/>
                    <w:rPr>
                      <w:color w:val="000000"/>
                      <w:kern w:val="0"/>
                    </w:rPr>
                  </w:pPr>
                  <w:r>
                    <w:rPr>
                      <w:color w:val="000000"/>
                      <w:kern w:val="0"/>
                    </w:rPr>
                    <w:t>地形特点</w:t>
                  </w:r>
                </w:p>
              </w:tc>
              <w:tc>
                <w:tcPr>
                  <w:tcW w:w="5954" w:type="dxa"/>
                  <w:gridSpan w:val="2"/>
                  <w:vAlign w:val="center"/>
                </w:tcPr>
                <w:p w14:paraId="781FD01D">
                  <w:pPr>
                    <w:widowControl/>
                    <w:jc w:val="center"/>
                    <w:rPr>
                      <w:color w:val="000000"/>
                      <w:kern w:val="0"/>
                    </w:rPr>
                  </w:pPr>
                  <w:r>
                    <w:rPr>
                      <w:rFonts w:hint="eastAsia"/>
                    </w:rPr>
                    <w:t>富源县地处滇东高原与贵州过渡的斜坡地带，全县地势北高南低，由西北向东南略有倾斜，乌蒙山支脉自北向南纵贯全境。富源县地貌为中山山地，其特征为河流纵向切割、山川南北展布、地形破碎、山高谷深、坡陡流急、岩溶发达、河谷阶地狭窄，耕地零星分散，海拔最高点墨红镇营盘山为</w:t>
                  </w:r>
                  <w:r>
                    <w:t>2748.9m</w:t>
                  </w:r>
                  <w:r>
                    <w:rPr>
                      <w:rFonts w:hint="eastAsia"/>
                    </w:rPr>
                    <w:t>，最低点在古敢水族乡的特土峡谷，为</w:t>
                  </w:r>
                  <w:r>
                    <w:t>1100m</w:t>
                  </w:r>
                  <w:r>
                    <w:rPr>
                      <w:rFonts w:hint="eastAsia"/>
                    </w:rPr>
                    <w:t>。</w:t>
                  </w:r>
                </w:p>
              </w:tc>
            </w:tr>
            <w:tr w14:paraId="2B10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880" w:type="dxa"/>
                  <w:shd w:val="clear" w:color="auto" w:fill="auto"/>
                  <w:vAlign w:val="center"/>
                </w:tcPr>
                <w:p w14:paraId="7EA0A88B">
                  <w:pPr>
                    <w:widowControl/>
                    <w:jc w:val="center"/>
                    <w:rPr>
                      <w:color w:val="000000"/>
                      <w:kern w:val="0"/>
                    </w:rPr>
                  </w:pPr>
                  <w:r>
                    <w:rPr>
                      <w:color w:val="000000"/>
                      <w:kern w:val="0"/>
                    </w:rPr>
                    <w:t>5</w:t>
                  </w:r>
                </w:p>
              </w:tc>
              <w:tc>
                <w:tcPr>
                  <w:tcW w:w="1380" w:type="dxa"/>
                  <w:shd w:val="clear" w:color="auto" w:fill="auto"/>
                  <w:vAlign w:val="center"/>
                </w:tcPr>
                <w:p w14:paraId="746ECFCF">
                  <w:pPr>
                    <w:widowControl/>
                    <w:jc w:val="center"/>
                    <w:rPr>
                      <w:color w:val="000000"/>
                      <w:kern w:val="0"/>
                    </w:rPr>
                  </w:pPr>
                  <w:r>
                    <w:rPr>
                      <w:color w:val="000000"/>
                      <w:kern w:val="0"/>
                    </w:rPr>
                    <w:t>地质情况</w:t>
                  </w:r>
                </w:p>
              </w:tc>
              <w:tc>
                <w:tcPr>
                  <w:tcW w:w="5954" w:type="dxa"/>
                  <w:gridSpan w:val="2"/>
                </w:tcPr>
                <w:p w14:paraId="5A272704">
                  <w:pPr>
                    <w:widowControl/>
                    <w:jc w:val="center"/>
                    <w:rPr>
                      <w:color w:val="000000"/>
                      <w:kern w:val="0"/>
                    </w:rPr>
                  </w:pPr>
                  <w:r>
                    <w:rPr>
                      <w:rFonts w:hint="eastAsia"/>
                    </w:rPr>
                    <w:t>富源县表层分布第四系</w:t>
                  </w:r>
                  <w:r>
                    <w:t>(Qed)</w:t>
                  </w:r>
                  <w:r>
                    <w:rPr>
                      <w:rFonts w:hint="eastAsia"/>
                    </w:rPr>
                    <w:t>褐黄色粘土、含砾粘土等残坡积物。地下水总体上受大气降水补给和控制，地下水埋藏较深。经查阅资料和现场调查，富源县无发生地质灾害的历史记载，现场调查在场地周边未发现滑坡、泥石流、崩塌等影响场地稳定性的不良地质现象存在。场区稳定性较好。</w:t>
                  </w:r>
                </w:p>
              </w:tc>
            </w:tr>
            <w:tr w14:paraId="7696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80" w:type="dxa"/>
                  <w:shd w:val="clear" w:color="auto" w:fill="auto"/>
                  <w:vAlign w:val="center"/>
                </w:tcPr>
                <w:p w14:paraId="3B4FC9FB">
                  <w:pPr>
                    <w:widowControl/>
                    <w:jc w:val="center"/>
                    <w:rPr>
                      <w:color w:val="000000"/>
                      <w:kern w:val="0"/>
                    </w:rPr>
                  </w:pPr>
                  <w:r>
                    <w:rPr>
                      <w:color w:val="000000"/>
                      <w:kern w:val="0"/>
                    </w:rPr>
                    <w:t>6</w:t>
                  </w:r>
                </w:p>
              </w:tc>
              <w:tc>
                <w:tcPr>
                  <w:tcW w:w="1380" w:type="dxa"/>
                  <w:shd w:val="clear" w:color="auto" w:fill="auto"/>
                  <w:vAlign w:val="center"/>
                </w:tcPr>
                <w:p w14:paraId="7F048875">
                  <w:pPr>
                    <w:widowControl/>
                    <w:jc w:val="center"/>
                    <w:rPr>
                      <w:color w:val="000000"/>
                      <w:kern w:val="0"/>
                    </w:rPr>
                  </w:pPr>
                  <w:r>
                    <w:rPr>
                      <w:color w:val="000000"/>
                      <w:kern w:val="0"/>
                    </w:rPr>
                    <w:t>沿线矿产及设施情况</w:t>
                  </w:r>
                </w:p>
              </w:tc>
              <w:tc>
                <w:tcPr>
                  <w:tcW w:w="2977" w:type="dxa"/>
                </w:tcPr>
                <w:p w14:paraId="0B3EAE73">
                  <w:pPr>
                    <w:ind w:firstLine="420" w:firstLineChars="200"/>
                  </w:pPr>
                  <w:r>
                    <w:rPr>
                      <w:rFonts w:hint="eastAsia"/>
                    </w:rPr>
                    <w:t>沿线未发现炸药仓库，线路对县道、乡道及乡村机耕道路距离满足要求。</w:t>
                  </w:r>
                </w:p>
                <w:p w14:paraId="6BF3EE62">
                  <w:pPr>
                    <w:widowControl/>
                    <w:jc w:val="center"/>
                    <w:rPr>
                      <w:color w:val="000000"/>
                      <w:kern w:val="0"/>
                    </w:rPr>
                  </w:pPr>
                  <w:r>
                    <w:rPr>
                      <w:rFonts w:hint="eastAsia"/>
                    </w:rPr>
                    <w:t>拟建线路已避开沿线具有开采价值矿权。</w:t>
                  </w:r>
                </w:p>
              </w:tc>
              <w:tc>
                <w:tcPr>
                  <w:tcW w:w="2977" w:type="dxa"/>
                </w:tcPr>
                <w:p w14:paraId="181E5463">
                  <w:pPr>
                    <w:ind w:firstLine="420" w:firstLineChars="200"/>
                  </w:pPr>
                  <w:r>
                    <w:rPr>
                      <w:rFonts w:hint="eastAsia"/>
                    </w:rPr>
                    <w:t>沿线未发现炸药仓库，线路对县道、乡道及乡村机耕道路距离满足要求。</w:t>
                  </w:r>
                </w:p>
                <w:p w14:paraId="080D0570">
                  <w:pPr>
                    <w:widowControl/>
                    <w:jc w:val="center"/>
                    <w:rPr>
                      <w:color w:val="000000"/>
                      <w:kern w:val="0"/>
                    </w:rPr>
                  </w:pPr>
                  <w:r>
                    <w:rPr>
                      <w:rFonts w:hint="eastAsia"/>
                    </w:rPr>
                    <w:t>拟建线路未避开沿线具有开采价值矿权。</w:t>
                  </w:r>
                </w:p>
              </w:tc>
            </w:tr>
            <w:tr w14:paraId="0D8E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880" w:type="dxa"/>
                  <w:shd w:val="clear" w:color="auto" w:fill="auto"/>
                  <w:vAlign w:val="center"/>
                </w:tcPr>
                <w:p w14:paraId="00F280B9">
                  <w:pPr>
                    <w:widowControl/>
                    <w:jc w:val="center"/>
                    <w:rPr>
                      <w:color w:val="000000"/>
                      <w:kern w:val="0"/>
                    </w:rPr>
                  </w:pPr>
                  <w:r>
                    <w:rPr>
                      <w:color w:val="000000"/>
                      <w:kern w:val="0"/>
                    </w:rPr>
                    <w:t>7</w:t>
                  </w:r>
                </w:p>
              </w:tc>
              <w:tc>
                <w:tcPr>
                  <w:tcW w:w="1380" w:type="dxa"/>
                  <w:shd w:val="clear" w:color="auto" w:fill="auto"/>
                  <w:vAlign w:val="center"/>
                </w:tcPr>
                <w:p w14:paraId="7240FB11">
                  <w:pPr>
                    <w:widowControl/>
                    <w:jc w:val="center"/>
                    <w:rPr>
                      <w:color w:val="000000"/>
                      <w:kern w:val="0"/>
                    </w:rPr>
                  </w:pPr>
                  <w:r>
                    <w:rPr>
                      <w:color w:val="000000"/>
                      <w:kern w:val="0"/>
                    </w:rPr>
                    <w:t>冰区段长度</w:t>
                  </w:r>
                </w:p>
              </w:tc>
              <w:tc>
                <w:tcPr>
                  <w:tcW w:w="2977" w:type="dxa"/>
                  <w:vAlign w:val="center"/>
                </w:tcPr>
                <w:p w14:paraId="41ECAE6B">
                  <w:pPr>
                    <w:widowControl/>
                    <w:jc w:val="center"/>
                    <w:rPr>
                      <w:color w:val="000000"/>
                      <w:kern w:val="0"/>
                    </w:rPr>
                  </w:pPr>
                  <w:r>
                    <w:rPr>
                      <w:rFonts w:hint="eastAsia"/>
                    </w:rPr>
                    <w:t>全线按</w:t>
                  </w:r>
                  <w:r>
                    <w:t>20</w:t>
                  </w:r>
                  <w:r>
                    <w:rPr>
                      <w:rFonts w:hint="eastAsia"/>
                    </w:rPr>
                    <w:t>、</w:t>
                  </w:r>
                  <w:r>
                    <w:t>30mm</w:t>
                  </w:r>
                  <w:r>
                    <w:rPr>
                      <w:rFonts w:hint="eastAsia"/>
                    </w:rPr>
                    <w:t>覆冰设计。线路经过</w:t>
                  </w:r>
                  <w:r>
                    <w:t>20mm</w:t>
                  </w:r>
                  <w:r>
                    <w:rPr>
                      <w:rFonts w:hint="eastAsia"/>
                    </w:rPr>
                    <w:t>冰区长度约</w:t>
                  </w:r>
                  <w:r>
                    <w:t>4.431km</w:t>
                  </w:r>
                  <w:r>
                    <w:rPr>
                      <w:rFonts w:hint="eastAsia"/>
                    </w:rPr>
                    <w:t>，</w:t>
                  </w:r>
                  <w:r>
                    <w:t>30mm</w:t>
                  </w:r>
                  <w:r>
                    <w:rPr>
                      <w:rFonts w:hint="eastAsia"/>
                    </w:rPr>
                    <w:t>冰区长度约</w:t>
                  </w:r>
                  <w:r>
                    <w:t>0.42km</w:t>
                  </w:r>
                  <w:r>
                    <w:rPr>
                      <w:rFonts w:hint="eastAsia"/>
                    </w:rPr>
                    <w:t>。</w:t>
                  </w:r>
                </w:p>
              </w:tc>
              <w:tc>
                <w:tcPr>
                  <w:tcW w:w="2977" w:type="dxa"/>
                  <w:vAlign w:val="center"/>
                </w:tcPr>
                <w:p w14:paraId="2FEC0BD3">
                  <w:pPr>
                    <w:widowControl/>
                    <w:jc w:val="center"/>
                    <w:rPr>
                      <w:color w:val="000000"/>
                      <w:kern w:val="0"/>
                    </w:rPr>
                  </w:pPr>
                  <w:r>
                    <w:rPr>
                      <w:rFonts w:hint="eastAsia"/>
                    </w:rPr>
                    <w:t>全线按</w:t>
                  </w:r>
                  <w:r>
                    <w:t>20</w:t>
                  </w:r>
                  <w:r>
                    <w:rPr>
                      <w:rFonts w:hint="eastAsia"/>
                    </w:rPr>
                    <w:t>、</w:t>
                  </w:r>
                  <w:r>
                    <w:t>30mm</w:t>
                  </w:r>
                  <w:r>
                    <w:rPr>
                      <w:rFonts w:hint="eastAsia"/>
                    </w:rPr>
                    <w:t>覆冰设计。线路经过</w:t>
                  </w:r>
                  <w:r>
                    <w:t>20mm</w:t>
                  </w:r>
                  <w:r>
                    <w:rPr>
                      <w:rFonts w:hint="eastAsia"/>
                    </w:rPr>
                    <w:t>冰区长度约</w:t>
                  </w:r>
                  <w:r>
                    <w:t>6.435km</w:t>
                  </w:r>
                  <w:r>
                    <w:rPr>
                      <w:rFonts w:hint="eastAsia"/>
                    </w:rPr>
                    <w:t>，</w:t>
                  </w:r>
                  <w:r>
                    <w:t>30mm</w:t>
                  </w:r>
                  <w:r>
                    <w:rPr>
                      <w:rFonts w:hint="eastAsia"/>
                    </w:rPr>
                    <w:t>冰区长度约</w:t>
                  </w:r>
                  <w:r>
                    <w:t>2.5km</w:t>
                  </w:r>
                  <w:r>
                    <w:rPr>
                      <w:rFonts w:hint="eastAsia"/>
                    </w:rPr>
                    <w:t>。</w:t>
                  </w:r>
                </w:p>
              </w:tc>
            </w:tr>
            <w:tr w14:paraId="5A9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80" w:type="dxa"/>
                  <w:shd w:val="clear" w:color="auto" w:fill="auto"/>
                  <w:vAlign w:val="center"/>
                </w:tcPr>
                <w:p w14:paraId="2AED2C94">
                  <w:pPr>
                    <w:widowControl/>
                    <w:jc w:val="center"/>
                    <w:rPr>
                      <w:color w:val="000000"/>
                      <w:kern w:val="0"/>
                    </w:rPr>
                  </w:pPr>
                  <w:r>
                    <w:rPr>
                      <w:color w:val="000000"/>
                      <w:kern w:val="0"/>
                    </w:rPr>
                    <w:t>8</w:t>
                  </w:r>
                </w:p>
              </w:tc>
              <w:tc>
                <w:tcPr>
                  <w:tcW w:w="1380" w:type="dxa"/>
                  <w:shd w:val="clear" w:color="auto" w:fill="auto"/>
                  <w:vAlign w:val="center"/>
                </w:tcPr>
                <w:p w14:paraId="67D40447">
                  <w:pPr>
                    <w:widowControl/>
                    <w:jc w:val="center"/>
                    <w:rPr>
                      <w:color w:val="000000"/>
                      <w:kern w:val="0"/>
                    </w:rPr>
                  </w:pPr>
                  <w:r>
                    <w:rPr>
                      <w:color w:val="000000"/>
                      <w:kern w:val="0"/>
                    </w:rPr>
                    <w:t>杆塔基数</w:t>
                  </w:r>
                </w:p>
              </w:tc>
              <w:tc>
                <w:tcPr>
                  <w:tcW w:w="2977" w:type="dxa"/>
                </w:tcPr>
                <w:p w14:paraId="156C5F7A">
                  <w:pPr>
                    <w:jc w:val="center"/>
                  </w:pPr>
                  <w:r>
                    <w:rPr>
                      <w:rFonts w:hint="eastAsia"/>
                    </w:rPr>
                    <w:t>新建铁塔</w:t>
                  </w:r>
                  <w:r>
                    <w:t>23</w:t>
                  </w:r>
                  <w:r>
                    <w:rPr>
                      <w:rFonts w:hint="eastAsia"/>
                    </w:rPr>
                    <w:t>基</w:t>
                  </w:r>
                </w:p>
                <w:p w14:paraId="799779FF">
                  <w:pPr>
                    <w:jc w:val="center"/>
                  </w:pPr>
                  <w:r>
                    <w:rPr>
                      <w:rFonts w:hint="eastAsia"/>
                    </w:rPr>
                    <w:t>平均档距取</w:t>
                  </w:r>
                  <w:r>
                    <w:t>210m</w:t>
                  </w:r>
                </w:p>
                <w:p w14:paraId="4BB501D1">
                  <w:pPr>
                    <w:widowControl/>
                    <w:jc w:val="center"/>
                    <w:rPr>
                      <w:color w:val="000000"/>
                      <w:kern w:val="0"/>
                    </w:rPr>
                  </w:pPr>
                  <w:r>
                    <w:rPr>
                      <w:rFonts w:hint="eastAsia"/>
                    </w:rPr>
                    <w:t>耐张比例为</w:t>
                  </w:r>
                  <w:r>
                    <w:t>65%</w:t>
                  </w:r>
                </w:p>
              </w:tc>
              <w:tc>
                <w:tcPr>
                  <w:tcW w:w="2977" w:type="dxa"/>
                  <w:vAlign w:val="center"/>
                </w:tcPr>
                <w:p w14:paraId="5047C859">
                  <w:pPr>
                    <w:jc w:val="center"/>
                  </w:pPr>
                  <w:r>
                    <w:rPr>
                      <w:rFonts w:hint="eastAsia"/>
                    </w:rPr>
                    <w:t>新建铁塔</w:t>
                  </w:r>
                  <w:r>
                    <w:t>34</w:t>
                  </w:r>
                  <w:r>
                    <w:rPr>
                      <w:rFonts w:hint="eastAsia"/>
                    </w:rPr>
                    <w:t>基</w:t>
                  </w:r>
                </w:p>
                <w:p w14:paraId="6CDDE368">
                  <w:pPr>
                    <w:jc w:val="center"/>
                  </w:pPr>
                  <w:r>
                    <w:rPr>
                      <w:rFonts w:hint="eastAsia"/>
                    </w:rPr>
                    <w:t>平均档距取</w:t>
                  </w:r>
                  <w:r>
                    <w:t>260m</w:t>
                  </w:r>
                </w:p>
                <w:p w14:paraId="7A138996">
                  <w:pPr>
                    <w:widowControl/>
                    <w:jc w:val="center"/>
                    <w:rPr>
                      <w:color w:val="000000"/>
                      <w:kern w:val="0"/>
                    </w:rPr>
                  </w:pPr>
                  <w:r>
                    <w:rPr>
                      <w:rFonts w:hint="eastAsia"/>
                    </w:rPr>
                    <w:t>耐张比例为</w:t>
                  </w:r>
                  <w:r>
                    <w:t>60%</w:t>
                  </w:r>
                </w:p>
              </w:tc>
            </w:tr>
            <w:tr w14:paraId="12CA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880" w:type="dxa"/>
                  <w:shd w:val="clear" w:color="auto" w:fill="auto"/>
                  <w:vAlign w:val="center"/>
                </w:tcPr>
                <w:p w14:paraId="36662FA3">
                  <w:pPr>
                    <w:widowControl/>
                    <w:jc w:val="center"/>
                    <w:rPr>
                      <w:color w:val="000000"/>
                      <w:kern w:val="0"/>
                    </w:rPr>
                  </w:pPr>
                  <w:r>
                    <w:rPr>
                      <w:color w:val="000000"/>
                      <w:kern w:val="0"/>
                    </w:rPr>
                    <w:t>9</w:t>
                  </w:r>
                </w:p>
              </w:tc>
              <w:tc>
                <w:tcPr>
                  <w:tcW w:w="1380" w:type="dxa"/>
                  <w:shd w:val="clear" w:color="auto" w:fill="auto"/>
                  <w:vAlign w:val="center"/>
                </w:tcPr>
                <w:p w14:paraId="093E5988">
                  <w:pPr>
                    <w:widowControl/>
                    <w:jc w:val="center"/>
                    <w:rPr>
                      <w:color w:val="000000"/>
                      <w:kern w:val="0"/>
                    </w:rPr>
                  </w:pPr>
                  <w:r>
                    <w:rPr>
                      <w:color w:val="000000"/>
                      <w:kern w:val="0"/>
                    </w:rPr>
                    <w:t>森林情况</w:t>
                  </w:r>
                </w:p>
              </w:tc>
              <w:tc>
                <w:tcPr>
                  <w:tcW w:w="5954" w:type="dxa"/>
                  <w:gridSpan w:val="2"/>
                </w:tcPr>
                <w:p w14:paraId="37FD7DAA">
                  <w:pPr>
                    <w:widowControl/>
                    <w:jc w:val="center"/>
                    <w:rPr>
                      <w:color w:val="000000"/>
                      <w:kern w:val="0"/>
                    </w:rPr>
                  </w:pPr>
                  <w:r>
                    <w:rPr>
                      <w:rFonts w:hint="eastAsia"/>
                    </w:rPr>
                    <w:t>线路经过附近村庄较多多数为耕地，局部种植有果树，高度在</w:t>
                  </w:r>
                  <w:r>
                    <w:t>5-10m</w:t>
                  </w:r>
                  <w:r>
                    <w:rPr>
                      <w:rFonts w:hint="eastAsia"/>
                    </w:rPr>
                    <w:t>左右。山区为林地，树种主要为灌木、松树以及少量桉树，林木发育一般，大部分树种高度在</w:t>
                  </w:r>
                  <w:r>
                    <w:t>5-15</w:t>
                  </w:r>
                  <w:r>
                    <w:rPr>
                      <w:rFonts w:hint="eastAsia"/>
                    </w:rPr>
                    <w:t>m左右，部分树种高度可达</w:t>
                  </w:r>
                  <w:r>
                    <w:t>20m</w:t>
                  </w:r>
                  <w:r>
                    <w:rPr>
                      <w:rFonts w:hint="eastAsia"/>
                    </w:rPr>
                    <w:t>左右，本期采用高塔跨越，本次设计路径过林区采用高塔跨越，只在塔基位置处适当砍伐。</w:t>
                  </w:r>
                </w:p>
              </w:tc>
            </w:tr>
            <w:tr w14:paraId="116A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trPr>
              <w:tc>
                <w:tcPr>
                  <w:tcW w:w="880" w:type="dxa"/>
                  <w:shd w:val="clear" w:color="auto" w:fill="auto"/>
                  <w:vAlign w:val="center"/>
                </w:tcPr>
                <w:p w14:paraId="0533BC75">
                  <w:pPr>
                    <w:widowControl/>
                    <w:jc w:val="center"/>
                    <w:rPr>
                      <w:color w:val="000000"/>
                      <w:kern w:val="0"/>
                    </w:rPr>
                  </w:pPr>
                  <w:r>
                    <w:rPr>
                      <w:color w:val="000000"/>
                      <w:kern w:val="0"/>
                    </w:rPr>
                    <w:t>10</w:t>
                  </w:r>
                </w:p>
              </w:tc>
              <w:tc>
                <w:tcPr>
                  <w:tcW w:w="1380" w:type="dxa"/>
                  <w:shd w:val="clear" w:color="auto" w:fill="auto"/>
                  <w:vAlign w:val="center"/>
                </w:tcPr>
                <w:p w14:paraId="2CD1928C">
                  <w:pPr>
                    <w:widowControl/>
                    <w:jc w:val="center"/>
                    <w:rPr>
                      <w:color w:val="000000"/>
                      <w:kern w:val="0"/>
                    </w:rPr>
                  </w:pPr>
                  <w:r>
                    <w:rPr>
                      <w:color w:val="000000"/>
                      <w:kern w:val="0"/>
                    </w:rPr>
                    <w:t>受控因素</w:t>
                  </w:r>
                </w:p>
              </w:tc>
              <w:tc>
                <w:tcPr>
                  <w:tcW w:w="2977" w:type="dxa"/>
                  <w:vAlign w:val="center"/>
                </w:tcPr>
                <w:p w14:paraId="7EEFC79E">
                  <w:pPr>
                    <w:widowControl/>
                    <w:jc w:val="center"/>
                    <w:rPr>
                      <w:color w:val="000000"/>
                      <w:kern w:val="0"/>
                    </w:rPr>
                  </w:pPr>
                  <w:r>
                    <w:rPr>
                      <w:rFonts w:hint="eastAsia" w:ascii="宋体" w:hAnsi="宋体" w:cs="宋体"/>
                    </w:rPr>
                    <w:t>①、新建线路路径较长线路无法避免与已建线路存在交叉跨越，交叉跨越时要考虑位置及距离，要满足交叉跨越要求。②、本工程经过20mm冰区、30mm冰区。③、线路经过区域有较多村庄和诸多敏感因素（基本农田），靠近110kV铜厂变周边现场情况较为复杂，受110kV铜厂变进出线方向及使用备用间隔的影响。</w:t>
                  </w:r>
                </w:p>
              </w:tc>
              <w:tc>
                <w:tcPr>
                  <w:tcW w:w="2977" w:type="dxa"/>
                  <w:vAlign w:val="center"/>
                </w:tcPr>
                <w:p w14:paraId="4FC9F288">
                  <w:pPr>
                    <w:widowControl/>
                    <w:jc w:val="center"/>
                    <w:rPr>
                      <w:color w:val="000000"/>
                      <w:kern w:val="0"/>
                    </w:rPr>
                  </w:pPr>
                  <w:r>
                    <w:rPr>
                      <w:rFonts w:hint="eastAsia" w:ascii="宋体" w:hAnsi="宋体" w:cs="宋体"/>
                    </w:rPr>
                    <w:t>①、新建线路路径较长线路无法避免与已建线路存在交叉跨越，交叉跨越时要考虑位置及距离，要满足交叉跨越要求。②、本工程经过20mm冰区、30mm冰区。③、线路经过区域有较多村庄和诸多敏感因素（基本农田），靠近110kV铜厂变周边现场情况较为复杂，受110kV铜厂变进出线方向及使用备用间隔的影响。</w:t>
                  </w:r>
                </w:p>
              </w:tc>
            </w:tr>
            <w:tr w14:paraId="457A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80" w:type="dxa"/>
                  <w:shd w:val="clear" w:color="auto" w:fill="auto"/>
                  <w:vAlign w:val="center"/>
                </w:tcPr>
                <w:p w14:paraId="3096AE63">
                  <w:pPr>
                    <w:widowControl/>
                    <w:jc w:val="center"/>
                    <w:rPr>
                      <w:color w:val="000000"/>
                      <w:kern w:val="0"/>
                    </w:rPr>
                  </w:pPr>
                  <w:r>
                    <w:rPr>
                      <w:color w:val="000000"/>
                      <w:kern w:val="0"/>
                    </w:rPr>
                    <w:t>11</w:t>
                  </w:r>
                </w:p>
              </w:tc>
              <w:tc>
                <w:tcPr>
                  <w:tcW w:w="1380" w:type="dxa"/>
                  <w:shd w:val="clear" w:color="auto" w:fill="auto"/>
                  <w:vAlign w:val="center"/>
                </w:tcPr>
                <w:p w14:paraId="1FACD9F8">
                  <w:pPr>
                    <w:widowControl/>
                    <w:jc w:val="center"/>
                    <w:rPr>
                      <w:color w:val="000000"/>
                      <w:kern w:val="0"/>
                    </w:rPr>
                  </w:pPr>
                  <w:r>
                    <w:rPr>
                      <w:color w:val="000000"/>
                      <w:kern w:val="0"/>
                    </w:rPr>
                    <w:t>对通信线影响</w:t>
                  </w:r>
                </w:p>
              </w:tc>
              <w:tc>
                <w:tcPr>
                  <w:tcW w:w="5954" w:type="dxa"/>
                  <w:gridSpan w:val="2"/>
                  <w:vAlign w:val="center"/>
                </w:tcPr>
                <w:p w14:paraId="4532B5F1">
                  <w:pPr>
                    <w:widowControl/>
                    <w:jc w:val="center"/>
                    <w:rPr>
                      <w:color w:val="000000"/>
                      <w:kern w:val="0"/>
                    </w:rPr>
                  </w:pPr>
                  <w:r>
                    <w:rPr>
                      <w:rFonts w:hint="eastAsia"/>
                    </w:rPr>
                    <w:t>对光缆电信线路无危险和干扰影响。</w:t>
                  </w:r>
                </w:p>
              </w:tc>
            </w:tr>
            <w:tr w14:paraId="5F5C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880" w:type="dxa"/>
                  <w:shd w:val="clear" w:color="auto" w:fill="auto"/>
                  <w:vAlign w:val="center"/>
                </w:tcPr>
                <w:p w14:paraId="0FC72897">
                  <w:pPr>
                    <w:widowControl/>
                    <w:jc w:val="center"/>
                    <w:rPr>
                      <w:color w:val="000000"/>
                      <w:kern w:val="0"/>
                    </w:rPr>
                  </w:pPr>
                  <w:r>
                    <w:rPr>
                      <w:color w:val="000000"/>
                      <w:kern w:val="0"/>
                    </w:rPr>
                    <w:t>12</w:t>
                  </w:r>
                </w:p>
              </w:tc>
              <w:tc>
                <w:tcPr>
                  <w:tcW w:w="1380" w:type="dxa"/>
                  <w:shd w:val="clear" w:color="auto" w:fill="auto"/>
                  <w:vAlign w:val="center"/>
                </w:tcPr>
                <w:p w14:paraId="666CE193">
                  <w:pPr>
                    <w:widowControl/>
                    <w:jc w:val="center"/>
                    <w:rPr>
                      <w:color w:val="000000"/>
                      <w:kern w:val="0"/>
                    </w:rPr>
                  </w:pPr>
                  <w:r>
                    <w:rPr>
                      <w:color w:val="000000"/>
                      <w:kern w:val="0"/>
                    </w:rPr>
                    <w:t>交通运输条件</w:t>
                  </w:r>
                </w:p>
              </w:tc>
              <w:tc>
                <w:tcPr>
                  <w:tcW w:w="2977" w:type="dxa"/>
                </w:tcPr>
                <w:p w14:paraId="7A16B17F">
                  <w:pPr>
                    <w:widowControl/>
                    <w:jc w:val="center"/>
                    <w:rPr>
                      <w:color w:val="000000"/>
                      <w:kern w:val="0"/>
                    </w:rPr>
                  </w:pPr>
                  <w:r>
                    <w:rPr>
                      <w:rFonts w:hint="eastAsia"/>
                    </w:rPr>
                    <w:t>村庄附近线路靠近村庄、耕地区域走线，距离成型公路较近，交通条件较好。山区段路径远离村庄，距离成型公路远，交通条件一般。</w:t>
                  </w:r>
                </w:p>
              </w:tc>
              <w:tc>
                <w:tcPr>
                  <w:tcW w:w="2977" w:type="dxa"/>
                </w:tcPr>
                <w:p w14:paraId="53A440F5">
                  <w:pPr>
                    <w:widowControl/>
                    <w:jc w:val="center"/>
                    <w:rPr>
                      <w:color w:val="000000"/>
                      <w:kern w:val="0"/>
                    </w:rPr>
                  </w:pPr>
                  <w:r>
                    <w:rPr>
                      <w:rFonts w:hint="eastAsia"/>
                    </w:rPr>
                    <w:t>村庄附近线路靠近村庄、耕地区域走线，距离成型公路较近，交通条件较好。山区段路径远离村庄，距离成型公路远，交通条件一般。</w:t>
                  </w:r>
                </w:p>
              </w:tc>
            </w:tr>
            <w:tr w14:paraId="08C3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80" w:type="dxa"/>
                  <w:shd w:val="clear" w:color="auto" w:fill="auto"/>
                  <w:vAlign w:val="center"/>
                </w:tcPr>
                <w:p w14:paraId="08F826CC">
                  <w:pPr>
                    <w:widowControl/>
                    <w:jc w:val="center"/>
                    <w:rPr>
                      <w:color w:val="000000"/>
                      <w:kern w:val="0"/>
                    </w:rPr>
                  </w:pPr>
                  <w:r>
                    <w:rPr>
                      <w:color w:val="000000"/>
                      <w:kern w:val="0"/>
                    </w:rPr>
                    <w:t>13</w:t>
                  </w:r>
                </w:p>
              </w:tc>
              <w:tc>
                <w:tcPr>
                  <w:tcW w:w="1380" w:type="dxa"/>
                  <w:shd w:val="clear" w:color="auto" w:fill="auto"/>
                  <w:vAlign w:val="center"/>
                </w:tcPr>
                <w:p w14:paraId="32F5110A">
                  <w:pPr>
                    <w:widowControl/>
                    <w:jc w:val="center"/>
                    <w:rPr>
                      <w:color w:val="000000"/>
                      <w:kern w:val="0"/>
                    </w:rPr>
                  </w:pPr>
                  <w:r>
                    <w:rPr>
                      <w:color w:val="000000"/>
                      <w:kern w:val="0"/>
                    </w:rPr>
                    <w:t>交叉跨越情况</w:t>
                  </w:r>
                </w:p>
              </w:tc>
              <w:tc>
                <w:tcPr>
                  <w:tcW w:w="2977" w:type="dxa"/>
                </w:tcPr>
                <w:p w14:paraId="7E9B778F">
                  <w:pPr>
                    <w:widowControl/>
                    <w:jc w:val="center"/>
                    <w:rPr>
                      <w:color w:val="000000"/>
                      <w:kern w:val="0"/>
                    </w:rPr>
                  </w:pPr>
                  <w:r>
                    <w:rPr>
                      <w:rFonts w:hint="eastAsia"/>
                    </w:rPr>
                    <w:t>跨</w:t>
                  </w:r>
                  <w:r>
                    <w:t>35kV</w:t>
                  </w:r>
                  <w:r>
                    <w:rPr>
                      <w:rFonts w:hint="eastAsia"/>
                    </w:rPr>
                    <w:t>线</w:t>
                  </w:r>
                  <w:r>
                    <w:t>4</w:t>
                  </w:r>
                  <w:r>
                    <w:rPr>
                      <w:rFonts w:hint="eastAsia"/>
                    </w:rPr>
                    <w:t>次、跨</w:t>
                  </w:r>
                  <w:r>
                    <w:t>10kV</w:t>
                  </w:r>
                  <w:r>
                    <w:rPr>
                      <w:rFonts w:hint="eastAsia"/>
                    </w:rPr>
                    <w:t>线</w:t>
                  </w:r>
                  <w:r>
                    <w:t>10</w:t>
                  </w:r>
                  <w:r>
                    <w:rPr>
                      <w:rFonts w:hint="eastAsia"/>
                    </w:rPr>
                    <w:t>次、跨</w:t>
                  </w:r>
                  <w:r>
                    <w:t>380V</w:t>
                  </w:r>
                  <w:r>
                    <w:rPr>
                      <w:rFonts w:hint="eastAsia"/>
                    </w:rPr>
                    <w:t>线</w:t>
                  </w:r>
                  <w:r>
                    <w:t>8</w:t>
                  </w:r>
                  <w:r>
                    <w:rPr>
                      <w:rFonts w:hint="eastAsia"/>
                    </w:rPr>
                    <w:t>次、跨</w:t>
                  </w:r>
                  <w:r>
                    <w:t>220V</w:t>
                  </w:r>
                  <w:r>
                    <w:rPr>
                      <w:rFonts w:hint="eastAsia"/>
                    </w:rPr>
                    <w:t>线</w:t>
                  </w:r>
                  <w:r>
                    <w:t>5</w:t>
                  </w:r>
                  <w:r>
                    <w:rPr>
                      <w:rFonts w:hint="eastAsia"/>
                    </w:rPr>
                    <w:t>次、跨通信线</w:t>
                  </w:r>
                  <w:r>
                    <w:t>10</w:t>
                  </w:r>
                  <w:r>
                    <w:rPr>
                      <w:rFonts w:hint="eastAsia"/>
                    </w:rPr>
                    <w:t>次、跨</w:t>
                  </w:r>
                  <w:r>
                    <w:t>S204</w:t>
                  </w:r>
                  <w:r>
                    <w:rPr>
                      <w:rFonts w:hint="eastAsia"/>
                    </w:rPr>
                    <w:t>省道</w:t>
                  </w:r>
                  <w:r>
                    <w:t>3</w:t>
                  </w:r>
                  <w:r>
                    <w:rPr>
                      <w:rFonts w:hint="eastAsia"/>
                    </w:rPr>
                    <w:t>次。总跨越次数4</w:t>
                  </w:r>
                  <w:r>
                    <w:t>0</w:t>
                  </w:r>
                  <w:r>
                    <w:rPr>
                      <w:rFonts w:hint="eastAsia"/>
                    </w:rPr>
                    <w:t>次。</w:t>
                  </w:r>
                </w:p>
              </w:tc>
              <w:tc>
                <w:tcPr>
                  <w:tcW w:w="2977" w:type="dxa"/>
                </w:tcPr>
                <w:p w14:paraId="2D469B5E">
                  <w:pPr>
                    <w:widowControl/>
                    <w:jc w:val="center"/>
                    <w:rPr>
                      <w:color w:val="000000"/>
                      <w:kern w:val="0"/>
                    </w:rPr>
                  </w:pPr>
                  <w:r>
                    <w:rPr>
                      <w:rFonts w:hint="eastAsia"/>
                    </w:rPr>
                    <w:t>跨</w:t>
                  </w:r>
                  <w:r>
                    <w:t>35kV</w:t>
                  </w:r>
                  <w:r>
                    <w:rPr>
                      <w:rFonts w:hint="eastAsia"/>
                    </w:rPr>
                    <w:t>线</w:t>
                  </w:r>
                  <w:r>
                    <w:t>6</w:t>
                  </w:r>
                  <w:r>
                    <w:rPr>
                      <w:rFonts w:hint="eastAsia"/>
                    </w:rPr>
                    <w:t>次、跨</w:t>
                  </w:r>
                  <w:r>
                    <w:t>10kV</w:t>
                  </w:r>
                  <w:r>
                    <w:rPr>
                      <w:rFonts w:hint="eastAsia"/>
                    </w:rPr>
                    <w:t>线</w:t>
                  </w:r>
                  <w:r>
                    <w:t>10</w:t>
                  </w:r>
                  <w:r>
                    <w:rPr>
                      <w:rFonts w:hint="eastAsia"/>
                    </w:rPr>
                    <w:t>次、跨</w:t>
                  </w:r>
                  <w:r>
                    <w:t>380V</w:t>
                  </w:r>
                  <w:r>
                    <w:rPr>
                      <w:rFonts w:hint="eastAsia"/>
                    </w:rPr>
                    <w:t>线</w:t>
                  </w:r>
                  <w:r>
                    <w:t>8</w:t>
                  </w:r>
                  <w:r>
                    <w:rPr>
                      <w:rFonts w:hint="eastAsia"/>
                    </w:rPr>
                    <w:t>次、跨</w:t>
                  </w:r>
                  <w:r>
                    <w:t>220V</w:t>
                  </w:r>
                  <w:r>
                    <w:rPr>
                      <w:rFonts w:hint="eastAsia"/>
                    </w:rPr>
                    <w:t>线</w:t>
                  </w:r>
                  <w:r>
                    <w:t>5</w:t>
                  </w:r>
                  <w:r>
                    <w:rPr>
                      <w:rFonts w:hint="eastAsia"/>
                    </w:rPr>
                    <w:t>次、跨通信线</w:t>
                  </w:r>
                  <w:r>
                    <w:t>12</w:t>
                  </w:r>
                  <w:r>
                    <w:rPr>
                      <w:rFonts w:hint="eastAsia"/>
                    </w:rPr>
                    <w:t>次、跨</w:t>
                  </w:r>
                  <w:r>
                    <w:t>S204</w:t>
                  </w:r>
                  <w:r>
                    <w:rPr>
                      <w:rFonts w:hint="eastAsia"/>
                    </w:rPr>
                    <w:t>省道</w:t>
                  </w:r>
                  <w:r>
                    <w:t>1</w:t>
                  </w:r>
                  <w:r>
                    <w:rPr>
                      <w:rFonts w:hint="eastAsia"/>
                    </w:rPr>
                    <w:t>次。总跨越次数4</w:t>
                  </w:r>
                  <w:r>
                    <w:t>2</w:t>
                  </w:r>
                  <w:r>
                    <w:rPr>
                      <w:rFonts w:hint="eastAsia"/>
                    </w:rPr>
                    <w:t>次。</w:t>
                  </w:r>
                </w:p>
              </w:tc>
            </w:tr>
            <w:tr w14:paraId="47E8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80" w:type="dxa"/>
                  <w:shd w:val="clear" w:color="auto" w:fill="auto"/>
                  <w:vAlign w:val="center"/>
                </w:tcPr>
                <w:p w14:paraId="41B0EB7C">
                  <w:pPr>
                    <w:widowControl/>
                    <w:jc w:val="center"/>
                    <w:rPr>
                      <w:color w:val="000000"/>
                      <w:kern w:val="0"/>
                    </w:rPr>
                  </w:pPr>
                  <w:r>
                    <w:rPr>
                      <w:color w:val="000000"/>
                      <w:kern w:val="0"/>
                    </w:rPr>
                    <w:t>14</w:t>
                  </w:r>
                </w:p>
              </w:tc>
              <w:tc>
                <w:tcPr>
                  <w:tcW w:w="1380" w:type="dxa"/>
                  <w:shd w:val="clear" w:color="auto" w:fill="auto"/>
                  <w:vAlign w:val="center"/>
                </w:tcPr>
                <w:p w14:paraId="3B46C5F2">
                  <w:pPr>
                    <w:widowControl/>
                    <w:jc w:val="center"/>
                    <w:rPr>
                      <w:color w:val="000000"/>
                      <w:kern w:val="0"/>
                    </w:rPr>
                  </w:pPr>
                  <w:r>
                    <w:rPr>
                      <w:color w:val="000000"/>
                      <w:kern w:val="0"/>
                    </w:rPr>
                    <w:t>运距</w:t>
                  </w:r>
                </w:p>
              </w:tc>
              <w:tc>
                <w:tcPr>
                  <w:tcW w:w="2977" w:type="dxa"/>
                </w:tcPr>
                <w:p w14:paraId="25249CD9">
                  <w:pPr>
                    <w:widowControl/>
                    <w:jc w:val="center"/>
                    <w:rPr>
                      <w:color w:val="000000"/>
                      <w:kern w:val="0"/>
                    </w:rPr>
                  </w:pPr>
                  <w:r>
                    <w:rPr>
                      <w:rFonts w:hint="eastAsia"/>
                    </w:rPr>
                    <w:t>平均汽车运距</w:t>
                  </w:r>
                  <w:r>
                    <w:t>3km</w:t>
                  </w:r>
                  <w:r>
                    <w:rPr>
                      <w:rFonts w:hint="eastAsia"/>
                    </w:rPr>
                    <w:t>，平均人力运距</w:t>
                  </w:r>
                  <w:r>
                    <w:t>0.3km</w:t>
                  </w:r>
                  <w:r>
                    <w:rPr>
                      <w:rFonts w:hint="eastAsia"/>
                    </w:rPr>
                    <w:t>。</w:t>
                  </w:r>
                </w:p>
              </w:tc>
              <w:tc>
                <w:tcPr>
                  <w:tcW w:w="2977" w:type="dxa"/>
                  <w:vAlign w:val="center"/>
                </w:tcPr>
                <w:p w14:paraId="08A1F2B3">
                  <w:pPr>
                    <w:widowControl/>
                    <w:jc w:val="center"/>
                    <w:rPr>
                      <w:color w:val="000000"/>
                      <w:kern w:val="0"/>
                    </w:rPr>
                  </w:pPr>
                  <w:r>
                    <w:rPr>
                      <w:rFonts w:hint="eastAsia"/>
                    </w:rPr>
                    <w:t>平均汽车运距</w:t>
                  </w:r>
                  <w:r>
                    <w:t>3km</w:t>
                  </w:r>
                  <w:r>
                    <w:rPr>
                      <w:rFonts w:hint="eastAsia"/>
                    </w:rPr>
                    <w:t>，平均人力运距</w:t>
                  </w:r>
                  <w:r>
                    <w:t>0.5km</w:t>
                  </w:r>
                  <w:r>
                    <w:rPr>
                      <w:rFonts w:hint="eastAsia"/>
                    </w:rPr>
                    <w:t>。</w:t>
                  </w:r>
                </w:p>
              </w:tc>
            </w:tr>
            <w:tr w14:paraId="6DBD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393F8CE9">
                  <w:pPr>
                    <w:widowControl/>
                    <w:jc w:val="center"/>
                    <w:rPr>
                      <w:color w:val="000000"/>
                      <w:kern w:val="0"/>
                    </w:rPr>
                  </w:pPr>
                  <w:r>
                    <w:rPr>
                      <w:color w:val="000000"/>
                      <w:kern w:val="0"/>
                    </w:rPr>
                    <w:t>15</w:t>
                  </w:r>
                </w:p>
              </w:tc>
              <w:tc>
                <w:tcPr>
                  <w:tcW w:w="1380" w:type="dxa"/>
                  <w:shd w:val="clear" w:color="auto" w:fill="auto"/>
                  <w:vAlign w:val="center"/>
                </w:tcPr>
                <w:p w14:paraId="560D9013">
                  <w:pPr>
                    <w:widowControl/>
                    <w:jc w:val="center"/>
                    <w:rPr>
                      <w:color w:val="000000"/>
                      <w:kern w:val="0"/>
                    </w:rPr>
                  </w:pPr>
                  <w:r>
                    <w:rPr>
                      <w:color w:val="000000"/>
                      <w:kern w:val="0"/>
                    </w:rPr>
                    <w:t>污秽情况</w:t>
                  </w:r>
                </w:p>
              </w:tc>
              <w:tc>
                <w:tcPr>
                  <w:tcW w:w="2977" w:type="dxa"/>
                  <w:vAlign w:val="center"/>
                </w:tcPr>
                <w:p w14:paraId="615D030A">
                  <w:pPr>
                    <w:widowControl/>
                    <w:jc w:val="center"/>
                    <w:rPr>
                      <w:color w:val="000000"/>
                      <w:kern w:val="0"/>
                    </w:rPr>
                  </w:pPr>
                  <w:r>
                    <w:rPr>
                      <w:rFonts w:hint="eastAsia"/>
                    </w:rPr>
                    <w:t>按</w:t>
                  </w:r>
                  <w:r>
                    <w:t>C</w:t>
                  </w:r>
                  <w:r>
                    <w:rPr>
                      <w:rFonts w:hint="eastAsia"/>
                    </w:rPr>
                    <w:t>级污区设计。</w:t>
                  </w:r>
                </w:p>
              </w:tc>
              <w:tc>
                <w:tcPr>
                  <w:tcW w:w="2977" w:type="dxa"/>
                  <w:vAlign w:val="center"/>
                </w:tcPr>
                <w:p w14:paraId="484A842E">
                  <w:pPr>
                    <w:widowControl/>
                    <w:jc w:val="center"/>
                    <w:rPr>
                      <w:color w:val="000000"/>
                      <w:kern w:val="0"/>
                    </w:rPr>
                  </w:pPr>
                  <w:r>
                    <w:rPr>
                      <w:rFonts w:hint="eastAsia"/>
                    </w:rPr>
                    <w:t>按</w:t>
                  </w:r>
                  <w:r>
                    <w:t>C</w:t>
                  </w:r>
                  <w:r>
                    <w:rPr>
                      <w:rFonts w:hint="eastAsia"/>
                    </w:rPr>
                    <w:t>级污区设计。</w:t>
                  </w:r>
                </w:p>
              </w:tc>
            </w:tr>
            <w:tr w14:paraId="03A8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80" w:type="dxa"/>
                  <w:shd w:val="clear" w:color="auto" w:fill="auto"/>
                  <w:vAlign w:val="center"/>
                </w:tcPr>
                <w:p w14:paraId="1EEDFA20">
                  <w:pPr>
                    <w:widowControl/>
                    <w:jc w:val="center"/>
                    <w:rPr>
                      <w:color w:val="000000"/>
                      <w:kern w:val="0"/>
                    </w:rPr>
                  </w:pPr>
                  <w:r>
                    <w:rPr>
                      <w:color w:val="000000"/>
                      <w:kern w:val="0"/>
                    </w:rPr>
                    <w:t>16</w:t>
                  </w:r>
                </w:p>
              </w:tc>
              <w:tc>
                <w:tcPr>
                  <w:tcW w:w="1380" w:type="dxa"/>
                  <w:shd w:val="clear" w:color="auto" w:fill="auto"/>
                  <w:vAlign w:val="center"/>
                </w:tcPr>
                <w:p w14:paraId="2AA15B4B">
                  <w:pPr>
                    <w:widowControl/>
                    <w:jc w:val="center"/>
                    <w:rPr>
                      <w:color w:val="000000"/>
                      <w:kern w:val="0"/>
                    </w:rPr>
                  </w:pPr>
                  <w:r>
                    <w:rPr>
                      <w:color w:val="000000"/>
                      <w:kern w:val="0"/>
                    </w:rPr>
                    <w:t>施工及运行维护条件</w:t>
                  </w:r>
                </w:p>
              </w:tc>
              <w:tc>
                <w:tcPr>
                  <w:tcW w:w="2977" w:type="dxa"/>
                </w:tcPr>
                <w:p w14:paraId="0B381288">
                  <w:pPr>
                    <w:widowControl/>
                    <w:jc w:val="center"/>
                    <w:rPr>
                      <w:color w:val="000000"/>
                      <w:kern w:val="0"/>
                    </w:rPr>
                  </w:pPr>
                  <w:r>
                    <w:rPr>
                      <w:rFonts w:hint="eastAsia"/>
                    </w:rPr>
                    <w:t>交通条件较好，协调难度较低、施工运维难度一般。</w:t>
                  </w:r>
                </w:p>
              </w:tc>
              <w:tc>
                <w:tcPr>
                  <w:tcW w:w="2977" w:type="dxa"/>
                </w:tcPr>
                <w:p w14:paraId="012BAD6C">
                  <w:pPr>
                    <w:widowControl/>
                    <w:jc w:val="center"/>
                    <w:rPr>
                      <w:color w:val="000000"/>
                      <w:kern w:val="0"/>
                    </w:rPr>
                  </w:pPr>
                  <w:r>
                    <w:rPr>
                      <w:rFonts w:hint="eastAsia"/>
                    </w:rPr>
                    <w:t>交通条件较好，协调难度较低、施工运维难度一般。</w:t>
                  </w:r>
                </w:p>
              </w:tc>
            </w:tr>
            <w:tr w14:paraId="17D6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880" w:type="dxa"/>
                  <w:shd w:val="clear" w:color="auto" w:fill="auto"/>
                  <w:vAlign w:val="center"/>
                </w:tcPr>
                <w:p w14:paraId="7B5B651B">
                  <w:pPr>
                    <w:widowControl/>
                    <w:jc w:val="center"/>
                    <w:rPr>
                      <w:color w:val="000000"/>
                      <w:kern w:val="0"/>
                    </w:rPr>
                  </w:pPr>
                  <w:r>
                    <w:rPr>
                      <w:color w:val="000000"/>
                      <w:kern w:val="0"/>
                    </w:rPr>
                    <w:t>17</w:t>
                  </w:r>
                </w:p>
              </w:tc>
              <w:tc>
                <w:tcPr>
                  <w:tcW w:w="1380" w:type="dxa"/>
                  <w:shd w:val="clear" w:color="auto" w:fill="auto"/>
                  <w:vAlign w:val="center"/>
                </w:tcPr>
                <w:p w14:paraId="7C42B8D8">
                  <w:pPr>
                    <w:widowControl/>
                    <w:jc w:val="center"/>
                    <w:rPr>
                      <w:color w:val="000000"/>
                      <w:kern w:val="0"/>
                    </w:rPr>
                  </w:pPr>
                  <w:r>
                    <w:rPr>
                      <w:color w:val="000000"/>
                      <w:kern w:val="0"/>
                    </w:rPr>
                    <w:t>优点</w:t>
                  </w:r>
                </w:p>
              </w:tc>
              <w:tc>
                <w:tcPr>
                  <w:tcW w:w="2977" w:type="dxa"/>
                </w:tcPr>
                <w:p w14:paraId="158B67E0">
                  <w:pPr>
                    <w:tabs>
                      <w:tab w:val="left" w:pos="78"/>
                      <w:tab w:val="left" w:pos="258"/>
                      <w:tab w:val="left" w:pos="360"/>
                    </w:tabs>
                  </w:pPr>
                  <w:r>
                    <w:rPr>
                      <w:rFonts w:hint="eastAsia"/>
                    </w:rPr>
                    <w:t>（</w:t>
                  </w:r>
                  <w:r>
                    <w:t>1</w:t>
                  </w:r>
                  <w:r>
                    <w:rPr>
                      <w:rFonts w:hint="eastAsia"/>
                    </w:rPr>
                    <w:t>）离乡镇、村庄近，运行方便；</w:t>
                  </w:r>
                </w:p>
                <w:p w14:paraId="201CC2F6">
                  <w:pPr>
                    <w:tabs>
                      <w:tab w:val="left" w:pos="0"/>
                    </w:tabs>
                  </w:pPr>
                  <w:r>
                    <w:rPr>
                      <w:rFonts w:hint="eastAsia"/>
                    </w:rPr>
                    <w:t>（</w:t>
                  </w:r>
                  <w:r>
                    <w:t>2</w:t>
                  </w:r>
                  <w:r>
                    <w:rPr>
                      <w:rFonts w:hint="eastAsia"/>
                    </w:rPr>
                    <w:t>）人力运距短；</w:t>
                  </w:r>
                </w:p>
                <w:p w14:paraId="0A700EE5">
                  <w:pPr>
                    <w:tabs>
                      <w:tab w:val="left" w:pos="78"/>
                      <w:tab w:val="left" w:pos="258"/>
                      <w:tab w:val="left" w:pos="360"/>
                    </w:tabs>
                  </w:pPr>
                  <w:r>
                    <w:rPr>
                      <w:rFonts w:hint="eastAsia"/>
                    </w:rPr>
                    <w:t>（</w:t>
                  </w:r>
                  <w:r>
                    <w:t>3</w:t>
                  </w:r>
                  <w:r>
                    <w:rPr>
                      <w:rFonts w:hint="eastAsia"/>
                    </w:rPr>
                    <w:t>）已避开相关敏感因素；</w:t>
                  </w:r>
                </w:p>
                <w:p w14:paraId="07F80B29">
                  <w:pPr>
                    <w:tabs>
                      <w:tab w:val="left" w:pos="78"/>
                      <w:tab w:val="left" w:pos="258"/>
                      <w:tab w:val="left" w:pos="360"/>
                    </w:tabs>
                  </w:pPr>
                  <w:r>
                    <w:rPr>
                      <w:rFonts w:hint="eastAsia"/>
                    </w:rPr>
                    <w:t>（</w:t>
                  </w:r>
                  <w:r>
                    <w:t>4</w:t>
                  </w:r>
                  <w:r>
                    <w:rPr>
                      <w:rFonts w:hint="eastAsia"/>
                    </w:rPr>
                    <w:t>）线路经过区域地形地貌地质较好；</w:t>
                  </w:r>
                </w:p>
                <w:p w14:paraId="51D0DE90">
                  <w:pPr>
                    <w:tabs>
                      <w:tab w:val="left" w:pos="78"/>
                      <w:tab w:val="left" w:pos="258"/>
                      <w:tab w:val="left" w:pos="360"/>
                    </w:tabs>
                  </w:pPr>
                  <w:r>
                    <w:rPr>
                      <w:rFonts w:hint="eastAsia"/>
                    </w:rPr>
                    <w:t>（</w:t>
                  </w:r>
                  <w:r>
                    <w:t>5</w:t>
                  </w:r>
                  <w:r>
                    <w:rPr>
                      <w:rFonts w:hint="eastAsia"/>
                    </w:rPr>
                    <w:t>）与已建线路交叉跨越次数较少；</w:t>
                  </w:r>
                </w:p>
                <w:p w14:paraId="26BA36F9">
                  <w:pPr>
                    <w:widowControl/>
                    <w:rPr>
                      <w:color w:val="000000"/>
                      <w:kern w:val="0"/>
                    </w:rPr>
                  </w:pPr>
                  <w:r>
                    <w:rPr>
                      <w:rFonts w:hint="eastAsia"/>
                    </w:rPr>
                    <w:t>（</w:t>
                  </w:r>
                  <w:r>
                    <w:t>6</w:t>
                  </w:r>
                  <w:r>
                    <w:rPr>
                      <w:rFonts w:hint="eastAsia"/>
                    </w:rPr>
                    <w:t>）线路路径较短；</w:t>
                  </w:r>
                </w:p>
              </w:tc>
              <w:tc>
                <w:tcPr>
                  <w:tcW w:w="2977" w:type="dxa"/>
                </w:tcPr>
                <w:p w14:paraId="4B6EBBEC">
                  <w:pPr>
                    <w:tabs>
                      <w:tab w:val="left" w:pos="78"/>
                      <w:tab w:val="left" w:pos="258"/>
                      <w:tab w:val="left" w:pos="360"/>
                    </w:tabs>
                  </w:pPr>
                  <w:r>
                    <w:rPr>
                      <w:rFonts w:hint="eastAsia"/>
                    </w:rPr>
                    <w:t>（</w:t>
                  </w:r>
                  <w:r>
                    <w:t>1</w:t>
                  </w:r>
                  <w:r>
                    <w:rPr>
                      <w:rFonts w:hint="eastAsia"/>
                    </w:rPr>
                    <w:t>）离乡镇、村庄近，运行方便；</w:t>
                  </w:r>
                </w:p>
                <w:p w14:paraId="722C1FAD">
                  <w:pPr>
                    <w:tabs>
                      <w:tab w:val="left" w:pos="0"/>
                    </w:tabs>
                  </w:pPr>
                  <w:r>
                    <w:rPr>
                      <w:rFonts w:hint="eastAsia"/>
                    </w:rPr>
                    <w:t>（</w:t>
                  </w:r>
                  <w:r>
                    <w:t>2</w:t>
                  </w:r>
                  <w:r>
                    <w:rPr>
                      <w:rFonts w:hint="eastAsia"/>
                    </w:rPr>
                    <w:t>）人力运距短；</w:t>
                  </w:r>
                </w:p>
                <w:p w14:paraId="21C832F9">
                  <w:pPr>
                    <w:tabs>
                      <w:tab w:val="left" w:pos="78"/>
                      <w:tab w:val="left" w:pos="258"/>
                      <w:tab w:val="left" w:pos="360"/>
                    </w:tabs>
                  </w:pPr>
                  <w:r>
                    <w:rPr>
                      <w:rFonts w:hint="eastAsia"/>
                    </w:rPr>
                    <w:t>（</w:t>
                  </w:r>
                  <w:r>
                    <w:t>3</w:t>
                  </w:r>
                  <w:r>
                    <w:rPr>
                      <w:rFonts w:hint="eastAsia"/>
                    </w:rPr>
                    <w:t>）已避开部分相关敏感因素；</w:t>
                  </w:r>
                </w:p>
                <w:p w14:paraId="50DBB5B7">
                  <w:pPr>
                    <w:widowControl/>
                    <w:rPr>
                      <w:color w:val="000000"/>
                      <w:kern w:val="0"/>
                    </w:rPr>
                  </w:pPr>
                  <w:r>
                    <w:rPr>
                      <w:rFonts w:hint="eastAsia"/>
                    </w:rPr>
                    <w:t>（</w:t>
                  </w:r>
                  <w:r>
                    <w:t>4</w:t>
                  </w:r>
                  <w:r>
                    <w:rPr>
                      <w:rFonts w:hint="eastAsia"/>
                    </w:rPr>
                    <w:t>）线路经过区域地形地貌地质较好；</w:t>
                  </w:r>
                </w:p>
              </w:tc>
            </w:tr>
            <w:tr w14:paraId="0769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80" w:type="dxa"/>
                  <w:shd w:val="clear" w:color="auto" w:fill="auto"/>
                  <w:vAlign w:val="center"/>
                </w:tcPr>
                <w:p w14:paraId="2DC257AA">
                  <w:pPr>
                    <w:widowControl/>
                    <w:jc w:val="center"/>
                    <w:rPr>
                      <w:color w:val="000000"/>
                      <w:kern w:val="0"/>
                    </w:rPr>
                  </w:pPr>
                  <w:r>
                    <w:rPr>
                      <w:color w:val="000000"/>
                      <w:kern w:val="0"/>
                    </w:rPr>
                    <w:t>18</w:t>
                  </w:r>
                </w:p>
              </w:tc>
              <w:tc>
                <w:tcPr>
                  <w:tcW w:w="1380" w:type="dxa"/>
                  <w:shd w:val="clear" w:color="auto" w:fill="auto"/>
                  <w:vAlign w:val="center"/>
                </w:tcPr>
                <w:p w14:paraId="13A9D2CD">
                  <w:pPr>
                    <w:widowControl/>
                    <w:jc w:val="center"/>
                    <w:rPr>
                      <w:color w:val="000000"/>
                      <w:kern w:val="0"/>
                    </w:rPr>
                  </w:pPr>
                  <w:r>
                    <w:rPr>
                      <w:color w:val="000000"/>
                      <w:kern w:val="0"/>
                    </w:rPr>
                    <w:t>缺点</w:t>
                  </w:r>
                </w:p>
              </w:tc>
              <w:tc>
                <w:tcPr>
                  <w:tcW w:w="2977" w:type="dxa"/>
                </w:tcPr>
                <w:p w14:paraId="78845F8A">
                  <w:pPr>
                    <w:tabs>
                      <w:tab w:val="left" w:pos="0"/>
                    </w:tabs>
                  </w:pPr>
                  <w:r>
                    <w:rPr>
                      <w:rFonts w:hint="eastAsia"/>
                    </w:rPr>
                    <w:t>（</w:t>
                  </w:r>
                  <w:r>
                    <w:t>1</w:t>
                  </w:r>
                  <w:r>
                    <w:rPr>
                      <w:rFonts w:hint="eastAsia"/>
                    </w:rPr>
                    <w:t>）离乡镇、村庄近，协调征地相对困难；</w:t>
                  </w:r>
                </w:p>
                <w:p w14:paraId="7508C53B">
                  <w:pPr>
                    <w:widowControl/>
                    <w:rPr>
                      <w:color w:val="000000"/>
                      <w:kern w:val="0"/>
                    </w:rPr>
                  </w:pPr>
                  <w:r>
                    <w:rPr>
                      <w:rFonts w:hint="eastAsia"/>
                    </w:rPr>
                    <w:t>（</w:t>
                  </w:r>
                  <w:r>
                    <w:t>2</w:t>
                  </w:r>
                  <w:r>
                    <w:rPr>
                      <w:rFonts w:hint="eastAsia"/>
                    </w:rPr>
                    <w:t>）线路转角较多；</w:t>
                  </w:r>
                </w:p>
              </w:tc>
              <w:tc>
                <w:tcPr>
                  <w:tcW w:w="2977" w:type="dxa"/>
                </w:tcPr>
                <w:p w14:paraId="4321155A">
                  <w:pPr>
                    <w:tabs>
                      <w:tab w:val="left" w:pos="0"/>
                    </w:tabs>
                  </w:pPr>
                  <w:r>
                    <w:rPr>
                      <w:rFonts w:hint="eastAsia"/>
                    </w:rPr>
                    <w:t>（</w:t>
                  </w:r>
                  <w:r>
                    <w:t>1</w:t>
                  </w:r>
                  <w:r>
                    <w:rPr>
                      <w:rFonts w:hint="eastAsia"/>
                    </w:rPr>
                    <w:t>）与已建线路交叉跨越次数较多；</w:t>
                  </w:r>
                </w:p>
                <w:p w14:paraId="673CF9C8">
                  <w:pPr>
                    <w:tabs>
                      <w:tab w:val="left" w:pos="0"/>
                    </w:tabs>
                  </w:pPr>
                  <w:r>
                    <w:rPr>
                      <w:rFonts w:hint="eastAsia"/>
                    </w:rPr>
                    <w:t>（</w:t>
                  </w:r>
                  <w:r>
                    <w:t>2</w:t>
                  </w:r>
                  <w:r>
                    <w:rPr>
                      <w:rFonts w:hint="eastAsia"/>
                    </w:rPr>
                    <w:t>）线路经过矿区；</w:t>
                  </w:r>
                </w:p>
                <w:p w14:paraId="29475090">
                  <w:pPr>
                    <w:tabs>
                      <w:tab w:val="left" w:pos="0"/>
                    </w:tabs>
                  </w:pPr>
                  <w:r>
                    <w:rPr>
                      <w:rFonts w:hint="eastAsia"/>
                    </w:rPr>
                    <w:t>（</w:t>
                  </w:r>
                  <w:r>
                    <w:t>3</w:t>
                  </w:r>
                  <w:r>
                    <w:rPr>
                      <w:rFonts w:hint="eastAsia"/>
                    </w:rPr>
                    <w:t>）线路路径较长；</w:t>
                  </w:r>
                </w:p>
                <w:p w14:paraId="2FEA7529">
                  <w:pPr>
                    <w:tabs>
                      <w:tab w:val="left" w:pos="0"/>
                    </w:tabs>
                  </w:pPr>
                  <w:r>
                    <w:rPr>
                      <w:rFonts w:hint="eastAsia"/>
                    </w:rPr>
                    <w:t>（</w:t>
                  </w:r>
                  <w:r>
                    <w:t>4</w:t>
                  </w:r>
                  <w:r>
                    <w:rPr>
                      <w:rFonts w:hint="eastAsia"/>
                    </w:rPr>
                    <w:t>）投资相对较高；</w:t>
                  </w:r>
                </w:p>
                <w:p w14:paraId="6C836290">
                  <w:pPr>
                    <w:widowControl/>
                    <w:rPr>
                      <w:color w:val="000000"/>
                      <w:kern w:val="0"/>
                    </w:rPr>
                  </w:pPr>
                </w:p>
              </w:tc>
            </w:tr>
            <w:tr w14:paraId="7038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80" w:type="dxa"/>
                  <w:shd w:val="clear" w:color="auto" w:fill="auto"/>
                  <w:vAlign w:val="center"/>
                </w:tcPr>
                <w:p w14:paraId="699D4A86">
                  <w:pPr>
                    <w:widowControl/>
                    <w:jc w:val="center"/>
                    <w:rPr>
                      <w:color w:val="000000"/>
                      <w:kern w:val="0"/>
                    </w:rPr>
                  </w:pPr>
                  <w:r>
                    <w:rPr>
                      <w:color w:val="000000"/>
                      <w:kern w:val="0"/>
                    </w:rPr>
                    <w:t>19</w:t>
                  </w:r>
                </w:p>
              </w:tc>
              <w:tc>
                <w:tcPr>
                  <w:tcW w:w="1380" w:type="dxa"/>
                  <w:shd w:val="clear" w:color="auto" w:fill="auto"/>
                  <w:vAlign w:val="center"/>
                </w:tcPr>
                <w:p w14:paraId="5240F203">
                  <w:pPr>
                    <w:widowControl/>
                    <w:jc w:val="center"/>
                    <w:rPr>
                      <w:color w:val="000000"/>
                      <w:kern w:val="0"/>
                    </w:rPr>
                  </w:pPr>
                  <w:r>
                    <w:rPr>
                      <w:color w:val="000000"/>
                      <w:kern w:val="0"/>
                    </w:rPr>
                    <w:t>结论</w:t>
                  </w:r>
                </w:p>
              </w:tc>
              <w:tc>
                <w:tcPr>
                  <w:tcW w:w="2977" w:type="dxa"/>
                  <w:vAlign w:val="center"/>
                </w:tcPr>
                <w:p w14:paraId="2091362F">
                  <w:pPr>
                    <w:widowControl/>
                    <w:jc w:val="center"/>
                    <w:rPr>
                      <w:color w:val="000000"/>
                      <w:kern w:val="0"/>
                    </w:rPr>
                  </w:pPr>
                  <w:r>
                    <w:rPr>
                      <w:rFonts w:hint="eastAsia"/>
                    </w:rPr>
                    <w:t>推荐</w:t>
                  </w:r>
                </w:p>
              </w:tc>
              <w:tc>
                <w:tcPr>
                  <w:tcW w:w="2977" w:type="dxa"/>
                  <w:vAlign w:val="center"/>
                </w:tcPr>
                <w:p w14:paraId="7DD85B6C">
                  <w:pPr>
                    <w:widowControl/>
                    <w:jc w:val="center"/>
                    <w:rPr>
                      <w:color w:val="000000"/>
                      <w:kern w:val="0"/>
                    </w:rPr>
                  </w:pPr>
                  <w:r>
                    <w:rPr>
                      <w:rFonts w:hint="eastAsia"/>
                    </w:rPr>
                    <w:t>不推荐</w:t>
                  </w:r>
                </w:p>
              </w:tc>
            </w:tr>
          </w:tbl>
          <w:p w14:paraId="782E97D8">
            <w:pPr>
              <w:pStyle w:val="2"/>
              <w:adjustRightInd w:val="0"/>
              <w:spacing w:before="0" w:after="0" w:line="360" w:lineRule="auto"/>
              <w:ind w:right="0" w:firstLine="480" w:firstLineChars="200"/>
              <w:rPr>
                <w:sz w:val="24"/>
                <w:szCs w:val="24"/>
              </w:rPr>
            </w:pPr>
            <w:r>
              <w:rPr>
                <w:rFonts w:hint="eastAsia"/>
                <w:sz w:val="24"/>
                <w:szCs w:val="24"/>
              </w:rPr>
              <w:t>总体来看，方案一和方案二诸多情况相差不大；方案一离乡镇、村庄近，运行方便，人力运距短，已避开相关敏感因素，线路经过区域地形地貌地质较好， 与已建线路交叉跨越次数较少；方案二与已建线路交叉跨越次数较多，线路经过矿区。综合考虑推荐，本期推荐线路避让矿区的方案一作为本工程线路路径方案</w:t>
            </w:r>
            <w:r>
              <w:rPr>
                <w:sz w:val="24"/>
                <w:szCs w:val="24"/>
              </w:rPr>
              <w:t>。</w:t>
            </w:r>
          </w:p>
        </w:tc>
      </w:tr>
    </w:tbl>
    <w:p w14:paraId="1FD3A22F">
      <w:pPr>
        <w:pStyle w:val="39"/>
        <w:jc w:val="center"/>
        <w:outlineLvl w:val="0"/>
        <w:rPr>
          <w:rFonts w:ascii="Times New Roman" w:hAnsi="Times New Roman" w:eastAsia="黑体"/>
          <w:snapToGrid w:val="0"/>
          <w:sz w:val="30"/>
          <w:szCs w:val="30"/>
        </w:rPr>
      </w:pPr>
      <w:r>
        <w:rPr>
          <w:rFonts w:ascii="Times New Roman" w:hAnsi="Times New Roman" w:eastAsia="仿宋_GB2312"/>
          <w:b/>
          <w:bCs/>
        </w:rPr>
        <w:br w:type="page"/>
      </w:r>
      <w:bookmarkStart w:id="39" w:name="_Toc12988"/>
      <w:bookmarkStart w:id="40" w:name="_Toc28589"/>
      <w:bookmarkStart w:id="41" w:name="_Toc32554"/>
      <w:bookmarkStart w:id="42" w:name="_Toc27230"/>
      <w:bookmarkStart w:id="43" w:name="_Toc225952990"/>
      <w:bookmarkStart w:id="44" w:name="_Toc12666"/>
      <w:bookmarkStart w:id="45" w:name="_Toc29452"/>
      <w:bookmarkStart w:id="46" w:name="_Toc227764330"/>
      <w:bookmarkStart w:id="47" w:name="_Toc5143"/>
      <w:r>
        <w:rPr>
          <w:rFonts w:ascii="Times New Roman" w:hAnsi="Times New Roman" w:eastAsia="黑体"/>
          <w:snapToGrid w:val="0"/>
          <w:sz w:val="30"/>
          <w:szCs w:val="30"/>
        </w:rPr>
        <w:t>三、生态环境现状、保护目标及评价标准</w:t>
      </w:r>
      <w:bookmarkEnd w:id="39"/>
      <w:bookmarkEnd w:id="40"/>
      <w:bookmarkEnd w:id="41"/>
      <w:bookmarkEnd w:id="42"/>
      <w:bookmarkEnd w:id="43"/>
      <w:bookmarkEnd w:id="44"/>
      <w:bookmarkEnd w:id="45"/>
      <w:bookmarkEnd w:id="46"/>
      <w:bookmarkEnd w:id="47"/>
    </w:p>
    <w:tbl>
      <w:tblPr>
        <w:tblStyle w:val="4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7850"/>
      </w:tblGrid>
      <w:tr w14:paraId="3D49DD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099" w:hRule="atLeast"/>
          <w:jc w:val="center"/>
        </w:trPr>
        <w:tc>
          <w:tcPr>
            <w:tcW w:w="336" w:type="pct"/>
            <w:vAlign w:val="center"/>
          </w:tcPr>
          <w:p w14:paraId="1501AE82">
            <w:pPr>
              <w:adjustRightInd w:val="0"/>
              <w:snapToGrid w:val="0"/>
              <w:jc w:val="center"/>
              <w:rPr>
                <w:kern w:val="0"/>
                <w:sz w:val="24"/>
                <w:szCs w:val="24"/>
              </w:rPr>
            </w:pPr>
          </w:p>
        </w:tc>
        <w:tc>
          <w:tcPr>
            <w:tcW w:w="4664" w:type="pct"/>
          </w:tcPr>
          <w:p w14:paraId="3C2871E0">
            <w:pPr>
              <w:pStyle w:val="2"/>
              <w:rPr>
                <w:b/>
                <w:sz w:val="24"/>
              </w:rPr>
            </w:pPr>
            <w:r>
              <w:rPr>
                <w:rFonts w:hint="eastAsia"/>
                <w:b/>
                <w:sz w:val="24"/>
              </w:rPr>
              <w:t>一</w:t>
            </w:r>
            <w:r>
              <w:rPr>
                <w:b/>
                <w:sz w:val="24"/>
              </w:rPr>
              <w:t>、环境质量现状</w:t>
            </w:r>
          </w:p>
          <w:p w14:paraId="76A563D5">
            <w:pPr>
              <w:pStyle w:val="2"/>
              <w:rPr>
                <w:b/>
                <w:sz w:val="24"/>
              </w:rPr>
            </w:pPr>
            <w:r>
              <w:rPr>
                <w:b/>
                <w:sz w:val="24"/>
              </w:rPr>
              <w:t>1、环境空气质量现状</w:t>
            </w:r>
          </w:p>
          <w:p w14:paraId="15991544">
            <w:pPr>
              <w:pStyle w:val="2"/>
              <w:adjustRightInd w:val="0"/>
              <w:spacing w:before="0" w:after="0" w:line="360" w:lineRule="auto"/>
              <w:ind w:right="0" w:firstLine="480" w:firstLineChars="200"/>
              <w:rPr>
                <w:kern w:val="2"/>
                <w:sz w:val="24"/>
                <w:szCs w:val="24"/>
                <w:lang w:val="zh-CN"/>
              </w:rPr>
            </w:pPr>
            <w:r>
              <w:rPr>
                <w:rFonts w:hint="eastAsia"/>
                <w:color w:val="000000" w:themeColor="text1"/>
                <w:sz w:val="24"/>
                <w14:textFill>
                  <w14:solidFill>
                    <w14:schemeClr w14:val="tx1"/>
                  </w14:solidFill>
                </w14:textFill>
              </w:rPr>
              <w:t>南冲风电场1</w:t>
            </w:r>
            <w:r>
              <w:rPr>
                <w:color w:val="000000" w:themeColor="text1"/>
                <w:sz w:val="24"/>
                <w14:textFill>
                  <w14:solidFill>
                    <w14:schemeClr w14:val="tx1"/>
                  </w14:solidFill>
                </w14:textFill>
              </w:rPr>
              <w:t>10</w:t>
            </w:r>
            <w:r>
              <w:rPr>
                <w:rFonts w:hint="eastAsia"/>
                <w:color w:val="000000" w:themeColor="text1"/>
                <w:sz w:val="24"/>
                <w14:textFill>
                  <w14:solidFill>
                    <w14:schemeClr w14:val="tx1"/>
                  </w14:solidFill>
                </w14:textFill>
              </w:rPr>
              <w:t>k</w:t>
            </w:r>
            <w:r>
              <w:rPr>
                <w:color w:val="000000" w:themeColor="text1"/>
                <w:sz w:val="24"/>
                <w14:textFill>
                  <w14:solidFill>
                    <w14:schemeClr w14:val="tx1"/>
                  </w14:solidFill>
                </w14:textFill>
              </w:rPr>
              <w:t>V</w:t>
            </w:r>
            <w:r>
              <w:rPr>
                <w:rFonts w:hint="eastAsia"/>
                <w:color w:val="000000" w:themeColor="text1"/>
                <w:sz w:val="24"/>
                <w14:textFill>
                  <w14:solidFill>
                    <w14:schemeClr w14:val="tx1"/>
                  </w14:solidFill>
                </w14:textFill>
              </w:rPr>
              <w:t>送出线路工程位于云南省曲靖市富源县，所在区域属于环境空气二类功能区，环境空气执行《环境空气质量标准》（</w:t>
            </w:r>
            <w:r>
              <w:rPr>
                <w:color w:val="000000" w:themeColor="text1"/>
                <w:sz w:val="24"/>
                <w14:textFill>
                  <w14:solidFill>
                    <w14:schemeClr w14:val="tx1"/>
                  </w14:solidFill>
                </w14:textFill>
              </w:rPr>
              <w:t>GB3095-2026</w:t>
            </w:r>
            <w:r>
              <w:rPr>
                <w:rFonts w:hint="eastAsia"/>
                <w:color w:val="000000" w:themeColor="text1"/>
                <w:sz w:val="24"/>
                <w14:textFill>
                  <w14:solidFill>
                    <w14:schemeClr w14:val="tx1"/>
                  </w14:solidFill>
                </w14:textFill>
              </w:rPr>
              <w:t>）二级标准过渡限值。</w:t>
            </w:r>
            <w:r>
              <w:rPr>
                <w:color w:val="000000" w:themeColor="text1"/>
                <w:sz w:val="24"/>
                <w14:textFill>
                  <w14:solidFill>
                    <w14:schemeClr w14:val="tx1"/>
                  </w14:solidFill>
                </w14:textFill>
              </w:rPr>
              <w:t>根据曲靖市生态环境局</w:t>
            </w:r>
            <w:r>
              <w:rPr>
                <w:rFonts w:hint="eastAsia"/>
                <w:color w:val="000000" w:themeColor="text1"/>
                <w:sz w:val="24"/>
                <w14:textFill>
                  <w14:solidFill>
                    <w14:schemeClr w14:val="tx1"/>
                  </w14:solidFill>
                </w14:textFill>
              </w:rPr>
              <w:t>提供</w:t>
            </w:r>
            <w:r>
              <w:rPr>
                <w:color w:val="000000" w:themeColor="text1"/>
                <w:sz w:val="24"/>
                <w14:textFill>
                  <w14:solidFill>
                    <w14:schemeClr w14:val="tx1"/>
                  </w14:solidFill>
                </w14:textFill>
              </w:rPr>
              <w:t>的2</w:t>
            </w:r>
            <w:r>
              <w:rPr>
                <w:rFonts w:hint="eastAsia"/>
                <w:color w:val="000000" w:themeColor="text1"/>
                <w:sz w:val="24"/>
                <w14:textFill>
                  <w14:solidFill>
                    <w14:schemeClr w14:val="tx1"/>
                  </w14:solidFill>
                </w14:textFill>
              </w:rPr>
              <w:t>025年富源县环境空气质量统计表</w:t>
            </w:r>
            <w:r>
              <w:rPr>
                <w:color w:val="000000" w:themeColor="text1"/>
                <w:sz w:val="24"/>
                <w14:textFill>
                  <w14:solidFill>
                    <w14:schemeClr w14:val="tx1"/>
                  </w14:solidFill>
                </w14:textFill>
              </w:rPr>
              <w:t>，2025年</w:t>
            </w:r>
            <w:r>
              <w:rPr>
                <w:rFonts w:hint="eastAsia"/>
                <w:color w:val="000000" w:themeColor="text1"/>
                <w:sz w:val="24"/>
                <w14:textFill>
                  <w14:solidFill>
                    <w14:schemeClr w14:val="tx1"/>
                  </w14:solidFill>
                </w14:textFill>
              </w:rPr>
              <w:t>富源县空气质量优良率为99.4%，城市空气质量综合指数为2.48，城市细颗粒物（PM</w:t>
            </w:r>
            <w:r>
              <w:rPr>
                <w:rFonts w:hint="eastAsia"/>
                <w:color w:val="000000" w:themeColor="text1"/>
                <w:sz w:val="24"/>
                <w:vertAlign w:val="subscript"/>
                <w14:textFill>
                  <w14:solidFill>
                    <w14:schemeClr w14:val="tx1"/>
                  </w14:solidFill>
                </w14:textFill>
              </w:rPr>
              <w:t>2.5</w:t>
            </w:r>
            <w:r>
              <w:rPr>
                <w:rFonts w:hint="eastAsia"/>
                <w:color w:val="000000" w:themeColor="text1"/>
                <w:sz w:val="24"/>
                <w14:textFill>
                  <w14:solidFill>
                    <w14:schemeClr w14:val="tx1"/>
                  </w14:solidFill>
                </w14:textFill>
              </w:rPr>
              <w:t>）平均浓度为21</w:t>
            </w:r>
            <w:r>
              <w:t>μ</w:t>
            </w:r>
            <w:r>
              <w:rPr>
                <w:rFonts w:hint="eastAsia"/>
                <w:color w:val="000000" w:themeColor="text1"/>
                <w:sz w:val="24"/>
                <w14:textFill>
                  <w14:solidFill>
                    <w14:schemeClr w14:val="tx1"/>
                  </w14:solidFill>
                </w14:textFill>
              </w:rPr>
              <w:t>g/m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空气污染物浓度达到《环境空气质量标准》（GB3095-2026）中的二级标准</w:t>
            </w:r>
            <w:r>
              <w:rPr>
                <w:rFonts w:hint="eastAsia"/>
                <w:color w:val="000000" w:themeColor="text1"/>
                <w:sz w:val="24"/>
                <w14:textFill>
                  <w14:solidFill>
                    <w14:schemeClr w14:val="tx1"/>
                  </w14:solidFill>
                </w14:textFill>
              </w:rPr>
              <w:t>过渡限值要求</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本项目</w:t>
            </w:r>
            <w:r>
              <w:rPr>
                <w:color w:val="000000" w:themeColor="text1"/>
                <w:sz w:val="24"/>
                <w14:textFill>
                  <w14:solidFill>
                    <w14:schemeClr w14:val="tx1"/>
                  </w14:solidFill>
                </w14:textFill>
              </w:rPr>
              <w:t>位于偏远山区，周边无工业污染源，环境空气质量优于城区，因此，项目区环境空气质量满足《环境空气质量标准》（GB3095-2026）二级标准</w:t>
            </w:r>
            <w:r>
              <w:rPr>
                <w:rFonts w:hint="eastAsia"/>
                <w:color w:val="000000" w:themeColor="text1"/>
                <w:sz w:val="24"/>
                <w14:textFill>
                  <w14:solidFill>
                    <w14:schemeClr w14:val="tx1"/>
                  </w14:solidFill>
                </w14:textFill>
              </w:rPr>
              <w:t>过渡限值要求</w:t>
            </w:r>
            <w:r>
              <w:rPr>
                <w:color w:val="000000" w:themeColor="text1"/>
                <w:sz w:val="24"/>
                <w14:textFill>
                  <w14:solidFill>
                    <w14:schemeClr w14:val="tx1"/>
                  </w14:solidFill>
                </w14:textFill>
              </w:rPr>
              <w:t>，为环境空气达标区</w:t>
            </w:r>
            <w:r>
              <w:rPr>
                <w:kern w:val="2"/>
                <w:sz w:val="24"/>
                <w:szCs w:val="24"/>
                <w:lang w:val="zh-CN"/>
              </w:rPr>
              <w:t>。</w:t>
            </w:r>
          </w:p>
          <w:p w14:paraId="2CD19404">
            <w:pPr>
              <w:pStyle w:val="2"/>
              <w:rPr>
                <w:b/>
                <w:sz w:val="24"/>
              </w:rPr>
            </w:pPr>
            <w:r>
              <w:rPr>
                <w:b/>
                <w:sz w:val="24"/>
              </w:rPr>
              <w:t>2、地表水环境质量现状</w:t>
            </w:r>
          </w:p>
          <w:p w14:paraId="0D97EF0A">
            <w:pPr>
              <w:pStyle w:val="284"/>
              <w:tabs>
                <w:tab w:val="right" w:pos="0"/>
                <w:tab w:val="clear" w:pos="180"/>
              </w:tabs>
              <w:spacing w:line="360" w:lineRule="auto"/>
              <w:ind w:firstLineChars="200"/>
              <w:rPr>
                <w:sz w:val="24"/>
                <w:szCs w:val="24"/>
                <w:lang w:val="zh-CN"/>
              </w:rPr>
            </w:pPr>
            <w:r>
              <w:rPr>
                <w:sz w:val="24"/>
                <w:szCs w:val="24"/>
                <w:lang w:val="zh-CN"/>
              </w:rPr>
              <w:t>本项目位于珠江流域，项目区附近分布有黄泥河</w:t>
            </w:r>
            <w:r>
              <w:rPr>
                <w:rFonts w:hint="eastAsia"/>
                <w:sz w:val="24"/>
                <w:szCs w:val="24"/>
                <w:lang w:val="zh-CN"/>
              </w:rPr>
              <w:t>，工程</w:t>
            </w:r>
            <w:r>
              <w:rPr>
                <w:sz w:val="24"/>
                <w:szCs w:val="24"/>
                <w:lang w:val="zh-CN"/>
              </w:rPr>
              <w:t>距离黄泥河直线距离约2.42km。根据《云南省水功能区划》（云南省水利厅，2014 年修订）、《曲靖市水功能区划》（2014年修订），项目区属于黄泥河富源-罗平保留区：从富源龙海至入小黄泥河入黄泥河口，流经富源和平两县，全长147.9km，流经河边水文站，开发利用程度较低。水质现状为Ⅳ类，近期水质目标为Ⅳ类，远期水质目标为Ⅲ类。</w:t>
            </w:r>
          </w:p>
          <w:p w14:paraId="4370FA58">
            <w:pPr>
              <w:pStyle w:val="284"/>
              <w:tabs>
                <w:tab w:val="right" w:pos="0"/>
                <w:tab w:val="clear" w:pos="180"/>
              </w:tabs>
              <w:spacing w:line="360" w:lineRule="auto"/>
              <w:ind w:firstLineChars="20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根据曲靖市生态环境局富源分局公开内容，位于本工程上游西北侧约</w:t>
            </w:r>
            <w:r>
              <w:rPr>
                <w:color w:val="000000" w:themeColor="text1"/>
                <w:kern w:val="0"/>
                <w:sz w:val="24"/>
                <w:szCs w:val="24"/>
                <w14:textFill>
                  <w14:solidFill>
                    <w14:schemeClr w14:val="tx1"/>
                  </w14:solidFill>
                </w14:textFill>
              </w:rPr>
              <w:t>1.6</w:t>
            </w:r>
            <w:r>
              <w:rPr>
                <w:rFonts w:hint="eastAsia"/>
                <w:color w:val="000000" w:themeColor="text1"/>
                <w:kern w:val="0"/>
                <w:sz w:val="24"/>
                <w:szCs w:val="24"/>
                <w14:textFill>
                  <w14:solidFill>
                    <w14:schemeClr w14:val="tx1"/>
                  </w14:solidFill>
                </w14:textFill>
              </w:rPr>
              <w:t>km的海丹大桥断面每季度开展监测，监测结果根据《地表水环境质量标准》（GB3838-2002）进行评价，2</w:t>
            </w:r>
            <w:r>
              <w:rPr>
                <w:color w:val="000000" w:themeColor="text1"/>
                <w:kern w:val="0"/>
                <w:sz w:val="24"/>
                <w:szCs w:val="24"/>
                <w14:textFill>
                  <w14:solidFill>
                    <w14:schemeClr w14:val="tx1"/>
                  </w14:solidFill>
                </w14:textFill>
              </w:rPr>
              <w:t>025</w:t>
            </w:r>
            <w:r>
              <w:rPr>
                <w:rFonts w:hint="eastAsia"/>
                <w:color w:val="000000" w:themeColor="text1"/>
                <w:kern w:val="0"/>
                <w:sz w:val="24"/>
                <w:szCs w:val="24"/>
                <w14:textFill>
                  <w14:solidFill>
                    <w14:schemeClr w14:val="tx1"/>
                  </w14:solidFill>
                </w14:textFill>
              </w:rPr>
              <w:t>年工程区地表水满足</w:t>
            </w:r>
            <w:r>
              <w:rPr>
                <w:color w:val="000000" w:themeColor="text1"/>
                <w:kern w:val="0"/>
                <w:sz w:val="24"/>
                <w:szCs w:val="24"/>
                <w14:textFill>
                  <w14:solidFill>
                    <w14:schemeClr w14:val="tx1"/>
                  </w14:solidFill>
                </w14:textFill>
              </w:rPr>
              <w:t>Ⅱ</w:t>
            </w:r>
            <w:r>
              <w:rPr>
                <w:rFonts w:hint="eastAsia"/>
                <w:color w:val="000000" w:themeColor="text1"/>
                <w:kern w:val="0"/>
                <w:sz w:val="24"/>
                <w:szCs w:val="24"/>
                <w14:textFill>
                  <w14:solidFill>
                    <w14:schemeClr w14:val="tx1"/>
                  </w14:solidFill>
                </w14:textFill>
              </w:rPr>
              <w:t>类标准，达标率为100%</w:t>
            </w:r>
            <w:r>
              <w:rPr>
                <w:sz w:val="24"/>
                <w:szCs w:val="24"/>
                <w:lang w:val="zh-CN"/>
              </w:rPr>
              <w:t>。</w:t>
            </w:r>
          </w:p>
          <w:p w14:paraId="56BD5886">
            <w:pPr>
              <w:pStyle w:val="2"/>
              <w:rPr>
                <w:b/>
                <w:sz w:val="24"/>
              </w:rPr>
            </w:pPr>
            <w:r>
              <w:rPr>
                <w:b/>
                <w:sz w:val="24"/>
              </w:rPr>
              <w:t>3、声环境质量现状</w:t>
            </w:r>
          </w:p>
          <w:p w14:paraId="599908B7">
            <w:pPr>
              <w:pStyle w:val="284"/>
              <w:spacing w:line="360" w:lineRule="auto"/>
              <w:ind w:firstLineChars="200"/>
              <w:rPr>
                <w:color w:val="000000" w:themeColor="text1"/>
                <w:sz w:val="24"/>
                <w:szCs w:val="24"/>
                <w14:textFill>
                  <w14:solidFill>
                    <w14:schemeClr w14:val="tx1"/>
                  </w14:solidFill>
                </w14:textFill>
              </w:rPr>
            </w:pPr>
            <w:r>
              <w:rPr>
                <w:sz w:val="24"/>
                <w:szCs w:val="24"/>
                <w:lang w:val="zh-CN"/>
              </w:rPr>
              <w:t>本工程沿线主要经过农村地区，声环境质量执行《声环境质量标准》（GB3096-2008）</w:t>
            </w:r>
            <w:r>
              <w:rPr>
                <w:sz w:val="24"/>
                <w:szCs w:val="24"/>
              </w:rPr>
              <w:t>1</w:t>
            </w:r>
            <w:r>
              <w:rPr>
                <w:sz w:val="24"/>
                <w:szCs w:val="24"/>
                <w:lang w:val="zh-CN"/>
              </w:rPr>
              <w:t>类标准。为掌握项目声环境现状，环评单位委托</w:t>
            </w:r>
            <w:r>
              <w:rPr>
                <w:rFonts w:hint="eastAsia"/>
                <w:sz w:val="24"/>
                <w:szCs w:val="24"/>
                <w:lang w:val="zh-CN"/>
              </w:rPr>
              <w:t>云南科环环境工程咨询有限公司</w:t>
            </w:r>
            <w:r>
              <w:rPr>
                <w:sz w:val="24"/>
                <w:szCs w:val="24"/>
                <w:lang w:val="zh-CN"/>
              </w:rPr>
              <w:t>于2025年1</w:t>
            </w:r>
            <w:r>
              <w:rPr>
                <w:sz w:val="24"/>
                <w:szCs w:val="24"/>
              </w:rPr>
              <w:t>1</w:t>
            </w:r>
            <w:r>
              <w:rPr>
                <w:sz w:val="24"/>
                <w:szCs w:val="24"/>
                <w:lang w:val="zh-CN"/>
              </w:rPr>
              <w:t>月</w:t>
            </w:r>
            <w:r>
              <w:rPr>
                <w:sz w:val="24"/>
                <w:szCs w:val="24"/>
              </w:rPr>
              <w:t>20</w:t>
            </w:r>
            <w:r>
              <w:rPr>
                <w:sz w:val="24"/>
                <w:szCs w:val="24"/>
                <w:lang w:val="zh-CN"/>
              </w:rPr>
              <w:t>日~1</w:t>
            </w:r>
            <w:r>
              <w:rPr>
                <w:sz w:val="24"/>
                <w:szCs w:val="24"/>
              </w:rPr>
              <w:t>1</w:t>
            </w:r>
            <w:r>
              <w:rPr>
                <w:sz w:val="24"/>
                <w:szCs w:val="24"/>
                <w:lang w:val="zh-CN"/>
              </w:rPr>
              <w:t>月</w:t>
            </w:r>
            <w:r>
              <w:rPr>
                <w:sz w:val="24"/>
                <w:szCs w:val="24"/>
              </w:rPr>
              <w:t>22</w:t>
            </w:r>
            <w:r>
              <w:rPr>
                <w:sz w:val="24"/>
                <w:szCs w:val="24"/>
                <w:lang w:val="zh-CN"/>
              </w:rPr>
              <w:t>日对项目区进行了现场噪声监测，</w:t>
            </w:r>
            <w:r>
              <w:rPr>
                <w:rFonts w:hint="eastAsia"/>
                <w:color w:val="000000" w:themeColor="text1"/>
                <w:sz w:val="24"/>
                <w14:textFill>
                  <w14:solidFill>
                    <w14:schemeClr w14:val="tx1"/>
                  </w14:solidFill>
                </w14:textFill>
              </w:rPr>
              <w:t>后因南冲风电场升压站选址发生改变，因此我公司</w:t>
            </w:r>
            <w:r>
              <w:rPr>
                <w:rFonts w:hint="eastAsia"/>
                <w:snapToGrid w:val="0"/>
                <w:color w:val="000000" w:themeColor="text1"/>
                <w:kern w:val="0"/>
                <w:sz w:val="24"/>
                <w14:textFill>
                  <w14:solidFill>
                    <w14:schemeClr w14:val="tx1"/>
                  </w14:solidFill>
                </w14:textFill>
              </w:rPr>
              <w:t>委托云南科环环境工程咨询有限公司于</w:t>
            </w:r>
            <w:r>
              <w:rPr>
                <w:snapToGrid w:val="0"/>
                <w:color w:val="000000" w:themeColor="text1"/>
                <w:kern w:val="0"/>
                <w:sz w:val="24"/>
                <w14:textFill>
                  <w14:solidFill>
                    <w14:schemeClr w14:val="tx1"/>
                  </w14:solidFill>
                </w14:textFill>
              </w:rPr>
              <w:t>2026</w:t>
            </w:r>
            <w:r>
              <w:rPr>
                <w:rFonts w:hint="eastAsia"/>
                <w:snapToGrid w:val="0"/>
                <w:color w:val="000000" w:themeColor="text1"/>
                <w:kern w:val="0"/>
                <w:sz w:val="24"/>
                <w14:textFill>
                  <w14:solidFill>
                    <w14:schemeClr w14:val="tx1"/>
                  </w14:solidFill>
                </w14:textFill>
              </w:rPr>
              <w:t>年</w:t>
            </w:r>
            <w:r>
              <w:rPr>
                <w:snapToGrid w:val="0"/>
                <w:color w:val="000000" w:themeColor="text1"/>
                <w:kern w:val="0"/>
                <w:sz w:val="24"/>
                <w14:textFill>
                  <w14:solidFill>
                    <w14:schemeClr w14:val="tx1"/>
                  </w14:solidFill>
                </w14:textFill>
              </w:rPr>
              <w:t>3</w:t>
            </w:r>
            <w:r>
              <w:rPr>
                <w:rFonts w:hint="eastAsia"/>
                <w:snapToGrid w:val="0"/>
                <w:color w:val="000000" w:themeColor="text1"/>
                <w:kern w:val="0"/>
                <w:sz w:val="24"/>
                <w14:textFill>
                  <w14:solidFill>
                    <w14:schemeClr w14:val="tx1"/>
                  </w14:solidFill>
                </w14:textFill>
              </w:rPr>
              <w:t>月</w:t>
            </w:r>
            <w:r>
              <w:rPr>
                <w:snapToGrid w:val="0"/>
                <w:color w:val="000000" w:themeColor="text1"/>
                <w:kern w:val="0"/>
                <w:sz w:val="24"/>
                <w14:textFill>
                  <w14:solidFill>
                    <w14:schemeClr w14:val="tx1"/>
                  </w14:solidFill>
                </w14:textFill>
              </w:rPr>
              <w:t>11</w:t>
            </w:r>
            <w:r>
              <w:rPr>
                <w:rFonts w:hint="eastAsia"/>
                <w:snapToGrid w:val="0"/>
                <w:color w:val="000000" w:themeColor="text1"/>
                <w:kern w:val="0"/>
                <w:sz w:val="24"/>
                <w14:textFill>
                  <w14:solidFill>
                    <w14:schemeClr w14:val="tx1"/>
                  </w14:solidFill>
                </w14:textFill>
              </w:rPr>
              <w:t>日</w:t>
            </w:r>
            <w:r>
              <w:rPr>
                <w:snapToGrid w:val="0"/>
                <w:color w:val="000000" w:themeColor="text1"/>
                <w:kern w:val="0"/>
                <w:sz w:val="24"/>
                <w14:textFill>
                  <w14:solidFill>
                    <w14:schemeClr w14:val="tx1"/>
                  </w14:solidFill>
                </w14:textFill>
              </w:rPr>
              <w:t>~12</w:t>
            </w:r>
            <w:r>
              <w:rPr>
                <w:rFonts w:hint="eastAsia"/>
                <w:snapToGrid w:val="0"/>
                <w:color w:val="000000" w:themeColor="text1"/>
                <w:kern w:val="0"/>
                <w:sz w:val="24"/>
                <w14:textFill>
                  <w14:solidFill>
                    <w14:schemeClr w14:val="tx1"/>
                  </w14:solidFill>
                </w14:textFill>
              </w:rPr>
              <w:t>日对新的升压站选址进行了环境现状补充监测</w:t>
            </w:r>
            <w:r>
              <w:rPr>
                <w:rFonts w:hint="eastAsia"/>
                <w:color w:val="000000" w:themeColor="text1"/>
                <w:sz w:val="24"/>
                <w14:textFill>
                  <w14:solidFill>
                    <w14:schemeClr w14:val="tx1"/>
                  </w14:solidFill>
                </w14:textFill>
              </w:rPr>
              <w:t>。</w:t>
            </w:r>
            <w:r>
              <w:rPr>
                <w:sz w:val="24"/>
                <w:szCs w:val="24"/>
                <w:lang w:val="zh-CN"/>
              </w:rPr>
              <w:t>监测点位详见附图</w:t>
            </w:r>
            <w:r>
              <w:rPr>
                <w:sz w:val="24"/>
                <w:szCs w:val="24"/>
              </w:rPr>
              <w:t>12</w:t>
            </w:r>
            <w:r>
              <w:rPr>
                <w:sz w:val="24"/>
                <w:szCs w:val="24"/>
                <w:lang w:val="zh-CN"/>
              </w:rPr>
              <w:t>。</w:t>
            </w:r>
            <w:r>
              <w:rPr>
                <w:rFonts w:hint="eastAsia"/>
                <w:sz w:val="24"/>
                <w:szCs w:val="24"/>
                <w:lang w:val="zh-CN"/>
              </w:rPr>
              <w:t>监测时110kV南冲风电场升压站未开始建设，110kV铜厂变正在建设中，因此两个变电站工程各设置一个检测点位。</w:t>
            </w:r>
            <w:r>
              <w:rPr>
                <w:sz w:val="24"/>
                <w:szCs w:val="24"/>
                <w:lang w:val="zh-CN"/>
              </w:rPr>
              <w:t>监测</w:t>
            </w:r>
            <w:r>
              <w:rPr>
                <w:rFonts w:hint="eastAsia"/>
                <w:sz w:val="24"/>
                <w:szCs w:val="24"/>
                <w:lang w:val="zh-CN"/>
              </w:rPr>
              <w:t>仪器</w:t>
            </w:r>
            <w:r>
              <w:rPr>
                <w:sz w:val="24"/>
                <w:szCs w:val="24"/>
                <w:lang w:val="zh-CN"/>
              </w:rPr>
              <w:t>见表3-3</w:t>
            </w:r>
            <w:r>
              <w:rPr>
                <w:rFonts w:hint="eastAsia"/>
                <w:sz w:val="24"/>
                <w:szCs w:val="24"/>
                <w:lang w:val="zh-CN"/>
              </w:rPr>
              <w:t>，</w:t>
            </w:r>
            <w:r>
              <w:rPr>
                <w:sz w:val="24"/>
                <w:szCs w:val="24"/>
                <w:lang w:val="zh-CN"/>
              </w:rPr>
              <w:t>监测</w:t>
            </w:r>
            <w:r>
              <w:rPr>
                <w:rFonts w:hint="eastAsia"/>
                <w:sz w:val="24"/>
                <w:szCs w:val="24"/>
                <w:lang w:val="zh-CN"/>
              </w:rPr>
              <w:t>期间环境情况</w:t>
            </w:r>
            <w:r>
              <w:rPr>
                <w:sz w:val="24"/>
                <w:szCs w:val="24"/>
                <w:lang w:val="zh-CN"/>
              </w:rPr>
              <w:t>见表3-4</w:t>
            </w:r>
            <w:r>
              <w:rPr>
                <w:rFonts w:hint="eastAsia"/>
                <w:sz w:val="24"/>
                <w:szCs w:val="24"/>
                <w:lang w:val="zh-CN"/>
              </w:rPr>
              <w:t>，</w:t>
            </w:r>
            <w:r>
              <w:rPr>
                <w:sz w:val="24"/>
                <w:szCs w:val="24"/>
                <w:lang w:val="zh-CN"/>
              </w:rPr>
              <w:t>监测结果见表3-5。</w:t>
            </w:r>
          </w:p>
          <w:p w14:paraId="08F3504F">
            <w:pPr>
              <w:pStyle w:val="61"/>
              <w:spacing w:line="240" w:lineRule="auto"/>
              <w:ind w:firstLine="0" w:firstLineChars="0"/>
              <w:jc w:val="center"/>
              <w:rPr>
                <w:rFonts w:ascii="Times New Roman" w:eastAsia="黑体" w:cs="Times New Roman"/>
                <w:bCs/>
                <w:lang w:val="zh-CN"/>
              </w:rPr>
            </w:pPr>
            <w:r>
              <w:rPr>
                <w:rFonts w:ascii="Times New Roman" w:eastAsia="黑体" w:cs="Times New Roman"/>
                <w:bCs/>
                <w:lang w:val="zh-CN"/>
              </w:rPr>
              <w:t>表3-3</w:t>
            </w:r>
            <w:r>
              <w:rPr>
                <w:rFonts w:hint="eastAsia" w:ascii="Times New Roman" w:eastAsia="黑体" w:cs="Times New Roman"/>
                <w:bCs/>
                <w:lang w:val="zh-CN"/>
              </w:rPr>
              <w:t>检测所有设备情况说明</w:t>
            </w:r>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6243"/>
            </w:tblGrid>
            <w:tr w14:paraId="4212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06" w:type="pct"/>
                  <w:tcBorders>
                    <w:top w:val="single" w:color="auto" w:sz="4" w:space="0"/>
                    <w:left w:val="single" w:color="auto" w:sz="4" w:space="0"/>
                    <w:bottom w:val="single" w:color="auto" w:sz="4" w:space="0"/>
                    <w:right w:val="single" w:color="auto" w:sz="4" w:space="0"/>
                  </w:tcBorders>
                  <w:vAlign w:val="center"/>
                </w:tcPr>
                <w:p w14:paraId="556DCB19">
                  <w:pPr>
                    <w:pStyle w:val="26"/>
                    <w:spacing w:line="240" w:lineRule="auto"/>
                    <w:jc w:val="center"/>
                    <w:rPr>
                      <w:rFonts w:ascii="Times New Roman" w:hAnsi="Times New Roman"/>
                      <w:b/>
                      <w:bCs/>
                      <w:kern w:val="2"/>
                      <w:sz w:val="21"/>
                    </w:rPr>
                  </w:pPr>
                  <w:r>
                    <w:rPr>
                      <w:rFonts w:hint="eastAsia" w:ascii="Times New Roman" w:hAnsi="Times New Roman"/>
                      <w:b/>
                      <w:bCs/>
                      <w:sz w:val="21"/>
                    </w:rPr>
                    <w:t>检测所使用的主要仪器设备名称、型号规格及编号</w:t>
                  </w:r>
                </w:p>
              </w:tc>
              <w:tc>
                <w:tcPr>
                  <w:tcW w:w="4093" w:type="pct"/>
                  <w:tcBorders>
                    <w:top w:val="single" w:color="auto" w:sz="4" w:space="0"/>
                    <w:left w:val="single" w:color="auto" w:sz="4" w:space="0"/>
                    <w:bottom w:val="single" w:color="auto" w:sz="4" w:space="0"/>
                    <w:right w:val="single" w:color="auto" w:sz="4" w:space="0"/>
                  </w:tcBorders>
                </w:tcPr>
                <w:p w14:paraId="3EAD3475">
                  <w:pPr>
                    <w:pStyle w:val="26"/>
                    <w:spacing w:line="240" w:lineRule="auto"/>
                    <w:rPr>
                      <w:rFonts w:ascii="Times New Roman" w:hAnsi="Times New Roman"/>
                      <w:kern w:val="2"/>
                      <w:sz w:val="21"/>
                    </w:rPr>
                  </w:pPr>
                  <w:r>
                    <w:rPr>
                      <w:rFonts w:ascii="Times New Roman" w:hAnsi="Times New Roman"/>
                      <w:sz w:val="21"/>
                    </w:rPr>
                    <w:t>1.</w:t>
                  </w:r>
                  <w:r>
                    <w:rPr>
                      <w:rFonts w:hint="eastAsia" w:ascii="Times New Roman" w:hAnsi="Times New Roman"/>
                      <w:sz w:val="21"/>
                    </w:rPr>
                    <w:t>多功能声级计</w:t>
                  </w:r>
                  <w:r>
                    <w:rPr>
                      <w:rFonts w:ascii="Times New Roman" w:hAnsi="Times New Roman"/>
                      <w:sz w:val="21"/>
                    </w:rPr>
                    <w:t>AWA5688</w:t>
                  </w:r>
                </w:p>
                <w:p w14:paraId="15C2309E">
                  <w:pPr>
                    <w:pStyle w:val="26"/>
                    <w:spacing w:line="240" w:lineRule="auto"/>
                    <w:rPr>
                      <w:rFonts w:ascii="Times New Roman" w:hAnsi="Times New Roman"/>
                      <w:sz w:val="21"/>
                    </w:rPr>
                  </w:pPr>
                  <w:r>
                    <w:rPr>
                      <w:rFonts w:hint="eastAsia" w:ascii="Times New Roman" w:hAnsi="Times New Roman"/>
                      <w:sz w:val="21"/>
                    </w:rPr>
                    <w:t>仪器编号</w:t>
                  </w:r>
                  <w:r>
                    <w:rPr>
                      <w:rFonts w:ascii="Times New Roman" w:hAnsi="Times New Roman"/>
                      <w:sz w:val="21"/>
                    </w:rPr>
                    <w:t>:10354580(KH-127)</w:t>
                  </w:r>
                </w:p>
                <w:p w14:paraId="55CFD525">
                  <w:pPr>
                    <w:pStyle w:val="26"/>
                    <w:spacing w:line="240" w:lineRule="auto"/>
                    <w:rPr>
                      <w:rFonts w:ascii="Times New Roman" w:hAnsi="Times New Roman"/>
                      <w:sz w:val="21"/>
                    </w:rPr>
                  </w:pPr>
                  <w:r>
                    <w:rPr>
                      <w:rFonts w:hint="eastAsia" w:ascii="Times New Roman" w:hAnsi="Times New Roman"/>
                      <w:sz w:val="21"/>
                    </w:rPr>
                    <w:t>检定</w:t>
                  </w:r>
                  <w:r>
                    <w:rPr>
                      <w:rFonts w:ascii="Times New Roman" w:hAnsi="Times New Roman"/>
                      <w:sz w:val="21"/>
                    </w:rPr>
                    <w:t>/</w:t>
                  </w:r>
                  <w:r>
                    <w:rPr>
                      <w:rFonts w:hint="eastAsia" w:ascii="Times New Roman" w:hAnsi="Times New Roman"/>
                      <w:sz w:val="21"/>
                    </w:rPr>
                    <w:t>校准有效期</w:t>
                  </w:r>
                  <w:r>
                    <w:rPr>
                      <w:rFonts w:ascii="Times New Roman" w:hAnsi="Times New Roman"/>
                      <w:sz w:val="21"/>
                    </w:rPr>
                    <w:t>:2026</w:t>
                  </w:r>
                  <w:r>
                    <w:rPr>
                      <w:rFonts w:hint="eastAsia" w:ascii="Times New Roman" w:hAnsi="Times New Roman"/>
                      <w:sz w:val="21"/>
                    </w:rPr>
                    <w:t>年</w:t>
                  </w:r>
                  <w:r>
                    <w:rPr>
                      <w:rFonts w:ascii="Times New Roman" w:hAnsi="Times New Roman"/>
                      <w:sz w:val="21"/>
                    </w:rPr>
                    <w:t>09</w:t>
                  </w:r>
                  <w:r>
                    <w:rPr>
                      <w:rFonts w:hint="eastAsia" w:ascii="Times New Roman" w:hAnsi="Times New Roman"/>
                      <w:sz w:val="21"/>
                    </w:rPr>
                    <w:t>月</w:t>
                  </w:r>
                  <w:r>
                    <w:rPr>
                      <w:rFonts w:ascii="Times New Roman" w:hAnsi="Times New Roman"/>
                      <w:sz w:val="21"/>
                    </w:rPr>
                    <w:t>18</w:t>
                  </w:r>
                  <w:r>
                    <w:rPr>
                      <w:rFonts w:hint="eastAsia" w:ascii="Times New Roman" w:hAnsi="Times New Roman"/>
                      <w:sz w:val="21"/>
                    </w:rPr>
                    <w:t>日</w:t>
                  </w:r>
                </w:p>
                <w:p w14:paraId="2130CBAD">
                  <w:pPr>
                    <w:pStyle w:val="26"/>
                    <w:spacing w:line="240" w:lineRule="auto"/>
                    <w:rPr>
                      <w:rFonts w:ascii="Times New Roman" w:hAnsi="Times New Roman"/>
                      <w:sz w:val="21"/>
                    </w:rPr>
                  </w:pPr>
                  <w:r>
                    <w:rPr>
                      <w:rFonts w:hint="eastAsia" w:ascii="Times New Roman" w:hAnsi="Times New Roman"/>
                      <w:sz w:val="21"/>
                    </w:rPr>
                    <w:t>证书编号</w:t>
                  </w:r>
                  <w:r>
                    <w:rPr>
                      <w:rFonts w:ascii="Times New Roman" w:hAnsi="Times New Roman"/>
                      <w:sz w:val="21"/>
                    </w:rPr>
                    <w:t>:YNZCSX20250807</w:t>
                  </w:r>
                </w:p>
                <w:p w14:paraId="68028084">
                  <w:pPr>
                    <w:pStyle w:val="26"/>
                    <w:spacing w:line="240" w:lineRule="auto"/>
                    <w:rPr>
                      <w:rFonts w:ascii="Times New Roman" w:hAnsi="Times New Roman"/>
                      <w:sz w:val="21"/>
                    </w:rPr>
                  </w:pPr>
                  <w:r>
                    <w:rPr>
                      <w:rFonts w:hint="eastAsia" w:ascii="Times New Roman" w:hAnsi="Times New Roman"/>
                      <w:sz w:val="21"/>
                    </w:rPr>
                    <w:t>检定</w:t>
                  </w:r>
                  <w:r>
                    <w:rPr>
                      <w:rFonts w:ascii="Times New Roman" w:hAnsi="Times New Roman"/>
                      <w:sz w:val="21"/>
                    </w:rPr>
                    <w:t>/</w:t>
                  </w:r>
                  <w:r>
                    <w:rPr>
                      <w:rFonts w:hint="eastAsia" w:ascii="Times New Roman" w:hAnsi="Times New Roman"/>
                      <w:sz w:val="21"/>
                    </w:rPr>
                    <w:t>校准单位</w:t>
                  </w:r>
                  <w:r>
                    <w:rPr>
                      <w:rFonts w:ascii="Times New Roman" w:hAnsi="Times New Roman"/>
                      <w:sz w:val="21"/>
                    </w:rPr>
                    <w:t>:</w:t>
                  </w:r>
                  <w:r>
                    <w:rPr>
                      <w:rFonts w:hint="eastAsia" w:ascii="Times New Roman" w:hAnsi="Times New Roman"/>
                      <w:sz w:val="21"/>
                    </w:rPr>
                    <w:t>云南中测计量股份有限公司</w:t>
                  </w:r>
                </w:p>
                <w:p w14:paraId="43092B88">
                  <w:pPr>
                    <w:pStyle w:val="165"/>
                    <w:jc w:val="both"/>
                    <w:rPr>
                      <w:rFonts w:ascii="Times New Roman"/>
                      <w:color w:val="auto"/>
                      <w:sz w:val="21"/>
                      <w:szCs w:val="21"/>
                    </w:rPr>
                  </w:pPr>
                  <w:r>
                    <w:rPr>
                      <w:rFonts w:ascii="Times New Roman"/>
                      <w:color w:val="000000" w:themeColor="text1"/>
                      <w:sz w:val="21"/>
                      <w:szCs w:val="21"/>
                      <w14:textFill>
                        <w14:solidFill>
                          <w14:schemeClr w14:val="tx1"/>
                        </w14:solidFill>
                      </w14:textFill>
                    </w:rPr>
                    <w:t>2.</w:t>
                  </w:r>
                  <w:r>
                    <w:rPr>
                      <w:rFonts w:ascii="Times New Roman"/>
                      <w:color w:val="auto"/>
                      <w:sz w:val="21"/>
                      <w:szCs w:val="21"/>
                    </w:rPr>
                    <w:t>.</w:t>
                  </w:r>
                  <w:r>
                    <w:rPr>
                      <w:rFonts w:hint="eastAsia" w:ascii="Times New Roman"/>
                      <w:color w:val="auto"/>
                      <w:sz w:val="21"/>
                      <w:szCs w:val="21"/>
                    </w:rPr>
                    <w:t>电磁辐射分析仪</w:t>
                  </w:r>
                  <w:r>
                    <w:rPr>
                      <w:rFonts w:ascii="Times New Roman"/>
                      <w:color w:val="auto"/>
                      <w:sz w:val="21"/>
                      <w:szCs w:val="21"/>
                    </w:rPr>
                    <w:t>LF-01D/SEM-600</w:t>
                  </w:r>
                </w:p>
                <w:p w14:paraId="51D7E99B">
                  <w:pPr>
                    <w:pStyle w:val="165"/>
                    <w:jc w:val="both"/>
                    <w:rPr>
                      <w:rFonts w:ascii="Times New Roman"/>
                      <w:color w:val="auto"/>
                      <w:sz w:val="21"/>
                      <w:szCs w:val="21"/>
                    </w:rPr>
                  </w:pPr>
                  <w:r>
                    <w:rPr>
                      <w:rFonts w:hint="eastAsia" w:ascii="Times New Roman"/>
                      <w:color w:val="auto"/>
                      <w:sz w:val="21"/>
                      <w:szCs w:val="21"/>
                    </w:rPr>
                    <w:t>仪器编号</w:t>
                  </w:r>
                  <w:r>
                    <w:rPr>
                      <w:rFonts w:ascii="Times New Roman"/>
                      <w:color w:val="auto"/>
                      <w:sz w:val="21"/>
                      <w:szCs w:val="21"/>
                    </w:rPr>
                    <w:t>:G-2535/D-2579(KH-126)</w:t>
                  </w:r>
                </w:p>
                <w:p w14:paraId="6329BA0C">
                  <w:pPr>
                    <w:pStyle w:val="165"/>
                    <w:jc w:val="both"/>
                    <w:rPr>
                      <w:rFonts w:ascii="Times New Roman"/>
                      <w:color w:val="auto"/>
                      <w:sz w:val="21"/>
                      <w:szCs w:val="21"/>
                    </w:rPr>
                  </w:pPr>
                  <w:r>
                    <w:rPr>
                      <w:rFonts w:hint="eastAsia" w:ascii="Times New Roman"/>
                      <w:color w:val="auto"/>
                      <w:sz w:val="21"/>
                      <w:szCs w:val="21"/>
                    </w:rPr>
                    <w:t>检定</w:t>
                  </w:r>
                  <w:r>
                    <w:rPr>
                      <w:rFonts w:ascii="Times New Roman"/>
                      <w:color w:val="auto"/>
                      <w:sz w:val="21"/>
                      <w:szCs w:val="21"/>
                    </w:rPr>
                    <w:t>/</w:t>
                  </w:r>
                  <w:r>
                    <w:rPr>
                      <w:rFonts w:hint="eastAsia" w:ascii="Times New Roman"/>
                      <w:color w:val="auto"/>
                      <w:sz w:val="21"/>
                      <w:szCs w:val="21"/>
                    </w:rPr>
                    <w:t>校准有效期</w:t>
                  </w:r>
                  <w:r>
                    <w:rPr>
                      <w:rFonts w:ascii="Times New Roman"/>
                      <w:color w:val="auto"/>
                      <w:sz w:val="21"/>
                      <w:szCs w:val="21"/>
                    </w:rPr>
                    <w:t>:2026</w:t>
                  </w:r>
                  <w:r>
                    <w:rPr>
                      <w:rFonts w:hint="eastAsia" w:ascii="Times New Roman"/>
                      <w:color w:val="auto"/>
                      <w:sz w:val="21"/>
                      <w:szCs w:val="21"/>
                    </w:rPr>
                    <w:t>年</w:t>
                  </w:r>
                  <w:r>
                    <w:rPr>
                      <w:rFonts w:ascii="Times New Roman"/>
                      <w:color w:val="auto"/>
                      <w:sz w:val="21"/>
                      <w:szCs w:val="21"/>
                    </w:rPr>
                    <w:t>09</w:t>
                  </w:r>
                  <w:r>
                    <w:rPr>
                      <w:rFonts w:hint="eastAsia" w:ascii="Times New Roman"/>
                      <w:color w:val="auto"/>
                      <w:sz w:val="21"/>
                      <w:szCs w:val="21"/>
                    </w:rPr>
                    <w:t>月</w:t>
                  </w:r>
                  <w:r>
                    <w:rPr>
                      <w:rFonts w:ascii="Times New Roman"/>
                      <w:color w:val="auto"/>
                      <w:sz w:val="21"/>
                      <w:szCs w:val="21"/>
                    </w:rPr>
                    <w:t>24</w:t>
                  </w:r>
                  <w:r>
                    <w:rPr>
                      <w:rFonts w:hint="eastAsia" w:ascii="Times New Roman"/>
                      <w:color w:val="auto"/>
                      <w:sz w:val="21"/>
                      <w:szCs w:val="21"/>
                    </w:rPr>
                    <w:t>日</w:t>
                  </w:r>
                </w:p>
                <w:p w14:paraId="52D336EC">
                  <w:pPr>
                    <w:pStyle w:val="165"/>
                    <w:jc w:val="both"/>
                    <w:rPr>
                      <w:rFonts w:ascii="Times New Roman"/>
                      <w:color w:val="auto"/>
                      <w:sz w:val="21"/>
                      <w:szCs w:val="21"/>
                    </w:rPr>
                  </w:pPr>
                  <w:r>
                    <w:rPr>
                      <w:rFonts w:hint="eastAsia" w:ascii="Times New Roman"/>
                      <w:color w:val="auto"/>
                      <w:sz w:val="21"/>
                      <w:szCs w:val="21"/>
                    </w:rPr>
                    <w:t>证书编号</w:t>
                  </w:r>
                  <w:r>
                    <w:rPr>
                      <w:rFonts w:ascii="Times New Roman"/>
                      <w:color w:val="auto"/>
                      <w:sz w:val="21"/>
                      <w:szCs w:val="21"/>
                    </w:rPr>
                    <w:t>:25J02X009645</w:t>
                  </w:r>
                </w:p>
                <w:p w14:paraId="7F322716">
                  <w:pPr>
                    <w:adjustRightInd w:val="0"/>
                    <w:snapToGrid w:val="0"/>
                    <w:rPr>
                      <w:rFonts w:eastAsiaTheme="minorEastAsia"/>
                    </w:rPr>
                  </w:pPr>
                  <w:r>
                    <w:rPr>
                      <w:rFonts w:hint="eastAsia"/>
                    </w:rPr>
                    <w:t>检定</w:t>
                  </w:r>
                  <w:r>
                    <w:t>/</w:t>
                  </w:r>
                  <w:r>
                    <w:rPr>
                      <w:rFonts w:hint="eastAsia"/>
                    </w:rPr>
                    <w:t>校准单位</w:t>
                  </w:r>
                  <w:r>
                    <w:t>:</w:t>
                  </w:r>
                  <w:r>
                    <w:rPr>
                      <w:rFonts w:hint="eastAsia"/>
                    </w:rPr>
                    <w:t>中国信息通信研究院泰尔实验室</w:t>
                  </w:r>
                </w:p>
              </w:tc>
            </w:tr>
            <w:tr w14:paraId="7943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1745" w:type="dxa"/>
                  <w:tcBorders>
                    <w:top w:val="single" w:color="auto" w:sz="4" w:space="0"/>
                    <w:left w:val="single" w:color="auto" w:sz="4" w:space="0"/>
                    <w:bottom w:val="single" w:color="auto" w:sz="4" w:space="0"/>
                    <w:right w:val="single" w:color="auto" w:sz="4" w:space="0"/>
                  </w:tcBorders>
                  <w:vAlign w:val="center"/>
                </w:tcPr>
                <w:p w14:paraId="58B8B364">
                  <w:pPr>
                    <w:pStyle w:val="26"/>
                    <w:spacing w:line="240" w:lineRule="auto"/>
                    <w:jc w:val="center"/>
                    <w:rPr>
                      <w:rFonts w:ascii="Times New Roman" w:hAnsi="Times New Roman"/>
                      <w:b/>
                      <w:bCs/>
                      <w:sz w:val="21"/>
                    </w:rPr>
                  </w:pPr>
                  <w:r>
                    <w:rPr>
                      <w:rFonts w:hint="eastAsia" w:ascii="Times New Roman" w:hAnsi="Times New Roman"/>
                      <w:b/>
                      <w:bCs/>
                      <w:color w:val="000000" w:themeColor="text1"/>
                      <w:sz w:val="21"/>
                      <w14:textFill>
                        <w14:solidFill>
                          <w14:schemeClr w14:val="tx1"/>
                        </w14:solidFill>
                      </w14:textFill>
                    </w:rPr>
                    <w:t>技术指标</w:t>
                  </w:r>
                </w:p>
              </w:tc>
              <w:tc>
                <w:tcPr>
                  <w:tcW w:w="7883" w:type="dxa"/>
                  <w:tcBorders>
                    <w:top w:val="single" w:color="auto" w:sz="4" w:space="0"/>
                    <w:left w:val="single" w:color="auto" w:sz="4" w:space="0"/>
                    <w:bottom w:val="single" w:color="auto" w:sz="4" w:space="0"/>
                    <w:right w:val="single" w:color="auto" w:sz="4" w:space="0"/>
                  </w:tcBorders>
                </w:tcPr>
                <w:p w14:paraId="1D73B1DF">
                  <w:pPr>
                    <w:pStyle w:val="26"/>
                    <w:spacing w:line="240" w:lineRule="auto"/>
                    <w:rPr>
                      <w:rFonts w:ascii="Times New Roman" w:hAnsi="Times New Roman"/>
                      <w:kern w:val="2"/>
                      <w:sz w:val="21"/>
                    </w:rPr>
                  </w:pPr>
                  <w:r>
                    <w:rPr>
                      <w:rFonts w:hint="eastAsia" w:ascii="Times New Roman" w:hAnsi="Times New Roman"/>
                      <w:sz w:val="21"/>
                    </w:rPr>
                    <w:t>电磁场探头</w:t>
                  </w:r>
                  <w:r>
                    <w:rPr>
                      <w:rFonts w:ascii="Times New Roman" w:hAnsi="Times New Roman"/>
                      <w:sz w:val="21"/>
                    </w:rPr>
                    <w:t>:</w:t>
                  </w:r>
                </w:p>
                <w:p w14:paraId="7A7B802A">
                  <w:pPr>
                    <w:pStyle w:val="26"/>
                    <w:spacing w:line="240" w:lineRule="auto"/>
                    <w:rPr>
                      <w:rFonts w:ascii="Times New Roman" w:hAnsi="Times New Roman"/>
                      <w:sz w:val="21"/>
                    </w:rPr>
                  </w:pPr>
                  <w:r>
                    <w:rPr>
                      <w:rFonts w:hint="eastAsia" w:ascii="Times New Roman" w:hAnsi="Times New Roman"/>
                      <w:sz w:val="21"/>
                    </w:rPr>
                    <w:t>电场量程范围</w:t>
                  </w:r>
                  <w:r>
                    <w:rPr>
                      <w:rFonts w:ascii="Times New Roman" w:hAnsi="Times New Roman"/>
                      <w:sz w:val="21"/>
                    </w:rPr>
                    <w:t xml:space="preserve">:0.01V/m-100kV/m   </w:t>
                  </w:r>
                  <w:r>
                    <w:rPr>
                      <w:rFonts w:hint="eastAsia" w:ascii="Times New Roman" w:hAnsi="Times New Roman"/>
                      <w:sz w:val="21"/>
                    </w:rPr>
                    <w:t>扩展不确定度±</w:t>
                  </w:r>
                  <w:r>
                    <w:rPr>
                      <w:rFonts w:ascii="Times New Roman" w:hAnsi="Times New Roman"/>
                      <w:sz w:val="21"/>
                    </w:rPr>
                    <w:t>0.7dB</w:t>
                  </w:r>
                </w:p>
                <w:p w14:paraId="065EADF1">
                  <w:pPr>
                    <w:pStyle w:val="165"/>
                    <w:rPr>
                      <w:rFonts w:ascii="Times New Roman"/>
                      <w:color w:val="auto"/>
                      <w:sz w:val="21"/>
                      <w:szCs w:val="21"/>
                    </w:rPr>
                  </w:pPr>
                  <w:r>
                    <w:rPr>
                      <w:rFonts w:hint="eastAsia" w:ascii="Times New Roman"/>
                      <w:sz w:val="21"/>
                      <w:szCs w:val="21"/>
                    </w:rPr>
                    <w:t>磁场量程范围</w:t>
                  </w:r>
                  <w:r>
                    <w:rPr>
                      <w:rFonts w:ascii="Times New Roman"/>
                      <w:sz w:val="21"/>
                      <w:szCs w:val="21"/>
                    </w:rPr>
                    <w:t xml:space="preserve">:1nT-10mT          </w:t>
                  </w:r>
                  <w:r>
                    <w:rPr>
                      <w:rFonts w:hint="eastAsia" w:ascii="Times New Roman"/>
                      <w:sz w:val="21"/>
                      <w:szCs w:val="21"/>
                    </w:rPr>
                    <w:t>扩展不确定度±</w:t>
                  </w:r>
                  <w:r>
                    <w:rPr>
                      <w:rFonts w:ascii="Times New Roman"/>
                      <w:sz w:val="21"/>
                      <w:szCs w:val="21"/>
                    </w:rPr>
                    <w:t>0.7dB</w:t>
                  </w:r>
                </w:p>
              </w:tc>
            </w:tr>
          </w:tbl>
          <w:p w14:paraId="5E26349B">
            <w:pPr>
              <w:pStyle w:val="61"/>
              <w:spacing w:line="240" w:lineRule="auto"/>
              <w:ind w:firstLine="0" w:firstLineChars="0"/>
              <w:jc w:val="center"/>
              <w:rPr>
                <w:rFonts w:ascii="Times New Roman" w:eastAsia="黑体" w:cs="Times New Roman"/>
                <w:bCs/>
                <w:lang w:val="zh-CN"/>
              </w:rPr>
            </w:pPr>
          </w:p>
          <w:p w14:paraId="1696CE53">
            <w:pPr>
              <w:pStyle w:val="61"/>
              <w:spacing w:line="240" w:lineRule="auto"/>
              <w:ind w:firstLine="0" w:firstLineChars="0"/>
              <w:jc w:val="center"/>
              <w:rPr>
                <w:rFonts w:ascii="Times New Roman" w:eastAsia="黑体" w:cs="Times New Roman"/>
                <w:bCs/>
                <w:lang w:val="zh-CN"/>
              </w:rPr>
            </w:pPr>
            <w:r>
              <w:rPr>
                <w:rFonts w:ascii="Times New Roman" w:eastAsia="黑体" w:cs="Times New Roman"/>
                <w:bCs/>
                <w:lang w:val="zh-CN"/>
              </w:rPr>
              <w:t>表3-4</w:t>
            </w:r>
            <w:r>
              <w:rPr>
                <w:rFonts w:hint="eastAsia" w:ascii="Times New Roman" w:eastAsia="黑体" w:cs="Times New Roman"/>
                <w:bCs/>
                <w:lang w:val="zh-CN"/>
              </w:rPr>
              <w:t>监测期间环境情况</w:t>
            </w:r>
          </w:p>
          <w:tbl>
            <w:tblPr>
              <w:tblStyle w:val="279"/>
              <w:tblW w:w="7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54"/>
              <w:gridCol w:w="1075"/>
              <w:gridCol w:w="6020"/>
            </w:tblGrid>
            <w:tr w14:paraId="3C85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restart"/>
                  <w:vAlign w:val="center"/>
                </w:tcPr>
                <w:p w14:paraId="6B79CD39">
                  <w:pPr>
                    <w:pStyle w:val="26"/>
                    <w:autoSpaceDE w:val="0"/>
                    <w:autoSpaceDN w:val="0"/>
                    <w:spacing w:line="240" w:lineRule="auto"/>
                    <w:jc w:val="center"/>
                    <w:rPr>
                      <w:rFonts w:ascii="Times New Roman" w:hAnsi="Times New Roman"/>
                      <w:b/>
                      <w:bCs/>
                      <w:color w:val="000000" w:themeColor="text1"/>
                      <w:kern w:val="2"/>
                      <w:sz w:val="21"/>
                      <w:lang w:eastAsia="zh-CN"/>
                      <w14:textFill>
                        <w14:solidFill>
                          <w14:schemeClr w14:val="tx1"/>
                        </w14:solidFill>
                      </w14:textFill>
                    </w:rPr>
                  </w:pPr>
                  <w:r>
                    <w:rPr>
                      <w:rFonts w:hint="eastAsia" w:ascii="Times New Roman" w:hAnsi="Times New Roman"/>
                      <w:b/>
                      <w:bCs/>
                      <w:color w:val="000000" w:themeColor="text1"/>
                      <w:sz w:val="21"/>
                      <w:lang w:eastAsia="zh-CN"/>
                      <w14:textFill>
                        <w14:solidFill>
                          <w14:schemeClr w14:val="tx1"/>
                        </w14:solidFill>
                      </w14:textFill>
                    </w:rPr>
                    <w:t>环境</w:t>
                  </w:r>
                </w:p>
                <w:p w14:paraId="3AC2E5CA">
                  <w:pPr>
                    <w:pStyle w:val="26"/>
                    <w:autoSpaceDE w:val="0"/>
                    <w:autoSpaceDN w:val="0"/>
                    <w:spacing w:line="240" w:lineRule="auto"/>
                    <w:jc w:val="center"/>
                    <w:rPr>
                      <w:rFonts w:ascii="Times New Roman" w:hAnsi="Times New Roman"/>
                      <w:b/>
                      <w:bCs/>
                      <w:color w:val="000000" w:themeColor="text1"/>
                      <w:sz w:val="21"/>
                      <w:lang w:eastAsia="zh-CN"/>
                      <w14:textFill>
                        <w14:solidFill>
                          <w14:schemeClr w14:val="tx1"/>
                        </w14:solidFill>
                      </w14:textFill>
                    </w:rPr>
                  </w:pPr>
                  <w:r>
                    <w:rPr>
                      <w:rFonts w:hint="eastAsia" w:ascii="Times New Roman" w:hAnsi="Times New Roman"/>
                      <w:b/>
                      <w:bCs/>
                      <w:color w:val="000000" w:themeColor="text1"/>
                      <w:sz w:val="21"/>
                      <w:lang w:eastAsia="zh-CN"/>
                      <w14:textFill>
                        <w14:solidFill>
                          <w14:schemeClr w14:val="tx1"/>
                        </w14:solidFill>
                      </w14:textFill>
                    </w:rPr>
                    <w:t>条件</w:t>
                  </w:r>
                </w:p>
              </w:tc>
              <w:tc>
                <w:tcPr>
                  <w:tcW w:w="712" w:type="pct"/>
                  <w:vAlign w:val="center"/>
                </w:tcPr>
                <w:p w14:paraId="61F64761">
                  <w:pPr>
                    <w:pStyle w:val="283"/>
                    <w:autoSpaceDE w:val="0"/>
                    <w:autoSpaceDN w:val="0"/>
                    <w:jc w:val="center"/>
                    <w:rPr>
                      <w:rFonts w:ascii="Times New Roman" w:hAnsi="Times New Roman" w:eastAsia="Times New Roman" w:cs="Times New Roman"/>
                      <w:sz w:val="21"/>
                      <w:szCs w:val="21"/>
                      <w:lang w:eastAsia="zh-CN"/>
                    </w:rPr>
                  </w:pPr>
                  <w:r>
                    <w:rPr>
                      <w:rFonts w:hint="eastAsia" w:ascii="Times New Roman" w:hAnsi="Times New Roman" w:cs="Times New Roman"/>
                      <w:sz w:val="21"/>
                      <w:szCs w:val="21"/>
                      <w:lang w:eastAsia="zh-CN"/>
                    </w:rPr>
                    <w:t>监测日期</w:t>
                  </w:r>
                </w:p>
              </w:tc>
              <w:tc>
                <w:tcPr>
                  <w:tcW w:w="3987" w:type="pct"/>
                  <w:vAlign w:val="center"/>
                </w:tcPr>
                <w:p w14:paraId="401D3BA4">
                  <w:pPr>
                    <w:pStyle w:val="283"/>
                    <w:autoSpaceDE w:val="0"/>
                    <w:autoSpaceDN w:val="0"/>
                    <w:rPr>
                      <w:rFonts w:ascii="Times New Roman" w:hAnsi="Times New Roman" w:cs="Times New Roman"/>
                      <w:sz w:val="21"/>
                      <w:szCs w:val="21"/>
                      <w:lang w:eastAsia="zh-CN"/>
                    </w:rPr>
                  </w:pPr>
                  <w:r>
                    <w:rPr>
                      <w:rFonts w:ascii="Times New Roman" w:hAnsi="Times New Roman" w:cs="Times New Roman"/>
                      <w:sz w:val="21"/>
                      <w:szCs w:val="21"/>
                      <w:lang w:eastAsia="zh-CN"/>
                    </w:rPr>
                    <w:t>2025</w:t>
                  </w:r>
                  <w:r>
                    <w:rPr>
                      <w:rFonts w:hint="eastAsia" w:ascii="Times New Roman" w:hAnsi="Times New Roman" w:cs="Times New Roman"/>
                      <w:sz w:val="21"/>
                      <w:szCs w:val="21"/>
                      <w:lang w:eastAsia="zh-CN"/>
                    </w:rPr>
                    <w:t>年</w:t>
                  </w:r>
                  <w:r>
                    <w:rPr>
                      <w:rFonts w:ascii="Times New Roman" w:hAnsi="Times New Roman" w:cs="Times New Roman"/>
                      <w:sz w:val="21"/>
                      <w:szCs w:val="21"/>
                      <w:lang w:eastAsia="zh-CN"/>
                    </w:rPr>
                    <w:t>11</w:t>
                  </w:r>
                  <w:r>
                    <w:rPr>
                      <w:rFonts w:hint="eastAsia" w:ascii="Times New Roman" w:hAnsi="Times New Roman" w:cs="Times New Roman"/>
                      <w:sz w:val="21"/>
                      <w:szCs w:val="21"/>
                      <w:lang w:eastAsia="zh-CN"/>
                    </w:rPr>
                    <w:t>月</w:t>
                  </w:r>
                  <w:r>
                    <w:rPr>
                      <w:rFonts w:ascii="Times New Roman" w:hAnsi="Times New Roman" w:cs="Times New Roman"/>
                      <w:sz w:val="21"/>
                      <w:szCs w:val="21"/>
                      <w:lang w:eastAsia="zh-CN"/>
                    </w:rPr>
                    <w:t>20</w:t>
                  </w:r>
                  <w:r>
                    <w:rPr>
                      <w:rFonts w:hint="eastAsia" w:ascii="Times New Roman" w:hAnsi="Times New Roman" w:cs="Times New Roman"/>
                      <w:sz w:val="21"/>
                      <w:szCs w:val="21"/>
                      <w:lang w:eastAsia="zh-CN"/>
                    </w:rPr>
                    <w:t>日</w:t>
                  </w:r>
                  <w:r>
                    <w:rPr>
                      <w:rFonts w:ascii="Times New Roman" w:hAnsi="Times New Roman" w:cs="Times New Roman"/>
                      <w:sz w:val="21"/>
                      <w:szCs w:val="21"/>
                      <w:lang w:eastAsia="zh-CN"/>
                    </w:rPr>
                    <w:t>-2025</w:t>
                  </w:r>
                  <w:r>
                    <w:rPr>
                      <w:rFonts w:hint="eastAsia" w:ascii="Times New Roman" w:hAnsi="Times New Roman" w:cs="Times New Roman"/>
                      <w:sz w:val="21"/>
                      <w:szCs w:val="21"/>
                      <w:lang w:eastAsia="zh-CN"/>
                    </w:rPr>
                    <w:t>年</w:t>
                  </w:r>
                  <w:r>
                    <w:rPr>
                      <w:rFonts w:ascii="Times New Roman" w:hAnsi="Times New Roman" w:cs="Times New Roman"/>
                      <w:sz w:val="21"/>
                      <w:szCs w:val="21"/>
                      <w:lang w:eastAsia="zh-CN"/>
                    </w:rPr>
                    <w:t>11</w:t>
                  </w:r>
                  <w:r>
                    <w:rPr>
                      <w:rFonts w:hint="eastAsia" w:ascii="Times New Roman" w:hAnsi="Times New Roman" w:cs="Times New Roman"/>
                      <w:sz w:val="21"/>
                      <w:szCs w:val="21"/>
                      <w:lang w:eastAsia="zh-CN"/>
                    </w:rPr>
                    <w:t>月</w:t>
                  </w:r>
                  <w:r>
                    <w:rPr>
                      <w:rFonts w:ascii="Times New Roman" w:hAnsi="Times New Roman" w:cs="Times New Roman"/>
                      <w:sz w:val="21"/>
                      <w:szCs w:val="21"/>
                      <w:lang w:eastAsia="zh-CN"/>
                    </w:rPr>
                    <w:t>22</w:t>
                  </w:r>
                  <w:r>
                    <w:rPr>
                      <w:rFonts w:hint="eastAsia" w:ascii="Times New Roman" w:hAnsi="Times New Roman" w:cs="Times New Roman"/>
                      <w:sz w:val="21"/>
                      <w:szCs w:val="21"/>
                      <w:lang w:eastAsia="zh-CN"/>
                    </w:rPr>
                    <w:t>日</w:t>
                  </w:r>
                </w:p>
              </w:tc>
            </w:tr>
            <w:tr w14:paraId="3C1E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1" w:type="pct"/>
                  <w:vMerge w:val="continue"/>
                  <w:vAlign w:val="center"/>
                </w:tcPr>
                <w:p w14:paraId="74775CC9">
                  <w:pPr>
                    <w:widowControl/>
                    <w:autoSpaceDE w:val="0"/>
                    <w:autoSpaceDN w:val="0"/>
                    <w:jc w:val="left"/>
                    <w:rPr>
                      <w:b/>
                      <w:bCs/>
                      <w:color w:val="000000" w:themeColor="text1"/>
                      <w:lang w:eastAsia="zh-CN"/>
                      <w14:textFill>
                        <w14:solidFill>
                          <w14:schemeClr w14:val="tx1"/>
                        </w14:solidFill>
                      </w14:textFill>
                    </w:rPr>
                  </w:pPr>
                </w:p>
              </w:tc>
              <w:tc>
                <w:tcPr>
                  <w:tcW w:w="712" w:type="pct"/>
                  <w:vAlign w:val="center"/>
                </w:tcPr>
                <w:p w14:paraId="222F76B2">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天气</w:t>
                  </w:r>
                </w:p>
              </w:tc>
              <w:tc>
                <w:tcPr>
                  <w:tcW w:w="3987" w:type="pct"/>
                  <w:vAlign w:val="center"/>
                </w:tcPr>
                <w:p w14:paraId="11E93EE4">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多云</w:t>
                  </w:r>
                </w:p>
              </w:tc>
            </w:tr>
            <w:tr w14:paraId="7069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78730E0B">
                  <w:pPr>
                    <w:widowControl/>
                    <w:autoSpaceDE w:val="0"/>
                    <w:autoSpaceDN w:val="0"/>
                    <w:jc w:val="left"/>
                    <w:rPr>
                      <w:b/>
                      <w:bCs/>
                      <w:color w:val="000000" w:themeColor="text1"/>
                      <w:lang w:eastAsia="zh-CN"/>
                      <w14:textFill>
                        <w14:solidFill>
                          <w14:schemeClr w14:val="tx1"/>
                        </w14:solidFill>
                      </w14:textFill>
                    </w:rPr>
                  </w:pPr>
                </w:p>
              </w:tc>
              <w:tc>
                <w:tcPr>
                  <w:tcW w:w="712" w:type="pct"/>
                  <w:vAlign w:val="center"/>
                </w:tcPr>
                <w:p w14:paraId="70EEB454">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风速</w:t>
                  </w:r>
                </w:p>
              </w:tc>
              <w:tc>
                <w:tcPr>
                  <w:tcW w:w="3987" w:type="pct"/>
                  <w:vAlign w:val="center"/>
                </w:tcPr>
                <w:p w14:paraId="1088EFEE">
                  <w:pPr>
                    <w:autoSpaceDE w:val="0"/>
                    <w:autoSpaceDN w:val="0"/>
                    <w:rPr>
                      <w:lang w:eastAsia="zh-CN"/>
                    </w:rPr>
                  </w:pPr>
                  <w:r>
                    <w:rPr>
                      <w:spacing w:val="-5"/>
                      <w:lang w:eastAsia="zh-CN" w:bidi="he-IL"/>
                    </w:rPr>
                    <w:t>0.2-1.6m</w:t>
                  </w:r>
                  <w:r>
                    <w:rPr>
                      <w:lang w:eastAsia="zh-CN"/>
                    </w:rPr>
                    <w:t>/s</w:t>
                  </w:r>
                </w:p>
              </w:tc>
            </w:tr>
            <w:tr w14:paraId="0F03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122A8EF6">
                  <w:pPr>
                    <w:widowControl/>
                    <w:autoSpaceDE w:val="0"/>
                    <w:autoSpaceDN w:val="0"/>
                    <w:jc w:val="left"/>
                    <w:rPr>
                      <w:b/>
                      <w:bCs/>
                      <w:color w:val="000000" w:themeColor="text1"/>
                      <w:lang w:eastAsia="zh-CN"/>
                      <w14:textFill>
                        <w14:solidFill>
                          <w14:schemeClr w14:val="tx1"/>
                        </w14:solidFill>
                      </w14:textFill>
                    </w:rPr>
                  </w:pPr>
                </w:p>
              </w:tc>
              <w:tc>
                <w:tcPr>
                  <w:tcW w:w="712" w:type="pct"/>
                  <w:vAlign w:val="center"/>
                </w:tcPr>
                <w:p w14:paraId="05BB2E0A">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风向</w:t>
                  </w:r>
                </w:p>
              </w:tc>
              <w:tc>
                <w:tcPr>
                  <w:tcW w:w="3987" w:type="pct"/>
                  <w:vAlign w:val="center"/>
                </w:tcPr>
                <w:p w14:paraId="78E1F1B9">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东南风</w:t>
                  </w:r>
                </w:p>
              </w:tc>
            </w:tr>
            <w:tr w14:paraId="43F5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09D3D15D">
                  <w:pPr>
                    <w:widowControl/>
                    <w:autoSpaceDE w:val="0"/>
                    <w:autoSpaceDN w:val="0"/>
                    <w:jc w:val="left"/>
                    <w:rPr>
                      <w:b/>
                      <w:bCs/>
                      <w:color w:val="000000" w:themeColor="text1"/>
                      <w:lang w:eastAsia="zh-CN"/>
                      <w14:textFill>
                        <w14:solidFill>
                          <w14:schemeClr w14:val="tx1"/>
                        </w14:solidFill>
                      </w14:textFill>
                    </w:rPr>
                  </w:pPr>
                </w:p>
              </w:tc>
              <w:tc>
                <w:tcPr>
                  <w:tcW w:w="712" w:type="pct"/>
                  <w:vAlign w:val="center"/>
                </w:tcPr>
                <w:p w14:paraId="1E139057">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温湿度</w:t>
                  </w:r>
                </w:p>
              </w:tc>
              <w:tc>
                <w:tcPr>
                  <w:tcW w:w="3987" w:type="pct"/>
                  <w:vAlign w:val="center"/>
                </w:tcPr>
                <w:p w14:paraId="6F950BE1">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环境温度：</w:t>
                  </w:r>
                  <w:r>
                    <w:rPr>
                      <w:rFonts w:ascii="Times New Roman" w:hAnsi="Times New Roman" w:cs="Times New Roman"/>
                      <w:sz w:val="21"/>
                      <w:szCs w:val="21"/>
                      <w:lang w:eastAsia="zh-CN"/>
                    </w:rPr>
                    <w:t xml:space="preserve">16.3-29.2℃   </w:t>
                  </w:r>
                  <w:r>
                    <w:rPr>
                      <w:rFonts w:hint="eastAsia" w:ascii="Times New Roman" w:hAnsi="Times New Roman" w:cs="Times New Roman"/>
                      <w:sz w:val="21"/>
                      <w:szCs w:val="21"/>
                      <w:lang w:eastAsia="zh-CN"/>
                    </w:rPr>
                    <w:t>相对湿度：</w:t>
                  </w:r>
                  <w:r>
                    <w:rPr>
                      <w:rFonts w:ascii="Times New Roman" w:hAnsi="Times New Roman" w:cs="Times New Roman"/>
                      <w:sz w:val="21"/>
                      <w:szCs w:val="21"/>
                      <w:lang w:eastAsia="zh-CN"/>
                    </w:rPr>
                    <w:t>61.2-73.1%RH</w:t>
                  </w:r>
                </w:p>
              </w:tc>
            </w:tr>
            <w:tr w14:paraId="596E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43C8B543">
                  <w:pPr>
                    <w:widowControl/>
                    <w:autoSpaceDE w:val="0"/>
                    <w:autoSpaceDN w:val="0"/>
                    <w:jc w:val="left"/>
                    <w:rPr>
                      <w:b/>
                      <w:bCs/>
                      <w:color w:val="000000" w:themeColor="text1"/>
                      <w:lang w:eastAsia="zh-CN"/>
                      <w14:textFill>
                        <w14:solidFill>
                          <w14:schemeClr w14:val="tx1"/>
                        </w14:solidFill>
                      </w14:textFill>
                    </w:rPr>
                  </w:pPr>
                </w:p>
              </w:tc>
              <w:tc>
                <w:tcPr>
                  <w:tcW w:w="712" w:type="pct"/>
                  <w:vAlign w:val="center"/>
                </w:tcPr>
                <w:p w14:paraId="05DEA183">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大气压</w:t>
                  </w:r>
                </w:p>
              </w:tc>
              <w:tc>
                <w:tcPr>
                  <w:tcW w:w="3987" w:type="pct"/>
                  <w:vAlign w:val="center"/>
                </w:tcPr>
                <w:p w14:paraId="48E6CDB8">
                  <w:pPr>
                    <w:pStyle w:val="283"/>
                    <w:autoSpaceDE w:val="0"/>
                    <w:autoSpaceDN w:val="0"/>
                    <w:rPr>
                      <w:rFonts w:ascii="Times New Roman" w:hAnsi="Times New Roman" w:cs="Times New Roman"/>
                      <w:sz w:val="21"/>
                      <w:szCs w:val="21"/>
                      <w:lang w:eastAsia="zh-CN"/>
                    </w:rPr>
                  </w:pPr>
                  <w:r>
                    <w:rPr>
                      <w:rFonts w:ascii="Times New Roman" w:hAnsi="Times New Roman" w:cs="Times New Roman"/>
                      <w:sz w:val="21"/>
                      <w:szCs w:val="21"/>
                      <w:lang w:eastAsia="zh-CN"/>
                    </w:rPr>
                    <w:t>80.2-80.4kPa</w:t>
                  </w:r>
                </w:p>
              </w:tc>
            </w:tr>
            <w:tr w14:paraId="0AC8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restart"/>
                  <w:vAlign w:val="center"/>
                </w:tcPr>
                <w:p w14:paraId="42E55654">
                  <w:pPr>
                    <w:pStyle w:val="26"/>
                    <w:autoSpaceDE w:val="0"/>
                    <w:autoSpaceDN w:val="0"/>
                    <w:spacing w:line="240" w:lineRule="auto"/>
                    <w:jc w:val="center"/>
                    <w:rPr>
                      <w:rFonts w:ascii="Times New Roman" w:hAnsi="Times New Roman"/>
                      <w:b/>
                      <w:bCs/>
                      <w:color w:val="000000" w:themeColor="text1"/>
                      <w:kern w:val="2"/>
                      <w:sz w:val="21"/>
                      <w:lang w:eastAsia="zh-CN"/>
                      <w14:textFill>
                        <w14:solidFill>
                          <w14:schemeClr w14:val="tx1"/>
                        </w14:solidFill>
                      </w14:textFill>
                    </w:rPr>
                  </w:pPr>
                  <w:r>
                    <w:rPr>
                      <w:rFonts w:hint="eastAsia" w:ascii="Times New Roman" w:hAnsi="Times New Roman"/>
                      <w:b/>
                      <w:bCs/>
                      <w:color w:val="000000" w:themeColor="text1"/>
                      <w:sz w:val="21"/>
                      <w:lang w:eastAsia="zh-CN"/>
                      <w14:textFill>
                        <w14:solidFill>
                          <w14:schemeClr w14:val="tx1"/>
                        </w14:solidFill>
                      </w14:textFill>
                    </w:rPr>
                    <w:t>环境条件</w:t>
                  </w:r>
                </w:p>
              </w:tc>
              <w:tc>
                <w:tcPr>
                  <w:tcW w:w="712" w:type="pct"/>
                  <w:tcBorders>
                    <w:top w:val="single" w:color="000000" w:sz="2" w:space="0"/>
                    <w:left w:val="single" w:color="000000" w:sz="2" w:space="0"/>
                    <w:bottom w:val="single" w:color="000000" w:sz="2" w:space="0"/>
                    <w:right w:val="single" w:color="auto" w:sz="4" w:space="0"/>
                  </w:tcBorders>
                  <w:vAlign w:val="center"/>
                </w:tcPr>
                <w:p w14:paraId="732DA609">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14:textFill>
                        <w14:solidFill>
                          <w14:schemeClr w14:val="tx1"/>
                        </w14:solidFill>
                      </w14:textFill>
                    </w:rPr>
                    <w:t>监测日期</w:t>
                  </w:r>
                </w:p>
              </w:tc>
              <w:tc>
                <w:tcPr>
                  <w:tcW w:w="3987" w:type="pct"/>
                  <w:tcBorders>
                    <w:top w:val="single" w:color="000000" w:sz="2" w:space="0"/>
                    <w:left w:val="single" w:color="auto" w:sz="4" w:space="0"/>
                    <w:bottom w:val="single" w:color="000000" w:sz="2" w:space="0"/>
                    <w:right w:val="single" w:color="000000" w:sz="2" w:space="0"/>
                  </w:tcBorders>
                  <w:vAlign w:val="center"/>
                </w:tcPr>
                <w:p w14:paraId="39479916">
                  <w:pPr>
                    <w:pStyle w:val="283"/>
                    <w:autoSpaceDE w:val="0"/>
                    <w:autoSpaceDN w:val="0"/>
                    <w:rPr>
                      <w:rFonts w:ascii="Times New Roman" w:hAnsi="Times New Roman" w:cs="Times New Roman"/>
                      <w:sz w:val="21"/>
                      <w:szCs w:val="21"/>
                      <w:lang w:eastAsia="zh-CN"/>
                    </w:rPr>
                  </w:pPr>
                  <w:bookmarkStart w:id="48" w:name="OLE_LINK2"/>
                  <w:r>
                    <w:rPr>
                      <w:rFonts w:ascii="Times New Roman" w:hAnsi="Times New Roman" w:cs="Times New Roman"/>
                      <w:color w:val="000000" w:themeColor="text1"/>
                      <w:sz w:val="21"/>
                      <w:szCs w:val="21"/>
                      <w:lang w:eastAsia="zh-CN"/>
                      <w14:textFill>
                        <w14:solidFill>
                          <w14:schemeClr w14:val="tx1"/>
                        </w14:solidFill>
                      </w14:textFill>
                    </w:rPr>
                    <w:t>2026</w:t>
                  </w:r>
                  <w:r>
                    <w:rPr>
                      <w:rFonts w:hint="eastAsia" w:ascii="Times New Roman" w:hAnsi="Times New Roman" w:cs="Times New Roman"/>
                      <w:color w:val="000000" w:themeColor="text1"/>
                      <w:sz w:val="21"/>
                      <w:szCs w:val="21"/>
                      <w:lang w:eastAsia="zh-CN"/>
                      <w14:textFill>
                        <w14:solidFill>
                          <w14:schemeClr w14:val="tx1"/>
                        </w14:solidFill>
                      </w14:textFill>
                    </w:rPr>
                    <w:t>年</w:t>
                  </w:r>
                  <w:r>
                    <w:rPr>
                      <w:rFonts w:ascii="Times New Roman" w:hAnsi="Times New Roman" w:cs="Times New Roman"/>
                      <w:color w:val="000000" w:themeColor="text1"/>
                      <w:sz w:val="21"/>
                      <w:szCs w:val="21"/>
                      <w:lang w:eastAsia="zh-CN"/>
                      <w14:textFill>
                        <w14:solidFill>
                          <w14:schemeClr w14:val="tx1"/>
                        </w14:solidFill>
                      </w14:textFill>
                    </w:rPr>
                    <w:t>03</w:t>
                  </w:r>
                  <w:r>
                    <w:rPr>
                      <w:rFonts w:hint="eastAsia" w:ascii="Times New Roman" w:hAnsi="Times New Roman" w:cs="Times New Roman"/>
                      <w:color w:val="000000" w:themeColor="text1"/>
                      <w:sz w:val="21"/>
                      <w:szCs w:val="21"/>
                      <w:lang w:eastAsia="zh-CN"/>
                      <w14:textFill>
                        <w14:solidFill>
                          <w14:schemeClr w14:val="tx1"/>
                        </w14:solidFill>
                      </w14:textFill>
                    </w:rPr>
                    <w:t>月</w:t>
                  </w:r>
                  <w:r>
                    <w:rPr>
                      <w:rFonts w:ascii="Times New Roman" w:hAnsi="Times New Roman" w:cs="Times New Roman"/>
                      <w:color w:val="000000" w:themeColor="text1"/>
                      <w:sz w:val="21"/>
                      <w:szCs w:val="21"/>
                      <w:lang w:eastAsia="zh-CN"/>
                      <w14:textFill>
                        <w14:solidFill>
                          <w14:schemeClr w14:val="tx1"/>
                        </w14:solidFill>
                      </w14:textFill>
                    </w:rPr>
                    <w:t>11</w:t>
                  </w:r>
                  <w:r>
                    <w:rPr>
                      <w:rFonts w:hint="eastAsia" w:ascii="Times New Roman" w:hAnsi="Times New Roman" w:cs="Times New Roman"/>
                      <w:color w:val="000000" w:themeColor="text1"/>
                      <w:sz w:val="21"/>
                      <w:szCs w:val="21"/>
                      <w:lang w:eastAsia="zh-CN"/>
                      <w14:textFill>
                        <w14:solidFill>
                          <w14:schemeClr w14:val="tx1"/>
                        </w14:solidFill>
                      </w14:textFill>
                    </w:rPr>
                    <w:t>日</w:t>
                  </w:r>
                  <w:bookmarkEnd w:id="48"/>
                  <w:r>
                    <w:rPr>
                      <w:rFonts w:ascii="Times New Roman" w:hAnsi="Times New Roman" w:cs="Times New Roman"/>
                      <w:color w:val="000000" w:themeColor="text1"/>
                      <w:sz w:val="21"/>
                      <w:szCs w:val="21"/>
                      <w:lang w:eastAsia="zh-CN"/>
                      <w14:textFill>
                        <w14:solidFill>
                          <w14:schemeClr w14:val="tx1"/>
                        </w14:solidFill>
                      </w14:textFill>
                    </w:rPr>
                    <w:t>-2026</w:t>
                  </w:r>
                  <w:r>
                    <w:rPr>
                      <w:rFonts w:hint="eastAsia" w:ascii="Times New Roman" w:hAnsi="Times New Roman" w:cs="Times New Roman"/>
                      <w:color w:val="000000" w:themeColor="text1"/>
                      <w:sz w:val="21"/>
                      <w:szCs w:val="21"/>
                      <w:lang w:eastAsia="zh-CN"/>
                      <w14:textFill>
                        <w14:solidFill>
                          <w14:schemeClr w14:val="tx1"/>
                        </w14:solidFill>
                      </w14:textFill>
                    </w:rPr>
                    <w:t>年</w:t>
                  </w:r>
                  <w:r>
                    <w:rPr>
                      <w:rFonts w:ascii="Times New Roman" w:hAnsi="Times New Roman" w:cs="Times New Roman"/>
                      <w:color w:val="000000" w:themeColor="text1"/>
                      <w:sz w:val="21"/>
                      <w:szCs w:val="21"/>
                      <w:lang w:eastAsia="zh-CN"/>
                      <w14:textFill>
                        <w14:solidFill>
                          <w14:schemeClr w14:val="tx1"/>
                        </w14:solidFill>
                      </w14:textFill>
                    </w:rPr>
                    <w:t>03</w:t>
                  </w:r>
                  <w:r>
                    <w:rPr>
                      <w:rFonts w:hint="eastAsia" w:ascii="Times New Roman" w:hAnsi="Times New Roman" w:cs="Times New Roman"/>
                      <w:color w:val="000000" w:themeColor="text1"/>
                      <w:sz w:val="21"/>
                      <w:szCs w:val="21"/>
                      <w:lang w:eastAsia="zh-CN"/>
                      <w14:textFill>
                        <w14:solidFill>
                          <w14:schemeClr w14:val="tx1"/>
                        </w14:solidFill>
                      </w14:textFill>
                    </w:rPr>
                    <w:t>月</w:t>
                  </w:r>
                  <w:r>
                    <w:rPr>
                      <w:rFonts w:ascii="Times New Roman" w:hAnsi="Times New Roman" w:cs="Times New Roman"/>
                      <w:color w:val="000000" w:themeColor="text1"/>
                      <w:sz w:val="21"/>
                      <w:szCs w:val="21"/>
                      <w:lang w:eastAsia="zh-CN"/>
                      <w14:textFill>
                        <w14:solidFill>
                          <w14:schemeClr w14:val="tx1"/>
                        </w14:solidFill>
                      </w14:textFill>
                    </w:rPr>
                    <w:t>12</w:t>
                  </w:r>
                  <w:r>
                    <w:rPr>
                      <w:rFonts w:hint="eastAsia" w:ascii="Times New Roman" w:hAnsi="Times New Roman" w:cs="Times New Roman"/>
                      <w:color w:val="000000" w:themeColor="text1"/>
                      <w:sz w:val="21"/>
                      <w:szCs w:val="21"/>
                      <w:lang w:eastAsia="zh-CN"/>
                      <w14:textFill>
                        <w14:solidFill>
                          <w14:schemeClr w14:val="tx1"/>
                        </w14:solidFill>
                      </w14:textFill>
                    </w:rPr>
                    <w:t>日</w:t>
                  </w:r>
                </w:p>
              </w:tc>
            </w:tr>
            <w:tr w14:paraId="4ADB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5135D4BE">
                  <w:pPr>
                    <w:widowControl/>
                    <w:autoSpaceDE w:val="0"/>
                    <w:autoSpaceDN w:val="0"/>
                    <w:jc w:val="left"/>
                    <w:rPr>
                      <w:b/>
                      <w:bCs/>
                      <w:color w:val="000000" w:themeColor="text1"/>
                      <w:lang w:eastAsia="en-US"/>
                      <w14:textFill>
                        <w14:solidFill>
                          <w14:schemeClr w14:val="tx1"/>
                        </w14:solidFill>
                      </w14:textFill>
                    </w:rPr>
                  </w:pPr>
                </w:p>
              </w:tc>
              <w:tc>
                <w:tcPr>
                  <w:tcW w:w="712" w:type="pct"/>
                  <w:tcBorders>
                    <w:top w:val="single" w:color="000000" w:sz="2" w:space="0"/>
                    <w:left w:val="single" w:color="000000" w:sz="2" w:space="0"/>
                    <w:bottom w:val="single" w:color="000000" w:sz="2" w:space="0"/>
                    <w:right w:val="single" w:color="auto" w:sz="4" w:space="0"/>
                  </w:tcBorders>
                  <w:vAlign w:val="center"/>
                </w:tcPr>
                <w:p w14:paraId="192F4BED">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14:textFill>
                        <w14:solidFill>
                          <w14:schemeClr w14:val="tx1"/>
                        </w14:solidFill>
                      </w14:textFill>
                    </w:rPr>
                    <w:t>天气</w:t>
                  </w:r>
                </w:p>
              </w:tc>
              <w:tc>
                <w:tcPr>
                  <w:tcW w:w="3987" w:type="pct"/>
                  <w:tcBorders>
                    <w:top w:val="single" w:color="000000" w:sz="2" w:space="0"/>
                    <w:left w:val="single" w:color="auto" w:sz="4" w:space="0"/>
                    <w:bottom w:val="single" w:color="000000" w:sz="2" w:space="0"/>
                    <w:right w:val="single" w:color="000000" w:sz="2" w:space="0"/>
                  </w:tcBorders>
                  <w:vAlign w:val="center"/>
                </w:tcPr>
                <w:p w14:paraId="468080D7">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阴</w:t>
                  </w:r>
                </w:p>
              </w:tc>
            </w:tr>
            <w:tr w14:paraId="2301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6297D850">
                  <w:pPr>
                    <w:widowControl/>
                    <w:autoSpaceDE w:val="0"/>
                    <w:autoSpaceDN w:val="0"/>
                    <w:jc w:val="left"/>
                    <w:rPr>
                      <w:b/>
                      <w:bCs/>
                      <w:color w:val="000000" w:themeColor="text1"/>
                      <w:lang w:eastAsia="en-US"/>
                      <w14:textFill>
                        <w14:solidFill>
                          <w14:schemeClr w14:val="tx1"/>
                        </w14:solidFill>
                      </w14:textFill>
                    </w:rPr>
                  </w:pPr>
                </w:p>
              </w:tc>
              <w:tc>
                <w:tcPr>
                  <w:tcW w:w="712" w:type="pct"/>
                  <w:tcBorders>
                    <w:top w:val="single" w:color="000000" w:sz="2" w:space="0"/>
                    <w:left w:val="single" w:color="000000" w:sz="2" w:space="0"/>
                    <w:bottom w:val="single" w:color="000000" w:sz="2" w:space="0"/>
                    <w:right w:val="single" w:color="auto" w:sz="4" w:space="0"/>
                  </w:tcBorders>
                  <w:vAlign w:val="center"/>
                </w:tcPr>
                <w:p w14:paraId="7652503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风速</w:t>
                  </w:r>
                </w:p>
              </w:tc>
              <w:tc>
                <w:tcPr>
                  <w:tcW w:w="3987" w:type="pct"/>
                  <w:tcBorders>
                    <w:top w:val="single" w:color="000000" w:sz="2" w:space="0"/>
                    <w:left w:val="single" w:color="auto" w:sz="4" w:space="0"/>
                    <w:bottom w:val="single" w:color="000000" w:sz="2" w:space="0"/>
                    <w:right w:val="single" w:color="000000" w:sz="2" w:space="0"/>
                  </w:tcBorders>
                  <w:vAlign w:val="center"/>
                </w:tcPr>
                <w:p w14:paraId="4EDD8343">
                  <w:pPr>
                    <w:pStyle w:val="283"/>
                    <w:autoSpaceDE w:val="0"/>
                    <w:autoSpaceDN w:val="0"/>
                    <w:rPr>
                      <w:rFonts w:ascii="Times New Roman" w:hAnsi="Times New Roman" w:cs="Times New Roman"/>
                      <w:sz w:val="21"/>
                      <w:szCs w:val="21"/>
                      <w:lang w:eastAsia="zh-CN"/>
                    </w:rPr>
                  </w:pPr>
                  <w:r>
                    <w:rPr>
                      <w:rFonts w:ascii="Times New Roman" w:hAnsi="Times New Roman" w:cs="Times New Roman"/>
                      <w:color w:val="000000" w:themeColor="text1"/>
                      <w:sz w:val="21"/>
                      <w:szCs w:val="21"/>
                      <w14:textFill>
                        <w14:solidFill>
                          <w14:schemeClr w14:val="tx1"/>
                        </w14:solidFill>
                      </w14:textFill>
                    </w:rPr>
                    <w:t>0.6-1.3m/s</w:t>
                  </w:r>
                </w:p>
              </w:tc>
            </w:tr>
            <w:tr w14:paraId="5370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0B2FE1C4">
                  <w:pPr>
                    <w:widowControl/>
                    <w:autoSpaceDE w:val="0"/>
                    <w:autoSpaceDN w:val="0"/>
                    <w:jc w:val="left"/>
                    <w:rPr>
                      <w:b/>
                      <w:bCs/>
                      <w:color w:val="000000" w:themeColor="text1"/>
                      <w:lang w:eastAsia="en-US"/>
                      <w14:textFill>
                        <w14:solidFill>
                          <w14:schemeClr w14:val="tx1"/>
                        </w14:solidFill>
                      </w14:textFill>
                    </w:rPr>
                  </w:pPr>
                </w:p>
              </w:tc>
              <w:tc>
                <w:tcPr>
                  <w:tcW w:w="712" w:type="pct"/>
                  <w:tcBorders>
                    <w:top w:val="single" w:color="000000" w:sz="2" w:space="0"/>
                    <w:left w:val="single" w:color="000000" w:sz="2" w:space="0"/>
                    <w:bottom w:val="single" w:color="000000" w:sz="2" w:space="0"/>
                    <w:right w:val="single" w:color="auto" w:sz="4" w:space="0"/>
                  </w:tcBorders>
                  <w:vAlign w:val="center"/>
                </w:tcPr>
                <w:p w14:paraId="46F4CEEE">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风向</w:t>
                  </w:r>
                </w:p>
              </w:tc>
              <w:tc>
                <w:tcPr>
                  <w:tcW w:w="3987" w:type="pct"/>
                  <w:tcBorders>
                    <w:top w:val="single" w:color="000000" w:sz="2" w:space="0"/>
                    <w:left w:val="single" w:color="auto" w:sz="4" w:space="0"/>
                    <w:bottom w:val="single" w:color="000000" w:sz="2" w:space="0"/>
                    <w:right w:val="single" w:color="000000" w:sz="2" w:space="0"/>
                  </w:tcBorders>
                  <w:vAlign w:val="center"/>
                </w:tcPr>
                <w:p w14:paraId="38B3592D">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东南风</w:t>
                  </w:r>
                </w:p>
              </w:tc>
            </w:tr>
            <w:tr w14:paraId="410F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2EA417F9">
                  <w:pPr>
                    <w:widowControl/>
                    <w:autoSpaceDE w:val="0"/>
                    <w:autoSpaceDN w:val="0"/>
                    <w:jc w:val="left"/>
                    <w:rPr>
                      <w:b/>
                      <w:bCs/>
                      <w:color w:val="000000" w:themeColor="text1"/>
                      <w:lang w:eastAsia="en-US"/>
                      <w14:textFill>
                        <w14:solidFill>
                          <w14:schemeClr w14:val="tx1"/>
                        </w14:solidFill>
                      </w14:textFill>
                    </w:rPr>
                  </w:pPr>
                </w:p>
              </w:tc>
              <w:tc>
                <w:tcPr>
                  <w:tcW w:w="712" w:type="pct"/>
                  <w:tcBorders>
                    <w:top w:val="single" w:color="000000" w:sz="2" w:space="0"/>
                    <w:left w:val="single" w:color="000000" w:sz="2" w:space="0"/>
                    <w:bottom w:val="single" w:color="000000" w:sz="2" w:space="0"/>
                    <w:right w:val="single" w:color="auto" w:sz="4" w:space="0"/>
                  </w:tcBorders>
                  <w:vAlign w:val="center"/>
                </w:tcPr>
                <w:p w14:paraId="6838740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温湿度</w:t>
                  </w:r>
                </w:p>
              </w:tc>
              <w:tc>
                <w:tcPr>
                  <w:tcW w:w="3987" w:type="pct"/>
                  <w:tcBorders>
                    <w:top w:val="single" w:color="000000" w:sz="2" w:space="0"/>
                    <w:left w:val="single" w:color="auto" w:sz="4" w:space="0"/>
                    <w:bottom w:val="single" w:color="000000" w:sz="2" w:space="0"/>
                    <w:right w:val="single" w:color="000000" w:sz="2" w:space="0"/>
                  </w:tcBorders>
                  <w:vAlign w:val="center"/>
                </w:tcPr>
                <w:p w14:paraId="58C96406">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环境温度</w:t>
                  </w:r>
                  <w:r>
                    <w:rPr>
                      <w:rFonts w:ascii="Times New Roman" w:hAnsi="Times New Roman" w:cs="Times New Roman"/>
                      <w:color w:val="000000" w:themeColor="text1"/>
                      <w:sz w:val="21"/>
                      <w:szCs w:val="21"/>
                      <w:lang w:eastAsia="zh-CN"/>
                      <w14:textFill>
                        <w14:solidFill>
                          <w14:schemeClr w14:val="tx1"/>
                        </w14:solidFill>
                      </w14:textFill>
                    </w:rPr>
                    <w:t xml:space="preserve">:9.8-15.7℃    </w:t>
                  </w:r>
                  <w:r>
                    <w:rPr>
                      <w:rFonts w:hint="eastAsia" w:ascii="Times New Roman" w:hAnsi="Times New Roman" w:cs="Times New Roman"/>
                      <w:color w:val="000000" w:themeColor="text1"/>
                      <w:sz w:val="21"/>
                      <w:szCs w:val="21"/>
                      <w:lang w:eastAsia="zh-CN"/>
                      <w14:textFill>
                        <w14:solidFill>
                          <w14:schemeClr w14:val="tx1"/>
                        </w14:solidFill>
                      </w14:textFill>
                    </w:rPr>
                    <w:t>相对湿度</w:t>
                  </w:r>
                  <w:r>
                    <w:rPr>
                      <w:rFonts w:ascii="Times New Roman" w:hAnsi="Times New Roman" w:cs="Times New Roman"/>
                      <w:color w:val="000000" w:themeColor="text1"/>
                      <w:sz w:val="21"/>
                      <w:szCs w:val="21"/>
                      <w:lang w:eastAsia="zh-CN"/>
                      <w14:textFill>
                        <w14:solidFill>
                          <w14:schemeClr w14:val="tx1"/>
                        </w14:solidFill>
                      </w14:textFill>
                    </w:rPr>
                    <w:t>:56.1-63.7%RH</w:t>
                  </w:r>
                </w:p>
              </w:tc>
            </w:tr>
            <w:tr w14:paraId="0180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1" w:type="pct"/>
                  <w:vMerge w:val="continue"/>
                  <w:vAlign w:val="center"/>
                </w:tcPr>
                <w:p w14:paraId="7E7F2772">
                  <w:pPr>
                    <w:widowControl/>
                    <w:autoSpaceDE w:val="0"/>
                    <w:autoSpaceDN w:val="0"/>
                    <w:jc w:val="left"/>
                    <w:rPr>
                      <w:b/>
                      <w:bCs/>
                      <w:color w:val="000000" w:themeColor="text1"/>
                      <w:lang w:eastAsia="zh-CN"/>
                      <w14:textFill>
                        <w14:solidFill>
                          <w14:schemeClr w14:val="tx1"/>
                        </w14:solidFill>
                      </w14:textFill>
                    </w:rPr>
                  </w:pPr>
                </w:p>
              </w:tc>
              <w:tc>
                <w:tcPr>
                  <w:tcW w:w="712" w:type="pct"/>
                  <w:tcBorders>
                    <w:top w:val="single" w:color="000000" w:sz="2" w:space="0"/>
                    <w:left w:val="single" w:color="000000" w:sz="2" w:space="0"/>
                    <w:bottom w:val="single" w:color="000000" w:sz="2" w:space="0"/>
                    <w:right w:val="single" w:color="auto" w:sz="4" w:space="0"/>
                  </w:tcBorders>
                  <w:vAlign w:val="center"/>
                </w:tcPr>
                <w:p w14:paraId="6F1936E0">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大气压</w:t>
                  </w:r>
                </w:p>
              </w:tc>
              <w:tc>
                <w:tcPr>
                  <w:tcW w:w="3987" w:type="pct"/>
                  <w:tcBorders>
                    <w:top w:val="single" w:color="000000" w:sz="2" w:space="0"/>
                    <w:left w:val="single" w:color="auto" w:sz="4" w:space="0"/>
                    <w:bottom w:val="single" w:color="000000" w:sz="2" w:space="0"/>
                    <w:right w:val="single" w:color="000000" w:sz="2" w:space="0"/>
                  </w:tcBorders>
                  <w:vAlign w:val="center"/>
                </w:tcPr>
                <w:p w14:paraId="355B0FF5">
                  <w:pPr>
                    <w:pStyle w:val="283"/>
                    <w:autoSpaceDE w:val="0"/>
                    <w:autoSpaceDN w:val="0"/>
                    <w:rPr>
                      <w:rFonts w:ascii="Times New Roman" w:hAnsi="Times New Roman" w:cs="Times New Roman"/>
                      <w:sz w:val="21"/>
                      <w:szCs w:val="21"/>
                      <w:lang w:eastAsia="zh-CN"/>
                    </w:rPr>
                  </w:pPr>
                  <w:r>
                    <w:rPr>
                      <w:rFonts w:ascii="Times New Roman" w:hAnsi="Times New Roman" w:cs="Times New Roman"/>
                      <w:color w:val="000000" w:themeColor="text1"/>
                      <w:sz w:val="21"/>
                      <w:szCs w:val="21"/>
                      <w:lang w:eastAsia="zh-CN"/>
                      <w14:textFill>
                        <w14:solidFill>
                          <w14:schemeClr w14:val="tx1"/>
                        </w14:solidFill>
                      </w14:textFill>
                    </w:rPr>
                    <w:t>79.4-79.5kPa</w:t>
                  </w:r>
                </w:p>
              </w:tc>
            </w:tr>
          </w:tbl>
          <w:p w14:paraId="7110AFAA">
            <w:pPr>
              <w:pStyle w:val="61"/>
              <w:spacing w:line="240" w:lineRule="auto"/>
              <w:ind w:firstLine="0" w:firstLineChars="0"/>
              <w:jc w:val="center"/>
              <w:rPr>
                <w:rFonts w:ascii="Times New Roman" w:eastAsia="黑体" w:cs="Times New Roman"/>
                <w:bCs/>
                <w:lang w:val="zh-CN"/>
              </w:rPr>
            </w:pPr>
          </w:p>
          <w:p w14:paraId="575400C4">
            <w:pPr>
              <w:pStyle w:val="61"/>
              <w:spacing w:line="240" w:lineRule="auto"/>
              <w:ind w:firstLine="0" w:firstLineChars="0"/>
              <w:jc w:val="center"/>
              <w:rPr>
                <w:rFonts w:ascii="Times New Roman" w:eastAsia="黑体" w:cs="Times New Roman"/>
                <w:bCs/>
                <w:lang w:val="zh-CN"/>
              </w:rPr>
            </w:pPr>
          </w:p>
          <w:p w14:paraId="561F2684">
            <w:pPr>
              <w:pStyle w:val="61"/>
              <w:spacing w:line="240" w:lineRule="auto"/>
              <w:ind w:firstLine="0" w:firstLineChars="0"/>
              <w:jc w:val="center"/>
              <w:rPr>
                <w:rFonts w:ascii="Times New Roman" w:eastAsia="黑体" w:cs="Times New Roman"/>
                <w:bCs/>
                <w:lang w:val="zh-CN"/>
              </w:rPr>
            </w:pPr>
          </w:p>
          <w:p w14:paraId="47265CA2">
            <w:pPr>
              <w:pStyle w:val="61"/>
              <w:spacing w:line="240" w:lineRule="auto"/>
              <w:ind w:firstLine="0" w:firstLineChars="0"/>
              <w:jc w:val="center"/>
              <w:rPr>
                <w:rFonts w:ascii="Times New Roman" w:eastAsia="黑体" w:cs="Times New Roman"/>
                <w:bCs/>
                <w:lang w:val="zh-CN"/>
              </w:rPr>
            </w:pPr>
          </w:p>
          <w:p w14:paraId="656C553B">
            <w:pPr>
              <w:pStyle w:val="61"/>
              <w:spacing w:line="240" w:lineRule="auto"/>
              <w:ind w:firstLine="0" w:firstLineChars="0"/>
              <w:jc w:val="center"/>
              <w:rPr>
                <w:rFonts w:ascii="Times New Roman" w:eastAsia="黑体" w:cs="Times New Roman"/>
                <w:bCs/>
                <w:lang w:val="zh-CN"/>
              </w:rPr>
            </w:pPr>
            <w:r>
              <w:rPr>
                <w:rFonts w:ascii="Times New Roman" w:eastAsia="黑体" w:cs="Times New Roman"/>
                <w:bCs/>
                <w:lang w:val="zh-CN"/>
              </w:rPr>
              <w:t>表3-5本项目声环境现状监测结果</w:t>
            </w:r>
          </w:p>
          <w:tbl>
            <w:tblPr>
              <w:tblStyle w:val="46"/>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153"/>
              <w:gridCol w:w="1584"/>
              <w:gridCol w:w="722"/>
              <w:gridCol w:w="1462"/>
              <w:gridCol w:w="773"/>
              <w:gridCol w:w="1151"/>
            </w:tblGrid>
            <w:tr w14:paraId="2AC4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66" w:type="pct"/>
                  <w:tcBorders>
                    <w:top w:val="single" w:color="auto" w:sz="4" w:space="0"/>
                    <w:left w:val="single" w:color="auto" w:sz="4" w:space="0"/>
                    <w:bottom w:val="single" w:color="auto" w:sz="4" w:space="0"/>
                    <w:right w:val="single" w:color="auto" w:sz="4" w:space="0"/>
                  </w:tcBorders>
                  <w:vAlign w:val="center"/>
                </w:tcPr>
                <w:p w14:paraId="05F8AA58">
                  <w:pPr>
                    <w:keepLines/>
                    <w:adjustRightInd w:val="0"/>
                    <w:snapToGrid w:val="0"/>
                    <w:jc w:val="center"/>
                  </w:pPr>
                  <w:r>
                    <w:t>序号</w:t>
                  </w:r>
                </w:p>
              </w:tc>
              <w:tc>
                <w:tcPr>
                  <w:tcW w:w="764" w:type="pct"/>
                  <w:tcBorders>
                    <w:top w:val="single" w:color="auto" w:sz="4" w:space="0"/>
                    <w:left w:val="single" w:color="auto" w:sz="4" w:space="0"/>
                    <w:bottom w:val="single" w:color="auto" w:sz="4" w:space="0"/>
                    <w:right w:val="single" w:color="auto" w:sz="4" w:space="0"/>
                  </w:tcBorders>
                  <w:vAlign w:val="center"/>
                </w:tcPr>
                <w:p w14:paraId="2FAB9689">
                  <w:pPr>
                    <w:keepLines/>
                    <w:adjustRightInd w:val="0"/>
                    <w:snapToGrid w:val="0"/>
                    <w:jc w:val="center"/>
                  </w:pPr>
                  <w:r>
                    <w:t>检测点位</w:t>
                  </w:r>
                </w:p>
              </w:tc>
              <w:tc>
                <w:tcPr>
                  <w:tcW w:w="1049" w:type="pct"/>
                  <w:tcBorders>
                    <w:top w:val="single" w:color="auto" w:sz="4" w:space="0"/>
                    <w:left w:val="single" w:color="auto" w:sz="4" w:space="0"/>
                    <w:bottom w:val="single" w:color="auto" w:sz="4" w:space="0"/>
                    <w:right w:val="single" w:color="auto" w:sz="4" w:space="0"/>
                  </w:tcBorders>
                  <w:vAlign w:val="center"/>
                </w:tcPr>
                <w:p w14:paraId="64BAD1D2">
                  <w:pPr>
                    <w:keepLines/>
                    <w:adjustRightInd w:val="0"/>
                    <w:snapToGrid w:val="0"/>
                    <w:jc w:val="center"/>
                  </w:pPr>
                  <w:r>
                    <w:t>检测日期</w:t>
                  </w:r>
                </w:p>
              </w:tc>
              <w:tc>
                <w:tcPr>
                  <w:tcW w:w="1446" w:type="pct"/>
                  <w:gridSpan w:val="2"/>
                  <w:tcBorders>
                    <w:top w:val="single" w:color="auto" w:sz="4" w:space="0"/>
                    <w:left w:val="single" w:color="auto" w:sz="4" w:space="0"/>
                    <w:bottom w:val="single" w:color="auto" w:sz="4" w:space="0"/>
                    <w:right w:val="single" w:color="auto" w:sz="4" w:space="0"/>
                  </w:tcBorders>
                  <w:vAlign w:val="center"/>
                </w:tcPr>
                <w:p w14:paraId="6E104D23">
                  <w:pPr>
                    <w:keepLines/>
                    <w:adjustRightInd w:val="0"/>
                    <w:snapToGrid w:val="0"/>
                    <w:jc w:val="center"/>
                  </w:pPr>
                  <w:r>
                    <w:t>采样时段</w:t>
                  </w:r>
                </w:p>
              </w:tc>
              <w:tc>
                <w:tcPr>
                  <w:tcW w:w="512" w:type="pct"/>
                  <w:tcBorders>
                    <w:top w:val="single" w:color="auto" w:sz="4" w:space="0"/>
                    <w:left w:val="single" w:color="auto" w:sz="4" w:space="0"/>
                    <w:bottom w:val="single" w:color="auto" w:sz="4" w:space="0"/>
                    <w:right w:val="single" w:color="auto" w:sz="4" w:space="0"/>
                  </w:tcBorders>
                  <w:vAlign w:val="center"/>
                </w:tcPr>
                <w:p w14:paraId="026C2E7B">
                  <w:pPr>
                    <w:keepLines/>
                    <w:adjustRightInd w:val="0"/>
                    <w:snapToGrid w:val="0"/>
                    <w:jc w:val="center"/>
                  </w:pPr>
                  <w:r>
                    <w:t>噪声值Leq</w:t>
                  </w:r>
                </w:p>
              </w:tc>
              <w:tc>
                <w:tcPr>
                  <w:tcW w:w="762" w:type="pct"/>
                  <w:tcBorders>
                    <w:top w:val="single" w:color="auto" w:sz="4" w:space="0"/>
                    <w:left w:val="single" w:color="auto" w:sz="4" w:space="0"/>
                    <w:bottom w:val="single" w:color="auto" w:sz="4" w:space="0"/>
                    <w:right w:val="single" w:color="auto" w:sz="4" w:space="0"/>
                  </w:tcBorders>
                  <w:vAlign w:val="center"/>
                </w:tcPr>
                <w:p w14:paraId="0B3FD46B">
                  <w:pPr>
                    <w:keepLines/>
                    <w:adjustRightInd w:val="0"/>
                    <w:snapToGrid w:val="0"/>
                    <w:jc w:val="center"/>
                  </w:pPr>
                  <w:r>
                    <w:t>主要声源</w:t>
                  </w:r>
                </w:p>
              </w:tc>
            </w:tr>
            <w:tr w14:paraId="52D2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6" w:type="pct"/>
                  <w:vMerge w:val="restart"/>
                  <w:tcBorders>
                    <w:top w:val="single" w:color="auto" w:sz="4" w:space="0"/>
                    <w:left w:val="single" w:color="auto" w:sz="4" w:space="0"/>
                    <w:bottom w:val="single" w:color="auto" w:sz="4" w:space="0"/>
                    <w:right w:val="single" w:color="auto" w:sz="4" w:space="0"/>
                  </w:tcBorders>
                  <w:vAlign w:val="center"/>
                </w:tcPr>
                <w:p w14:paraId="5761F286">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764" w:type="pct"/>
                  <w:vMerge w:val="restart"/>
                  <w:tcBorders>
                    <w:top w:val="single" w:color="auto" w:sz="4" w:space="0"/>
                    <w:left w:val="single" w:color="auto" w:sz="4" w:space="0"/>
                    <w:bottom w:val="single" w:color="auto" w:sz="4" w:space="0"/>
                    <w:right w:val="single" w:color="auto" w:sz="4" w:space="0"/>
                  </w:tcBorders>
                  <w:vAlign w:val="center"/>
                </w:tcPr>
                <w:p w14:paraId="63A1EE95">
                  <w:pPr>
                    <w:pStyle w:val="43"/>
                    <w:spacing w:after="0"/>
                    <w:ind w:firstLine="0" w:firstLineChars="0"/>
                    <w:jc w:val="center"/>
                    <w:rPr>
                      <w:color w:val="000000" w:themeColor="text1"/>
                      <w:szCs w:val="21"/>
                      <w14:textFill>
                        <w14:solidFill>
                          <w14:schemeClr w14:val="tx1"/>
                        </w14:solidFill>
                      </w14:textFill>
                    </w:rPr>
                  </w:pPr>
                  <w:r>
                    <w:rPr>
                      <w:szCs w:val="21"/>
                    </w:rPr>
                    <w:t>1# 110kV</w:t>
                  </w:r>
                  <w:r>
                    <w:rPr>
                      <w:rFonts w:hint="eastAsia"/>
                      <w:szCs w:val="21"/>
                    </w:rPr>
                    <w:t>南冲风电场</w:t>
                  </w:r>
                  <w:r>
                    <w:rPr>
                      <w:szCs w:val="21"/>
                    </w:rPr>
                    <w:t>升压站</w:t>
                  </w:r>
                </w:p>
              </w:tc>
              <w:tc>
                <w:tcPr>
                  <w:tcW w:w="1049" w:type="pct"/>
                  <w:tcBorders>
                    <w:top w:val="single" w:color="auto" w:sz="4" w:space="0"/>
                    <w:left w:val="single" w:color="auto" w:sz="4" w:space="0"/>
                    <w:bottom w:val="single" w:color="auto" w:sz="4" w:space="0"/>
                    <w:right w:val="single" w:color="auto" w:sz="4" w:space="0"/>
                  </w:tcBorders>
                  <w:vAlign w:val="center"/>
                </w:tcPr>
                <w:p w14:paraId="564AC1DD">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2026.03.11</w:t>
                  </w:r>
                </w:p>
              </w:tc>
              <w:tc>
                <w:tcPr>
                  <w:tcW w:w="478" w:type="pct"/>
                  <w:tcBorders>
                    <w:top w:val="single" w:color="auto" w:sz="4" w:space="0"/>
                    <w:left w:val="single" w:color="auto" w:sz="4" w:space="0"/>
                    <w:bottom w:val="single" w:color="auto" w:sz="4" w:space="0"/>
                    <w:right w:val="single" w:color="auto" w:sz="4" w:space="0"/>
                  </w:tcBorders>
                  <w:vAlign w:val="center"/>
                </w:tcPr>
                <w:p w14:paraId="0CFC1F2B">
                  <w:pPr>
                    <w:keepLines/>
                    <w:adjustRightInd w:val="0"/>
                    <w:snapToGrid w:val="0"/>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3F446CF8">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18:30-18:40</w:t>
                  </w:r>
                </w:p>
              </w:tc>
              <w:tc>
                <w:tcPr>
                  <w:tcW w:w="512" w:type="pct"/>
                  <w:tcBorders>
                    <w:top w:val="single" w:color="auto" w:sz="4" w:space="0"/>
                    <w:left w:val="single" w:color="auto" w:sz="4" w:space="0"/>
                    <w:bottom w:val="single" w:color="auto" w:sz="4" w:space="0"/>
                    <w:right w:val="single" w:color="auto" w:sz="4" w:space="0"/>
                  </w:tcBorders>
                  <w:vAlign w:val="center"/>
                </w:tcPr>
                <w:p w14:paraId="3F153059">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41</w:t>
                  </w:r>
                </w:p>
              </w:tc>
              <w:tc>
                <w:tcPr>
                  <w:tcW w:w="762" w:type="pct"/>
                  <w:vMerge w:val="restart"/>
                  <w:tcBorders>
                    <w:top w:val="single" w:color="auto" w:sz="4" w:space="0"/>
                    <w:left w:val="single" w:color="auto" w:sz="4" w:space="0"/>
                    <w:bottom w:val="single" w:color="auto" w:sz="4" w:space="0"/>
                    <w:right w:val="single" w:color="auto" w:sz="4" w:space="0"/>
                  </w:tcBorders>
                  <w:vAlign w:val="center"/>
                </w:tcPr>
                <w:p w14:paraId="2AECA066">
                  <w:pPr>
                    <w:keepLines/>
                    <w:adjustRightInd w:val="0"/>
                    <w:snapToGrid w:val="0"/>
                    <w:jc w:val="center"/>
                  </w:pPr>
                  <w:r>
                    <w:t>环境噪声</w:t>
                  </w:r>
                </w:p>
              </w:tc>
            </w:tr>
            <w:tr w14:paraId="5D3A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63860917">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2817AD12">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2F574CBA">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2026.03.11</w:t>
                  </w:r>
                </w:p>
              </w:tc>
              <w:tc>
                <w:tcPr>
                  <w:tcW w:w="478" w:type="pct"/>
                  <w:tcBorders>
                    <w:top w:val="single" w:color="auto" w:sz="4" w:space="0"/>
                    <w:left w:val="single" w:color="auto" w:sz="4" w:space="0"/>
                    <w:bottom w:val="single" w:color="auto" w:sz="4" w:space="0"/>
                    <w:right w:val="single" w:color="auto" w:sz="4" w:space="0"/>
                  </w:tcBorders>
                  <w:vAlign w:val="center"/>
                </w:tcPr>
                <w:p w14:paraId="43275675">
                  <w:pPr>
                    <w:keepLines/>
                    <w:adjustRightInd w:val="0"/>
                    <w:snapToGrid w:val="0"/>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572CAD01">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22:01-22:11</w:t>
                  </w:r>
                </w:p>
              </w:tc>
              <w:tc>
                <w:tcPr>
                  <w:tcW w:w="512" w:type="pct"/>
                  <w:tcBorders>
                    <w:top w:val="single" w:color="auto" w:sz="4" w:space="0"/>
                    <w:left w:val="single" w:color="auto" w:sz="4" w:space="0"/>
                    <w:bottom w:val="single" w:color="auto" w:sz="4" w:space="0"/>
                    <w:right w:val="single" w:color="auto" w:sz="4" w:space="0"/>
                  </w:tcBorders>
                  <w:vAlign w:val="center"/>
                </w:tcPr>
                <w:p w14:paraId="67F5EBC8">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39</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6063517D"/>
              </w:tc>
            </w:tr>
            <w:tr w14:paraId="0785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1774CBE8">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76BF31A9">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1FE10AF2">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2026.03.12</w:t>
                  </w:r>
                </w:p>
              </w:tc>
              <w:tc>
                <w:tcPr>
                  <w:tcW w:w="478" w:type="pct"/>
                  <w:tcBorders>
                    <w:top w:val="single" w:color="auto" w:sz="4" w:space="0"/>
                    <w:left w:val="single" w:color="auto" w:sz="4" w:space="0"/>
                    <w:bottom w:val="single" w:color="auto" w:sz="4" w:space="0"/>
                    <w:right w:val="single" w:color="auto" w:sz="4" w:space="0"/>
                  </w:tcBorders>
                  <w:vAlign w:val="center"/>
                </w:tcPr>
                <w:p w14:paraId="176DA4C8">
                  <w:pPr>
                    <w:keepLines/>
                    <w:adjustRightInd w:val="0"/>
                    <w:snapToGrid w:val="0"/>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64574F57">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09:10-09:20</w:t>
                  </w:r>
                </w:p>
              </w:tc>
              <w:tc>
                <w:tcPr>
                  <w:tcW w:w="512" w:type="pct"/>
                  <w:tcBorders>
                    <w:top w:val="single" w:color="auto" w:sz="4" w:space="0"/>
                    <w:left w:val="single" w:color="auto" w:sz="4" w:space="0"/>
                    <w:bottom w:val="single" w:color="auto" w:sz="4" w:space="0"/>
                    <w:right w:val="single" w:color="auto" w:sz="4" w:space="0"/>
                  </w:tcBorders>
                  <w:vAlign w:val="center"/>
                </w:tcPr>
                <w:p w14:paraId="048BAFC6">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42</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7DE2F95F"/>
              </w:tc>
            </w:tr>
            <w:tr w14:paraId="1EDE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2D282070">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77713A5B">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4DD8B4D0">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2026.03.12</w:t>
                  </w:r>
                </w:p>
              </w:tc>
              <w:tc>
                <w:tcPr>
                  <w:tcW w:w="478" w:type="pct"/>
                  <w:tcBorders>
                    <w:top w:val="single" w:color="auto" w:sz="4" w:space="0"/>
                    <w:left w:val="single" w:color="auto" w:sz="4" w:space="0"/>
                    <w:bottom w:val="single" w:color="auto" w:sz="4" w:space="0"/>
                    <w:right w:val="single" w:color="auto" w:sz="4" w:space="0"/>
                  </w:tcBorders>
                  <w:vAlign w:val="center"/>
                </w:tcPr>
                <w:p w14:paraId="0D9D5DDE">
                  <w:pPr>
                    <w:keepLines/>
                    <w:adjustRightInd w:val="0"/>
                    <w:snapToGrid w:val="0"/>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6926BA01">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22:00-22:10</w:t>
                  </w:r>
                </w:p>
              </w:tc>
              <w:tc>
                <w:tcPr>
                  <w:tcW w:w="512" w:type="pct"/>
                  <w:tcBorders>
                    <w:top w:val="single" w:color="auto" w:sz="4" w:space="0"/>
                    <w:left w:val="single" w:color="auto" w:sz="4" w:space="0"/>
                    <w:bottom w:val="single" w:color="auto" w:sz="4" w:space="0"/>
                    <w:right w:val="single" w:color="auto" w:sz="4" w:space="0"/>
                  </w:tcBorders>
                  <w:vAlign w:val="center"/>
                </w:tcPr>
                <w:p w14:paraId="0DBAA696">
                  <w:pPr>
                    <w:keepLines/>
                    <w:adjustRightInd w:val="0"/>
                    <w:snapToGrid w:val="0"/>
                    <w:jc w:val="center"/>
                    <w:rPr>
                      <w:color w:val="000000" w:themeColor="text1"/>
                      <w14:textFill>
                        <w14:solidFill>
                          <w14:schemeClr w14:val="tx1"/>
                        </w14:solidFill>
                      </w14:textFill>
                    </w:rPr>
                  </w:pPr>
                  <w:r>
                    <w:rPr>
                      <w:rFonts w:cs="宋体"/>
                      <w:color w:val="000000" w:themeColor="text1"/>
                      <w14:textFill>
                        <w14:solidFill>
                          <w14:schemeClr w14:val="tx1"/>
                        </w14:solidFill>
                      </w14:textFill>
                    </w:rPr>
                    <w:t>38</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4C958363"/>
              </w:tc>
            </w:tr>
            <w:tr w14:paraId="385F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restart"/>
                  <w:tcBorders>
                    <w:top w:val="single" w:color="auto" w:sz="4" w:space="0"/>
                    <w:left w:val="single" w:color="auto" w:sz="4" w:space="0"/>
                    <w:bottom w:val="single" w:color="auto" w:sz="4" w:space="0"/>
                    <w:right w:val="single" w:color="auto" w:sz="4" w:space="0"/>
                  </w:tcBorders>
                  <w:vAlign w:val="center"/>
                </w:tcPr>
                <w:p w14:paraId="4EFBEDC5">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764" w:type="pct"/>
                  <w:vMerge w:val="restart"/>
                  <w:tcBorders>
                    <w:top w:val="single" w:color="auto" w:sz="4" w:space="0"/>
                    <w:left w:val="single" w:color="auto" w:sz="4" w:space="0"/>
                    <w:bottom w:val="single" w:color="auto" w:sz="4" w:space="0"/>
                    <w:right w:val="single" w:color="auto" w:sz="4" w:space="0"/>
                  </w:tcBorders>
                  <w:vAlign w:val="center"/>
                </w:tcPr>
                <w:p w14:paraId="31DD6B85">
                  <w:pPr>
                    <w:pStyle w:val="43"/>
                    <w:spacing w:after="0"/>
                    <w:ind w:firstLine="0" w:firstLineChars="0"/>
                    <w:jc w:val="center"/>
                    <w:rPr>
                      <w:color w:val="000000" w:themeColor="text1"/>
                      <w:szCs w:val="21"/>
                      <w14:textFill>
                        <w14:solidFill>
                          <w14:schemeClr w14:val="tx1"/>
                        </w14:solidFill>
                      </w14:textFill>
                    </w:rPr>
                  </w:pPr>
                  <w:r>
                    <w:rPr>
                      <w:szCs w:val="21"/>
                    </w:rPr>
                    <w:t>2# 110kV铜厂变</w:t>
                  </w:r>
                </w:p>
              </w:tc>
              <w:tc>
                <w:tcPr>
                  <w:tcW w:w="1049" w:type="pct"/>
                  <w:tcBorders>
                    <w:top w:val="single" w:color="auto" w:sz="4" w:space="0"/>
                    <w:left w:val="single" w:color="auto" w:sz="4" w:space="0"/>
                    <w:bottom w:val="single" w:color="auto" w:sz="4" w:space="0"/>
                    <w:right w:val="single" w:color="auto" w:sz="4" w:space="0"/>
                  </w:tcBorders>
                  <w:vAlign w:val="center"/>
                </w:tcPr>
                <w:p w14:paraId="167295B3">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2025.11.20</w:t>
                  </w:r>
                </w:p>
              </w:tc>
              <w:tc>
                <w:tcPr>
                  <w:tcW w:w="478" w:type="pct"/>
                  <w:tcBorders>
                    <w:top w:val="single" w:color="auto" w:sz="4" w:space="0"/>
                    <w:left w:val="single" w:color="auto" w:sz="4" w:space="0"/>
                    <w:bottom w:val="single" w:color="auto" w:sz="4" w:space="0"/>
                    <w:right w:val="single" w:color="auto" w:sz="4" w:space="0"/>
                  </w:tcBorders>
                  <w:vAlign w:val="center"/>
                </w:tcPr>
                <w:p w14:paraId="44E5B956">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3C03F2C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12:58-13:08</w:t>
                  </w:r>
                </w:p>
              </w:tc>
              <w:tc>
                <w:tcPr>
                  <w:tcW w:w="512" w:type="pct"/>
                  <w:tcBorders>
                    <w:top w:val="single" w:color="auto" w:sz="4" w:space="0"/>
                    <w:left w:val="single" w:color="auto" w:sz="4" w:space="0"/>
                    <w:bottom w:val="single" w:color="auto" w:sz="4" w:space="0"/>
                    <w:right w:val="single" w:color="auto" w:sz="4" w:space="0"/>
                  </w:tcBorders>
                  <w:vAlign w:val="center"/>
                </w:tcPr>
                <w:p w14:paraId="7E84C02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45CBD961"/>
              </w:tc>
            </w:tr>
            <w:tr w14:paraId="5D00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36C0B6E8">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1A35AC63">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18231E18">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2025.11.21</w:t>
                  </w:r>
                </w:p>
              </w:tc>
              <w:tc>
                <w:tcPr>
                  <w:tcW w:w="478" w:type="pct"/>
                  <w:tcBorders>
                    <w:top w:val="single" w:color="auto" w:sz="4" w:space="0"/>
                    <w:left w:val="single" w:color="auto" w:sz="4" w:space="0"/>
                    <w:bottom w:val="single" w:color="auto" w:sz="4" w:space="0"/>
                    <w:right w:val="single" w:color="auto" w:sz="4" w:space="0"/>
                  </w:tcBorders>
                  <w:vAlign w:val="center"/>
                </w:tcPr>
                <w:p w14:paraId="1646472D">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212555A0">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00:52-01:02</w:t>
                  </w:r>
                </w:p>
              </w:tc>
              <w:tc>
                <w:tcPr>
                  <w:tcW w:w="512" w:type="pct"/>
                  <w:tcBorders>
                    <w:top w:val="single" w:color="auto" w:sz="4" w:space="0"/>
                    <w:left w:val="single" w:color="auto" w:sz="4" w:space="0"/>
                    <w:bottom w:val="single" w:color="auto" w:sz="4" w:space="0"/>
                    <w:right w:val="single" w:color="auto" w:sz="4" w:space="0"/>
                  </w:tcBorders>
                  <w:vAlign w:val="center"/>
                </w:tcPr>
                <w:p w14:paraId="3052B185">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37</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6F70FF59"/>
              </w:tc>
            </w:tr>
            <w:tr w14:paraId="7DC0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090A532D">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6C259A3F">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799B45DD">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2025.11.21</w:t>
                  </w:r>
                </w:p>
              </w:tc>
              <w:tc>
                <w:tcPr>
                  <w:tcW w:w="478" w:type="pct"/>
                  <w:tcBorders>
                    <w:top w:val="single" w:color="auto" w:sz="4" w:space="0"/>
                    <w:left w:val="single" w:color="auto" w:sz="4" w:space="0"/>
                    <w:bottom w:val="single" w:color="auto" w:sz="4" w:space="0"/>
                    <w:right w:val="single" w:color="auto" w:sz="4" w:space="0"/>
                  </w:tcBorders>
                  <w:vAlign w:val="center"/>
                </w:tcPr>
                <w:p w14:paraId="54D42D8A">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6AE3E384">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14:21-14:31</w:t>
                  </w:r>
                </w:p>
              </w:tc>
              <w:tc>
                <w:tcPr>
                  <w:tcW w:w="512" w:type="pct"/>
                  <w:tcBorders>
                    <w:top w:val="single" w:color="auto" w:sz="4" w:space="0"/>
                    <w:left w:val="single" w:color="auto" w:sz="4" w:space="0"/>
                    <w:bottom w:val="single" w:color="auto" w:sz="4" w:space="0"/>
                    <w:right w:val="single" w:color="auto" w:sz="4" w:space="0"/>
                  </w:tcBorders>
                  <w:vAlign w:val="center"/>
                </w:tcPr>
                <w:p w14:paraId="439C3DBB">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5BF915A9"/>
              </w:tc>
            </w:tr>
            <w:tr w14:paraId="11B1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68DFC387">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6B5CFA6A">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68FFB5AF">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2025.11.22</w:t>
                  </w:r>
                </w:p>
              </w:tc>
              <w:tc>
                <w:tcPr>
                  <w:tcW w:w="478" w:type="pct"/>
                  <w:tcBorders>
                    <w:top w:val="single" w:color="auto" w:sz="4" w:space="0"/>
                    <w:left w:val="single" w:color="auto" w:sz="4" w:space="0"/>
                    <w:bottom w:val="single" w:color="auto" w:sz="4" w:space="0"/>
                    <w:right w:val="single" w:color="auto" w:sz="4" w:space="0"/>
                  </w:tcBorders>
                  <w:vAlign w:val="center"/>
                </w:tcPr>
                <w:p w14:paraId="34E9DA1C">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0A612E5B">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00:47-00:57</w:t>
                  </w:r>
                </w:p>
              </w:tc>
              <w:tc>
                <w:tcPr>
                  <w:tcW w:w="512" w:type="pct"/>
                  <w:tcBorders>
                    <w:top w:val="single" w:color="auto" w:sz="4" w:space="0"/>
                    <w:left w:val="single" w:color="auto" w:sz="4" w:space="0"/>
                    <w:bottom w:val="single" w:color="auto" w:sz="4" w:space="0"/>
                    <w:right w:val="single" w:color="auto" w:sz="4" w:space="0"/>
                  </w:tcBorders>
                  <w:vAlign w:val="center"/>
                </w:tcPr>
                <w:p w14:paraId="4D3C05CA">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37</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12B70115"/>
              </w:tc>
            </w:tr>
            <w:tr w14:paraId="2275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restart"/>
                  <w:tcBorders>
                    <w:top w:val="single" w:color="auto" w:sz="4" w:space="0"/>
                    <w:left w:val="single" w:color="auto" w:sz="4" w:space="0"/>
                    <w:bottom w:val="single" w:color="auto" w:sz="4" w:space="0"/>
                    <w:right w:val="single" w:color="auto" w:sz="4" w:space="0"/>
                  </w:tcBorders>
                  <w:vAlign w:val="center"/>
                </w:tcPr>
                <w:p w14:paraId="5A3B5007">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764" w:type="pct"/>
                  <w:vMerge w:val="restart"/>
                  <w:tcBorders>
                    <w:top w:val="single" w:color="auto" w:sz="4" w:space="0"/>
                    <w:left w:val="single" w:color="auto" w:sz="4" w:space="0"/>
                    <w:bottom w:val="single" w:color="auto" w:sz="4" w:space="0"/>
                    <w:right w:val="single" w:color="auto" w:sz="4" w:space="0"/>
                  </w:tcBorders>
                  <w:vAlign w:val="center"/>
                </w:tcPr>
                <w:p w14:paraId="3079F256">
                  <w:pPr>
                    <w:pStyle w:val="43"/>
                    <w:spacing w:after="0"/>
                    <w:ind w:firstLine="0" w:firstLineChars="0"/>
                    <w:jc w:val="center"/>
                    <w:rPr>
                      <w:color w:val="000000" w:themeColor="text1"/>
                      <w:szCs w:val="21"/>
                      <w14:textFill>
                        <w14:solidFill>
                          <w14:schemeClr w14:val="tx1"/>
                        </w14:solidFill>
                      </w14:textFill>
                    </w:rPr>
                  </w:pPr>
                  <w:r>
                    <w:rPr>
                      <w:szCs w:val="21"/>
                    </w:rPr>
                    <w:t>3#S204公路附近居民</w:t>
                  </w:r>
                </w:p>
              </w:tc>
              <w:tc>
                <w:tcPr>
                  <w:tcW w:w="1049" w:type="pct"/>
                  <w:tcBorders>
                    <w:top w:val="single" w:color="auto" w:sz="4" w:space="0"/>
                    <w:left w:val="single" w:color="auto" w:sz="4" w:space="0"/>
                    <w:bottom w:val="single" w:color="auto" w:sz="4" w:space="0"/>
                    <w:right w:val="single" w:color="auto" w:sz="4" w:space="0"/>
                  </w:tcBorders>
                  <w:vAlign w:val="center"/>
                </w:tcPr>
                <w:p w14:paraId="5152A64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2025.11.20</w:t>
                  </w:r>
                </w:p>
              </w:tc>
              <w:tc>
                <w:tcPr>
                  <w:tcW w:w="478" w:type="pct"/>
                  <w:tcBorders>
                    <w:top w:val="single" w:color="auto" w:sz="4" w:space="0"/>
                    <w:left w:val="single" w:color="auto" w:sz="4" w:space="0"/>
                    <w:bottom w:val="single" w:color="auto" w:sz="4" w:space="0"/>
                    <w:right w:val="single" w:color="auto" w:sz="4" w:space="0"/>
                  </w:tcBorders>
                  <w:vAlign w:val="center"/>
                </w:tcPr>
                <w:p w14:paraId="6AC103B9">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09B8B09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13:30-13:40</w:t>
                  </w:r>
                </w:p>
              </w:tc>
              <w:tc>
                <w:tcPr>
                  <w:tcW w:w="512" w:type="pct"/>
                  <w:tcBorders>
                    <w:top w:val="single" w:color="auto" w:sz="4" w:space="0"/>
                    <w:left w:val="single" w:color="auto" w:sz="4" w:space="0"/>
                    <w:bottom w:val="single" w:color="auto" w:sz="4" w:space="0"/>
                    <w:right w:val="single" w:color="auto" w:sz="4" w:space="0"/>
                  </w:tcBorders>
                  <w:vAlign w:val="center"/>
                </w:tcPr>
                <w:p w14:paraId="0D5A74C9">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43</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623EE8C8"/>
              </w:tc>
            </w:tr>
            <w:tr w14:paraId="24CD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04AB279A">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351AEEFA">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654EB0DA">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2025.11.21</w:t>
                  </w:r>
                </w:p>
              </w:tc>
              <w:tc>
                <w:tcPr>
                  <w:tcW w:w="478" w:type="pct"/>
                  <w:tcBorders>
                    <w:top w:val="single" w:color="auto" w:sz="4" w:space="0"/>
                    <w:left w:val="single" w:color="auto" w:sz="4" w:space="0"/>
                    <w:bottom w:val="single" w:color="auto" w:sz="4" w:space="0"/>
                    <w:right w:val="single" w:color="auto" w:sz="4" w:space="0"/>
                  </w:tcBorders>
                  <w:vAlign w:val="center"/>
                </w:tcPr>
                <w:p w14:paraId="16E398B4">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3465EE6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00:35-00:45</w:t>
                  </w:r>
                </w:p>
              </w:tc>
              <w:tc>
                <w:tcPr>
                  <w:tcW w:w="512" w:type="pct"/>
                  <w:tcBorders>
                    <w:top w:val="single" w:color="auto" w:sz="4" w:space="0"/>
                    <w:left w:val="single" w:color="auto" w:sz="4" w:space="0"/>
                    <w:bottom w:val="single" w:color="auto" w:sz="4" w:space="0"/>
                    <w:right w:val="single" w:color="auto" w:sz="4" w:space="0"/>
                  </w:tcBorders>
                  <w:vAlign w:val="center"/>
                </w:tcPr>
                <w:p w14:paraId="4576F9E5">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37</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005DAD4C"/>
              </w:tc>
            </w:tr>
            <w:tr w14:paraId="3F07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0B2451CF">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0B631E09">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7483FCB5">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2025.11.21</w:t>
                  </w:r>
                </w:p>
              </w:tc>
              <w:tc>
                <w:tcPr>
                  <w:tcW w:w="478" w:type="pct"/>
                  <w:tcBorders>
                    <w:top w:val="single" w:color="auto" w:sz="4" w:space="0"/>
                    <w:left w:val="single" w:color="auto" w:sz="4" w:space="0"/>
                    <w:bottom w:val="single" w:color="auto" w:sz="4" w:space="0"/>
                    <w:right w:val="single" w:color="auto" w:sz="4" w:space="0"/>
                  </w:tcBorders>
                  <w:vAlign w:val="center"/>
                </w:tcPr>
                <w:p w14:paraId="0682A9DD">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968" w:type="pct"/>
                  <w:tcBorders>
                    <w:top w:val="single" w:color="auto" w:sz="4" w:space="0"/>
                    <w:left w:val="single" w:color="auto" w:sz="4" w:space="0"/>
                    <w:bottom w:val="single" w:color="auto" w:sz="4" w:space="0"/>
                    <w:right w:val="single" w:color="auto" w:sz="4" w:space="0"/>
                  </w:tcBorders>
                  <w:vAlign w:val="center"/>
                </w:tcPr>
                <w:p w14:paraId="5DBB2B5F">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14:39-14:49</w:t>
                  </w:r>
                </w:p>
              </w:tc>
              <w:tc>
                <w:tcPr>
                  <w:tcW w:w="512" w:type="pct"/>
                  <w:tcBorders>
                    <w:top w:val="single" w:color="auto" w:sz="4" w:space="0"/>
                    <w:left w:val="single" w:color="auto" w:sz="4" w:space="0"/>
                    <w:bottom w:val="single" w:color="auto" w:sz="4" w:space="0"/>
                    <w:right w:val="single" w:color="auto" w:sz="4" w:space="0"/>
                  </w:tcBorders>
                  <w:vAlign w:val="center"/>
                </w:tcPr>
                <w:p w14:paraId="707BBC2B">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42</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55EEA399"/>
              </w:tc>
            </w:tr>
            <w:tr w14:paraId="7792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66" w:type="pct"/>
                  <w:vMerge w:val="continue"/>
                  <w:tcBorders>
                    <w:top w:val="single" w:color="auto" w:sz="4" w:space="0"/>
                    <w:left w:val="single" w:color="auto" w:sz="4" w:space="0"/>
                    <w:bottom w:val="single" w:color="auto" w:sz="4" w:space="0"/>
                    <w:right w:val="single" w:color="auto" w:sz="4" w:space="0"/>
                  </w:tcBorders>
                  <w:vAlign w:val="center"/>
                </w:tcPr>
                <w:p w14:paraId="0B9778AF">
                  <w:pPr>
                    <w:rPr>
                      <w:color w:val="000000" w:themeColor="text1"/>
                      <w14:textFill>
                        <w14:solidFill>
                          <w14:schemeClr w14:val="tx1"/>
                        </w14:solidFill>
                      </w14:textFill>
                    </w:rPr>
                  </w:pPr>
                </w:p>
              </w:tc>
              <w:tc>
                <w:tcPr>
                  <w:tcW w:w="764" w:type="pct"/>
                  <w:vMerge w:val="continue"/>
                  <w:tcBorders>
                    <w:top w:val="single" w:color="auto" w:sz="4" w:space="0"/>
                    <w:left w:val="single" w:color="auto" w:sz="4" w:space="0"/>
                    <w:bottom w:val="single" w:color="auto" w:sz="4" w:space="0"/>
                    <w:right w:val="single" w:color="auto" w:sz="4" w:space="0"/>
                  </w:tcBorders>
                  <w:vAlign w:val="center"/>
                </w:tcPr>
                <w:p w14:paraId="4CFD8BA5">
                  <w:pPr>
                    <w:rPr>
                      <w:color w:val="000000" w:themeColor="text1"/>
                      <w:kern w:val="0"/>
                      <w14:textFill>
                        <w14:solidFill>
                          <w14:schemeClr w14:val="tx1"/>
                        </w14:solidFill>
                      </w14:textFill>
                    </w:rPr>
                  </w:pPr>
                </w:p>
              </w:tc>
              <w:tc>
                <w:tcPr>
                  <w:tcW w:w="1049" w:type="pct"/>
                  <w:tcBorders>
                    <w:top w:val="single" w:color="auto" w:sz="4" w:space="0"/>
                    <w:left w:val="single" w:color="auto" w:sz="4" w:space="0"/>
                    <w:bottom w:val="single" w:color="auto" w:sz="4" w:space="0"/>
                    <w:right w:val="single" w:color="auto" w:sz="4" w:space="0"/>
                  </w:tcBorders>
                  <w:vAlign w:val="center"/>
                </w:tcPr>
                <w:p w14:paraId="35E30A04">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2025.11.22</w:t>
                  </w:r>
                </w:p>
              </w:tc>
              <w:tc>
                <w:tcPr>
                  <w:tcW w:w="478" w:type="pct"/>
                  <w:tcBorders>
                    <w:top w:val="single" w:color="auto" w:sz="4" w:space="0"/>
                    <w:left w:val="single" w:color="auto" w:sz="4" w:space="0"/>
                    <w:bottom w:val="single" w:color="auto" w:sz="4" w:space="0"/>
                    <w:right w:val="single" w:color="auto" w:sz="4" w:space="0"/>
                  </w:tcBorders>
                  <w:vAlign w:val="center"/>
                </w:tcPr>
                <w:p w14:paraId="62040375">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968" w:type="pct"/>
                  <w:tcBorders>
                    <w:top w:val="single" w:color="auto" w:sz="4" w:space="0"/>
                    <w:left w:val="single" w:color="auto" w:sz="4" w:space="0"/>
                    <w:bottom w:val="single" w:color="auto" w:sz="4" w:space="0"/>
                    <w:right w:val="single" w:color="auto" w:sz="4" w:space="0"/>
                  </w:tcBorders>
                  <w:vAlign w:val="center"/>
                </w:tcPr>
                <w:p w14:paraId="4F058EB2">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00:29-00:39</w:t>
                  </w:r>
                </w:p>
              </w:tc>
              <w:tc>
                <w:tcPr>
                  <w:tcW w:w="512" w:type="pct"/>
                  <w:tcBorders>
                    <w:top w:val="single" w:color="auto" w:sz="4" w:space="0"/>
                    <w:left w:val="single" w:color="auto" w:sz="4" w:space="0"/>
                    <w:bottom w:val="single" w:color="auto" w:sz="4" w:space="0"/>
                    <w:right w:val="single" w:color="auto" w:sz="4" w:space="0"/>
                  </w:tcBorders>
                  <w:vAlign w:val="center"/>
                </w:tcPr>
                <w:p w14:paraId="234031C9">
                  <w:pPr>
                    <w:keepLine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38</w:t>
                  </w:r>
                </w:p>
              </w:tc>
              <w:tc>
                <w:tcPr>
                  <w:tcW w:w="762" w:type="pct"/>
                  <w:vMerge w:val="continue"/>
                  <w:tcBorders>
                    <w:top w:val="single" w:color="auto" w:sz="4" w:space="0"/>
                    <w:left w:val="single" w:color="auto" w:sz="4" w:space="0"/>
                    <w:bottom w:val="single" w:color="auto" w:sz="4" w:space="0"/>
                    <w:right w:val="single" w:color="auto" w:sz="4" w:space="0"/>
                  </w:tcBorders>
                  <w:vAlign w:val="center"/>
                </w:tcPr>
                <w:p w14:paraId="70C2ADCE"/>
              </w:tc>
            </w:tr>
          </w:tbl>
          <w:p w14:paraId="65B61F46">
            <w:pPr>
              <w:pStyle w:val="2"/>
              <w:adjustRightInd w:val="0"/>
              <w:spacing w:before="0" w:after="0" w:line="360" w:lineRule="auto"/>
              <w:ind w:right="0"/>
              <w:rPr>
                <w:kern w:val="2"/>
                <w:sz w:val="24"/>
                <w:szCs w:val="24"/>
              </w:rPr>
            </w:pPr>
          </w:p>
          <w:p w14:paraId="16DAA13D">
            <w:pPr>
              <w:pStyle w:val="2"/>
              <w:adjustRightInd w:val="0"/>
              <w:spacing w:before="0" w:after="0" w:line="360" w:lineRule="auto"/>
              <w:ind w:right="0" w:firstLine="480" w:firstLineChars="200"/>
              <w:rPr>
                <w:kern w:val="2"/>
                <w:sz w:val="24"/>
                <w:szCs w:val="24"/>
                <w:lang w:val="zh-CN"/>
              </w:rPr>
            </w:pPr>
            <w:r>
              <w:rPr>
                <w:kern w:val="2"/>
                <w:sz w:val="24"/>
                <w:szCs w:val="24"/>
                <w:lang w:val="zh-CN"/>
              </w:rPr>
              <w:t>监测表明：项目沿线</w:t>
            </w:r>
            <w:r>
              <w:rPr>
                <w:kern w:val="2"/>
                <w:sz w:val="24"/>
                <w:szCs w:val="24"/>
              </w:rPr>
              <w:t>3</w:t>
            </w:r>
            <w:r>
              <w:rPr>
                <w:kern w:val="2"/>
                <w:sz w:val="24"/>
                <w:szCs w:val="24"/>
                <w:lang w:val="zh-CN"/>
              </w:rPr>
              <w:t>个噪声监测点位昼间等效连续A声级在4</w:t>
            </w:r>
            <w:r>
              <w:rPr>
                <w:kern w:val="2"/>
                <w:sz w:val="24"/>
                <w:szCs w:val="24"/>
              </w:rPr>
              <w:t>1</w:t>
            </w:r>
            <w:r>
              <w:rPr>
                <w:kern w:val="2"/>
                <w:sz w:val="24"/>
                <w:szCs w:val="24"/>
                <w:lang w:val="zh-CN"/>
              </w:rPr>
              <w:t>dB（A）~</w:t>
            </w:r>
            <w:r>
              <w:rPr>
                <w:kern w:val="2"/>
                <w:sz w:val="24"/>
                <w:szCs w:val="24"/>
              </w:rPr>
              <w:t>43</w:t>
            </w:r>
            <w:r>
              <w:rPr>
                <w:kern w:val="2"/>
                <w:sz w:val="24"/>
                <w:szCs w:val="24"/>
                <w:lang w:val="zh-CN"/>
              </w:rPr>
              <w:t>dB（A）之间，夜间等效连续A声级在37dB（A）～39dB（A）之间；均满足《声环境质量标准》（GB3096-2008）中1类标准（昼间：55dB(A)</w:t>
            </w:r>
            <w:r>
              <w:rPr>
                <w:rFonts w:hint="eastAsia"/>
                <w:kern w:val="2"/>
                <w:sz w:val="24"/>
                <w:szCs w:val="24"/>
                <w:lang w:val="zh-CN"/>
              </w:rPr>
              <w:t>、</w:t>
            </w:r>
            <w:r>
              <w:rPr>
                <w:kern w:val="2"/>
                <w:sz w:val="24"/>
                <w:szCs w:val="24"/>
                <w:lang w:val="zh-CN"/>
              </w:rPr>
              <w:t>夜间：45dB(A)）；因此，项目线路沿线区域声环境质量现状良好。</w:t>
            </w:r>
          </w:p>
          <w:p w14:paraId="5C686EB6">
            <w:pPr>
              <w:pStyle w:val="2"/>
              <w:spacing w:before="0" w:after="0" w:line="360" w:lineRule="auto"/>
              <w:ind w:right="0"/>
              <w:rPr>
                <w:b/>
                <w:bCs/>
                <w:sz w:val="24"/>
              </w:rPr>
            </w:pPr>
            <w:r>
              <w:rPr>
                <w:b/>
                <w:bCs/>
                <w:sz w:val="24"/>
              </w:rPr>
              <w:t>4、电磁环境现状</w:t>
            </w:r>
          </w:p>
          <w:p w14:paraId="65B5443D">
            <w:pPr>
              <w:pStyle w:val="2"/>
              <w:adjustRightInd w:val="0"/>
              <w:spacing w:before="0" w:after="0" w:line="360" w:lineRule="auto"/>
              <w:ind w:right="0" w:firstLine="480" w:firstLineChars="200"/>
              <w:rPr>
                <w:kern w:val="2"/>
                <w:sz w:val="24"/>
                <w:szCs w:val="24"/>
                <w:lang w:val="zh-CN"/>
              </w:rPr>
            </w:pPr>
            <w:r>
              <w:rPr>
                <w:rFonts w:hint="eastAsia"/>
                <w:kern w:val="2"/>
                <w:sz w:val="24"/>
                <w:szCs w:val="24"/>
                <w:lang w:val="zh-CN"/>
              </w:rPr>
              <w:t>为掌握项目电磁环境现状，环评单位委托云南科环环境工程咨询有限公司于2025年11月20日对项目区进行了现场电磁监测，后因南冲风电场升压站选址发生改变，因此我公司委托云南科环环境工程咨询有限公司于2026年3月11日~12日对新的升压站选址进行了电磁环境现状补充监测，监测点位详见附图</w:t>
            </w:r>
            <w:r>
              <w:rPr>
                <w:kern w:val="2"/>
                <w:sz w:val="24"/>
                <w:szCs w:val="24"/>
                <w:lang w:val="zh-CN"/>
              </w:rPr>
              <w:t>12</w:t>
            </w:r>
            <w:r>
              <w:rPr>
                <w:rFonts w:hint="eastAsia"/>
                <w:kern w:val="2"/>
                <w:sz w:val="24"/>
                <w:szCs w:val="24"/>
                <w:lang w:val="zh-CN"/>
              </w:rPr>
              <w:t>。</w:t>
            </w:r>
          </w:p>
          <w:p w14:paraId="53C4AF10">
            <w:pPr>
              <w:pStyle w:val="2"/>
              <w:adjustRightInd w:val="0"/>
              <w:spacing w:before="0" w:after="0" w:line="360" w:lineRule="auto"/>
              <w:ind w:right="0" w:firstLine="480" w:firstLineChars="200"/>
              <w:rPr>
                <w:kern w:val="2"/>
                <w:sz w:val="24"/>
                <w:szCs w:val="24"/>
                <w:lang w:val="zh-CN"/>
              </w:rPr>
            </w:pPr>
            <w:r>
              <w:rPr>
                <w:kern w:val="2"/>
                <w:sz w:val="24"/>
                <w:szCs w:val="24"/>
                <w:lang w:val="zh-CN"/>
              </w:rPr>
              <w:t>根据</w:t>
            </w:r>
            <w:r>
              <w:rPr>
                <w:rFonts w:hint="eastAsia"/>
                <w:kern w:val="2"/>
                <w:sz w:val="24"/>
                <w:szCs w:val="24"/>
                <w:lang w:val="zh-CN"/>
              </w:rPr>
              <w:t>检测结果与</w:t>
            </w:r>
            <w:r>
              <w:rPr>
                <w:kern w:val="2"/>
                <w:sz w:val="24"/>
                <w:szCs w:val="24"/>
                <w:lang w:val="zh-CN"/>
              </w:rPr>
              <w:t>电磁环境影响专题现状评价结论，本工程区域电磁环境质量现状如下：</w:t>
            </w:r>
          </w:p>
          <w:p w14:paraId="3DB2ED76">
            <w:pPr>
              <w:pStyle w:val="2"/>
              <w:adjustRightInd w:val="0"/>
              <w:spacing w:before="0" w:after="0" w:line="360" w:lineRule="auto"/>
              <w:ind w:right="0" w:firstLine="480" w:firstLineChars="200"/>
              <w:rPr>
                <w:kern w:val="2"/>
                <w:sz w:val="24"/>
                <w:szCs w:val="24"/>
                <w:lang w:val="zh-CN"/>
              </w:rPr>
            </w:pPr>
            <w:r>
              <w:rPr>
                <w:kern w:val="2"/>
                <w:sz w:val="24"/>
                <w:szCs w:val="24"/>
                <w:lang w:val="zh-CN"/>
              </w:rPr>
              <w:t>拟建输电线路电磁环境保护目标处工频电场强度为0.694V/m，工频磁感应强度为0.019μT，满足《电磁环境控制限值》（GB8702-2014）的要求。</w:t>
            </w:r>
          </w:p>
          <w:p w14:paraId="5CC523A8">
            <w:pPr>
              <w:pStyle w:val="2"/>
              <w:adjustRightInd w:val="0"/>
              <w:spacing w:before="0" w:after="0" w:line="360" w:lineRule="auto"/>
              <w:ind w:right="0" w:firstLine="480" w:firstLineChars="200"/>
              <w:rPr>
                <w:kern w:val="2"/>
                <w:sz w:val="24"/>
                <w:szCs w:val="24"/>
                <w:lang w:val="zh-CN"/>
              </w:rPr>
            </w:pPr>
            <w:r>
              <w:rPr>
                <w:kern w:val="2"/>
                <w:sz w:val="24"/>
                <w:szCs w:val="24"/>
                <w:lang w:val="zh-CN"/>
              </w:rPr>
              <w:t>110kV 铜厂变站址处工频电场强度为0.509V/m 之间，工频磁感应强度为0.021μT 之间；110kV 南冲风电场升压站站址处工频电场强度为10.598V/m，工频磁感应强度为0.0139μT，均可以满足《电磁环境控制限值》（GB8702-2014）的要求。</w:t>
            </w:r>
          </w:p>
          <w:p w14:paraId="100BAD0A">
            <w:pPr>
              <w:spacing w:line="360" w:lineRule="auto"/>
              <w:rPr>
                <w:b/>
                <w:sz w:val="24"/>
              </w:rPr>
            </w:pPr>
            <w:r>
              <w:rPr>
                <w:rFonts w:hint="eastAsia"/>
                <w:b/>
                <w:sz w:val="24"/>
              </w:rPr>
              <w:t>二</w:t>
            </w:r>
            <w:r>
              <w:rPr>
                <w:b/>
                <w:sz w:val="24"/>
              </w:rPr>
              <w:t>、生态环境现状</w:t>
            </w:r>
          </w:p>
          <w:p w14:paraId="15CDB8D9">
            <w:pPr>
              <w:pStyle w:val="28"/>
              <w:spacing w:after="0" w:line="360" w:lineRule="auto"/>
              <w:ind w:left="0" w:leftChars="0" w:firstLine="482" w:firstLineChars="200"/>
              <w:rPr>
                <w:b/>
                <w:bCs/>
                <w:sz w:val="24"/>
              </w:rPr>
            </w:pPr>
            <w:r>
              <w:rPr>
                <w:b/>
                <w:bCs/>
                <w:sz w:val="24"/>
              </w:rPr>
              <w:t>1</w:t>
            </w:r>
            <w:r>
              <w:rPr>
                <w:rFonts w:hint="eastAsia"/>
                <w:b/>
                <w:bCs/>
                <w:sz w:val="24"/>
              </w:rPr>
              <w:t>、项目区土地利用现状</w:t>
            </w:r>
          </w:p>
          <w:p w14:paraId="13E82650">
            <w:pPr>
              <w:pStyle w:val="2"/>
              <w:adjustRightInd w:val="0"/>
              <w:spacing w:before="0" w:after="0" w:line="360" w:lineRule="auto"/>
              <w:ind w:right="0" w:firstLine="480" w:firstLineChars="200"/>
              <w:rPr>
                <w:sz w:val="24"/>
              </w:rPr>
            </w:pPr>
            <w:r>
              <w:rPr>
                <w:sz w:val="24"/>
              </w:rPr>
              <w:t>本工程总占地面积为0.6836hm</w:t>
            </w:r>
            <w:r>
              <w:rPr>
                <w:sz w:val="24"/>
                <w:vertAlign w:val="superscript"/>
              </w:rPr>
              <w:t>2</w:t>
            </w:r>
            <w:r>
              <w:rPr>
                <w:sz w:val="24"/>
              </w:rPr>
              <w:t>，其中，塔基</w:t>
            </w:r>
            <w:r>
              <w:rPr>
                <w:rFonts w:hint="eastAsia"/>
                <w:sz w:val="24"/>
              </w:rPr>
              <w:t>永久</w:t>
            </w:r>
            <w:r>
              <w:rPr>
                <w:sz w:val="24"/>
              </w:rPr>
              <w:t>占地0.145hm</w:t>
            </w:r>
            <w:r>
              <w:rPr>
                <w:sz w:val="24"/>
                <w:vertAlign w:val="superscript"/>
              </w:rPr>
              <w:t>2</w:t>
            </w:r>
            <w:r>
              <w:rPr>
                <w:sz w:val="24"/>
              </w:rPr>
              <w:t>，塔基</w:t>
            </w:r>
            <w:r>
              <w:rPr>
                <w:rFonts w:hint="eastAsia"/>
                <w:sz w:val="24"/>
              </w:rPr>
              <w:t>临时</w:t>
            </w:r>
            <w:r>
              <w:rPr>
                <w:sz w:val="24"/>
              </w:rPr>
              <w:t>施工场地0.135hm</w:t>
            </w:r>
            <w:r>
              <w:rPr>
                <w:sz w:val="24"/>
                <w:vertAlign w:val="superscript"/>
              </w:rPr>
              <w:t>2</w:t>
            </w:r>
            <w:r>
              <w:rPr>
                <w:sz w:val="24"/>
              </w:rPr>
              <w:t>，</w:t>
            </w:r>
            <w:r>
              <w:rPr>
                <w:rFonts w:hint="eastAsia"/>
                <w:sz w:val="24"/>
              </w:rPr>
              <w:t>牵张场</w:t>
            </w:r>
            <w:r>
              <w:rPr>
                <w:sz w:val="24"/>
              </w:rPr>
              <w:t>区占地0.3hm</w:t>
            </w:r>
            <w:r>
              <w:rPr>
                <w:sz w:val="24"/>
                <w:vertAlign w:val="superscript"/>
              </w:rPr>
              <w:t>2</w:t>
            </w:r>
            <w:r>
              <w:rPr>
                <w:sz w:val="24"/>
              </w:rPr>
              <w:t>，</w:t>
            </w:r>
            <w:r>
              <w:rPr>
                <w:rFonts w:hint="eastAsia"/>
                <w:sz w:val="24"/>
              </w:rPr>
              <w:t>临时便道区</w:t>
            </w:r>
            <w:r>
              <w:rPr>
                <w:sz w:val="24"/>
              </w:rPr>
              <w:t>占地0.1036hm</w:t>
            </w:r>
            <w:r>
              <w:rPr>
                <w:sz w:val="24"/>
                <w:vertAlign w:val="superscript"/>
              </w:rPr>
              <w:t>2</w:t>
            </w:r>
            <w:r>
              <w:rPr>
                <w:sz w:val="24"/>
              </w:rPr>
              <w:t>。按占地性质分，永久占地0.145hm</w:t>
            </w:r>
            <w:r>
              <w:rPr>
                <w:sz w:val="24"/>
                <w:vertAlign w:val="superscript"/>
              </w:rPr>
              <w:t>2</w:t>
            </w:r>
            <w:r>
              <w:rPr>
                <w:sz w:val="24"/>
              </w:rPr>
              <w:t>，临时占地0.5386hm</w:t>
            </w:r>
            <w:r>
              <w:rPr>
                <w:sz w:val="24"/>
                <w:vertAlign w:val="superscript"/>
              </w:rPr>
              <w:t>2</w:t>
            </w:r>
            <w:r>
              <w:rPr>
                <w:sz w:val="24"/>
              </w:rPr>
              <w:t>。按照占地类型分，占</w:t>
            </w:r>
            <w:r>
              <w:rPr>
                <w:rFonts w:hint="eastAsia"/>
                <w:sz w:val="24"/>
              </w:rPr>
              <w:t>乔木林地0.2141</w:t>
            </w:r>
            <w:r>
              <w:rPr>
                <w:sz w:val="24"/>
              </w:rPr>
              <w:t>hm</w:t>
            </w:r>
            <w:r>
              <w:rPr>
                <w:sz w:val="24"/>
                <w:vertAlign w:val="superscript"/>
              </w:rPr>
              <w:t>2</w:t>
            </w:r>
            <w:r>
              <w:rPr>
                <w:rFonts w:hint="eastAsia"/>
                <w:sz w:val="24"/>
              </w:rPr>
              <w:t>，灌木林地0.1956</w:t>
            </w:r>
            <w:r>
              <w:rPr>
                <w:sz w:val="24"/>
              </w:rPr>
              <w:t>hm</w:t>
            </w:r>
            <w:r>
              <w:rPr>
                <w:sz w:val="24"/>
                <w:vertAlign w:val="superscript"/>
              </w:rPr>
              <w:t>2</w:t>
            </w:r>
            <w:r>
              <w:rPr>
                <w:rFonts w:hint="eastAsia"/>
                <w:sz w:val="24"/>
              </w:rPr>
              <w:t>，草地0.1472</w:t>
            </w:r>
            <w:r>
              <w:rPr>
                <w:sz w:val="24"/>
              </w:rPr>
              <w:t>hm</w:t>
            </w:r>
            <w:r>
              <w:rPr>
                <w:sz w:val="24"/>
                <w:vertAlign w:val="superscript"/>
              </w:rPr>
              <w:t>2</w:t>
            </w:r>
            <w:r>
              <w:rPr>
                <w:rFonts w:hint="eastAsia"/>
                <w:sz w:val="24"/>
              </w:rPr>
              <w:t>，园地0.1052</w:t>
            </w:r>
            <w:r>
              <w:rPr>
                <w:sz w:val="24"/>
              </w:rPr>
              <w:t>hm</w:t>
            </w:r>
            <w:r>
              <w:rPr>
                <w:sz w:val="24"/>
                <w:vertAlign w:val="superscript"/>
              </w:rPr>
              <w:t>2</w:t>
            </w:r>
            <w:r>
              <w:rPr>
                <w:rFonts w:hint="eastAsia"/>
                <w:sz w:val="24"/>
              </w:rPr>
              <w:t>，占</w:t>
            </w:r>
            <w:r>
              <w:rPr>
                <w:sz w:val="24"/>
              </w:rPr>
              <w:t>耕地0.0215hm</w:t>
            </w:r>
            <w:r>
              <w:rPr>
                <w:sz w:val="24"/>
                <w:vertAlign w:val="superscript"/>
              </w:rPr>
              <w:t>2</w:t>
            </w:r>
            <w:r>
              <w:rPr>
                <w:sz w:val="24"/>
              </w:rPr>
              <w:t>。工程占地情况详见表3-6。</w:t>
            </w:r>
          </w:p>
          <w:p w14:paraId="4C129970">
            <w:pPr>
              <w:pStyle w:val="2"/>
              <w:adjustRightInd w:val="0"/>
              <w:spacing w:before="0" w:after="0" w:line="240" w:lineRule="auto"/>
              <w:ind w:right="0"/>
              <w:jc w:val="center"/>
              <w:rPr>
                <w:rFonts w:eastAsia="黑体"/>
                <w:bCs/>
                <w:sz w:val="24"/>
                <w:szCs w:val="24"/>
              </w:rPr>
            </w:pPr>
            <w:r>
              <w:rPr>
                <w:rFonts w:eastAsia="黑体"/>
                <w:bCs/>
                <w:sz w:val="24"/>
                <w:szCs w:val="24"/>
              </w:rPr>
              <w:t>表3-6工程征占地统计表</w:t>
            </w:r>
          </w:p>
          <w:p w14:paraId="00953762">
            <w:pPr>
              <w:pStyle w:val="2"/>
              <w:adjustRightInd w:val="0"/>
              <w:spacing w:before="0" w:after="0" w:line="240" w:lineRule="auto"/>
              <w:ind w:right="0"/>
              <w:jc w:val="right"/>
              <w:rPr>
                <w:rFonts w:eastAsia="黑体"/>
                <w:bCs/>
                <w:sz w:val="21"/>
                <w:szCs w:val="21"/>
              </w:rPr>
            </w:pPr>
            <w:r>
              <w:rPr>
                <w:rFonts w:hint="eastAsia" w:eastAsia="黑体"/>
                <w:bCs/>
                <w:sz w:val="21"/>
                <w:szCs w:val="21"/>
              </w:rPr>
              <w:t>（面积：</w:t>
            </w:r>
            <w:r>
              <w:rPr>
                <w:rFonts w:eastAsia="黑体"/>
                <w:bCs/>
                <w:sz w:val="21"/>
                <w:szCs w:val="21"/>
              </w:rPr>
              <w:t>hm</w:t>
            </w:r>
            <w:r>
              <w:rPr>
                <w:rFonts w:eastAsia="黑体"/>
                <w:bCs/>
                <w:sz w:val="21"/>
                <w:szCs w:val="21"/>
                <w:vertAlign w:val="superscript"/>
              </w:rPr>
              <w:t>2</w:t>
            </w:r>
            <w:r>
              <w:rPr>
                <w:rFonts w:hint="eastAsia" w:eastAsia="黑体"/>
                <w:bCs/>
                <w:sz w:val="21"/>
                <w:szCs w:val="21"/>
              </w:rPr>
              <w:t>）</w:t>
            </w:r>
          </w:p>
          <w:tbl>
            <w:tblPr>
              <w:tblStyle w:val="45"/>
              <w:tblW w:w="7460" w:type="dxa"/>
              <w:tblInd w:w="0" w:type="dxa"/>
              <w:tblLayout w:type="autofit"/>
              <w:tblCellMar>
                <w:top w:w="0" w:type="dxa"/>
                <w:left w:w="108" w:type="dxa"/>
                <w:bottom w:w="0" w:type="dxa"/>
                <w:right w:w="108" w:type="dxa"/>
              </w:tblCellMar>
            </w:tblPr>
            <w:tblGrid>
              <w:gridCol w:w="697"/>
              <w:gridCol w:w="956"/>
              <w:gridCol w:w="1058"/>
              <w:gridCol w:w="1197"/>
              <w:gridCol w:w="860"/>
              <w:gridCol w:w="840"/>
              <w:gridCol w:w="794"/>
              <w:gridCol w:w="1058"/>
            </w:tblGrid>
            <w:tr w14:paraId="682A6887">
              <w:tblPrEx>
                <w:tblCellMar>
                  <w:top w:w="0" w:type="dxa"/>
                  <w:left w:w="108" w:type="dxa"/>
                  <w:bottom w:w="0" w:type="dxa"/>
                  <w:right w:w="108" w:type="dxa"/>
                </w:tblCellMar>
              </w:tblPrEx>
              <w:trPr>
                <w:trHeight w:val="20"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777A47F8">
                  <w:pPr>
                    <w:widowControl/>
                    <w:jc w:val="center"/>
                    <w:rPr>
                      <w:color w:val="000000"/>
                      <w:kern w:val="0"/>
                    </w:rPr>
                  </w:pPr>
                  <w:r>
                    <w:rPr>
                      <w:color w:val="000000"/>
                      <w:kern w:val="0"/>
                    </w:rPr>
                    <w:t>占地类型</w:t>
                  </w:r>
                </w:p>
              </w:tc>
              <w:tc>
                <w:tcPr>
                  <w:tcW w:w="960" w:type="dxa"/>
                  <w:tcBorders>
                    <w:top w:val="single" w:color="auto" w:sz="4" w:space="0"/>
                    <w:left w:val="nil"/>
                    <w:bottom w:val="single" w:color="auto" w:sz="4" w:space="0"/>
                    <w:right w:val="single" w:color="auto" w:sz="4" w:space="0"/>
                  </w:tcBorders>
                  <w:shd w:val="clear" w:color="auto" w:fill="auto"/>
                  <w:vAlign w:val="center"/>
                </w:tcPr>
                <w:p w14:paraId="2927FD17">
                  <w:pPr>
                    <w:widowControl/>
                    <w:jc w:val="center"/>
                    <w:rPr>
                      <w:color w:val="000000"/>
                      <w:kern w:val="0"/>
                    </w:rPr>
                  </w:pPr>
                  <w:r>
                    <w:rPr>
                      <w:color w:val="000000"/>
                      <w:kern w:val="0"/>
                    </w:rPr>
                    <w:t>工程组成</w:t>
                  </w:r>
                </w:p>
              </w:tc>
              <w:tc>
                <w:tcPr>
                  <w:tcW w:w="1060" w:type="dxa"/>
                  <w:tcBorders>
                    <w:top w:val="single" w:color="auto" w:sz="4" w:space="0"/>
                    <w:left w:val="nil"/>
                    <w:bottom w:val="single" w:color="auto" w:sz="4" w:space="0"/>
                    <w:right w:val="single" w:color="auto" w:sz="4" w:space="0"/>
                  </w:tcBorders>
                  <w:shd w:val="clear" w:color="auto" w:fill="auto"/>
                  <w:vAlign w:val="center"/>
                </w:tcPr>
                <w:p w14:paraId="7E253471">
                  <w:pPr>
                    <w:widowControl/>
                    <w:jc w:val="center"/>
                    <w:rPr>
                      <w:color w:val="000000"/>
                      <w:kern w:val="0"/>
                    </w:rPr>
                  </w:pPr>
                  <w:r>
                    <w:rPr>
                      <w:color w:val="000000"/>
                      <w:kern w:val="0"/>
                    </w:rPr>
                    <w:t>乔木林地</w:t>
                  </w:r>
                </w:p>
              </w:tc>
              <w:tc>
                <w:tcPr>
                  <w:tcW w:w="1200" w:type="dxa"/>
                  <w:tcBorders>
                    <w:top w:val="single" w:color="auto" w:sz="4" w:space="0"/>
                    <w:left w:val="nil"/>
                    <w:bottom w:val="single" w:color="auto" w:sz="4" w:space="0"/>
                    <w:right w:val="single" w:color="auto" w:sz="4" w:space="0"/>
                  </w:tcBorders>
                  <w:shd w:val="clear" w:color="auto" w:fill="auto"/>
                  <w:vAlign w:val="center"/>
                </w:tcPr>
                <w:p w14:paraId="7459D220">
                  <w:pPr>
                    <w:widowControl/>
                    <w:jc w:val="center"/>
                    <w:rPr>
                      <w:color w:val="000000"/>
                      <w:kern w:val="0"/>
                    </w:rPr>
                  </w:pPr>
                  <w:r>
                    <w:rPr>
                      <w:color w:val="000000"/>
                      <w:kern w:val="0"/>
                    </w:rPr>
                    <w:t>灌木林地</w:t>
                  </w:r>
                </w:p>
              </w:tc>
              <w:tc>
                <w:tcPr>
                  <w:tcW w:w="860" w:type="dxa"/>
                  <w:tcBorders>
                    <w:top w:val="single" w:color="auto" w:sz="4" w:space="0"/>
                    <w:left w:val="nil"/>
                    <w:bottom w:val="single" w:color="auto" w:sz="4" w:space="0"/>
                    <w:right w:val="single" w:color="auto" w:sz="4" w:space="0"/>
                  </w:tcBorders>
                  <w:shd w:val="clear" w:color="auto" w:fill="auto"/>
                  <w:vAlign w:val="center"/>
                </w:tcPr>
                <w:p w14:paraId="34DF183A">
                  <w:pPr>
                    <w:widowControl/>
                    <w:jc w:val="center"/>
                    <w:rPr>
                      <w:color w:val="000000"/>
                      <w:kern w:val="0"/>
                    </w:rPr>
                  </w:pPr>
                  <w:r>
                    <w:rPr>
                      <w:color w:val="000000"/>
                      <w:kern w:val="0"/>
                    </w:rPr>
                    <w:t>草地</w:t>
                  </w:r>
                </w:p>
              </w:tc>
              <w:tc>
                <w:tcPr>
                  <w:tcW w:w="840" w:type="dxa"/>
                  <w:tcBorders>
                    <w:top w:val="single" w:color="auto" w:sz="4" w:space="0"/>
                    <w:left w:val="nil"/>
                    <w:bottom w:val="single" w:color="auto" w:sz="4" w:space="0"/>
                    <w:right w:val="single" w:color="auto" w:sz="4" w:space="0"/>
                  </w:tcBorders>
                  <w:shd w:val="clear" w:color="auto" w:fill="auto"/>
                  <w:vAlign w:val="center"/>
                </w:tcPr>
                <w:p w14:paraId="6DB1339F">
                  <w:pPr>
                    <w:widowControl/>
                    <w:jc w:val="center"/>
                    <w:rPr>
                      <w:color w:val="000000"/>
                      <w:kern w:val="0"/>
                    </w:rPr>
                  </w:pPr>
                  <w:r>
                    <w:rPr>
                      <w:color w:val="000000"/>
                      <w:kern w:val="0"/>
                    </w:rPr>
                    <w:t>园地</w:t>
                  </w:r>
                </w:p>
              </w:tc>
              <w:tc>
                <w:tcPr>
                  <w:tcW w:w="780" w:type="dxa"/>
                  <w:tcBorders>
                    <w:top w:val="single" w:color="auto" w:sz="4" w:space="0"/>
                    <w:left w:val="nil"/>
                    <w:bottom w:val="single" w:color="auto" w:sz="4" w:space="0"/>
                    <w:right w:val="single" w:color="auto" w:sz="4" w:space="0"/>
                  </w:tcBorders>
                  <w:shd w:val="clear" w:color="auto" w:fill="auto"/>
                  <w:vAlign w:val="center"/>
                </w:tcPr>
                <w:p w14:paraId="421650B3">
                  <w:pPr>
                    <w:widowControl/>
                    <w:jc w:val="center"/>
                    <w:rPr>
                      <w:color w:val="000000"/>
                      <w:kern w:val="0"/>
                    </w:rPr>
                  </w:pPr>
                  <w:r>
                    <w:rPr>
                      <w:color w:val="000000"/>
                      <w:kern w:val="0"/>
                    </w:rPr>
                    <w:t>农田</w:t>
                  </w:r>
                </w:p>
              </w:tc>
              <w:tc>
                <w:tcPr>
                  <w:tcW w:w="1060" w:type="dxa"/>
                  <w:tcBorders>
                    <w:top w:val="single" w:color="auto" w:sz="4" w:space="0"/>
                    <w:left w:val="nil"/>
                    <w:bottom w:val="single" w:color="auto" w:sz="4" w:space="0"/>
                    <w:right w:val="single" w:color="auto" w:sz="4" w:space="0"/>
                  </w:tcBorders>
                  <w:shd w:val="clear" w:color="auto" w:fill="auto"/>
                  <w:vAlign w:val="center"/>
                </w:tcPr>
                <w:p w14:paraId="6D22B944">
                  <w:pPr>
                    <w:widowControl/>
                    <w:jc w:val="center"/>
                    <w:rPr>
                      <w:b/>
                      <w:bCs/>
                      <w:color w:val="000000"/>
                      <w:kern w:val="0"/>
                    </w:rPr>
                  </w:pPr>
                  <w:r>
                    <w:rPr>
                      <w:b/>
                      <w:bCs/>
                      <w:color w:val="000000"/>
                      <w:kern w:val="0"/>
                    </w:rPr>
                    <w:t>总计</w:t>
                  </w:r>
                </w:p>
              </w:tc>
            </w:tr>
            <w:tr w14:paraId="4612A2A8">
              <w:tblPrEx>
                <w:tblCellMar>
                  <w:top w:w="0" w:type="dxa"/>
                  <w:left w:w="108" w:type="dxa"/>
                  <w:bottom w:w="0" w:type="dxa"/>
                  <w:right w:w="108" w:type="dxa"/>
                </w:tblCellMar>
              </w:tblPrEx>
              <w:trPr>
                <w:trHeight w:val="20" w:hRule="atLeast"/>
              </w:trPr>
              <w:tc>
                <w:tcPr>
                  <w:tcW w:w="700" w:type="dxa"/>
                  <w:vMerge w:val="restart"/>
                  <w:tcBorders>
                    <w:top w:val="nil"/>
                    <w:left w:val="single" w:color="auto" w:sz="4" w:space="0"/>
                    <w:bottom w:val="single" w:color="auto" w:sz="4" w:space="0"/>
                    <w:right w:val="single" w:color="auto" w:sz="4" w:space="0"/>
                  </w:tcBorders>
                  <w:shd w:val="clear" w:color="auto" w:fill="auto"/>
                  <w:vAlign w:val="center"/>
                </w:tcPr>
                <w:p w14:paraId="3DF8E294">
                  <w:pPr>
                    <w:widowControl/>
                    <w:jc w:val="center"/>
                    <w:rPr>
                      <w:color w:val="000000"/>
                      <w:kern w:val="0"/>
                    </w:rPr>
                  </w:pPr>
                  <w:r>
                    <w:rPr>
                      <w:color w:val="000000"/>
                      <w:kern w:val="0"/>
                    </w:rPr>
                    <w:t>永久占地</w:t>
                  </w:r>
                </w:p>
              </w:tc>
              <w:tc>
                <w:tcPr>
                  <w:tcW w:w="960" w:type="dxa"/>
                  <w:tcBorders>
                    <w:top w:val="nil"/>
                    <w:left w:val="nil"/>
                    <w:bottom w:val="single" w:color="auto" w:sz="4" w:space="0"/>
                    <w:right w:val="single" w:color="auto" w:sz="4" w:space="0"/>
                  </w:tcBorders>
                  <w:shd w:val="clear" w:color="auto" w:fill="auto"/>
                  <w:vAlign w:val="center"/>
                </w:tcPr>
                <w:p w14:paraId="101911F3">
                  <w:pPr>
                    <w:widowControl/>
                    <w:jc w:val="center"/>
                    <w:rPr>
                      <w:color w:val="000000"/>
                      <w:kern w:val="0"/>
                    </w:rPr>
                  </w:pPr>
                  <w:r>
                    <w:rPr>
                      <w:color w:val="000000"/>
                      <w:kern w:val="0"/>
                    </w:rPr>
                    <w:t>塔基</w:t>
                  </w:r>
                </w:p>
              </w:tc>
              <w:tc>
                <w:tcPr>
                  <w:tcW w:w="1060" w:type="dxa"/>
                  <w:tcBorders>
                    <w:top w:val="nil"/>
                    <w:left w:val="nil"/>
                    <w:bottom w:val="single" w:color="auto" w:sz="4" w:space="0"/>
                    <w:right w:val="single" w:color="auto" w:sz="4" w:space="0"/>
                  </w:tcBorders>
                  <w:shd w:val="clear" w:color="auto" w:fill="auto"/>
                  <w:vAlign w:val="center"/>
                </w:tcPr>
                <w:p w14:paraId="2CD24403">
                  <w:pPr>
                    <w:widowControl/>
                    <w:jc w:val="center"/>
                    <w:rPr>
                      <w:color w:val="000000"/>
                      <w:kern w:val="0"/>
                    </w:rPr>
                  </w:pPr>
                  <w:r>
                    <w:rPr>
                      <w:color w:val="000000"/>
                      <w:kern w:val="0"/>
                    </w:rPr>
                    <w:t xml:space="preserve">0.081 </w:t>
                  </w:r>
                </w:p>
              </w:tc>
              <w:tc>
                <w:tcPr>
                  <w:tcW w:w="1200" w:type="dxa"/>
                  <w:tcBorders>
                    <w:top w:val="nil"/>
                    <w:left w:val="nil"/>
                    <w:bottom w:val="single" w:color="auto" w:sz="4" w:space="0"/>
                    <w:right w:val="single" w:color="auto" w:sz="4" w:space="0"/>
                  </w:tcBorders>
                  <w:shd w:val="clear" w:color="auto" w:fill="auto"/>
                  <w:vAlign w:val="center"/>
                </w:tcPr>
                <w:p w14:paraId="1987EB6D">
                  <w:pPr>
                    <w:widowControl/>
                    <w:jc w:val="center"/>
                    <w:rPr>
                      <w:color w:val="000000"/>
                      <w:kern w:val="0"/>
                    </w:rPr>
                  </w:pPr>
                  <w:r>
                    <w:rPr>
                      <w:color w:val="000000"/>
                      <w:kern w:val="0"/>
                    </w:rPr>
                    <w:t xml:space="preserve">0.029 </w:t>
                  </w:r>
                </w:p>
              </w:tc>
              <w:tc>
                <w:tcPr>
                  <w:tcW w:w="860" w:type="dxa"/>
                  <w:tcBorders>
                    <w:top w:val="nil"/>
                    <w:left w:val="nil"/>
                    <w:bottom w:val="single" w:color="auto" w:sz="4" w:space="0"/>
                    <w:right w:val="single" w:color="auto" w:sz="4" w:space="0"/>
                  </w:tcBorders>
                  <w:shd w:val="clear" w:color="auto" w:fill="auto"/>
                  <w:vAlign w:val="center"/>
                </w:tcPr>
                <w:p w14:paraId="0E5F8141">
                  <w:pPr>
                    <w:widowControl/>
                    <w:jc w:val="center"/>
                    <w:rPr>
                      <w:color w:val="000000"/>
                      <w:kern w:val="0"/>
                    </w:rPr>
                  </w:pPr>
                  <w:r>
                    <w:rPr>
                      <w:color w:val="000000"/>
                      <w:kern w:val="0"/>
                    </w:rPr>
                    <w:t xml:space="preserve">0.015 </w:t>
                  </w:r>
                </w:p>
              </w:tc>
              <w:tc>
                <w:tcPr>
                  <w:tcW w:w="840" w:type="dxa"/>
                  <w:tcBorders>
                    <w:top w:val="nil"/>
                    <w:left w:val="nil"/>
                    <w:bottom w:val="single" w:color="auto" w:sz="4" w:space="0"/>
                    <w:right w:val="single" w:color="auto" w:sz="4" w:space="0"/>
                  </w:tcBorders>
                  <w:shd w:val="clear" w:color="auto" w:fill="auto"/>
                  <w:vAlign w:val="center"/>
                </w:tcPr>
                <w:p w14:paraId="00EE4720">
                  <w:pPr>
                    <w:widowControl/>
                    <w:jc w:val="center"/>
                    <w:rPr>
                      <w:color w:val="000000"/>
                      <w:kern w:val="0"/>
                    </w:rPr>
                  </w:pPr>
                  <w:r>
                    <w:rPr>
                      <w:color w:val="000000"/>
                      <w:kern w:val="0"/>
                    </w:rPr>
                    <w:t xml:space="preserve">0.013 </w:t>
                  </w:r>
                </w:p>
              </w:tc>
              <w:tc>
                <w:tcPr>
                  <w:tcW w:w="780" w:type="dxa"/>
                  <w:tcBorders>
                    <w:top w:val="nil"/>
                    <w:left w:val="nil"/>
                    <w:bottom w:val="single" w:color="auto" w:sz="4" w:space="0"/>
                    <w:right w:val="single" w:color="auto" w:sz="4" w:space="0"/>
                  </w:tcBorders>
                  <w:shd w:val="clear" w:color="auto" w:fill="auto"/>
                  <w:vAlign w:val="center"/>
                </w:tcPr>
                <w:p w14:paraId="502B460E">
                  <w:pPr>
                    <w:widowControl/>
                    <w:jc w:val="center"/>
                    <w:rPr>
                      <w:color w:val="000000"/>
                      <w:kern w:val="0"/>
                    </w:rPr>
                  </w:pPr>
                  <w:r>
                    <w:rPr>
                      <w:color w:val="000000"/>
                      <w:kern w:val="0"/>
                    </w:rPr>
                    <w:t xml:space="preserve">0.007 </w:t>
                  </w:r>
                </w:p>
              </w:tc>
              <w:tc>
                <w:tcPr>
                  <w:tcW w:w="1060" w:type="dxa"/>
                  <w:tcBorders>
                    <w:top w:val="nil"/>
                    <w:left w:val="nil"/>
                    <w:bottom w:val="single" w:color="auto" w:sz="4" w:space="0"/>
                    <w:right w:val="single" w:color="auto" w:sz="4" w:space="0"/>
                  </w:tcBorders>
                  <w:shd w:val="clear" w:color="auto" w:fill="auto"/>
                  <w:vAlign w:val="center"/>
                </w:tcPr>
                <w:p w14:paraId="272B601B">
                  <w:pPr>
                    <w:widowControl/>
                    <w:jc w:val="center"/>
                    <w:rPr>
                      <w:b/>
                      <w:bCs/>
                      <w:color w:val="000000"/>
                      <w:kern w:val="0"/>
                    </w:rPr>
                  </w:pPr>
                  <w:r>
                    <w:rPr>
                      <w:b/>
                      <w:bCs/>
                      <w:color w:val="000000"/>
                      <w:kern w:val="0"/>
                    </w:rPr>
                    <w:t>0.145</w:t>
                  </w:r>
                </w:p>
              </w:tc>
            </w:tr>
            <w:tr w14:paraId="2DDC387F">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53F6DF5F">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40E41F45">
                  <w:pPr>
                    <w:widowControl/>
                    <w:jc w:val="center"/>
                    <w:rPr>
                      <w:b/>
                      <w:bCs/>
                      <w:color w:val="000000"/>
                      <w:kern w:val="0"/>
                    </w:rPr>
                  </w:pPr>
                  <w:r>
                    <w:rPr>
                      <w:b/>
                      <w:bCs/>
                      <w:color w:val="000000"/>
                      <w:kern w:val="0"/>
                    </w:rPr>
                    <w:t>小计</w:t>
                  </w:r>
                </w:p>
              </w:tc>
              <w:tc>
                <w:tcPr>
                  <w:tcW w:w="1060" w:type="dxa"/>
                  <w:tcBorders>
                    <w:top w:val="nil"/>
                    <w:left w:val="nil"/>
                    <w:bottom w:val="single" w:color="auto" w:sz="4" w:space="0"/>
                    <w:right w:val="single" w:color="auto" w:sz="4" w:space="0"/>
                  </w:tcBorders>
                  <w:shd w:val="clear" w:color="auto" w:fill="auto"/>
                  <w:vAlign w:val="center"/>
                </w:tcPr>
                <w:p w14:paraId="0A907927">
                  <w:pPr>
                    <w:widowControl/>
                    <w:jc w:val="center"/>
                    <w:rPr>
                      <w:b/>
                      <w:bCs/>
                      <w:color w:val="000000"/>
                      <w:kern w:val="0"/>
                    </w:rPr>
                  </w:pPr>
                  <w:r>
                    <w:rPr>
                      <w:b/>
                      <w:bCs/>
                      <w:color w:val="000000"/>
                      <w:kern w:val="0"/>
                    </w:rPr>
                    <w:t xml:space="preserve">0.081 </w:t>
                  </w:r>
                </w:p>
              </w:tc>
              <w:tc>
                <w:tcPr>
                  <w:tcW w:w="1200" w:type="dxa"/>
                  <w:tcBorders>
                    <w:top w:val="nil"/>
                    <w:left w:val="nil"/>
                    <w:bottom w:val="single" w:color="auto" w:sz="4" w:space="0"/>
                    <w:right w:val="single" w:color="auto" w:sz="4" w:space="0"/>
                  </w:tcBorders>
                  <w:shd w:val="clear" w:color="auto" w:fill="auto"/>
                  <w:vAlign w:val="center"/>
                </w:tcPr>
                <w:p w14:paraId="638493E6">
                  <w:pPr>
                    <w:widowControl/>
                    <w:jc w:val="center"/>
                    <w:rPr>
                      <w:b/>
                      <w:bCs/>
                      <w:color w:val="000000"/>
                      <w:kern w:val="0"/>
                    </w:rPr>
                  </w:pPr>
                  <w:r>
                    <w:rPr>
                      <w:b/>
                      <w:bCs/>
                      <w:color w:val="000000"/>
                      <w:kern w:val="0"/>
                    </w:rPr>
                    <w:t xml:space="preserve">0.029 </w:t>
                  </w:r>
                </w:p>
              </w:tc>
              <w:tc>
                <w:tcPr>
                  <w:tcW w:w="860" w:type="dxa"/>
                  <w:tcBorders>
                    <w:top w:val="nil"/>
                    <w:left w:val="nil"/>
                    <w:bottom w:val="single" w:color="auto" w:sz="4" w:space="0"/>
                    <w:right w:val="single" w:color="auto" w:sz="4" w:space="0"/>
                  </w:tcBorders>
                  <w:shd w:val="clear" w:color="auto" w:fill="auto"/>
                  <w:vAlign w:val="center"/>
                </w:tcPr>
                <w:p w14:paraId="702ACA60">
                  <w:pPr>
                    <w:widowControl/>
                    <w:jc w:val="center"/>
                    <w:rPr>
                      <w:b/>
                      <w:bCs/>
                      <w:color w:val="000000"/>
                      <w:kern w:val="0"/>
                    </w:rPr>
                  </w:pPr>
                  <w:r>
                    <w:rPr>
                      <w:b/>
                      <w:bCs/>
                      <w:color w:val="000000"/>
                      <w:kern w:val="0"/>
                    </w:rPr>
                    <w:t xml:space="preserve">0.015 </w:t>
                  </w:r>
                </w:p>
              </w:tc>
              <w:tc>
                <w:tcPr>
                  <w:tcW w:w="840" w:type="dxa"/>
                  <w:tcBorders>
                    <w:top w:val="nil"/>
                    <w:left w:val="nil"/>
                    <w:bottom w:val="single" w:color="auto" w:sz="4" w:space="0"/>
                    <w:right w:val="single" w:color="auto" w:sz="4" w:space="0"/>
                  </w:tcBorders>
                  <w:shd w:val="clear" w:color="auto" w:fill="auto"/>
                  <w:vAlign w:val="center"/>
                </w:tcPr>
                <w:p w14:paraId="34A2AD53">
                  <w:pPr>
                    <w:widowControl/>
                    <w:jc w:val="center"/>
                    <w:rPr>
                      <w:b/>
                      <w:bCs/>
                      <w:color w:val="000000"/>
                      <w:kern w:val="0"/>
                    </w:rPr>
                  </w:pPr>
                  <w:r>
                    <w:rPr>
                      <w:b/>
                      <w:bCs/>
                      <w:color w:val="000000"/>
                      <w:kern w:val="0"/>
                    </w:rPr>
                    <w:t xml:space="preserve">0.013 </w:t>
                  </w:r>
                </w:p>
              </w:tc>
              <w:tc>
                <w:tcPr>
                  <w:tcW w:w="780" w:type="dxa"/>
                  <w:tcBorders>
                    <w:top w:val="nil"/>
                    <w:left w:val="nil"/>
                    <w:bottom w:val="single" w:color="auto" w:sz="4" w:space="0"/>
                    <w:right w:val="single" w:color="auto" w:sz="4" w:space="0"/>
                  </w:tcBorders>
                  <w:shd w:val="clear" w:color="auto" w:fill="auto"/>
                  <w:vAlign w:val="center"/>
                </w:tcPr>
                <w:p w14:paraId="5FE02B15">
                  <w:pPr>
                    <w:widowControl/>
                    <w:jc w:val="center"/>
                    <w:rPr>
                      <w:b/>
                      <w:bCs/>
                      <w:color w:val="000000"/>
                      <w:kern w:val="0"/>
                    </w:rPr>
                  </w:pPr>
                  <w:r>
                    <w:rPr>
                      <w:b/>
                      <w:bCs/>
                      <w:color w:val="000000"/>
                      <w:kern w:val="0"/>
                    </w:rPr>
                    <w:t xml:space="preserve">0.007 </w:t>
                  </w:r>
                </w:p>
              </w:tc>
              <w:tc>
                <w:tcPr>
                  <w:tcW w:w="1060" w:type="dxa"/>
                  <w:tcBorders>
                    <w:top w:val="nil"/>
                    <w:left w:val="nil"/>
                    <w:bottom w:val="single" w:color="auto" w:sz="4" w:space="0"/>
                    <w:right w:val="single" w:color="auto" w:sz="4" w:space="0"/>
                  </w:tcBorders>
                  <w:shd w:val="clear" w:color="auto" w:fill="auto"/>
                  <w:vAlign w:val="center"/>
                </w:tcPr>
                <w:p w14:paraId="35E1ADFB">
                  <w:pPr>
                    <w:widowControl/>
                    <w:jc w:val="center"/>
                    <w:rPr>
                      <w:b/>
                      <w:bCs/>
                      <w:color w:val="000000"/>
                      <w:kern w:val="0"/>
                    </w:rPr>
                  </w:pPr>
                  <w:r>
                    <w:rPr>
                      <w:b/>
                      <w:bCs/>
                      <w:color w:val="000000"/>
                      <w:kern w:val="0"/>
                    </w:rPr>
                    <w:t>0.145</w:t>
                  </w:r>
                </w:p>
              </w:tc>
            </w:tr>
            <w:tr w14:paraId="2C72EA7C">
              <w:tblPrEx>
                <w:tblCellMar>
                  <w:top w:w="0" w:type="dxa"/>
                  <w:left w:w="108" w:type="dxa"/>
                  <w:bottom w:w="0" w:type="dxa"/>
                  <w:right w:w="108" w:type="dxa"/>
                </w:tblCellMar>
              </w:tblPrEx>
              <w:trPr>
                <w:trHeight w:val="20" w:hRule="atLeast"/>
              </w:trPr>
              <w:tc>
                <w:tcPr>
                  <w:tcW w:w="700" w:type="dxa"/>
                  <w:vMerge w:val="restart"/>
                  <w:tcBorders>
                    <w:top w:val="nil"/>
                    <w:left w:val="single" w:color="auto" w:sz="4" w:space="0"/>
                    <w:bottom w:val="single" w:color="auto" w:sz="4" w:space="0"/>
                    <w:right w:val="single" w:color="auto" w:sz="4" w:space="0"/>
                  </w:tcBorders>
                  <w:shd w:val="clear" w:color="auto" w:fill="auto"/>
                  <w:vAlign w:val="center"/>
                </w:tcPr>
                <w:p w14:paraId="74703075">
                  <w:pPr>
                    <w:widowControl/>
                    <w:jc w:val="center"/>
                    <w:rPr>
                      <w:color w:val="000000"/>
                      <w:kern w:val="0"/>
                    </w:rPr>
                  </w:pPr>
                  <w:r>
                    <w:rPr>
                      <w:color w:val="000000"/>
                      <w:kern w:val="0"/>
                    </w:rPr>
                    <w:t>临时占地</w:t>
                  </w:r>
                </w:p>
              </w:tc>
              <w:tc>
                <w:tcPr>
                  <w:tcW w:w="960" w:type="dxa"/>
                  <w:tcBorders>
                    <w:top w:val="nil"/>
                    <w:left w:val="nil"/>
                    <w:bottom w:val="single" w:color="auto" w:sz="4" w:space="0"/>
                    <w:right w:val="single" w:color="auto" w:sz="4" w:space="0"/>
                  </w:tcBorders>
                  <w:shd w:val="clear" w:color="auto" w:fill="auto"/>
                  <w:vAlign w:val="center"/>
                </w:tcPr>
                <w:p w14:paraId="0EFFEDEB">
                  <w:pPr>
                    <w:widowControl/>
                    <w:jc w:val="center"/>
                    <w:rPr>
                      <w:color w:val="000000"/>
                      <w:kern w:val="0"/>
                    </w:rPr>
                  </w:pPr>
                  <w:r>
                    <w:rPr>
                      <w:color w:val="000000"/>
                      <w:kern w:val="0"/>
                    </w:rPr>
                    <w:t>牵张场</w:t>
                  </w:r>
                </w:p>
              </w:tc>
              <w:tc>
                <w:tcPr>
                  <w:tcW w:w="1060" w:type="dxa"/>
                  <w:tcBorders>
                    <w:top w:val="nil"/>
                    <w:left w:val="nil"/>
                    <w:bottom w:val="single" w:color="auto" w:sz="4" w:space="0"/>
                    <w:right w:val="single" w:color="auto" w:sz="4" w:space="0"/>
                  </w:tcBorders>
                  <w:shd w:val="clear" w:color="auto" w:fill="auto"/>
                  <w:vAlign w:val="center"/>
                </w:tcPr>
                <w:p w14:paraId="0B571C21">
                  <w:pPr>
                    <w:widowControl/>
                    <w:jc w:val="center"/>
                    <w:rPr>
                      <w:color w:val="000000"/>
                      <w:kern w:val="0"/>
                    </w:rPr>
                  </w:pPr>
                  <w:r>
                    <w:rPr>
                      <w:color w:val="000000"/>
                      <w:kern w:val="0"/>
                    </w:rPr>
                    <w:t>0</w:t>
                  </w:r>
                </w:p>
              </w:tc>
              <w:tc>
                <w:tcPr>
                  <w:tcW w:w="1200" w:type="dxa"/>
                  <w:tcBorders>
                    <w:top w:val="nil"/>
                    <w:left w:val="nil"/>
                    <w:bottom w:val="single" w:color="auto" w:sz="4" w:space="0"/>
                    <w:right w:val="single" w:color="auto" w:sz="4" w:space="0"/>
                  </w:tcBorders>
                  <w:shd w:val="clear" w:color="auto" w:fill="auto"/>
                  <w:vAlign w:val="center"/>
                </w:tcPr>
                <w:p w14:paraId="27DEC39B">
                  <w:pPr>
                    <w:widowControl/>
                    <w:jc w:val="center"/>
                    <w:rPr>
                      <w:color w:val="000000"/>
                      <w:kern w:val="0"/>
                    </w:rPr>
                  </w:pPr>
                  <w:r>
                    <w:rPr>
                      <w:color w:val="000000"/>
                      <w:kern w:val="0"/>
                    </w:rPr>
                    <w:t>0.132</w:t>
                  </w:r>
                </w:p>
              </w:tc>
              <w:tc>
                <w:tcPr>
                  <w:tcW w:w="860" w:type="dxa"/>
                  <w:tcBorders>
                    <w:top w:val="nil"/>
                    <w:left w:val="nil"/>
                    <w:bottom w:val="single" w:color="auto" w:sz="4" w:space="0"/>
                    <w:right w:val="single" w:color="auto" w:sz="4" w:space="0"/>
                  </w:tcBorders>
                  <w:shd w:val="clear" w:color="auto" w:fill="auto"/>
                  <w:vAlign w:val="center"/>
                </w:tcPr>
                <w:p w14:paraId="2802CBD4">
                  <w:pPr>
                    <w:widowControl/>
                    <w:jc w:val="center"/>
                    <w:rPr>
                      <w:color w:val="000000"/>
                      <w:kern w:val="0"/>
                    </w:rPr>
                  </w:pPr>
                  <w:r>
                    <w:rPr>
                      <w:color w:val="000000"/>
                      <w:kern w:val="0"/>
                    </w:rPr>
                    <w:t>0.102</w:t>
                  </w:r>
                </w:p>
              </w:tc>
              <w:tc>
                <w:tcPr>
                  <w:tcW w:w="840" w:type="dxa"/>
                  <w:tcBorders>
                    <w:top w:val="nil"/>
                    <w:left w:val="nil"/>
                    <w:bottom w:val="single" w:color="auto" w:sz="4" w:space="0"/>
                    <w:right w:val="single" w:color="auto" w:sz="4" w:space="0"/>
                  </w:tcBorders>
                  <w:shd w:val="clear" w:color="auto" w:fill="auto"/>
                  <w:vAlign w:val="center"/>
                </w:tcPr>
                <w:p w14:paraId="0E52588A">
                  <w:pPr>
                    <w:widowControl/>
                    <w:jc w:val="center"/>
                    <w:rPr>
                      <w:color w:val="000000"/>
                      <w:kern w:val="0"/>
                    </w:rPr>
                  </w:pPr>
                  <w:r>
                    <w:rPr>
                      <w:color w:val="000000"/>
                      <w:kern w:val="0"/>
                    </w:rPr>
                    <w:t>0.066</w:t>
                  </w:r>
                </w:p>
              </w:tc>
              <w:tc>
                <w:tcPr>
                  <w:tcW w:w="780" w:type="dxa"/>
                  <w:tcBorders>
                    <w:top w:val="nil"/>
                    <w:left w:val="nil"/>
                    <w:bottom w:val="single" w:color="auto" w:sz="4" w:space="0"/>
                    <w:right w:val="single" w:color="auto" w:sz="4" w:space="0"/>
                  </w:tcBorders>
                  <w:shd w:val="clear" w:color="auto" w:fill="auto"/>
                  <w:vAlign w:val="center"/>
                </w:tcPr>
                <w:p w14:paraId="081B556B">
                  <w:pPr>
                    <w:widowControl/>
                    <w:jc w:val="center"/>
                    <w:rPr>
                      <w:color w:val="000000"/>
                      <w:kern w:val="0"/>
                    </w:rPr>
                  </w:pPr>
                  <w:r>
                    <w:rPr>
                      <w:color w:val="000000"/>
                      <w:kern w:val="0"/>
                    </w:rPr>
                    <w:t>0</w:t>
                  </w:r>
                </w:p>
              </w:tc>
              <w:tc>
                <w:tcPr>
                  <w:tcW w:w="1060" w:type="dxa"/>
                  <w:tcBorders>
                    <w:top w:val="nil"/>
                    <w:left w:val="nil"/>
                    <w:bottom w:val="single" w:color="auto" w:sz="4" w:space="0"/>
                    <w:right w:val="single" w:color="auto" w:sz="4" w:space="0"/>
                  </w:tcBorders>
                  <w:shd w:val="clear" w:color="auto" w:fill="auto"/>
                  <w:vAlign w:val="center"/>
                </w:tcPr>
                <w:p w14:paraId="1BA88E97">
                  <w:pPr>
                    <w:widowControl/>
                    <w:jc w:val="center"/>
                    <w:rPr>
                      <w:b/>
                      <w:bCs/>
                      <w:color w:val="000000"/>
                      <w:kern w:val="0"/>
                    </w:rPr>
                  </w:pPr>
                  <w:r>
                    <w:rPr>
                      <w:b/>
                      <w:bCs/>
                      <w:color w:val="000000"/>
                      <w:kern w:val="0"/>
                    </w:rPr>
                    <w:t>0.3</w:t>
                  </w:r>
                </w:p>
              </w:tc>
            </w:tr>
            <w:tr w14:paraId="344856F2">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4F9A504B">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6E071E64">
                  <w:pPr>
                    <w:widowControl/>
                    <w:jc w:val="center"/>
                    <w:rPr>
                      <w:color w:val="000000"/>
                      <w:kern w:val="0"/>
                    </w:rPr>
                  </w:pPr>
                  <w:r>
                    <w:rPr>
                      <w:color w:val="000000"/>
                      <w:kern w:val="0"/>
                    </w:rPr>
                    <w:t>临时便道区</w:t>
                  </w:r>
                </w:p>
              </w:tc>
              <w:tc>
                <w:tcPr>
                  <w:tcW w:w="1060" w:type="dxa"/>
                  <w:tcBorders>
                    <w:top w:val="nil"/>
                    <w:left w:val="nil"/>
                    <w:bottom w:val="single" w:color="auto" w:sz="4" w:space="0"/>
                    <w:right w:val="single" w:color="auto" w:sz="4" w:space="0"/>
                  </w:tcBorders>
                  <w:shd w:val="clear" w:color="auto" w:fill="auto"/>
                  <w:vAlign w:val="center"/>
                </w:tcPr>
                <w:p w14:paraId="2225D7AB">
                  <w:pPr>
                    <w:widowControl/>
                    <w:jc w:val="center"/>
                    <w:rPr>
                      <w:color w:val="000000"/>
                      <w:kern w:val="0"/>
                    </w:rPr>
                  </w:pPr>
                  <w:r>
                    <w:rPr>
                      <w:color w:val="000000"/>
                      <w:kern w:val="0"/>
                    </w:rPr>
                    <w:t>0.0571</w:t>
                  </w:r>
                </w:p>
              </w:tc>
              <w:tc>
                <w:tcPr>
                  <w:tcW w:w="1200" w:type="dxa"/>
                  <w:tcBorders>
                    <w:top w:val="nil"/>
                    <w:left w:val="nil"/>
                    <w:bottom w:val="single" w:color="auto" w:sz="4" w:space="0"/>
                    <w:right w:val="single" w:color="auto" w:sz="4" w:space="0"/>
                  </w:tcBorders>
                  <w:shd w:val="clear" w:color="auto" w:fill="auto"/>
                  <w:vAlign w:val="center"/>
                </w:tcPr>
                <w:p w14:paraId="20CF7FFC">
                  <w:pPr>
                    <w:widowControl/>
                    <w:jc w:val="center"/>
                    <w:rPr>
                      <w:color w:val="000000"/>
                      <w:kern w:val="0"/>
                    </w:rPr>
                  </w:pPr>
                  <w:r>
                    <w:rPr>
                      <w:color w:val="000000"/>
                      <w:kern w:val="0"/>
                    </w:rPr>
                    <w:t>0.0086</w:t>
                  </w:r>
                </w:p>
              </w:tc>
              <w:tc>
                <w:tcPr>
                  <w:tcW w:w="860" w:type="dxa"/>
                  <w:tcBorders>
                    <w:top w:val="nil"/>
                    <w:left w:val="nil"/>
                    <w:bottom w:val="single" w:color="auto" w:sz="4" w:space="0"/>
                    <w:right w:val="single" w:color="auto" w:sz="4" w:space="0"/>
                  </w:tcBorders>
                  <w:shd w:val="clear" w:color="auto" w:fill="auto"/>
                  <w:vAlign w:val="center"/>
                </w:tcPr>
                <w:p w14:paraId="536D9740">
                  <w:pPr>
                    <w:widowControl/>
                    <w:jc w:val="center"/>
                    <w:rPr>
                      <w:color w:val="000000"/>
                      <w:kern w:val="0"/>
                    </w:rPr>
                  </w:pPr>
                  <w:r>
                    <w:rPr>
                      <w:color w:val="000000"/>
                      <w:kern w:val="0"/>
                    </w:rPr>
                    <w:t>0.0132</w:t>
                  </w:r>
                </w:p>
              </w:tc>
              <w:tc>
                <w:tcPr>
                  <w:tcW w:w="840" w:type="dxa"/>
                  <w:tcBorders>
                    <w:top w:val="nil"/>
                    <w:left w:val="nil"/>
                    <w:bottom w:val="single" w:color="auto" w:sz="4" w:space="0"/>
                    <w:right w:val="single" w:color="auto" w:sz="4" w:space="0"/>
                  </w:tcBorders>
                  <w:shd w:val="clear" w:color="auto" w:fill="auto"/>
                  <w:vAlign w:val="center"/>
                </w:tcPr>
                <w:p w14:paraId="2E504EA3">
                  <w:pPr>
                    <w:widowControl/>
                    <w:jc w:val="center"/>
                    <w:rPr>
                      <w:color w:val="000000"/>
                      <w:kern w:val="0"/>
                    </w:rPr>
                  </w:pPr>
                  <w:r>
                    <w:rPr>
                      <w:color w:val="000000"/>
                      <w:kern w:val="0"/>
                    </w:rPr>
                    <w:t>0.0152</w:t>
                  </w:r>
                </w:p>
              </w:tc>
              <w:tc>
                <w:tcPr>
                  <w:tcW w:w="780" w:type="dxa"/>
                  <w:tcBorders>
                    <w:top w:val="nil"/>
                    <w:left w:val="nil"/>
                    <w:bottom w:val="single" w:color="auto" w:sz="4" w:space="0"/>
                    <w:right w:val="single" w:color="auto" w:sz="4" w:space="0"/>
                  </w:tcBorders>
                  <w:shd w:val="clear" w:color="auto" w:fill="auto"/>
                  <w:vAlign w:val="center"/>
                </w:tcPr>
                <w:p w14:paraId="59E59BA1">
                  <w:pPr>
                    <w:widowControl/>
                    <w:jc w:val="center"/>
                    <w:rPr>
                      <w:color w:val="000000"/>
                      <w:kern w:val="0"/>
                    </w:rPr>
                  </w:pPr>
                  <w:r>
                    <w:rPr>
                      <w:color w:val="000000"/>
                      <w:kern w:val="0"/>
                    </w:rPr>
                    <w:t>0.01</w:t>
                  </w:r>
                </w:p>
              </w:tc>
              <w:tc>
                <w:tcPr>
                  <w:tcW w:w="1060" w:type="dxa"/>
                  <w:tcBorders>
                    <w:top w:val="nil"/>
                    <w:left w:val="nil"/>
                    <w:bottom w:val="single" w:color="auto" w:sz="4" w:space="0"/>
                    <w:right w:val="single" w:color="auto" w:sz="4" w:space="0"/>
                  </w:tcBorders>
                  <w:shd w:val="clear" w:color="auto" w:fill="auto"/>
                  <w:vAlign w:val="center"/>
                </w:tcPr>
                <w:p w14:paraId="58905637">
                  <w:pPr>
                    <w:widowControl/>
                    <w:jc w:val="center"/>
                    <w:rPr>
                      <w:b/>
                      <w:bCs/>
                      <w:color w:val="000000"/>
                      <w:kern w:val="0"/>
                    </w:rPr>
                  </w:pPr>
                  <w:r>
                    <w:rPr>
                      <w:b/>
                      <w:bCs/>
                      <w:color w:val="000000"/>
                      <w:kern w:val="0"/>
                    </w:rPr>
                    <w:t>0.1036</w:t>
                  </w:r>
                </w:p>
              </w:tc>
            </w:tr>
            <w:tr w14:paraId="11CBE759">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563C4905">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61CA2D1D">
                  <w:pPr>
                    <w:widowControl/>
                    <w:jc w:val="center"/>
                    <w:rPr>
                      <w:color w:val="000000"/>
                      <w:kern w:val="0"/>
                    </w:rPr>
                  </w:pPr>
                  <w:r>
                    <w:rPr>
                      <w:color w:val="000000"/>
                      <w:kern w:val="0"/>
                    </w:rPr>
                    <w:t>塔基临时施工场地</w:t>
                  </w:r>
                </w:p>
              </w:tc>
              <w:tc>
                <w:tcPr>
                  <w:tcW w:w="1060" w:type="dxa"/>
                  <w:tcBorders>
                    <w:top w:val="nil"/>
                    <w:left w:val="nil"/>
                    <w:bottom w:val="single" w:color="auto" w:sz="4" w:space="0"/>
                    <w:right w:val="single" w:color="auto" w:sz="4" w:space="0"/>
                  </w:tcBorders>
                  <w:shd w:val="clear" w:color="auto" w:fill="auto"/>
                  <w:vAlign w:val="center"/>
                </w:tcPr>
                <w:p w14:paraId="2431ABBF">
                  <w:pPr>
                    <w:widowControl/>
                    <w:jc w:val="center"/>
                    <w:rPr>
                      <w:color w:val="000000"/>
                      <w:kern w:val="0"/>
                    </w:rPr>
                  </w:pPr>
                  <w:r>
                    <w:rPr>
                      <w:color w:val="000000"/>
                      <w:kern w:val="0"/>
                    </w:rPr>
                    <w:t xml:space="preserve">0.076 </w:t>
                  </w:r>
                </w:p>
              </w:tc>
              <w:tc>
                <w:tcPr>
                  <w:tcW w:w="1200" w:type="dxa"/>
                  <w:tcBorders>
                    <w:top w:val="nil"/>
                    <w:left w:val="nil"/>
                    <w:bottom w:val="single" w:color="auto" w:sz="4" w:space="0"/>
                    <w:right w:val="single" w:color="auto" w:sz="4" w:space="0"/>
                  </w:tcBorders>
                  <w:shd w:val="clear" w:color="auto" w:fill="auto"/>
                  <w:vAlign w:val="center"/>
                </w:tcPr>
                <w:p w14:paraId="20967BAE">
                  <w:pPr>
                    <w:widowControl/>
                    <w:jc w:val="center"/>
                    <w:rPr>
                      <w:color w:val="000000"/>
                      <w:kern w:val="0"/>
                    </w:rPr>
                  </w:pPr>
                  <w:r>
                    <w:rPr>
                      <w:color w:val="000000"/>
                      <w:kern w:val="0"/>
                    </w:rPr>
                    <w:t xml:space="preserve">0.026 </w:t>
                  </w:r>
                </w:p>
              </w:tc>
              <w:tc>
                <w:tcPr>
                  <w:tcW w:w="860" w:type="dxa"/>
                  <w:tcBorders>
                    <w:top w:val="nil"/>
                    <w:left w:val="nil"/>
                    <w:bottom w:val="single" w:color="auto" w:sz="4" w:space="0"/>
                    <w:right w:val="single" w:color="auto" w:sz="4" w:space="0"/>
                  </w:tcBorders>
                  <w:shd w:val="clear" w:color="auto" w:fill="auto"/>
                  <w:vAlign w:val="center"/>
                </w:tcPr>
                <w:p w14:paraId="48138C04">
                  <w:pPr>
                    <w:widowControl/>
                    <w:jc w:val="center"/>
                    <w:rPr>
                      <w:color w:val="000000"/>
                      <w:kern w:val="0"/>
                    </w:rPr>
                  </w:pPr>
                  <w:r>
                    <w:rPr>
                      <w:color w:val="000000"/>
                      <w:kern w:val="0"/>
                    </w:rPr>
                    <w:t xml:space="preserve">0.017 </w:t>
                  </w:r>
                </w:p>
              </w:tc>
              <w:tc>
                <w:tcPr>
                  <w:tcW w:w="840" w:type="dxa"/>
                  <w:tcBorders>
                    <w:top w:val="nil"/>
                    <w:left w:val="nil"/>
                    <w:bottom w:val="single" w:color="auto" w:sz="4" w:space="0"/>
                    <w:right w:val="single" w:color="auto" w:sz="4" w:space="0"/>
                  </w:tcBorders>
                  <w:shd w:val="clear" w:color="auto" w:fill="auto"/>
                  <w:vAlign w:val="center"/>
                </w:tcPr>
                <w:p w14:paraId="30EF4C12">
                  <w:pPr>
                    <w:widowControl/>
                    <w:jc w:val="center"/>
                    <w:rPr>
                      <w:color w:val="000000"/>
                      <w:kern w:val="0"/>
                    </w:rPr>
                  </w:pPr>
                  <w:r>
                    <w:rPr>
                      <w:color w:val="000000"/>
                      <w:kern w:val="0"/>
                    </w:rPr>
                    <w:t xml:space="preserve">0.011 </w:t>
                  </w:r>
                </w:p>
              </w:tc>
              <w:tc>
                <w:tcPr>
                  <w:tcW w:w="780" w:type="dxa"/>
                  <w:tcBorders>
                    <w:top w:val="nil"/>
                    <w:left w:val="nil"/>
                    <w:bottom w:val="single" w:color="auto" w:sz="4" w:space="0"/>
                    <w:right w:val="single" w:color="auto" w:sz="4" w:space="0"/>
                  </w:tcBorders>
                  <w:shd w:val="clear" w:color="auto" w:fill="auto"/>
                  <w:vAlign w:val="center"/>
                </w:tcPr>
                <w:p w14:paraId="6746277A">
                  <w:pPr>
                    <w:widowControl/>
                    <w:jc w:val="center"/>
                    <w:rPr>
                      <w:color w:val="000000"/>
                      <w:kern w:val="0"/>
                    </w:rPr>
                  </w:pPr>
                  <w:r>
                    <w:rPr>
                      <w:color w:val="000000"/>
                      <w:kern w:val="0"/>
                    </w:rPr>
                    <w:t xml:space="preserve">0.005 </w:t>
                  </w:r>
                </w:p>
              </w:tc>
              <w:tc>
                <w:tcPr>
                  <w:tcW w:w="1060" w:type="dxa"/>
                  <w:tcBorders>
                    <w:top w:val="nil"/>
                    <w:left w:val="nil"/>
                    <w:bottom w:val="single" w:color="auto" w:sz="4" w:space="0"/>
                    <w:right w:val="single" w:color="auto" w:sz="4" w:space="0"/>
                  </w:tcBorders>
                  <w:shd w:val="clear" w:color="auto" w:fill="auto"/>
                  <w:vAlign w:val="center"/>
                </w:tcPr>
                <w:p w14:paraId="09656477">
                  <w:pPr>
                    <w:widowControl/>
                    <w:jc w:val="center"/>
                    <w:rPr>
                      <w:b/>
                      <w:bCs/>
                      <w:color w:val="000000"/>
                      <w:kern w:val="0"/>
                    </w:rPr>
                  </w:pPr>
                  <w:r>
                    <w:rPr>
                      <w:b/>
                      <w:bCs/>
                      <w:color w:val="000000"/>
                      <w:kern w:val="0"/>
                    </w:rPr>
                    <w:t>0.135</w:t>
                  </w:r>
                </w:p>
              </w:tc>
            </w:tr>
            <w:tr w14:paraId="1E26FC91">
              <w:tblPrEx>
                <w:tblCellMar>
                  <w:top w:w="0" w:type="dxa"/>
                  <w:left w:w="108" w:type="dxa"/>
                  <w:bottom w:w="0" w:type="dxa"/>
                  <w:right w:w="108" w:type="dxa"/>
                </w:tblCellMar>
              </w:tblPrEx>
              <w:trPr>
                <w:trHeight w:val="20" w:hRule="atLeast"/>
              </w:trPr>
              <w:tc>
                <w:tcPr>
                  <w:tcW w:w="700" w:type="dxa"/>
                  <w:vMerge w:val="continue"/>
                  <w:tcBorders>
                    <w:top w:val="nil"/>
                    <w:left w:val="single" w:color="auto" w:sz="4" w:space="0"/>
                    <w:bottom w:val="single" w:color="auto" w:sz="4" w:space="0"/>
                    <w:right w:val="single" w:color="auto" w:sz="4" w:space="0"/>
                  </w:tcBorders>
                  <w:vAlign w:val="center"/>
                </w:tcPr>
                <w:p w14:paraId="56770B0F">
                  <w:pPr>
                    <w:widowControl/>
                    <w:jc w:val="left"/>
                    <w:rPr>
                      <w:color w:val="000000"/>
                      <w:kern w:val="0"/>
                    </w:rPr>
                  </w:pPr>
                </w:p>
              </w:tc>
              <w:tc>
                <w:tcPr>
                  <w:tcW w:w="960" w:type="dxa"/>
                  <w:tcBorders>
                    <w:top w:val="nil"/>
                    <w:left w:val="nil"/>
                    <w:bottom w:val="single" w:color="auto" w:sz="4" w:space="0"/>
                    <w:right w:val="single" w:color="auto" w:sz="4" w:space="0"/>
                  </w:tcBorders>
                  <w:shd w:val="clear" w:color="auto" w:fill="auto"/>
                  <w:vAlign w:val="center"/>
                </w:tcPr>
                <w:p w14:paraId="2FF03476">
                  <w:pPr>
                    <w:widowControl/>
                    <w:jc w:val="center"/>
                    <w:rPr>
                      <w:b/>
                      <w:bCs/>
                      <w:color w:val="000000"/>
                      <w:kern w:val="0"/>
                    </w:rPr>
                  </w:pPr>
                  <w:r>
                    <w:rPr>
                      <w:b/>
                      <w:bCs/>
                      <w:color w:val="000000"/>
                      <w:kern w:val="0"/>
                    </w:rPr>
                    <w:t>小计</w:t>
                  </w:r>
                </w:p>
              </w:tc>
              <w:tc>
                <w:tcPr>
                  <w:tcW w:w="1060" w:type="dxa"/>
                  <w:tcBorders>
                    <w:top w:val="nil"/>
                    <w:left w:val="nil"/>
                    <w:bottom w:val="single" w:color="auto" w:sz="4" w:space="0"/>
                    <w:right w:val="single" w:color="auto" w:sz="4" w:space="0"/>
                  </w:tcBorders>
                  <w:shd w:val="clear" w:color="auto" w:fill="auto"/>
                  <w:vAlign w:val="center"/>
                </w:tcPr>
                <w:p w14:paraId="2D196FEE">
                  <w:pPr>
                    <w:widowControl/>
                    <w:jc w:val="center"/>
                    <w:rPr>
                      <w:b/>
                      <w:bCs/>
                      <w:color w:val="000000"/>
                      <w:kern w:val="0"/>
                    </w:rPr>
                  </w:pPr>
                  <w:r>
                    <w:rPr>
                      <w:b/>
                      <w:bCs/>
                      <w:color w:val="000000"/>
                      <w:kern w:val="0"/>
                    </w:rPr>
                    <w:t xml:space="preserve">0.1331 </w:t>
                  </w:r>
                </w:p>
              </w:tc>
              <w:tc>
                <w:tcPr>
                  <w:tcW w:w="1200" w:type="dxa"/>
                  <w:tcBorders>
                    <w:top w:val="nil"/>
                    <w:left w:val="nil"/>
                    <w:bottom w:val="single" w:color="auto" w:sz="4" w:space="0"/>
                    <w:right w:val="single" w:color="auto" w:sz="4" w:space="0"/>
                  </w:tcBorders>
                  <w:shd w:val="clear" w:color="auto" w:fill="auto"/>
                  <w:vAlign w:val="center"/>
                </w:tcPr>
                <w:p w14:paraId="43E7C7DD">
                  <w:pPr>
                    <w:widowControl/>
                    <w:jc w:val="center"/>
                    <w:rPr>
                      <w:b/>
                      <w:bCs/>
                      <w:color w:val="000000"/>
                      <w:kern w:val="0"/>
                    </w:rPr>
                  </w:pPr>
                  <w:r>
                    <w:rPr>
                      <w:b/>
                      <w:bCs/>
                      <w:color w:val="000000"/>
                      <w:kern w:val="0"/>
                    </w:rPr>
                    <w:t xml:space="preserve">0.1666 </w:t>
                  </w:r>
                </w:p>
              </w:tc>
              <w:tc>
                <w:tcPr>
                  <w:tcW w:w="860" w:type="dxa"/>
                  <w:tcBorders>
                    <w:top w:val="nil"/>
                    <w:left w:val="nil"/>
                    <w:bottom w:val="single" w:color="auto" w:sz="4" w:space="0"/>
                    <w:right w:val="single" w:color="auto" w:sz="4" w:space="0"/>
                  </w:tcBorders>
                  <w:shd w:val="clear" w:color="auto" w:fill="auto"/>
                  <w:vAlign w:val="center"/>
                </w:tcPr>
                <w:p w14:paraId="2DEB5149">
                  <w:pPr>
                    <w:widowControl/>
                    <w:jc w:val="center"/>
                    <w:rPr>
                      <w:b/>
                      <w:bCs/>
                      <w:color w:val="000000"/>
                      <w:kern w:val="0"/>
                    </w:rPr>
                  </w:pPr>
                  <w:r>
                    <w:rPr>
                      <w:b/>
                      <w:bCs/>
                      <w:color w:val="000000"/>
                      <w:kern w:val="0"/>
                    </w:rPr>
                    <w:t xml:space="preserve">0.1322 </w:t>
                  </w:r>
                </w:p>
              </w:tc>
              <w:tc>
                <w:tcPr>
                  <w:tcW w:w="840" w:type="dxa"/>
                  <w:tcBorders>
                    <w:top w:val="nil"/>
                    <w:left w:val="nil"/>
                    <w:bottom w:val="single" w:color="auto" w:sz="4" w:space="0"/>
                    <w:right w:val="single" w:color="auto" w:sz="4" w:space="0"/>
                  </w:tcBorders>
                  <w:shd w:val="clear" w:color="auto" w:fill="auto"/>
                  <w:vAlign w:val="center"/>
                </w:tcPr>
                <w:p w14:paraId="379A3BDB">
                  <w:pPr>
                    <w:widowControl/>
                    <w:jc w:val="center"/>
                    <w:rPr>
                      <w:b/>
                      <w:bCs/>
                      <w:color w:val="000000"/>
                      <w:kern w:val="0"/>
                    </w:rPr>
                  </w:pPr>
                  <w:r>
                    <w:rPr>
                      <w:b/>
                      <w:bCs/>
                      <w:color w:val="000000"/>
                      <w:kern w:val="0"/>
                    </w:rPr>
                    <w:t xml:space="preserve">0.0922 </w:t>
                  </w:r>
                </w:p>
              </w:tc>
              <w:tc>
                <w:tcPr>
                  <w:tcW w:w="780" w:type="dxa"/>
                  <w:tcBorders>
                    <w:top w:val="nil"/>
                    <w:left w:val="nil"/>
                    <w:bottom w:val="single" w:color="auto" w:sz="4" w:space="0"/>
                    <w:right w:val="single" w:color="auto" w:sz="4" w:space="0"/>
                  </w:tcBorders>
                  <w:shd w:val="clear" w:color="auto" w:fill="auto"/>
                  <w:vAlign w:val="center"/>
                </w:tcPr>
                <w:p w14:paraId="32F70E56">
                  <w:pPr>
                    <w:widowControl/>
                    <w:jc w:val="center"/>
                    <w:rPr>
                      <w:b/>
                      <w:bCs/>
                      <w:color w:val="000000"/>
                      <w:kern w:val="0"/>
                    </w:rPr>
                  </w:pPr>
                  <w:r>
                    <w:rPr>
                      <w:b/>
                      <w:bCs/>
                      <w:color w:val="000000"/>
                      <w:kern w:val="0"/>
                    </w:rPr>
                    <w:t xml:space="preserve">0.0145 </w:t>
                  </w:r>
                </w:p>
              </w:tc>
              <w:tc>
                <w:tcPr>
                  <w:tcW w:w="1060" w:type="dxa"/>
                  <w:tcBorders>
                    <w:top w:val="nil"/>
                    <w:left w:val="nil"/>
                    <w:bottom w:val="single" w:color="auto" w:sz="4" w:space="0"/>
                    <w:right w:val="single" w:color="auto" w:sz="4" w:space="0"/>
                  </w:tcBorders>
                  <w:shd w:val="clear" w:color="auto" w:fill="auto"/>
                  <w:vAlign w:val="center"/>
                </w:tcPr>
                <w:p w14:paraId="4AEDC18C">
                  <w:pPr>
                    <w:widowControl/>
                    <w:jc w:val="center"/>
                    <w:rPr>
                      <w:b/>
                      <w:bCs/>
                      <w:color w:val="000000"/>
                      <w:kern w:val="0"/>
                    </w:rPr>
                  </w:pPr>
                  <w:r>
                    <w:rPr>
                      <w:b/>
                      <w:bCs/>
                      <w:color w:val="000000"/>
                      <w:kern w:val="0"/>
                    </w:rPr>
                    <w:t>0.5386</w:t>
                  </w:r>
                </w:p>
              </w:tc>
            </w:tr>
            <w:tr w14:paraId="44C36EFB">
              <w:tblPrEx>
                <w:tblCellMar>
                  <w:top w:w="0" w:type="dxa"/>
                  <w:left w:w="108" w:type="dxa"/>
                  <w:bottom w:w="0" w:type="dxa"/>
                  <w:right w:w="108" w:type="dxa"/>
                </w:tblCellMar>
              </w:tblPrEx>
              <w:trPr>
                <w:trHeight w:val="20" w:hRule="atLeast"/>
              </w:trPr>
              <w:tc>
                <w:tcPr>
                  <w:tcW w:w="16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B3FEF2">
                  <w:pPr>
                    <w:widowControl/>
                    <w:jc w:val="center"/>
                    <w:rPr>
                      <w:b/>
                      <w:bCs/>
                      <w:color w:val="000000"/>
                      <w:kern w:val="0"/>
                    </w:rPr>
                  </w:pPr>
                  <w:r>
                    <w:rPr>
                      <w:b/>
                      <w:bCs/>
                      <w:color w:val="000000"/>
                      <w:kern w:val="0"/>
                    </w:rPr>
                    <w:t>总计</w:t>
                  </w:r>
                </w:p>
              </w:tc>
              <w:tc>
                <w:tcPr>
                  <w:tcW w:w="1060" w:type="dxa"/>
                  <w:tcBorders>
                    <w:top w:val="nil"/>
                    <w:left w:val="nil"/>
                    <w:bottom w:val="single" w:color="auto" w:sz="4" w:space="0"/>
                    <w:right w:val="single" w:color="auto" w:sz="4" w:space="0"/>
                  </w:tcBorders>
                  <w:shd w:val="clear" w:color="auto" w:fill="auto"/>
                  <w:vAlign w:val="center"/>
                </w:tcPr>
                <w:p w14:paraId="0C487391">
                  <w:pPr>
                    <w:widowControl/>
                    <w:jc w:val="center"/>
                    <w:rPr>
                      <w:b/>
                      <w:bCs/>
                      <w:color w:val="000000"/>
                      <w:kern w:val="0"/>
                    </w:rPr>
                  </w:pPr>
                  <w:r>
                    <w:rPr>
                      <w:b/>
                      <w:bCs/>
                      <w:color w:val="000000"/>
                      <w:kern w:val="0"/>
                    </w:rPr>
                    <w:t xml:space="preserve">0.2141 </w:t>
                  </w:r>
                </w:p>
              </w:tc>
              <w:tc>
                <w:tcPr>
                  <w:tcW w:w="1200" w:type="dxa"/>
                  <w:tcBorders>
                    <w:top w:val="nil"/>
                    <w:left w:val="nil"/>
                    <w:bottom w:val="single" w:color="auto" w:sz="4" w:space="0"/>
                    <w:right w:val="single" w:color="auto" w:sz="4" w:space="0"/>
                  </w:tcBorders>
                  <w:shd w:val="clear" w:color="auto" w:fill="auto"/>
                  <w:vAlign w:val="center"/>
                </w:tcPr>
                <w:p w14:paraId="5286397F">
                  <w:pPr>
                    <w:widowControl/>
                    <w:jc w:val="center"/>
                    <w:rPr>
                      <w:b/>
                      <w:bCs/>
                      <w:color w:val="000000"/>
                      <w:kern w:val="0"/>
                    </w:rPr>
                  </w:pPr>
                  <w:r>
                    <w:rPr>
                      <w:b/>
                      <w:bCs/>
                      <w:color w:val="000000"/>
                      <w:kern w:val="0"/>
                    </w:rPr>
                    <w:t xml:space="preserve">0.1956 </w:t>
                  </w:r>
                </w:p>
              </w:tc>
              <w:tc>
                <w:tcPr>
                  <w:tcW w:w="860" w:type="dxa"/>
                  <w:tcBorders>
                    <w:top w:val="nil"/>
                    <w:left w:val="nil"/>
                    <w:bottom w:val="single" w:color="auto" w:sz="4" w:space="0"/>
                    <w:right w:val="single" w:color="auto" w:sz="4" w:space="0"/>
                  </w:tcBorders>
                  <w:shd w:val="clear" w:color="auto" w:fill="auto"/>
                  <w:vAlign w:val="center"/>
                </w:tcPr>
                <w:p w14:paraId="0258A358">
                  <w:pPr>
                    <w:widowControl/>
                    <w:jc w:val="center"/>
                    <w:rPr>
                      <w:b/>
                      <w:bCs/>
                      <w:color w:val="000000"/>
                      <w:kern w:val="0"/>
                    </w:rPr>
                  </w:pPr>
                  <w:r>
                    <w:rPr>
                      <w:b/>
                      <w:bCs/>
                      <w:color w:val="000000"/>
                      <w:kern w:val="0"/>
                    </w:rPr>
                    <w:t xml:space="preserve">0.1472 </w:t>
                  </w:r>
                </w:p>
              </w:tc>
              <w:tc>
                <w:tcPr>
                  <w:tcW w:w="840" w:type="dxa"/>
                  <w:tcBorders>
                    <w:top w:val="nil"/>
                    <w:left w:val="nil"/>
                    <w:bottom w:val="single" w:color="auto" w:sz="4" w:space="0"/>
                    <w:right w:val="single" w:color="auto" w:sz="4" w:space="0"/>
                  </w:tcBorders>
                  <w:shd w:val="clear" w:color="auto" w:fill="auto"/>
                  <w:vAlign w:val="center"/>
                </w:tcPr>
                <w:p w14:paraId="1D7F1128">
                  <w:pPr>
                    <w:widowControl/>
                    <w:jc w:val="center"/>
                    <w:rPr>
                      <w:b/>
                      <w:bCs/>
                      <w:color w:val="000000"/>
                      <w:kern w:val="0"/>
                    </w:rPr>
                  </w:pPr>
                  <w:r>
                    <w:rPr>
                      <w:b/>
                      <w:bCs/>
                      <w:color w:val="000000"/>
                      <w:kern w:val="0"/>
                    </w:rPr>
                    <w:t xml:space="preserve">0.1052 </w:t>
                  </w:r>
                </w:p>
              </w:tc>
              <w:tc>
                <w:tcPr>
                  <w:tcW w:w="780" w:type="dxa"/>
                  <w:tcBorders>
                    <w:top w:val="nil"/>
                    <w:left w:val="nil"/>
                    <w:bottom w:val="single" w:color="auto" w:sz="4" w:space="0"/>
                    <w:right w:val="single" w:color="auto" w:sz="4" w:space="0"/>
                  </w:tcBorders>
                  <w:shd w:val="clear" w:color="auto" w:fill="auto"/>
                  <w:vAlign w:val="center"/>
                </w:tcPr>
                <w:p w14:paraId="2EC1E920">
                  <w:pPr>
                    <w:widowControl/>
                    <w:jc w:val="center"/>
                    <w:rPr>
                      <w:b/>
                      <w:bCs/>
                      <w:color w:val="000000"/>
                      <w:kern w:val="0"/>
                    </w:rPr>
                  </w:pPr>
                  <w:r>
                    <w:rPr>
                      <w:b/>
                      <w:bCs/>
                      <w:color w:val="000000"/>
                      <w:kern w:val="0"/>
                    </w:rPr>
                    <w:t xml:space="preserve">0.0215 </w:t>
                  </w:r>
                </w:p>
              </w:tc>
              <w:tc>
                <w:tcPr>
                  <w:tcW w:w="1060" w:type="dxa"/>
                  <w:tcBorders>
                    <w:top w:val="nil"/>
                    <w:left w:val="nil"/>
                    <w:bottom w:val="single" w:color="auto" w:sz="4" w:space="0"/>
                    <w:right w:val="single" w:color="auto" w:sz="4" w:space="0"/>
                  </w:tcBorders>
                  <w:shd w:val="clear" w:color="auto" w:fill="auto"/>
                  <w:vAlign w:val="center"/>
                </w:tcPr>
                <w:p w14:paraId="601946F1">
                  <w:pPr>
                    <w:widowControl/>
                    <w:jc w:val="center"/>
                    <w:rPr>
                      <w:b/>
                      <w:bCs/>
                      <w:color w:val="000000"/>
                      <w:kern w:val="0"/>
                    </w:rPr>
                  </w:pPr>
                  <w:r>
                    <w:rPr>
                      <w:b/>
                      <w:bCs/>
                      <w:color w:val="000000"/>
                      <w:kern w:val="0"/>
                    </w:rPr>
                    <w:t>0.6836</w:t>
                  </w:r>
                </w:p>
              </w:tc>
            </w:tr>
          </w:tbl>
          <w:p w14:paraId="16AF994C">
            <w:pPr>
              <w:pStyle w:val="28"/>
              <w:spacing w:after="0" w:line="360" w:lineRule="auto"/>
              <w:ind w:left="0" w:leftChars="0" w:firstLine="482" w:firstLineChars="200"/>
              <w:rPr>
                <w:b/>
                <w:bCs/>
                <w:sz w:val="24"/>
              </w:rPr>
            </w:pPr>
            <w:r>
              <w:rPr>
                <w:b/>
                <w:bCs/>
                <w:sz w:val="24"/>
              </w:rPr>
              <w:t>2</w:t>
            </w:r>
            <w:r>
              <w:rPr>
                <w:rFonts w:hint="eastAsia"/>
                <w:b/>
                <w:bCs/>
                <w:sz w:val="24"/>
              </w:rPr>
              <w:t>、项目区植被现状</w:t>
            </w:r>
          </w:p>
          <w:p w14:paraId="412A9923">
            <w:pPr>
              <w:pStyle w:val="28"/>
              <w:spacing w:after="0" w:line="360" w:lineRule="auto"/>
              <w:ind w:left="0" w:leftChars="0" w:firstLine="480" w:firstLineChars="200"/>
              <w:rPr>
                <w:sz w:val="24"/>
              </w:rPr>
            </w:pPr>
            <w:r>
              <w:rPr>
                <w:rFonts w:hint="eastAsia"/>
                <w:sz w:val="24"/>
              </w:rPr>
              <w:t>（1）植被分类原则及系统</w:t>
            </w:r>
          </w:p>
          <w:p w14:paraId="79B02A0B">
            <w:pPr>
              <w:pStyle w:val="28"/>
              <w:spacing w:after="0" w:line="360" w:lineRule="auto"/>
              <w:ind w:left="0" w:leftChars="0" w:firstLine="480" w:firstLineChars="200"/>
              <w:rPr>
                <w:sz w:val="24"/>
              </w:rPr>
            </w:pPr>
            <w:r>
              <w:rPr>
                <w:rFonts w:hint="eastAsia"/>
                <w:sz w:val="24"/>
              </w:rPr>
              <w:t>依据《中国植被》《云南植被》和《云南森林》等重要植被专著中采用的分类系统，遵循群落学－生态学的分类原则，采用3个主级分类单位，即植被型（高级分类单位）、群系（中级分类单位）和群丛（低级分类单位），各级再设亚级或辅助单位。</w:t>
            </w:r>
          </w:p>
          <w:p w14:paraId="7649DF94">
            <w:pPr>
              <w:pStyle w:val="28"/>
              <w:spacing w:after="0" w:line="360" w:lineRule="auto"/>
              <w:ind w:left="0" w:leftChars="0" w:firstLine="480" w:firstLineChars="200"/>
              <w:rPr>
                <w:sz w:val="24"/>
              </w:rPr>
            </w:pPr>
            <w:r>
              <w:rPr>
                <w:rFonts w:hint="eastAsia"/>
                <w:sz w:val="24"/>
              </w:rPr>
              <w:t>（2）评价区植被分类</w:t>
            </w:r>
          </w:p>
          <w:p w14:paraId="6CEADD8C">
            <w:pPr>
              <w:pStyle w:val="28"/>
              <w:spacing w:after="0" w:line="360" w:lineRule="auto"/>
              <w:ind w:left="0" w:leftChars="0" w:firstLine="480" w:firstLineChars="200"/>
              <w:rPr>
                <w:sz w:val="24"/>
              </w:rPr>
            </w:pPr>
            <w:r>
              <w:rPr>
                <w:rFonts w:hint="eastAsia"/>
                <w:sz w:val="24"/>
              </w:rPr>
              <w:t>根据野外实地调查，结合遥感卫星影像判读，并依据《云南植被》的分类系统，将评价区范围内的天然植被划分为3个植被型、3个植被亚型、4个群落。</w:t>
            </w:r>
          </w:p>
          <w:p w14:paraId="1009192B">
            <w:pPr>
              <w:pStyle w:val="61"/>
              <w:spacing w:line="240" w:lineRule="auto"/>
              <w:ind w:firstLine="0" w:firstLineChars="0"/>
              <w:jc w:val="center"/>
              <w:rPr>
                <w:rFonts w:ascii="Times New Roman" w:eastAsia="黑体" w:cs="Times New Roman"/>
                <w:bCs/>
                <w:lang w:val="zh-CN"/>
              </w:rPr>
            </w:pPr>
            <w:r>
              <w:rPr>
                <w:rFonts w:ascii="Times New Roman" w:eastAsia="黑体" w:cs="Times New Roman"/>
                <w:bCs/>
                <w:lang w:val="zh-CN"/>
              </w:rPr>
              <w:t>表3-7</w:t>
            </w:r>
            <w:r>
              <w:rPr>
                <w:rFonts w:hint="eastAsia" w:ascii="Times New Roman" w:eastAsia="黑体" w:cs="Times New Roman"/>
                <w:bCs/>
                <w:lang w:val="zh-CN"/>
              </w:rPr>
              <w:t>工程评价区植被类型</w:t>
            </w:r>
          </w:p>
          <w:tbl>
            <w:tblPr>
              <w:tblStyle w:val="45"/>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9"/>
            </w:tblGrid>
            <w:tr w14:paraId="0124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2BFBF8C">
                  <w:pPr>
                    <w:ind w:firstLine="315" w:firstLineChars="150"/>
                    <w:rPr>
                      <w:color w:val="000000" w:themeColor="text1"/>
                      <w14:textFill>
                        <w14:solidFill>
                          <w14:schemeClr w14:val="tx1"/>
                        </w14:solidFill>
                      </w14:textFill>
                    </w:rPr>
                  </w:pPr>
                  <w:bookmarkStart w:id="49" w:name="_Hlk208797723"/>
                  <w:r>
                    <w:rPr>
                      <w:rFonts w:hint="eastAsia"/>
                      <w:iCs/>
                      <w:color w:val="000000" w:themeColor="text1"/>
                      <w:lang w:bidi="ar"/>
                      <w14:textFill>
                        <w14:solidFill>
                          <w14:schemeClr w14:val="tx1"/>
                        </w14:solidFill>
                      </w14:textFill>
                    </w:rPr>
                    <w:t>一、</w:t>
                  </w:r>
                  <w:r>
                    <w:rPr>
                      <w:rFonts w:hint="eastAsia"/>
                      <w:color w:val="000000" w:themeColor="text1"/>
                      <w:lang w:bidi="ar"/>
                      <w14:textFill>
                        <w14:solidFill>
                          <w14:schemeClr w14:val="tx1"/>
                        </w14:solidFill>
                      </w14:textFill>
                    </w:rPr>
                    <w:t>自然植被</w:t>
                  </w:r>
                </w:p>
              </w:tc>
            </w:tr>
            <w:tr w14:paraId="003B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4432DAA">
                  <w:pPr>
                    <w:adjustRightInd w:val="0"/>
                    <w:ind w:firstLine="840" w:firstLineChars="400"/>
                    <w:rPr>
                      <w:color w:val="000000" w:themeColor="text1"/>
                      <w14:textFill>
                        <w14:solidFill>
                          <w14:schemeClr w14:val="tx1"/>
                        </w14:solidFill>
                      </w14:textFill>
                    </w:rPr>
                  </w:pPr>
                  <w:r>
                    <w:rPr>
                      <w:color w:val="000000" w:themeColor="text1"/>
                      <w:lang w:val="zh-CN" w:bidi="ar"/>
                      <w14:textFill>
                        <w14:solidFill>
                          <w14:schemeClr w14:val="tx1"/>
                        </w14:solidFill>
                      </w14:textFill>
                    </w:rPr>
                    <w:t>Ⅰ</w:t>
                  </w:r>
                  <w:r>
                    <w:rPr>
                      <w:color w:val="000000" w:themeColor="text1"/>
                      <w:lang w:bidi="ar"/>
                      <w14:textFill>
                        <w14:solidFill>
                          <w14:schemeClr w14:val="tx1"/>
                        </w14:solidFill>
                      </w14:textFill>
                    </w:rPr>
                    <w:t xml:space="preserve"> </w:t>
                  </w:r>
                  <w:r>
                    <w:rPr>
                      <w:rFonts w:hint="eastAsia"/>
                      <w:color w:val="000000" w:themeColor="text1"/>
                      <w:lang w:bidi="ar"/>
                      <w14:textFill>
                        <w14:solidFill>
                          <w14:schemeClr w14:val="tx1"/>
                        </w14:solidFill>
                      </w14:textFill>
                    </w:rPr>
                    <w:t>暖性针叶林</w:t>
                  </w:r>
                </w:p>
              </w:tc>
            </w:tr>
            <w:tr w14:paraId="6F0B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FBD5FAA">
                  <w:pPr>
                    <w:adjustRightInd w:val="0"/>
                    <w:ind w:firstLine="1050" w:firstLineChars="50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w:t>
                  </w:r>
                  <w:r>
                    <w:rPr>
                      <w:color w:val="000000" w:themeColor="text1"/>
                      <w:lang w:val="zh-CN" w:bidi="ar"/>
                      <w14:textFill>
                        <w14:solidFill>
                          <w14:schemeClr w14:val="tx1"/>
                        </w14:solidFill>
                      </w14:textFill>
                    </w:rPr>
                    <w:t>Ⅰ</w:t>
                  </w:r>
                  <w:r>
                    <w:rPr>
                      <w:rFonts w:hint="eastAsia"/>
                      <w:color w:val="000000" w:themeColor="text1"/>
                      <w:lang w:bidi="ar"/>
                      <w14:textFill>
                        <w14:solidFill>
                          <w14:schemeClr w14:val="tx1"/>
                        </w14:solidFill>
                      </w14:textFill>
                    </w:rPr>
                    <w:t>）暖温性针叶林</w:t>
                  </w:r>
                </w:p>
              </w:tc>
            </w:tr>
            <w:tr w14:paraId="579E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bottom"/>
                </w:tcPr>
                <w:p w14:paraId="30661777">
                  <w:pPr>
                    <w:adjustRightInd w:val="0"/>
                    <w:ind w:firstLine="1680" w:firstLineChars="800"/>
                    <w:rPr>
                      <w:color w:val="000000" w:themeColor="text1"/>
                      <w14:textFill>
                        <w14:solidFill>
                          <w14:schemeClr w14:val="tx1"/>
                        </w14:solidFill>
                      </w14:textFill>
                    </w:rPr>
                  </w:pPr>
                  <w:r>
                    <w:rPr>
                      <w:color w:val="000000" w:themeColor="text1"/>
                      <w:lang w:bidi="ar"/>
                      <w14:textFill>
                        <w14:solidFill>
                          <w14:schemeClr w14:val="tx1"/>
                        </w14:solidFill>
                      </w14:textFill>
                    </w:rPr>
                    <w:t>1.</w:t>
                  </w:r>
                  <w:r>
                    <w:rPr>
                      <w:rFonts w:hint="eastAsia"/>
                      <w:color w:val="000000" w:themeColor="text1"/>
                      <w:lang w:bidi="ar"/>
                      <w14:textFill>
                        <w14:solidFill>
                          <w14:schemeClr w14:val="tx1"/>
                        </w14:solidFill>
                      </w14:textFill>
                    </w:rPr>
                    <w:t>云南松</w:t>
                  </w:r>
                  <w:r>
                    <w:rPr>
                      <w:rFonts w:hint="eastAsia"/>
                      <w:color w:val="000000" w:themeColor="text1"/>
                      <w:lang w:val="zh-CN" w:bidi="ar"/>
                      <w14:textFill>
                        <w14:solidFill>
                          <w14:schemeClr w14:val="tx1"/>
                        </w14:solidFill>
                      </w14:textFill>
                    </w:rPr>
                    <w:t>林</w:t>
                  </w:r>
                  <w:r>
                    <w:rPr>
                      <w:color w:val="000000" w:themeColor="text1"/>
                      <w:lang w:bidi="ar"/>
                      <w14:textFill>
                        <w14:solidFill>
                          <w14:schemeClr w14:val="tx1"/>
                        </w14:solidFill>
                      </w14:textFill>
                    </w:rPr>
                    <w:t xml:space="preserve"> Form. </w:t>
                  </w:r>
                  <w:r>
                    <w:rPr>
                      <w:i/>
                      <w:iCs/>
                      <w:color w:val="000000" w:themeColor="text1"/>
                      <w:lang w:bidi="ar"/>
                      <w14:textFill>
                        <w14:solidFill>
                          <w14:schemeClr w14:val="tx1"/>
                        </w14:solidFill>
                      </w14:textFill>
                    </w:rPr>
                    <w:t>Pinus yunnanensis</w:t>
                  </w:r>
                  <w:r>
                    <w:rPr>
                      <w:color w:val="000000" w:themeColor="text1"/>
                      <w:lang w:bidi="ar"/>
                      <w14:textFill>
                        <w14:solidFill>
                          <w14:schemeClr w14:val="tx1"/>
                        </w14:solidFill>
                      </w14:textFill>
                    </w:rPr>
                    <w:t xml:space="preserve"> </w:t>
                  </w:r>
                  <w:r>
                    <w:rPr>
                      <w:rFonts w:hint="eastAsia"/>
                      <w:b/>
                      <w:bCs/>
                      <w:color w:val="000000" w:themeColor="text1"/>
                      <w:lang w:bidi="ar"/>
                      <w14:textFill>
                        <w14:solidFill>
                          <w14:schemeClr w14:val="tx1"/>
                        </w14:solidFill>
                      </w14:textFill>
                    </w:rPr>
                    <w:t>（工程占用）</w:t>
                  </w:r>
                </w:p>
              </w:tc>
            </w:tr>
            <w:tr w14:paraId="30F3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bottom"/>
                </w:tcPr>
                <w:p w14:paraId="085B485B">
                  <w:pPr>
                    <w:adjustRightInd w:val="0"/>
                    <w:ind w:firstLine="1680" w:firstLineChars="800"/>
                    <w:rPr>
                      <w:color w:val="000000" w:themeColor="text1"/>
                      <w:lang w:bidi="ar"/>
                      <w14:textFill>
                        <w14:solidFill>
                          <w14:schemeClr w14:val="tx1"/>
                        </w14:solidFill>
                      </w14:textFill>
                    </w:rPr>
                  </w:pPr>
                  <w:r>
                    <w:rPr>
                      <w:color w:val="000000" w:themeColor="text1"/>
                      <w:lang w:bidi="ar"/>
                      <w14:textFill>
                        <w14:solidFill>
                          <w14:schemeClr w14:val="tx1"/>
                        </w14:solidFill>
                      </w14:textFill>
                    </w:rPr>
                    <w:t>2.</w:t>
                  </w:r>
                  <w:r>
                    <w:rPr>
                      <w:rFonts w:hint="eastAsia"/>
                      <w:color w:val="000000" w:themeColor="text1"/>
                      <w:lang w:bidi="ar"/>
                      <w14:textFill>
                        <w14:solidFill>
                          <w14:schemeClr w14:val="tx1"/>
                        </w14:solidFill>
                      </w14:textFill>
                    </w:rPr>
                    <w:t>华山松林</w:t>
                  </w:r>
                  <w:r>
                    <w:rPr>
                      <w:color w:val="000000" w:themeColor="text1"/>
                      <w:lang w:bidi="ar"/>
                      <w14:textFill>
                        <w14:solidFill>
                          <w14:schemeClr w14:val="tx1"/>
                        </w14:solidFill>
                      </w14:textFill>
                    </w:rPr>
                    <w:t xml:space="preserve"> Form. </w:t>
                  </w:r>
                  <w:r>
                    <w:rPr>
                      <w:i/>
                      <w:iCs/>
                      <w:color w:val="000000" w:themeColor="text1"/>
                      <w:lang w:bidi="ar"/>
                      <w14:textFill>
                        <w14:solidFill>
                          <w14:schemeClr w14:val="tx1"/>
                        </w14:solidFill>
                      </w14:textFill>
                    </w:rPr>
                    <w:t>Pinus armandii</w:t>
                  </w:r>
                  <w:r>
                    <w:rPr>
                      <w:color w:val="000000" w:themeColor="text1"/>
                      <w:lang w:bidi="ar"/>
                      <w14:textFill>
                        <w14:solidFill>
                          <w14:schemeClr w14:val="tx1"/>
                        </w14:solidFill>
                      </w14:textFill>
                    </w:rPr>
                    <w:t xml:space="preserve"> </w:t>
                  </w:r>
                  <w:r>
                    <w:rPr>
                      <w:rFonts w:hint="eastAsia"/>
                      <w:b/>
                      <w:bCs/>
                      <w:color w:val="000000" w:themeColor="text1"/>
                      <w:lang w:bidi="ar"/>
                      <w14:textFill>
                        <w14:solidFill>
                          <w14:schemeClr w14:val="tx1"/>
                        </w14:solidFill>
                      </w14:textFill>
                    </w:rPr>
                    <w:t>（工程不占用）</w:t>
                  </w:r>
                </w:p>
              </w:tc>
            </w:tr>
            <w:tr w14:paraId="4B9A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A49C86D">
                  <w:pPr>
                    <w:adjustRightInd w:val="0"/>
                    <w:ind w:firstLine="840" w:firstLineChars="400"/>
                    <w:rPr>
                      <w:color w:val="000000" w:themeColor="text1"/>
                      <w14:textFill>
                        <w14:solidFill>
                          <w14:schemeClr w14:val="tx1"/>
                        </w14:solidFill>
                      </w14:textFill>
                    </w:rPr>
                  </w:pPr>
                  <w:r>
                    <w:rPr>
                      <w:color w:val="000000" w:themeColor="text1"/>
                      <w:lang w:bidi="ar"/>
                      <w14:textFill>
                        <w14:solidFill>
                          <w14:schemeClr w14:val="tx1"/>
                        </w14:solidFill>
                      </w14:textFill>
                    </w:rPr>
                    <w:t>Ⅱ</w:t>
                  </w:r>
                  <w:r>
                    <w:rPr>
                      <w:color w:val="000000" w:themeColor="text1"/>
                      <w:lang w:val="zh-CN" w:bidi="ar"/>
                      <w14:textFill>
                        <w14:solidFill>
                          <w14:schemeClr w14:val="tx1"/>
                        </w14:solidFill>
                      </w14:textFill>
                    </w:rPr>
                    <w:t xml:space="preserve"> </w:t>
                  </w:r>
                  <w:r>
                    <w:rPr>
                      <w:rFonts w:hint="eastAsia"/>
                      <w:color w:val="000000" w:themeColor="text1"/>
                      <w:lang w:bidi="ar"/>
                      <w14:textFill>
                        <w14:solidFill>
                          <w14:schemeClr w14:val="tx1"/>
                        </w14:solidFill>
                      </w14:textFill>
                    </w:rPr>
                    <w:t>灌丛</w:t>
                  </w:r>
                </w:p>
              </w:tc>
            </w:tr>
            <w:tr w14:paraId="20ED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87D7B3B">
                  <w:pPr>
                    <w:adjustRightInd w:val="0"/>
                    <w:ind w:firstLine="1050" w:firstLineChars="50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w:t>
                  </w:r>
                  <w:r>
                    <w:rPr>
                      <w:color w:val="000000" w:themeColor="text1"/>
                      <w:lang w:bidi="ar"/>
                      <w14:textFill>
                        <w14:solidFill>
                          <w14:schemeClr w14:val="tx1"/>
                        </w14:solidFill>
                      </w14:textFill>
                    </w:rPr>
                    <w:t>Ⅱ</w:t>
                  </w:r>
                  <w:r>
                    <w:rPr>
                      <w:rFonts w:hint="eastAsia"/>
                      <w:color w:val="000000" w:themeColor="text1"/>
                      <w:lang w:bidi="ar"/>
                      <w14:textFill>
                        <w14:solidFill>
                          <w14:schemeClr w14:val="tx1"/>
                        </w14:solidFill>
                      </w14:textFill>
                    </w:rPr>
                    <w:t>）暖性石灰岩灌丛</w:t>
                  </w:r>
                </w:p>
              </w:tc>
            </w:tr>
            <w:tr w14:paraId="685C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000" w:type="pct"/>
                  <w:tcBorders>
                    <w:top w:val="single" w:color="auto" w:sz="4" w:space="0"/>
                    <w:left w:val="single" w:color="auto" w:sz="4" w:space="0"/>
                    <w:bottom w:val="single" w:color="auto" w:sz="4" w:space="0"/>
                    <w:right w:val="single" w:color="auto" w:sz="4" w:space="0"/>
                  </w:tcBorders>
                  <w:vAlign w:val="bottom"/>
                </w:tcPr>
                <w:p w14:paraId="48044F1E">
                  <w:pPr>
                    <w:adjustRightInd w:val="0"/>
                    <w:ind w:firstLine="1680" w:firstLineChars="800"/>
                    <w:rPr>
                      <w:color w:val="000000" w:themeColor="text1"/>
                      <w:lang w:bidi="ar"/>
                      <w14:textFill>
                        <w14:solidFill>
                          <w14:schemeClr w14:val="tx1"/>
                        </w14:solidFill>
                      </w14:textFill>
                    </w:rPr>
                  </w:pPr>
                  <w:r>
                    <w:rPr>
                      <w:color w:val="000000" w:themeColor="text1"/>
                      <w:lang w:bidi="ar"/>
                      <w14:textFill>
                        <w14:solidFill>
                          <w14:schemeClr w14:val="tx1"/>
                        </w14:solidFill>
                      </w14:textFill>
                    </w:rPr>
                    <w:t>3.</w:t>
                  </w:r>
                  <w:r>
                    <w:rPr>
                      <w:rFonts w:hint="eastAsia"/>
                      <w:color w:val="000000" w:themeColor="text1"/>
                      <w:lang w:val="zh-CN" w:bidi="ar"/>
                      <w14:textFill>
                        <w14:solidFill>
                          <w14:schemeClr w14:val="tx1"/>
                        </w14:solidFill>
                      </w14:textFill>
                    </w:rPr>
                    <w:t>小叶栒子、火棘灌丛</w:t>
                  </w:r>
                  <w:r>
                    <w:rPr>
                      <w:color w:val="000000" w:themeColor="text1"/>
                      <w:lang w:bidi="ar"/>
                      <w14:textFill>
                        <w14:solidFill>
                          <w14:schemeClr w14:val="tx1"/>
                        </w14:solidFill>
                      </w14:textFill>
                    </w:rPr>
                    <w:t xml:space="preserve">Form. </w:t>
                  </w:r>
                  <w:r>
                    <w:rPr>
                      <w:i/>
                      <w:iCs/>
                      <w:color w:val="000000" w:themeColor="text1"/>
                      <w:lang w:bidi="ar"/>
                      <w14:textFill>
                        <w14:solidFill>
                          <w14:schemeClr w14:val="tx1"/>
                        </w14:solidFill>
                      </w14:textFill>
                    </w:rPr>
                    <w:t xml:space="preserve">Cotoneaster microphyllus </w:t>
                  </w:r>
                  <w:r>
                    <w:rPr>
                      <w:color w:val="000000" w:themeColor="text1"/>
                      <w:lang w:bidi="ar"/>
                      <w14:textFill>
                        <w14:solidFill>
                          <w14:schemeClr w14:val="tx1"/>
                        </w14:solidFill>
                      </w14:textFill>
                    </w:rPr>
                    <w:t>and</w:t>
                  </w:r>
                  <w:r>
                    <w:rPr>
                      <w:i/>
                      <w:iCs/>
                      <w:color w:val="000000" w:themeColor="text1"/>
                      <w:lang w:bidi="ar"/>
                      <w14:textFill>
                        <w14:solidFill>
                          <w14:schemeClr w14:val="tx1"/>
                        </w14:solidFill>
                      </w14:textFill>
                    </w:rPr>
                    <w:t xml:space="preserve"> Pyracantha fortuneana</w:t>
                  </w:r>
                  <w:r>
                    <w:rPr>
                      <w:rFonts w:hint="eastAsia"/>
                      <w:b/>
                      <w:bCs/>
                      <w:color w:val="000000" w:themeColor="text1"/>
                      <w:lang w:bidi="ar"/>
                      <w14:textFill>
                        <w14:solidFill>
                          <w14:schemeClr w14:val="tx1"/>
                        </w14:solidFill>
                      </w14:textFill>
                    </w:rPr>
                    <w:t>（工程占用）</w:t>
                  </w:r>
                </w:p>
              </w:tc>
            </w:tr>
            <w:tr w14:paraId="6E9B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F29B899">
                  <w:pPr>
                    <w:adjustRightInd w:val="0"/>
                    <w:ind w:firstLine="840" w:firstLineChars="400"/>
                    <w:rPr>
                      <w:color w:val="000000" w:themeColor="text1"/>
                      <w:lang w:bidi="ar"/>
                      <w14:textFill>
                        <w14:solidFill>
                          <w14:schemeClr w14:val="tx1"/>
                        </w14:solidFill>
                      </w14:textFill>
                    </w:rPr>
                  </w:pPr>
                  <w:r>
                    <w:rPr>
                      <w:color w:val="000000" w:themeColor="text1"/>
                      <w:lang w:bidi="ar"/>
                      <w14:textFill>
                        <w14:solidFill>
                          <w14:schemeClr w14:val="tx1"/>
                        </w14:solidFill>
                      </w14:textFill>
                    </w:rPr>
                    <w:t xml:space="preserve">Ⅲ </w:t>
                  </w:r>
                  <w:r>
                    <w:rPr>
                      <w:rFonts w:hint="eastAsia"/>
                      <w:color w:val="000000" w:themeColor="text1"/>
                      <w:lang w:bidi="ar"/>
                      <w14:textFill>
                        <w14:solidFill>
                          <w14:schemeClr w14:val="tx1"/>
                        </w14:solidFill>
                      </w14:textFill>
                    </w:rPr>
                    <w:t>草地</w:t>
                  </w:r>
                </w:p>
              </w:tc>
            </w:tr>
            <w:tr w14:paraId="03D2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078C2B4">
                  <w:pPr>
                    <w:adjustRightInd w:val="0"/>
                    <w:ind w:firstLine="1050" w:firstLineChars="500"/>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w:t>
                  </w:r>
                  <w:r>
                    <w:rPr>
                      <w:color w:val="000000" w:themeColor="text1"/>
                      <w:lang w:bidi="ar"/>
                      <w14:textFill>
                        <w14:solidFill>
                          <w14:schemeClr w14:val="tx1"/>
                        </w14:solidFill>
                      </w14:textFill>
                    </w:rPr>
                    <w:t>Ⅲ</w:t>
                  </w:r>
                  <w:r>
                    <w:rPr>
                      <w:rFonts w:hint="eastAsia"/>
                      <w:color w:val="000000" w:themeColor="text1"/>
                      <w:lang w:bidi="ar"/>
                      <w14:textFill>
                        <w14:solidFill>
                          <w14:schemeClr w14:val="tx1"/>
                        </w14:solidFill>
                      </w14:textFill>
                    </w:rPr>
                    <w:t>）暖温性稀树灌木草丛</w:t>
                  </w:r>
                </w:p>
              </w:tc>
            </w:tr>
            <w:tr w14:paraId="4DFD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bottom"/>
                </w:tcPr>
                <w:p w14:paraId="318B746A">
                  <w:pPr>
                    <w:adjustRightInd w:val="0"/>
                    <w:ind w:firstLine="1680" w:firstLineChars="800"/>
                    <w:rPr>
                      <w:color w:val="000000" w:themeColor="text1"/>
                      <w:lang w:bidi="ar"/>
                      <w14:textFill>
                        <w14:solidFill>
                          <w14:schemeClr w14:val="tx1"/>
                        </w14:solidFill>
                      </w14:textFill>
                    </w:rPr>
                  </w:pPr>
                  <w:r>
                    <w:rPr>
                      <w:color w:val="000000" w:themeColor="text1"/>
                      <w:lang w:bidi="ar"/>
                      <w14:textFill>
                        <w14:solidFill>
                          <w14:schemeClr w14:val="tx1"/>
                        </w14:solidFill>
                      </w14:textFill>
                    </w:rPr>
                    <w:t>4.</w:t>
                  </w:r>
                  <w:r>
                    <w:rPr>
                      <w:rFonts w:hint="eastAsia"/>
                      <w:color w:val="000000" w:themeColor="text1"/>
                      <w:lang w:val="zh-CN" w:bidi="ar"/>
                      <w14:textFill>
                        <w14:solidFill>
                          <w14:schemeClr w14:val="tx1"/>
                        </w14:solidFill>
                      </w14:textFill>
                    </w:rPr>
                    <w:t>白茅草地</w:t>
                  </w:r>
                  <w:r>
                    <w:rPr>
                      <w:color w:val="000000" w:themeColor="text1"/>
                      <w:lang w:bidi="ar"/>
                      <w14:textFill>
                        <w14:solidFill>
                          <w14:schemeClr w14:val="tx1"/>
                        </w14:solidFill>
                      </w14:textFill>
                    </w:rPr>
                    <w:t xml:space="preserve"> Form.</w:t>
                  </w:r>
                  <w:r>
                    <w:t xml:space="preserve"> </w:t>
                  </w:r>
                  <w:r>
                    <w:rPr>
                      <w:i/>
                      <w:iCs/>
                      <w:color w:val="000000" w:themeColor="text1"/>
                      <w:lang w:bidi="ar"/>
                      <w14:textFill>
                        <w14:solidFill>
                          <w14:schemeClr w14:val="tx1"/>
                        </w14:solidFill>
                      </w14:textFill>
                    </w:rPr>
                    <w:t>Imperata cylindrica</w:t>
                  </w:r>
                  <w:r>
                    <w:rPr>
                      <w:rFonts w:hint="eastAsia"/>
                      <w:b/>
                      <w:bCs/>
                      <w:color w:val="000000" w:themeColor="text1"/>
                      <w:lang w:bidi="ar"/>
                      <w14:textFill>
                        <w14:solidFill>
                          <w14:schemeClr w14:val="tx1"/>
                        </w14:solidFill>
                      </w14:textFill>
                    </w:rPr>
                    <w:t>（工程占用）</w:t>
                  </w:r>
                </w:p>
              </w:tc>
            </w:tr>
            <w:tr w14:paraId="4D7B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690D654">
                  <w:pPr>
                    <w:adjustRightInd w:val="0"/>
                    <w:ind w:firstLine="315" w:firstLineChars="150"/>
                    <w:rPr>
                      <w:color w:val="000000" w:themeColor="text1"/>
                      <w14:textFill>
                        <w14:solidFill>
                          <w14:schemeClr w14:val="tx1"/>
                        </w14:solidFill>
                      </w14:textFill>
                    </w:rPr>
                  </w:pPr>
                  <w:r>
                    <w:rPr>
                      <w:rFonts w:hint="eastAsia"/>
                      <w:iCs/>
                      <w:color w:val="000000" w:themeColor="text1"/>
                      <w:lang w:bidi="ar"/>
                      <w14:textFill>
                        <w14:solidFill>
                          <w14:schemeClr w14:val="tx1"/>
                        </w14:solidFill>
                      </w14:textFill>
                    </w:rPr>
                    <w:t>二、</w:t>
                  </w:r>
                  <w:r>
                    <w:rPr>
                      <w:rFonts w:hint="eastAsia"/>
                      <w:color w:val="000000" w:themeColor="text1"/>
                      <w:lang w:bidi="ar"/>
                      <w14:textFill>
                        <w14:solidFill>
                          <w14:schemeClr w14:val="tx1"/>
                        </w14:solidFill>
                      </w14:textFill>
                    </w:rPr>
                    <w:t>人工植被</w:t>
                  </w:r>
                </w:p>
              </w:tc>
            </w:tr>
            <w:tr w14:paraId="11B3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73B86ED">
                  <w:pPr>
                    <w:adjustRightInd w:val="0"/>
                    <w:ind w:firstLine="1680" w:firstLineChars="800"/>
                    <w:rPr>
                      <w:color w:val="000000" w:themeColor="text1"/>
                      <w14:textFill>
                        <w14:solidFill>
                          <w14:schemeClr w14:val="tx1"/>
                        </w14:solidFill>
                      </w14:textFill>
                    </w:rPr>
                  </w:pPr>
                  <w:r>
                    <w:rPr>
                      <w:color w:val="000000" w:themeColor="text1"/>
                      <w:lang w:bidi="ar"/>
                      <w14:textFill>
                        <w14:solidFill>
                          <w14:schemeClr w14:val="tx1"/>
                        </w14:solidFill>
                      </w14:textFill>
                    </w:rPr>
                    <w:t>1.</w:t>
                  </w:r>
                  <w:r>
                    <w:rPr>
                      <w:rFonts w:hint="eastAsia"/>
                      <w:color w:val="000000" w:themeColor="text1"/>
                      <w:lang w:bidi="ar"/>
                      <w14:textFill>
                        <w14:solidFill>
                          <w14:schemeClr w14:val="tx1"/>
                        </w14:solidFill>
                      </w14:textFill>
                    </w:rPr>
                    <w:t>农田</w:t>
                  </w:r>
                  <w:r>
                    <w:rPr>
                      <w:rFonts w:hint="eastAsia"/>
                      <w:b/>
                      <w:bCs/>
                      <w:color w:val="000000" w:themeColor="text1"/>
                      <w:lang w:bidi="ar"/>
                      <w14:textFill>
                        <w14:solidFill>
                          <w14:schemeClr w14:val="tx1"/>
                        </w14:solidFill>
                      </w14:textFill>
                    </w:rPr>
                    <w:t>（工程占用）</w:t>
                  </w:r>
                </w:p>
              </w:tc>
            </w:tr>
            <w:tr w14:paraId="4D74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FD0EF2D">
                  <w:pPr>
                    <w:adjustRightInd w:val="0"/>
                    <w:ind w:firstLine="1680" w:firstLineChars="800"/>
                    <w:rPr>
                      <w:color w:val="000000" w:themeColor="text1"/>
                      <w14:textFill>
                        <w14:solidFill>
                          <w14:schemeClr w14:val="tx1"/>
                        </w14:solidFill>
                      </w14:textFill>
                    </w:rPr>
                  </w:pPr>
                  <w:r>
                    <w:rPr>
                      <w:color w:val="000000" w:themeColor="text1"/>
                      <w:lang w:bidi="ar"/>
                      <w14:textFill>
                        <w14:solidFill>
                          <w14:schemeClr w14:val="tx1"/>
                        </w14:solidFill>
                      </w14:textFill>
                    </w:rPr>
                    <w:t>2.</w:t>
                  </w:r>
                  <w:r>
                    <w:rPr>
                      <w:rFonts w:hint="eastAsia"/>
                      <w:color w:val="000000" w:themeColor="text1"/>
                      <w:lang w:bidi="ar"/>
                      <w14:textFill>
                        <w14:solidFill>
                          <w14:schemeClr w14:val="tx1"/>
                        </w14:solidFill>
                      </w14:textFill>
                    </w:rPr>
                    <w:t>园地</w:t>
                  </w:r>
                  <w:r>
                    <w:rPr>
                      <w:rFonts w:hint="eastAsia"/>
                      <w:b/>
                      <w:bCs/>
                      <w:color w:val="000000" w:themeColor="text1"/>
                      <w:lang w:bidi="ar"/>
                      <w14:textFill>
                        <w14:solidFill>
                          <w14:schemeClr w14:val="tx1"/>
                        </w14:solidFill>
                      </w14:textFill>
                    </w:rPr>
                    <w:t>（工程占用）</w:t>
                  </w:r>
                </w:p>
                <w:bookmarkEnd w:id="49"/>
              </w:tc>
            </w:tr>
          </w:tbl>
          <w:p w14:paraId="69FD002F">
            <w:pPr>
              <w:pStyle w:val="28"/>
              <w:snapToGrid w:val="0"/>
              <w:spacing w:after="0" w:line="360" w:lineRule="auto"/>
              <w:ind w:left="0" w:leftChars="0" w:firstLine="480" w:firstLineChars="200"/>
              <w:rPr>
                <w:sz w:val="24"/>
              </w:rPr>
            </w:pPr>
            <w:r>
              <w:rPr>
                <w:sz w:val="24"/>
              </w:rPr>
              <w:t>（3）主要植被类型特征</w:t>
            </w:r>
          </w:p>
          <w:p w14:paraId="414F1653">
            <w:pPr>
              <w:snapToGrid w:val="0"/>
              <w:spacing w:line="360" w:lineRule="auto"/>
              <w:ind w:firstLine="480" w:firstLineChars="200"/>
              <w:rPr>
                <w:color w:val="000000" w:themeColor="text1"/>
                <w:sz w:val="24"/>
                <w:szCs w:val="24"/>
                <w14:textFill>
                  <w14:solidFill>
                    <w14:schemeClr w14:val="tx1"/>
                  </w14:solidFill>
                </w14:textFill>
              </w:rPr>
            </w:pPr>
            <w:bookmarkStart w:id="50" w:name="_Hlk208798658"/>
            <w:r>
              <w:rPr>
                <w:color w:val="000000" w:themeColor="text1"/>
                <w:sz w:val="24"/>
                <w14:textFill>
                  <w14:solidFill>
                    <w14:schemeClr w14:val="tx1"/>
                  </w14:solidFill>
                </w14:textFill>
              </w:rPr>
              <w:t>1）自然植被</w:t>
            </w:r>
          </w:p>
          <w:p w14:paraId="12183BB5">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调查区内的主要自然植被类型包括暖温性针叶林、暖温性稀树灌木草丛、暖性石灰岩灌丛。主要植被类型的特征简述如下。</w:t>
            </w:r>
          </w:p>
          <w:p w14:paraId="46B74228">
            <w:pPr>
              <w:snapToGrid w:val="0"/>
              <w:spacing w:line="360" w:lineRule="auto"/>
              <w:ind w:firstLine="480" w:firstLineChars="200"/>
              <w:rPr>
                <w:b/>
                <w:bCs/>
                <w:color w:val="000000" w:themeColor="text1"/>
                <w:sz w:val="24"/>
                <w14:textFill>
                  <w14:solidFill>
                    <w14:schemeClr w14:val="tx1"/>
                  </w14:solidFill>
                </w14:textFill>
              </w:rPr>
            </w:pPr>
            <w:r>
              <w:rPr>
                <w:rFonts w:eastAsia="微软雅黑"/>
                <w:b/>
                <w:bCs/>
                <w:color w:val="000000" w:themeColor="text1"/>
                <w:sz w:val="24"/>
                <w14:textFill>
                  <w14:solidFill>
                    <w14:schemeClr w14:val="tx1"/>
                  </w14:solidFill>
                </w14:textFill>
              </w:rPr>
              <w:t>Ⅰ</w:t>
            </w:r>
            <w:r>
              <w:rPr>
                <w:b/>
                <w:bCs/>
                <w:color w:val="000000" w:themeColor="text1"/>
                <w:sz w:val="24"/>
                <w14:textFill>
                  <w14:solidFill>
                    <w14:schemeClr w14:val="tx1"/>
                  </w14:solidFill>
                </w14:textFill>
              </w:rPr>
              <w:t>暖温性针叶林</w:t>
            </w:r>
          </w:p>
          <w:p w14:paraId="7F71C33B">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暖性针叶林是一类以暖性针叶树种为优势种的森林植被类型，在云南广泛分布。在调查区内，本群落类型也广泛分布，其优势树种主要是云南松和华山松这样的暖温性物种，故而在本区本植被型下仅有一个植被亚型，即暖温性针叶林。暖温性针叶林在云南主要分布于云南亚热带北部区域，以滇中高原为主体。在本区内，暖温性针叶林广泛分布于调查区内各地，在调查区整个海拔梯度范围内都有分布。本区的暖温性针叶林有云南松林和华山松林2个群系。</w:t>
            </w:r>
          </w:p>
          <w:p w14:paraId="4A5BB24F">
            <w:pPr>
              <w:widowControl/>
              <w:snapToGrid w:val="0"/>
              <w:spacing w:line="360" w:lineRule="auto"/>
              <w:ind w:firstLine="482" w:firstLineChars="200"/>
              <w:rPr>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①</w:t>
            </w:r>
            <w:r>
              <w:rPr>
                <w:b/>
                <w:color w:val="000000" w:themeColor="text1"/>
                <w:sz w:val="24"/>
                <w14:textFill>
                  <w14:solidFill>
                    <w14:schemeClr w14:val="tx1"/>
                  </w14:solidFill>
                </w14:textFill>
              </w:rPr>
              <w:t>云南松林</w:t>
            </w:r>
          </w:p>
          <w:p w14:paraId="3AD44E8D">
            <w:pPr>
              <w:snapToGrid w:val="0"/>
              <w:spacing w:line="360" w:lineRule="auto"/>
              <w:ind w:firstLine="480" w:firstLineChars="200"/>
              <w:rPr>
                <w:bCs/>
                <w:color w:val="000000" w:themeColor="text1"/>
                <w:sz w:val="24"/>
                <w:lang w:val="zh-CN"/>
                <w14:textFill>
                  <w14:solidFill>
                    <w14:schemeClr w14:val="tx1"/>
                  </w14:solidFill>
                </w14:textFill>
              </w:rPr>
            </w:pPr>
            <w:r>
              <w:rPr>
                <w:bCs/>
                <w:color w:val="000000" w:themeColor="text1"/>
                <w:sz w:val="24"/>
                <w14:textFill>
                  <w14:solidFill>
                    <w14:schemeClr w14:val="tx1"/>
                  </w14:solidFill>
                </w14:textFill>
              </w:rPr>
              <w:t xml:space="preserve">云南松 </w:t>
            </w:r>
            <w:r>
              <w:rPr>
                <w:bCs/>
                <w:i/>
                <w:color w:val="000000" w:themeColor="text1"/>
                <w:sz w:val="24"/>
                <w14:textFill>
                  <w14:solidFill>
                    <w14:schemeClr w14:val="tx1"/>
                  </w14:solidFill>
                </w14:textFill>
              </w:rPr>
              <w:t>Pinus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yunnanensis</w:t>
            </w:r>
            <w:r>
              <w:rPr>
                <w:bCs/>
                <w:color w:val="000000" w:themeColor="text1"/>
                <w:sz w:val="24"/>
                <w14:textFill>
                  <w14:solidFill>
                    <w14:schemeClr w14:val="tx1"/>
                  </w14:solidFill>
                </w14:textFill>
              </w:rPr>
              <w:t>是松科的针叶树种，</w:t>
            </w:r>
            <w:r>
              <w:rPr>
                <w:bCs/>
                <w:color w:val="000000" w:themeColor="text1"/>
                <w:sz w:val="24"/>
                <w:lang w:val="zh-CN"/>
                <w14:textFill>
                  <w14:solidFill>
                    <w14:schemeClr w14:val="tx1"/>
                  </w14:solidFill>
                </w14:textFill>
              </w:rPr>
              <w:t>适合于酸性红壤或黄壤，生长迅速，耐干旱贫瘠，为荒山荒地造林的良好树种，容易天然更新。但调查区内的云南松林是原生植被破坏以后，形成的次生植被类型。</w:t>
            </w:r>
          </w:p>
          <w:p w14:paraId="7DD6467E">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调查区的云南松林多分布于开旷的山坡，是调查范围内最为广泛的一种植被类型。</w:t>
            </w:r>
            <w:r>
              <w:rPr>
                <w:rFonts w:hint="eastAsia"/>
                <w:bCs/>
                <w:color w:val="000000" w:themeColor="text1"/>
                <w:sz w:val="24"/>
                <w14:textFill>
                  <w14:solidFill>
                    <w14:schemeClr w14:val="tx1"/>
                  </w14:solidFill>
                </w14:textFill>
              </w:rPr>
              <w:t>云南松林包含的群落为：云南松-小叶栒子-白茅群落，</w:t>
            </w:r>
            <w:r>
              <w:rPr>
                <w:bCs/>
                <w:color w:val="000000" w:themeColor="text1"/>
                <w:sz w:val="24"/>
                <w14:textFill>
                  <w14:solidFill>
                    <w14:schemeClr w14:val="tx1"/>
                  </w14:solidFill>
                </w14:textFill>
              </w:rPr>
              <w:t>群落高约0.2-10</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，盖度在85～90%，群落分层明显，可分为乔木层、灌木层和草本层三层。</w:t>
            </w:r>
          </w:p>
          <w:p w14:paraId="205B56B9">
            <w:pPr>
              <w:snapToGrid w:val="0"/>
              <w:spacing w:line="360" w:lineRule="auto"/>
              <w:ind w:firstLine="480" w:firstLineChars="200"/>
              <w:rPr>
                <w:color w:val="000000" w:themeColor="text1"/>
                <w:sz w:val="24"/>
                <w14:textFill>
                  <w14:solidFill>
                    <w14:schemeClr w14:val="tx1"/>
                  </w14:solidFill>
                </w14:textFill>
              </w:rPr>
            </w:pPr>
            <w:r>
              <w:rPr>
                <w:bCs/>
                <w:color w:val="000000" w:themeColor="text1"/>
                <w:sz w:val="24"/>
                <w14:textFill>
                  <w14:solidFill>
                    <w14:schemeClr w14:val="tx1"/>
                  </w14:solidFill>
                </w14:textFill>
              </w:rPr>
              <w:t>乔木层一般高3-12</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，组成树种以云南松为绝对优势，为建群种，层中伴有</w:t>
            </w:r>
            <w:r>
              <w:rPr>
                <w:color w:val="000000" w:themeColor="text1"/>
                <w:sz w:val="24"/>
                <w14:textFill>
                  <w14:solidFill>
                    <w14:schemeClr w14:val="tx1"/>
                  </w14:solidFill>
                </w14:textFill>
              </w:rPr>
              <w:t>华山松</w:t>
            </w:r>
            <w:r>
              <w:rPr>
                <w:i/>
                <w:iCs/>
                <w:color w:val="000000" w:themeColor="text1"/>
                <w:sz w:val="24"/>
                <w14:textFill>
                  <w14:solidFill>
                    <w14:schemeClr w14:val="tx1"/>
                  </w14:solidFill>
                </w14:textFill>
              </w:rPr>
              <w:t>Cunninghamia lanceolata</w:t>
            </w:r>
            <w:r>
              <w:rPr>
                <w:color w:val="000000" w:themeColor="text1"/>
                <w:sz w:val="24"/>
                <w14:textFill>
                  <w14:solidFill>
                    <w14:schemeClr w14:val="tx1"/>
                  </w14:solidFill>
                </w14:textFill>
              </w:rPr>
              <w:t xml:space="preserve">、滇青冈 </w:t>
            </w:r>
            <w:r>
              <w:rPr>
                <w:i/>
                <w:iCs/>
                <w:color w:val="000000" w:themeColor="text1"/>
                <w:sz w:val="24"/>
                <w14:textFill>
                  <w14:solidFill>
                    <w14:schemeClr w14:val="tx1"/>
                  </w14:solidFill>
                </w14:textFill>
              </w:rPr>
              <w:t xml:space="preserve">Quercus glaucoides </w:t>
            </w:r>
            <w:r>
              <w:rPr>
                <w:bCs/>
                <w:color w:val="000000" w:themeColor="text1"/>
                <w:sz w:val="24"/>
                <w14:textFill>
                  <w14:solidFill>
                    <w14:schemeClr w14:val="tx1"/>
                  </w14:solidFill>
                </w14:textFill>
              </w:rPr>
              <w:t>等。</w:t>
            </w:r>
          </w:p>
          <w:p w14:paraId="6B1AAFED">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灌木层高约0.5-1.2</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，种类组成较简单，一般层盖度为10～15%。灌木层主要物种为云南松</w:t>
            </w:r>
            <w:r>
              <w:rPr>
                <w:bCs/>
                <w:i/>
                <w:iCs/>
                <w:color w:val="000000" w:themeColor="text1"/>
                <w:sz w:val="24"/>
                <w14:textFill>
                  <w14:solidFill>
                    <w14:schemeClr w14:val="tx1"/>
                  </w14:solidFill>
                </w14:textFill>
              </w:rPr>
              <w:t>Pinus yunnanensis</w:t>
            </w:r>
            <w:r>
              <w:rPr>
                <w:bCs/>
                <w:color w:val="000000" w:themeColor="text1"/>
                <w:sz w:val="24"/>
                <w14:textFill>
                  <w14:solidFill>
                    <w14:schemeClr w14:val="tx1"/>
                  </w14:solidFill>
                </w14:textFill>
              </w:rPr>
              <w:t>、珍珠花</w:t>
            </w:r>
            <w:r>
              <w:rPr>
                <w:bCs/>
                <w:i/>
                <w:iCs/>
                <w:color w:val="000000" w:themeColor="text1"/>
                <w:sz w:val="24"/>
                <w14:textFill>
                  <w14:solidFill>
                    <w14:schemeClr w14:val="tx1"/>
                  </w14:solidFill>
                </w14:textFill>
              </w:rPr>
              <w:t>Lyonia ovalifolia</w:t>
            </w:r>
            <w:r>
              <w:rPr>
                <w:bCs/>
                <w:color w:val="000000" w:themeColor="text1"/>
                <w:sz w:val="24"/>
                <w14:textFill>
                  <w14:solidFill>
                    <w14:schemeClr w14:val="tx1"/>
                  </w14:solidFill>
                </w14:textFill>
              </w:rPr>
              <w:t>、小叶栒子</w:t>
            </w:r>
            <w:r>
              <w:rPr>
                <w:bCs/>
                <w:i/>
                <w:iCs/>
                <w:color w:val="000000" w:themeColor="text1"/>
                <w:sz w:val="24"/>
                <w14:textFill>
                  <w14:solidFill>
                    <w14:schemeClr w14:val="tx1"/>
                  </w14:solidFill>
                </w14:textFill>
              </w:rPr>
              <w:t>Cotoneaster microphyllus</w:t>
            </w:r>
            <w:r>
              <w:rPr>
                <w:bCs/>
                <w:color w:val="000000" w:themeColor="text1"/>
                <w:sz w:val="24"/>
                <w14:textFill>
                  <w14:solidFill>
                    <w14:schemeClr w14:val="tx1"/>
                  </w14:solidFill>
                </w14:textFill>
              </w:rPr>
              <w:t>、火棘</w:t>
            </w:r>
            <w:r>
              <w:rPr>
                <w:bCs/>
                <w:i/>
                <w:iCs/>
                <w:color w:val="000000" w:themeColor="text1"/>
                <w:sz w:val="24"/>
                <w14:textFill>
                  <w14:solidFill>
                    <w14:schemeClr w14:val="tx1"/>
                  </w14:solidFill>
                </w14:textFill>
              </w:rPr>
              <w:t>Pyracantha fortuneana、</w:t>
            </w:r>
            <w:r>
              <w:rPr>
                <w:bCs/>
                <w:color w:val="000000" w:themeColor="text1"/>
                <w:sz w:val="24"/>
                <w14:textFill>
                  <w14:solidFill>
                    <w14:schemeClr w14:val="tx1"/>
                  </w14:solidFill>
                </w14:textFill>
              </w:rPr>
              <w:t xml:space="preserve">野拔子 </w:t>
            </w:r>
            <w:r>
              <w:rPr>
                <w:bCs/>
                <w:i/>
                <w:iCs/>
                <w:color w:val="000000" w:themeColor="text1"/>
                <w:sz w:val="24"/>
                <w14:textFill>
                  <w14:solidFill>
                    <w14:schemeClr w14:val="tx1"/>
                  </w14:solidFill>
                </w14:textFill>
              </w:rPr>
              <w:t>Elsholtzia rugulosa</w:t>
            </w:r>
            <w:r>
              <w:rPr>
                <w:bCs/>
                <w:color w:val="000000" w:themeColor="text1"/>
                <w:sz w:val="24"/>
                <w14:textFill>
                  <w14:solidFill>
                    <w14:schemeClr w14:val="tx1"/>
                  </w14:solidFill>
                </w14:textFill>
              </w:rPr>
              <w:t>等。</w:t>
            </w:r>
          </w:p>
          <w:p w14:paraId="79DC0431">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草本层高0.2～0.5</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，层盖度约15-20%，主要种类组成为白茅</w:t>
            </w:r>
            <w:r>
              <w:rPr>
                <w:bCs/>
                <w:i/>
                <w:color w:val="000000" w:themeColor="text1"/>
                <w:sz w:val="24"/>
                <w14:textFill>
                  <w14:solidFill>
                    <w14:schemeClr w14:val="tx1"/>
                  </w14:solidFill>
                </w14:textFill>
              </w:rPr>
              <w:t>Imperata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cylindrica</w:t>
            </w:r>
            <w:r>
              <w:rPr>
                <w:bCs/>
                <w:color w:val="000000" w:themeColor="text1"/>
                <w:sz w:val="24"/>
                <w14:textFill>
                  <w14:solidFill>
                    <w14:schemeClr w14:val="tx1"/>
                  </w14:solidFill>
                </w14:textFill>
              </w:rPr>
              <w:t xml:space="preserve">、紫茎泽兰 </w:t>
            </w:r>
            <w:r>
              <w:rPr>
                <w:bCs/>
                <w:i/>
                <w:color w:val="000000" w:themeColor="text1"/>
                <w:sz w:val="24"/>
                <w14:textFill>
                  <w14:solidFill>
                    <w14:schemeClr w14:val="tx1"/>
                  </w14:solidFill>
                </w14:textFill>
              </w:rPr>
              <w:t>Ageratina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adenophora</w:t>
            </w:r>
            <w:r>
              <w:rPr>
                <w:bCs/>
                <w:color w:val="000000" w:themeColor="text1"/>
                <w:sz w:val="24"/>
                <w14:textFill>
                  <w14:solidFill>
                    <w14:schemeClr w14:val="tx1"/>
                  </w14:solidFill>
                </w14:textFill>
              </w:rPr>
              <w:t>、毛蕨菜</w:t>
            </w:r>
            <w:r>
              <w:rPr>
                <w:bCs/>
                <w:i/>
                <w:color w:val="000000" w:themeColor="text1"/>
                <w:sz w:val="24"/>
                <w14:textFill>
                  <w14:solidFill>
                    <w14:schemeClr w14:val="tx1"/>
                  </w14:solidFill>
                </w14:textFill>
              </w:rPr>
              <w:t>Pteridium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revolutum</w:t>
            </w:r>
            <w:r>
              <w:rPr>
                <w:bCs/>
                <w:color w:val="000000" w:themeColor="text1"/>
                <w:sz w:val="24"/>
                <w14:textFill>
                  <w14:solidFill>
                    <w14:schemeClr w14:val="tx1"/>
                  </w14:solidFill>
                </w14:textFill>
              </w:rPr>
              <w:t xml:space="preserve">、土牛膝 </w:t>
            </w:r>
            <w:r>
              <w:rPr>
                <w:bCs/>
                <w:i/>
                <w:color w:val="000000" w:themeColor="text1"/>
                <w:sz w:val="24"/>
                <w14:textFill>
                  <w14:solidFill>
                    <w14:schemeClr w14:val="tx1"/>
                  </w14:solidFill>
                </w14:textFill>
              </w:rPr>
              <w:t>Achyranthes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asper</w:t>
            </w:r>
            <w:r>
              <w:rPr>
                <w:bCs/>
                <w:color w:val="000000" w:themeColor="text1"/>
                <w:sz w:val="24"/>
                <w14:textFill>
                  <w14:solidFill>
                    <w14:schemeClr w14:val="tx1"/>
                  </w14:solidFill>
                </w14:textFill>
              </w:rPr>
              <w:t>、鬼针草</w:t>
            </w:r>
            <w:r>
              <w:rPr>
                <w:bCs/>
                <w:i/>
                <w:color w:val="000000" w:themeColor="text1"/>
                <w:sz w:val="24"/>
                <w14:textFill>
                  <w14:solidFill>
                    <w14:schemeClr w14:val="tx1"/>
                  </w14:solidFill>
                </w14:textFill>
              </w:rPr>
              <w:t>Bidens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pilosa</w:t>
            </w:r>
            <w:r>
              <w:rPr>
                <w:bCs/>
                <w:color w:val="000000" w:themeColor="text1"/>
                <w:sz w:val="24"/>
                <w14:textFill>
                  <w14:solidFill>
                    <w14:schemeClr w14:val="tx1"/>
                  </w14:solidFill>
                </w14:textFill>
              </w:rPr>
              <w:t xml:space="preserve">、星毛繁缕 </w:t>
            </w:r>
            <w:r>
              <w:rPr>
                <w:bCs/>
                <w:i/>
                <w:color w:val="000000" w:themeColor="text1"/>
                <w:sz w:val="24"/>
                <w14:textFill>
                  <w14:solidFill>
                    <w14:schemeClr w14:val="tx1"/>
                  </w14:solidFill>
                </w14:textFill>
              </w:rPr>
              <w:t>Stellaria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vestita</w:t>
            </w:r>
            <w:r>
              <w:rPr>
                <w:bCs/>
                <w:color w:val="000000" w:themeColor="text1"/>
                <w:sz w:val="24"/>
                <w14:textFill>
                  <w14:solidFill>
                    <w14:schemeClr w14:val="tx1"/>
                  </w14:solidFill>
                </w14:textFill>
              </w:rPr>
              <w:t>、西南委陵菜</w:t>
            </w:r>
            <w:r>
              <w:rPr>
                <w:bCs/>
                <w:i/>
                <w:color w:val="000000" w:themeColor="text1"/>
                <w:sz w:val="24"/>
                <w14:textFill>
                  <w14:solidFill>
                    <w14:schemeClr w14:val="tx1"/>
                  </w14:solidFill>
                </w14:textFill>
              </w:rPr>
              <w:t>Potentilla fulgens</w:t>
            </w:r>
            <w:r>
              <w:rPr>
                <w:bCs/>
                <w:color w:val="000000" w:themeColor="text1"/>
                <w:sz w:val="24"/>
                <w14:textFill>
                  <w14:solidFill>
                    <w14:schemeClr w14:val="tx1"/>
                  </w14:solidFill>
                </w14:textFill>
              </w:rPr>
              <w:t xml:space="preserve">、云南兔儿风 </w:t>
            </w:r>
            <w:r>
              <w:rPr>
                <w:bCs/>
                <w:i/>
                <w:color w:val="000000" w:themeColor="text1"/>
                <w:sz w:val="24"/>
                <w14:textFill>
                  <w14:solidFill>
                    <w14:schemeClr w14:val="tx1"/>
                  </w14:solidFill>
                </w14:textFill>
              </w:rPr>
              <w:t>Ainsliaea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yunnanensis</w:t>
            </w:r>
            <w:r>
              <w:rPr>
                <w:bCs/>
                <w:color w:val="000000" w:themeColor="text1"/>
                <w:sz w:val="24"/>
                <w14:textFill>
                  <w14:solidFill>
                    <w14:schemeClr w14:val="tx1"/>
                  </w14:solidFill>
                </w14:textFill>
              </w:rPr>
              <w:t xml:space="preserve">、偏翅唐松草 </w:t>
            </w:r>
            <w:r>
              <w:rPr>
                <w:bCs/>
                <w:i/>
                <w:color w:val="000000" w:themeColor="text1"/>
                <w:sz w:val="24"/>
                <w14:textFill>
                  <w14:solidFill>
                    <w14:schemeClr w14:val="tx1"/>
                  </w14:solidFill>
                </w14:textFill>
              </w:rPr>
              <w:t>Thalictrum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delavayi</w:t>
            </w:r>
            <w:r>
              <w:rPr>
                <w:bCs/>
                <w:color w:val="000000" w:themeColor="text1"/>
                <w:sz w:val="24"/>
                <w14:textFill>
                  <w14:solidFill>
                    <w14:schemeClr w14:val="tx1"/>
                  </w14:solidFill>
                </w14:textFill>
              </w:rPr>
              <w:t xml:space="preserve">、细叶婆婆纳 </w:t>
            </w:r>
            <w:r>
              <w:rPr>
                <w:bCs/>
                <w:i/>
                <w:color w:val="000000" w:themeColor="text1"/>
                <w:sz w:val="24"/>
                <w14:textFill>
                  <w14:solidFill>
                    <w14:schemeClr w14:val="tx1"/>
                  </w14:solidFill>
                </w14:textFill>
              </w:rPr>
              <w:t>Pseudolysimachion</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linariifolium</w:t>
            </w:r>
            <w:r>
              <w:rPr>
                <w:bCs/>
                <w:color w:val="000000" w:themeColor="text1"/>
                <w:sz w:val="24"/>
                <w14:textFill>
                  <w14:solidFill>
                    <w14:schemeClr w14:val="tx1"/>
                  </w14:solidFill>
                </w14:textFill>
              </w:rPr>
              <w:t>、沿阶草</w:t>
            </w:r>
            <w:r>
              <w:rPr>
                <w:bCs/>
                <w:i/>
                <w:color w:val="000000" w:themeColor="text1"/>
                <w:sz w:val="24"/>
                <w14:textFill>
                  <w14:solidFill>
                    <w14:schemeClr w14:val="tx1"/>
                  </w14:solidFill>
                </w14:textFill>
              </w:rPr>
              <w:t>Ophiopogon bodinieri</w:t>
            </w:r>
            <w:r>
              <w:rPr>
                <w:bCs/>
                <w:color w:val="000000" w:themeColor="text1"/>
                <w:sz w:val="24"/>
                <w14:textFill>
                  <w14:solidFill>
                    <w14:schemeClr w14:val="tx1"/>
                  </w14:solidFill>
                </w14:textFill>
              </w:rPr>
              <w:t>、黄毛草莓</w:t>
            </w:r>
            <w:r>
              <w:rPr>
                <w:bCs/>
                <w:i/>
                <w:color w:val="000000" w:themeColor="text1"/>
                <w:sz w:val="24"/>
                <w14:textFill>
                  <w14:solidFill>
                    <w14:schemeClr w14:val="tx1"/>
                  </w14:solidFill>
                </w14:textFill>
              </w:rPr>
              <w:t>Fragaria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nilgerrensis</w:t>
            </w:r>
            <w:r>
              <w:rPr>
                <w:bCs/>
                <w:color w:val="000000" w:themeColor="text1"/>
                <w:spacing w:val="12"/>
                <w:sz w:val="24"/>
                <w14:textFill>
                  <w14:solidFill>
                    <w14:schemeClr w14:val="tx1"/>
                  </w14:solidFill>
                </w14:textFill>
              </w:rPr>
              <w:t>等。</w:t>
            </w:r>
          </w:p>
          <w:p w14:paraId="0899B7A0">
            <w:pPr>
              <w:widowControl/>
              <w:snapToGrid w:val="0"/>
              <w:spacing w:line="360" w:lineRule="auto"/>
              <w:ind w:firstLine="482" w:firstLineChars="200"/>
              <w:rPr>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②</w:t>
            </w:r>
            <w:r>
              <w:rPr>
                <w:b/>
                <w:color w:val="000000" w:themeColor="text1"/>
                <w:sz w:val="24"/>
                <w14:textFill>
                  <w14:solidFill>
                    <w14:schemeClr w14:val="tx1"/>
                  </w14:solidFill>
                </w14:textFill>
              </w:rPr>
              <w:t>华山松林</w:t>
            </w:r>
          </w:p>
          <w:p w14:paraId="0C26374A">
            <w:pPr>
              <w:snapToGrid w:val="0"/>
              <w:spacing w:line="360" w:lineRule="auto"/>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华山松林包含的群落为：华山松-小叶栒子-白茅群落。本群落</w:t>
            </w:r>
            <w:r>
              <w:rPr>
                <w:bCs/>
                <w:color w:val="000000" w:themeColor="text1"/>
                <w:sz w:val="24"/>
                <w14:textFill>
                  <w14:solidFill>
                    <w14:schemeClr w14:val="tx1"/>
                  </w14:solidFill>
                </w14:textFill>
              </w:rPr>
              <w:t>乔木层一般高4-10</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，组成树种以华山松</w:t>
            </w:r>
            <w:r>
              <w:rPr>
                <w:i/>
                <w:iCs/>
                <w:color w:val="000000" w:themeColor="text1"/>
                <w:sz w:val="24"/>
                <w14:textFill>
                  <w14:solidFill>
                    <w14:schemeClr w14:val="tx1"/>
                  </w14:solidFill>
                </w14:textFill>
              </w:rPr>
              <w:t>Cunninghamia lanceolata</w:t>
            </w:r>
            <w:r>
              <w:rPr>
                <w:bCs/>
                <w:color w:val="000000" w:themeColor="text1"/>
                <w:sz w:val="24"/>
                <w14:textFill>
                  <w14:solidFill>
                    <w14:schemeClr w14:val="tx1"/>
                  </w14:solidFill>
                </w14:textFill>
              </w:rPr>
              <w:t>为绝对优势，为建群种，层中伴有</w:t>
            </w:r>
            <w:r>
              <w:rPr>
                <w:color w:val="000000" w:themeColor="text1"/>
                <w:sz w:val="24"/>
                <w14:textFill>
                  <w14:solidFill>
                    <w14:schemeClr w14:val="tx1"/>
                  </w14:solidFill>
                </w14:textFill>
              </w:rPr>
              <w:t>云南松</w:t>
            </w:r>
            <w:r>
              <w:rPr>
                <w:i/>
                <w:iCs/>
                <w:color w:val="000000" w:themeColor="text1"/>
                <w:sz w:val="24"/>
                <w14:textFill>
                  <w14:solidFill>
                    <w14:schemeClr w14:val="tx1"/>
                  </w14:solidFill>
                </w14:textFill>
              </w:rPr>
              <w:t>Pinus yunnanensis</w:t>
            </w:r>
            <w:r>
              <w:rPr>
                <w:color w:val="000000" w:themeColor="text1"/>
                <w:sz w:val="24"/>
                <w14:textFill>
                  <w14:solidFill>
                    <w14:schemeClr w14:val="tx1"/>
                  </w14:solidFill>
                </w14:textFill>
              </w:rPr>
              <w:t xml:space="preserve">、滇青冈 </w:t>
            </w:r>
            <w:r>
              <w:rPr>
                <w:i/>
                <w:iCs/>
                <w:color w:val="000000" w:themeColor="text1"/>
                <w:sz w:val="24"/>
                <w14:textFill>
                  <w14:solidFill>
                    <w14:schemeClr w14:val="tx1"/>
                  </w14:solidFill>
                </w14:textFill>
              </w:rPr>
              <w:t xml:space="preserve">Quercus glaucoides </w:t>
            </w:r>
            <w:r>
              <w:rPr>
                <w:bCs/>
                <w:color w:val="000000" w:themeColor="text1"/>
                <w:sz w:val="24"/>
                <w14:textFill>
                  <w14:solidFill>
                    <w14:schemeClr w14:val="tx1"/>
                  </w14:solidFill>
                </w14:textFill>
              </w:rPr>
              <w:t>等。</w:t>
            </w:r>
          </w:p>
          <w:p w14:paraId="3123D445">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灌木层高约0.6-1.5</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，种类组成较简单，一般层盖度为10～15%。灌木层主要物种为华山松</w:t>
            </w:r>
            <w:r>
              <w:rPr>
                <w:i/>
                <w:iCs/>
                <w:color w:val="000000" w:themeColor="text1"/>
                <w:sz w:val="24"/>
                <w14:textFill>
                  <w14:solidFill>
                    <w14:schemeClr w14:val="tx1"/>
                  </w14:solidFill>
                </w14:textFill>
              </w:rPr>
              <w:t>Cunninghamia lanceolata</w:t>
            </w:r>
            <w:r>
              <w:rPr>
                <w:bCs/>
                <w:color w:val="000000" w:themeColor="text1"/>
                <w:sz w:val="24"/>
                <w14:textFill>
                  <w14:solidFill>
                    <w14:schemeClr w14:val="tx1"/>
                  </w14:solidFill>
                </w14:textFill>
              </w:rPr>
              <w:t>、川梨</w:t>
            </w:r>
            <w:r>
              <w:rPr>
                <w:bCs/>
                <w:i/>
                <w:iCs/>
                <w:color w:val="000000" w:themeColor="text1"/>
                <w:sz w:val="24"/>
                <w14:textFill>
                  <w14:solidFill>
                    <w14:schemeClr w14:val="tx1"/>
                  </w14:solidFill>
                </w14:textFill>
              </w:rPr>
              <w:t>Pyrus pashia</w:t>
            </w:r>
            <w:r>
              <w:rPr>
                <w:bCs/>
                <w:color w:val="000000" w:themeColor="text1"/>
                <w:sz w:val="24"/>
                <w14:textFill>
                  <w14:solidFill>
                    <w14:schemeClr w14:val="tx1"/>
                  </w14:solidFill>
                </w14:textFill>
              </w:rPr>
              <w:t>、青刺尖Prinsepia utilis、小叶栒子</w:t>
            </w:r>
            <w:r>
              <w:rPr>
                <w:bCs/>
                <w:i/>
                <w:iCs/>
                <w:color w:val="000000" w:themeColor="text1"/>
                <w:sz w:val="24"/>
                <w14:textFill>
                  <w14:solidFill>
                    <w14:schemeClr w14:val="tx1"/>
                  </w14:solidFill>
                </w14:textFill>
              </w:rPr>
              <w:t>Cotoneaster microphyllus</w:t>
            </w:r>
            <w:r>
              <w:rPr>
                <w:bCs/>
                <w:color w:val="000000" w:themeColor="text1"/>
                <w:sz w:val="24"/>
                <w14:textFill>
                  <w14:solidFill>
                    <w14:schemeClr w14:val="tx1"/>
                  </w14:solidFill>
                </w14:textFill>
              </w:rPr>
              <w:t>、火棘</w:t>
            </w:r>
            <w:r>
              <w:rPr>
                <w:bCs/>
                <w:i/>
                <w:iCs/>
                <w:color w:val="000000" w:themeColor="text1"/>
                <w:sz w:val="24"/>
                <w14:textFill>
                  <w14:solidFill>
                    <w14:schemeClr w14:val="tx1"/>
                  </w14:solidFill>
                </w14:textFill>
              </w:rPr>
              <w:t>Pyracantha fortuneana、</w:t>
            </w:r>
            <w:r>
              <w:rPr>
                <w:bCs/>
                <w:color w:val="000000" w:themeColor="text1"/>
                <w:sz w:val="24"/>
                <w14:textFill>
                  <w14:solidFill>
                    <w14:schemeClr w14:val="tx1"/>
                  </w14:solidFill>
                </w14:textFill>
              </w:rPr>
              <w:t xml:space="preserve">野拔子 </w:t>
            </w:r>
            <w:r>
              <w:rPr>
                <w:bCs/>
                <w:i/>
                <w:iCs/>
                <w:color w:val="000000" w:themeColor="text1"/>
                <w:sz w:val="24"/>
                <w14:textFill>
                  <w14:solidFill>
                    <w14:schemeClr w14:val="tx1"/>
                  </w14:solidFill>
                </w14:textFill>
              </w:rPr>
              <w:t>Elsholtzia rugulosa</w:t>
            </w:r>
            <w:r>
              <w:rPr>
                <w:bCs/>
                <w:color w:val="000000" w:themeColor="text1"/>
                <w:sz w:val="24"/>
                <w14:textFill>
                  <w14:solidFill>
                    <w14:schemeClr w14:val="tx1"/>
                  </w14:solidFill>
                </w14:textFill>
              </w:rPr>
              <w:t>等。</w:t>
            </w:r>
          </w:p>
          <w:p w14:paraId="4693325C">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草本层高0.2～0.5</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，层盖度约15-25%，主要种类组成为白茅</w:t>
            </w:r>
            <w:r>
              <w:rPr>
                <w:bCs/>
                <w:i/>
                <w:color w:val="000000" w:themeColor="text1"/>
                <w:sz w:val="24"/>
                <w14:textFill>
                  <w14:solidFill>
                    <w14:schemeClr w14:val="tx1"/>
                  </w14:solidFill>
                </w14:textFill>
              </w:rPr>
              <w:t>Imperata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cylindrica</w:t>
            </w:r>
            <w:r>
              <w:rPr>
                <w:bCs/>
                <w:color w:val="000000" w:themeColor="text1"/>
                <w:sz w:val="24"/>
                <w14:textFill>
                  <w14:solidFill>
                    <w14:schemeClr w14:val="tx1"/>
                  </w14:solidFill>
                </w14:textFill>
              </w:rPr>
              <w:t>、金发草</w:t>
            </w:r>
            <w:r>
              <w:rPr>
                <w:bCs/>
                <w:i/>
                <w:iCs/>
                <w:color w:val="000000" w:themeColor="text1"/>
                <w:sz w:val="24"/>
                <w14:textFill>
                  <w14:solidFill>
                    <w14:schemeClr w14:val="tx1"/>
                  </w14:solidFill>
                </w14:textFill>
              </w:rPr>
              <w:t>Pogonatherum paniceum</w:t>
            </w:r>
            <w:r>
              <w:rPr>
                <w:bCs/>
                <w:color w:val="000000" w:themeColor="text1"/>
                <w:sz w:val="24"/>
                <w14:textFill>
                  <w14:solidFill>
                    <w14:schemeClr w14:val="tx1"/>
                  </w14:solidFill>
                </w14:textFill>
              </w:rPr>
              <w:t>、天南星</w:t>
            </w:r>
            <w:r>
              <w:rPr>
                <w:bCs/>
                <w:i/>
                <w:iCs/>
                <w:color w:val="000000" w:themeColor="text1"/>
                <w:sz w:val="24"/>
                <w14:textFill>
                  <w14:solidFill>
                    <w14:schemeClr w14:val="tx1"/>
                  </w14:solidFill>
                </w14:textFill>
              </w:rPr>
              <w:t>Arisaema heterophyllum</w:t>
            </w:r>
            <w:r>
              <w:rPr>
                <w:bCs/>
                <w:color w:val="000000" w:themeColor="text1"/>
                <w:sz w:val="24"/>
                <w14:textFill>
                  <w14:solidFill>
                    <w14:schemeClr w14:val="tx1"/>
                  </w14:solidFill>
                </w14:textFill>
              </w:rPr>
              <w:t xml:space="preserve">、土牛膝 </w:t>
            </w:r>
            <w:r>
              <w:rPr>
                <w:bCs/>
                <w:i/>
                <w:color w:val="000000" w:themeColor="text1"/>
                <w:sz w:val="24"/>
                <w14:textFill>
                  <w14:solidFill>
                    <w14:schemeClr w14:val="tx1"/>
                  </w14:solidFill>
                </w14:textFill>
              </w:rPr>
              <w:t>Achyranthes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asper</w:t>
            </w:r>
            <w:r>
              <w:rPr>
                <w:bCs/>
                <w:color w:val="000000" w:themeColor="text1"/>
                <w:sz w:val="24"/>
                <w14:textFill>
                  <w14:solidFill>
                    <w14:schemeClr w14:val="tx1"/>
                  </w14:solidFill>
                </w14:textFill>
              </w:rPr>
              <w:t>、鬼针草</w:t>
            </w:r>
            <w:r>
              <w:rPr>
                <w:bCs/>
                <w:i/>
                <w:color w:val="000000" w:themeColor="text1"/>
                <w:sz w:val="24"/>
                <w14:textFill>
                  <w14:solidFill>
                    <w14:schemeClr w14:val="tx1"/>
                  </w14:solidFill>
                </w14:textFill>
              </w:rPr>
              <w:t>Bidens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pilosa</w:t>
            </w:r>
            <w:r>
              <w:rPr>
                <w:bCs/>
                <w:color w:val="000000" w:themeColor="text1"/>
                <w:sz w:val="24"/>
                <w14:textFill>
                  <w14:solidFill>
                    <w14:schemeClr w14:val="tx1"/>
                  </w14:solidFill>
                </w14:textFill>
              </w:rPr>
              <w:t xml:space="preserve">、星毛繁缕 </w:t>
            </w:r>
            <w:r>
              <w:rPr>
                <w:bCs/>
                <w:i/>
                <w:color w:val="000000" w:themeColor="text1"/>
                <w:sz w:val="24"/>
                <w14:textFill>
                  <w14:solidFill>
                    <w14:schemeClr w14:val="tx1"/>
                  </w14:solidFill>
                </w14:textFill>
              </w:rPr>
              <w:t>Stellaria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vestita</w:t>
            </w:r>
            <w:r>
              <w:rPr>
                <w:bCs/>
                <w:color w:val="000000" w:themeColor="text1"/>
                <w:sz w:val="24"/>
                <w14:textFill>
                  <w14:solidFill>
                    <w14:schemeClr w14:val="tx1"/>
                  </w14:solidFill>
                </w14:textFill>
              </w:rPr>
              <w:t>、西南委陵菜</w:t>
            </w:r>
            <w:r>
              <w:rPr>
                <w:bCs/>
                <w:i/>
                <w:color w:val="000000" w:themeColor="text1"/>
                <w:sz w:val="24"/>
                <w14:textFill>
                  <w14:solidFill>
                    <w14:schemeClr w14:val="tx1"/>
                  </w14:solidFill>
                </w14:textFill>
              </w:rPr>
              <w:t>Potentilla fulgens</w:t>
            </w:r>
            <w:r>
              <w:rPr>
                <w:bCs/>
                <w:color w:val="000000" w:themeColor="text1"/>
                <w:sz w:val="24"/>
                <w14:textFill>
                  <w14:solidFill>
                    <w14:schemeClr w14:val="tx1"/>
                  </w14:solidFill>
                </w14:textFill>
              </w:rPr>
              <w:t xml:space="preserve">、云南兔儿风 </w:t>
            </w:r>
            <w:r>
              <w:rPr>
                <w:bCs/>
                <w:i/>
                <w:color w:val="000000" w:themeColor="text1"/>
                <w:sz w:val="24"/>
                <w14:textFill>
                  <w14:solidFill>
                    <w14:schemeClr w14:val="tx1"/>
                  </w14:solidFill>
                </w14:textFill>
              </w:rPr>
              <w:t>Ainsliaea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yunnanensis</w:t>
            </w:r>
            <w:r>
              <w:rPr>
                <w:bCs/>
                <w:color w:val="000000" w:themeColor="text1"/>
                <w:sz w:val="24"/>
                <w14:textFill>
                  <w14:solidFill>
                    <w14:schemeClr w14:val="tx1"/>
                  </w14:solidFill>
                </w14:textFill>
              </w:rPr>
              <w:t xml:space="preserve">、偏翅唐松草 </w:t>
            </w:r>
            <w:r>
              <w:rPr>
                <w:bCs/>
                <w:i/>
                <w:color w:val="000000" w:themeColor="text1"/>
                <w:sz w:val="24"/>
                <w14:textFill>
                  <w14:solidFill>
                    <w14:schemeClr w14:val="tx1"/>
                  </w14:solidFill>
                </w14:textFill>
              </w:rPr>
              <w:t>Thalictrum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delavayi</w:t>
            </w:r>
            <w:r>
              <w:rPr>
                <w:bCs/>
                <w:color w:val="000000" w:themeColor="text1"/>
                <w:sz w:val="24"/>
                <w14:textFill>
                  <w14:solidFill>
                    <w14:schemeClr w14:val="tx1"/>
                  </w14:solidFill>
                </w14:textFill>
              </w:rPr>
              <w:t xml:space="preserve">、细叶婆婆纳 </w:t>
            </w:r>
            <w:r>
              <w:rPr>
                <w:bCs/>
                <w:i/>
                <w:color w:val="000000" w:themeColor="text1"/>
                <w:sz w:val="24"/>
                <w14:textFill>
                  <w14:solidFill>
                    <w14:schemeClr w14:val="tx1"/>
                  </w14:solidFill>
                </w14:textFill>
              </w:rPr>
              <w:t>Pseudolysimachion</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linariifolium</w:t>
            </w:r>
            <w:r>
              <w:rPr>
                <w:bCs/>
                <w:color w:val="000000" w:themeColor="text1"/>
                <w:sz w:val="24"/>
                <w14:textFill>
                  <w14:solidFill>
                    <w14:schemeClr w14:val="tx1"/>
                  </w14:solidFill>
                </w14:textFill>
              </w:rPr>
              <w:t>、沿阶草</w:t>
            </w:r>
            <w:r>
              <w:rPr>
                <w:bCs/>
                <w:i/>
                <w:color w:val="000000" w:themeColor="text1"/>
                <w:sz w:val="24"/>
                <w14:textFill>
                  <w14:solidFill>
                    <w14:schemeClr w14:val="tx1"/>
                  </w14:solidFill>
                </w14:textFill>
              </w:rPr>
              <w:t>Ophiopogon bodinieri</w:t>
            </w:r>
            <w:r>
              <w:rPr>
                <w:bCs/>
                <w:color w:val="000000" w:themeColor="text1"/>
                <w:sz w:val="24"/>
                <w14:textFill>
                  <w14:solidFill>
                    <w14:schemeClr w14:val="tx1"/>
                  </w14:solidFill>
                </w14:textFill>
              </w:rPr>
              <w:t>、黄毛草莓</w:t>
            </w:r>
            <w:r>
              <w:rPr>
                <w:bCs/>
                <w:i/>
                <w:color w:val="000000" w:themeColor="text1"/>
                <w:sz w:val="24"/>
                <w14:textFill>
                  <w14:solidFill>
                    <w14:schemeClr w14:val="tx1"/>
                  </w14:solidFill>
                </w14:textFill>
              </w:rPr>
              <w:t>Fragaria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nilgerrensis</w:t>
            </w:r>
            <w:r>
              <w:rPr>
                <w:bCs/>
                <w:color w:val="000000" w:themeColor="text1"/>
                <w:spacing w:val="12"/>
                <w:sz w:val="24"/>
                <w14:textFill>
                  <w14:solidFill>
                    <w14:schemeClr w14:val="tx1"/>
                  </w14:solidFill>
                </w14:textFill>
              </w:rPr>
              <w:t>等。</w:t>
            </w:r>
          </w:p>
          <w:p w14:paraId="17FFBE5A">
            <w:pPr>
              <w:snapToGrid w:val="0"/>
              <w:spacing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Ⅱ暖温性石灰岩灌丛</w:t>
            </w:r>
          </w:p>
          <w:p w14:paraId="49364EBF">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调查区内的灌丛是源于半湿润常绿阔叶林遭人为砍伐、被山火烧等严重干扰破坏后萌发形成的，是次生性质较强的植被类型。调查区内主要见于山脊沿线、山坡以及土壤瘠薄区域，分布较为广泛。该植被类型在调查区内主要有1个群系，即暖性石灰岩灌丛。暖性石灰岩灌丛在野外考察主要发现为小叶栒子、火棘灌丛。</w:t>
            </w:r>
          </w:p>
          <w:p w14:paraId="272DD416">
            <w:pPr>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③小叶栒子、火棘灌丛</w:t>
            </w:r>
          </w:p>
          <w:p w14:paraId="686F3D8E">
            <w:pPr>
              <w:snapToGrid w:val="0"/>
              <w:spacing w:line="360" w:lineRule="auto"/>
              <w:ind w:firstLine="480" w:firstLineChars="200"/>
              <w:rPr>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此群系包含的群落为：</w:t>
            </w:r>
            <w:r>
              <w:rPr>
                <w:rFonts w:hint="eastAsia"/>
                <w:bCs/>
                <w:color w:val="000000" w:themeColor="text1"/>
                <w:sz w:val="24"/>
                <w14:textFill>
                  <w14:solidFill>
                    <w14:schemeClr w14:val="tx1"/>
                  </w14:solidFill>
                </w14:textFill>
              </w:rPr>
              <w:t>小叶栒子+火棘-白茅群落。</w:t>
            </w:r>
            <w:r>
              <w:rPr>
                <w:bCs/>
                <w:color w:val="000000" w:themeColor="text1"/>
                <w:sz w:val="24"/>
                <w14:textFill>
                  <w14:solidFill>
                    <w14:schemeClr w14:val="tx1"/>
                  </w14:solidFill>
                </w14:textFill>
              </w:rPr>
              <w:t>群落高0.1-1.8m，分为灌木层和草本层两层。灌木层盖度55-60%，主要由小叶栒子</w:t>
            </w:r>
            <w:r>
              <w:rPr>
                <w:bCs/>
                <w:i/>
                <w:iCs/>
                <w:color w:val="000000" w:themeColor="text1"/>
                <w:sz w:val="24"/>
                <w14:textFill>
                  <w14:solidFill>
                    <w14:schemeClr w14:val="tx1"/>
                  </w14:solidFill>
                </w14:textFill>
              </w:rPr>
              <w:t>Cotoneaster microphyllus</w:t>
            </w:r>
            <w:r>
              <w:rPr>
                <w:bCs/>
                <w:color w:val="000000" w:themeColor="text1"/>
                <w:sz w:val="24"/>
                <w14:textFill>
                  <w14:solidFill>
                    <w14:schemeClr w14:val="tx1"/>
                  </w14:solidFill>
                </w14:textFill>
              </w:rPr>
              <w:t>、火棘</w:t>
            </w:r>
            <w:r>
              <w:rPr>
                <w:bCs/>
                <w:i/>
                <w:iCs/>
                <w:color w:val="000000" w:themeColor="text1"/>
                <w:sz w:val="24"/>
                <w14:textFill>
                  <w14:solidFill>
                    <w14:schemeClr w14:val="tx1"/>
                  </w14:solidFill>
                </w14:textFill>
              </w:rPr>
              <w:t>Pyracantha fortuneana</w:t>
            </w:r>
            <w:r>
              <w:rPr>
                <w:bCs/>
                <w:color w:val="000000" w:themeColor="text1"/>
                <w:sz w:val="24"/>
                <w14:textFill>
                  <w14:solidFill>
                    <w14:schemeClr w14:val="tx1"/>
                  </w14:solidFill>
                </w14:textFill>
              </w:rPr>
              <w:t>、</w:t>
            </w:r>
            <w:r>
              <w:rPr>
                <w:color w:val="000000" w:themeColor="text1"/>
                <w:kern w:val="0"/>
                <w:sz w:val="24"/>
                <w14:textFill>
                  <w14:solidFill>
                    <w14:schemeClr w14:val="tx1"/>
                  </w14:solidFill>
                </w14:textFill>
              </w:rPr>
              <w:t>华西小石积</w:t>
            </w:r>
            <w:r>
              <w:rPr>
                <w:i/>
                <w:color w:val="000000" w:themeColor="text1"/>
                <w:kern w:val="0"/>
                <w:sz w:val="24"/>
                <w14:textFill>
                  <w14:solidFill>
                    <w14:schemeClr w14:val="tx1"/>
                  </w14:solidFill>
                </w14:textFill>
              </w:rPr>
              <w:t>Osteomeles</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schwerinae</w:t>
            </w:r>
            <w:r>
              <w:rPr>
                <w:color w:val="000000" w:themeColor="text1"/>
                <w:kern w:val="0"/>
                <w:sz w:val="24"/>
                <w14:textFill>
                  <w14:solidFill>
                    <w14:schemeClr w14:val="tx1"/>
                  </w14:solidFill>
                </w14:textFill>
              </w:rPr>
              <w:t>、马桑</w:t>
            </w:r>
            <w:r>
              <w:rPr>
                <w:i/>
                <w:color w:val="000000" w:themeColor="text1"/>
                <w:kern w:val="0"/>
                <w:sz w:val="24"/>
                <w14:textFill>
                  <w14:solidFill>
                    <w14:schemeClr w14:val="tx1"/>
                  </w14:solidFill>
                </w14:textFill>
              </w:rPr>
              <w:t>Coriaria</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nepalensis</w:t>
            </w:r>
            <w:r>
              <w:rPr>
                <w:color w:val="000000" w:themeColor="text1"/>
                <w:kern w:val="0"/>
                <w:sz w:val="24"/>
                <w14:textFill>
                  <w14:solidFill>
                    <w14:schemeClr w14:val="tx1"/>
                  </w14:solidFill>
                </w14:textFill>
              </w:rPr>
              <w:t xml:space="preserve">、川滇金丝桃 </w:t>
            </w:r>
            <w:r>
              <w:rPr>
                <w:i/>
                <w:color w:val="000000" w:themeColor="text1"/>
                <w:kern w:val="0"/>
                <w:sz w:val="24"/>
                <w14:textFill>
                  <w14:solidFill>
                    <w14:schemeClr w14:val="tx1"/>
                  </w14:solidFill>
                </w14:textFill>
              </w:rPr>
              <w:t>Hypericum</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forrestii</w:t>
            </w:r>
            <w:r>
              <w:rPr>
                <w:color w:val="000000" w:themeColor="text1"/>
                <w:kern w:val="0"/>
                <w:sz w:val="24"/>
                <w14:textFill>
                  <w14:solidFill>
                    <w14:schemeClr w14:val="tx1"/>
                  </w14:solidFill>
                </w14:textFill>
              </w:rPr>
              <w:t>、青刺尖</w:t>
            </w:r>
            <w:r>
              <w:rPr>
                <w:i/>
                <w:color w:val="000000" w:themeColor="text1"/>
                <w:kern w:val="0"/>
                <w:sz w:val="24"/>
                <w14:textFill>
                  <w14:solidFill>
                    <w14:schemeClr w14:val="tx1"/>
                  </w14:solidFill>
                </w14:textFill>
              </w:rPr>
              <w:t>Prinsepia</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utilis</w:t>
            </w:r>
            <w:r>
              <w:rPr>
                <w:color w:val="000000" w:themeColor="text1"/>
                <w:kern w:val="0"/>
                <w:sz w:val="24"/>
                <w14:textFill>
                  <w14:solidFill>
                    <w14:schemeClr w14:val="tx1"/>
                  </w14:solidFill>
                </w14:textFill>
              </w:rPr>
              <w:t>、悬钩子</w:t>
            </w:r>
            <w:r>
              <w:rPr>
                <w:i/>
                <w:color w:val="000000" w:themeColor="text1"/>
                <w:kern w:val="0"/>
                <w:sz w:val="24"/>
                <w14:textFill>
                  <w14:solidFill>
                    <w14:schemeClr w14:val="tx1"/>
                  </w14:solidFill>
                </w14:textFill>
              </w:rPr>
              <w:t>Rubus</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coreanus</w:t>
            </w:r>
            <w:r>
              <w:rPr>
                <w:color w:val="000000" w:themeColor="text1"/>
                <w:kern w:val="0"/>
                <w:sz w:val="24"/>
                <w14:textFill>
                  <w14:solidFill>
                    <w14:schemeClr w14:val="tx1"/>
                  </w14:solidFill>
                </w14:textFill>
              </w:rPr>
              <w:t>、小铁仔</w:t>
            </w:r>
            <w:r>
              <w:rPr>
                <w:i/>
                <w:color w:val="000000" w:themeColor="text1"/>
                <w:kern w:val="0"/>
                <w:sz w:val="24"/>
                <w14:textFill>
                  <w14:solidFill>
                    <w14:schemeClr w14:val="tx1"/>
                  </w14:solidFill>
                </w14:textFill>
              </w:rPr>
              <w:t>Myrsine</w:t>
            </w:r>
            <w:r>
              <w:rPr>
                <w:color w:val="000000" w:themeColor="text1"/>
                <w:kern w:val="0"/>
                <w:sz w:val="24"/>
                <w14:textFill>
                  <w14:solidFill>
                    <w14:schemeClr w14:val="tx1"/>
                  </w14:solidFill>
                </w14:textFill>
              </w:rPr>
              <w:t xml:space="preserve"> </w:t>
            </w:r>
            <w:r>
              <w:rPr>
                <w:i/>
                <w:color w:val="000000" w:themeColor="text1"/>
                <w:kern w:val="0"/>
                <w:sz w:val="24"/>
                <w14:textFill>
                  <w14:solidFill>
                    <w14:schemeClr w14:val="tx1"/>
                  </w14:solidFill>
                </w14:textFill>
              </w:rPr>
              <w:t>africana</w:t>
            </w:r>
            <w:r>
              <w:rPr>
                <w:bCs/>
                <w:color w:val="000000" w:themeColor="text1"/>
                <w:sz w:val="24"/>
                <w14:textFill>
                  <w14:solidFill>
                    <w14:schemeClr w14:val="tx1"/>
                  </w14:solidFill>
                </w14:textFill>
              </w:rPr>
              <w:t>等组成。</w:t>
            </w:r>
          </w:p>
          <w:p w14:paraId="0E996CF8">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草本层主要组成物种包括白茅</w:t>
            </w:r>
            <w:r>
              <w:rPr>
                <w:bCs/>
                <w:i/>
                <w:color w:val="000000" w:themeColor="text1"/>
                <w:sz w:val="24"/>
                <w14:textFill>
                  <w14:solidFill>
                    <w14:schemeClr w14:val="tx1"/>
                  </w14:solidFill>
                </w14:textFill>
              </w:rPr>
              <w:t>Imperata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cylindrica</w:t>
            </w:r>
            <w:r>
              <w:rPr>
                <w:bCs/>
                <w:iCs/>
                <w:color w:val="000000" w:themeColor="text1"/>
                <w:sz w:val="24"/>
                <w14:textFill>
                  <w14:solidFill>
                    <w14:schemeClr w14:val="tx1"/>
                  </w14:solidFill>
                </w14:textFill>
              </w:rPr>
              <w:t>、</w:t>
            </w:r>
            <w:r>
              <w:rPr>
                <w:bCs/>
                <w:color w:val="000000" w:themeColor="text1"/>
                <w:sz w:val="24"/>
                <w14:textFill>
                  <w14:solidFill>
                    <w14:schemeClr w14:val="tx1"/>
                  </w14:solidFill>
                </w14:textFill>
              </w:rPr>
              <w:t xml:space="preserve">毛蕨菜 </w:t>
            </w:r>
            <w:r>
              <w:rPr>
                <w:bCs/>
                <w:i/>
                <w:color w:val="000000" w:themeColor="text1"/>
                <w:sz w:val="24"/>
                <w14:textFill>
                  <w14:solidFill>
                    <w14:schemeClr w14:val="tx1"/>
                  </w14:solidFill>
                </w14:textFill>
              </w:rPr>
              <w:t>Pteridium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revolutum</w:t>
            </w:r>
            <w:r>
              <w:rPr>
                <w:bCs/>
                <w:color w:val="000000" w:themeColor="text1"/>
                <w:sz w:val="24"/>
                <w14:textFill>
                  <w14:solidFill>
                    <w14:schemeClr w14:val="tx1"/>
                  </w14:solidFill>
                </w14:textFill>
              </w:rPr>
              <w:t>、十字薹草</w:t>
            </w:r>
            <w:r>
              <w:rPr>
                <w:bCs/>
                <w:i/>
                <w:iCs/>
                <w:color w:val="000000" w:themeColor="text1"/>
                <w:sz w:val="24"/>
                <w14:textFill>
                  <w14:solidFill>
                    <w14:schemeClr w14:val="tx1"/>
                  </w14:solidFill>
                </w14:textFill>
              </w:rPr>
              <w:t>Carex cruciata</w:t>
            </w:r>
            <w:r>
              <w:rPr>
                <w:bCs/>
                <w:color w:val="000000" w:themeColor="text1"/>
                <w:sz w:val="24"/>
                <w14:textFill>
                  <w14:solidFill>
                    <w14:schemeClr w14:val="tx1"/>
                  </w14:solidFill>
                </w14:textFill>
              </w:rPr>
              <w:t>、地毯草</w:t>
            </w:r>
            <w:r>
              <w:rPr>
                <w:bCs/>
                <w:i/>
                <w:color w:val="000000" w:themeColor="text1"/>
                <w:sz w:val="24"/>
                <w14:textFill>
                  <w14:solidFill>
                    <w14:schemeClr w14:val="tx1"/>
                  </w14:solidFill>
                </w14:textFill>
              </w:rPr>
              <w:t>Axonopus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compressus</w:t>
            </w:r>
            <w:r>
              <w:rPr>
                <w:bCs/>
                <w:color w:val="000000" w:themeColor="text1"/>
                <w:sz w:val="24"/>
                <w14:textFill>
                  <w14:solidFill>
                    <w14:schemeClr w14:val="tx1"/>
                  </w14:solidFill>
                </w14:textFill>
              </w:rPr>
              <w:t>、野草莓</w:t>
            </w:r>
            <w:r>
              <w:rPr>
                <w:bCs/>
                <w:i/>
                <w:color w:val="000000" w:themeColor="text1"/>
                <w:sz w:val="24"/>
                <w14:textFill>
                  <w14:solidFill>
                    <w14:schemeClr w14:val="tx1"/>
                  </w14:solidFill>
                </w14:textFill>
              </w:rPr>
              <w:t>Fragaria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vesca</w:t>
            </w:r>
            <w:r>
              <w:rPr>
                <w:bCs/>
                <w:color w:val="000000" w:themeColor="text1"/>
                <w:sz w:val="24"/>
                <w14:textFill>
                  <w14:solidFill>
                    <w14:schemeClr w14:val="tx1"/>
                  </w14:solidFill>
                </w14:textFill>
              </w:rPr>
              <w:t xml:space="preserve">、珠光香青 </w:t>
            </w:r>
            <w:r>
              <w:rPr>
                <w:bCs/>
                <w:i/>
                <w:color w:val="000000" w:themeColor="text1"/>
                <w:sz w:val="24"/>
                <w14:textFill>
                  <w14:solidFill>
                    <w14:schemeClr w14:val="tx1"/>
                  </w14:solidFill>
                </w14:textFill>
              </w:rPr>
              <w:t>Anaphalis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margaritacea</w:t>
            </w:r>
            <w:r>
              <w:rPr>
                <w:bCs/>
                <w:color w:val="000000" w:themeColor="text1"/>
                <w:sz w:val="24"/>
                <w14:textFill>
                  <w14:solidFill>
                    <w14:schemeClr w14:val="tx1"/>
                  </w14:solidFill>
                </w14:textFill>
              </w:rPr>
              <w:t xml:space="preserve">、西南委陵菜 </w:t>
            </w:r>
            <w:r>
              <w:rPr>
                <w:bCs/>
                <w:i/>
                <w:color w:val="000000" w:themeColor="text1"/>
                <w:sz w:val="24"/>
                <w14:textFill>
                  <w14:solidFill>
                    <w14:schemeClr w14:val="tx1"/>
                  </w14:solidFill>
                </w14:textFill>
              </w:rPr>
              <w:t>Adiantum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edgeworthii</w:t>
            </w:r>
            <w:r>
              <w:rPr>
                <w:bCs/>
                <w:color w:val="000000" w:themeColor="text1"/>
                <w:sz w:val="24"/>
                <w14:textFill>
                  <w14:solidFill>
                    <w14:schemeClr w14:val="tx1"/>
                  </w14:solidFill>
                </w14:textFill>
              </w:rPr>
              <w:t xml:space="preserve">、车前 </w:t>
            </w:r>
            <w:r>
              <w:rPr>
                <w:bCs/>
                <w:i/>
                <w:color w:val="000000" w:themeColor="text1"/>
                <w:sz w:val="24"/>
                <w14:textFill>
                  <w14:solidFill>
                    <w14:schemeClr w14:val="tx1"/>
                  </w14:solidFill>
                </w14:textFill>
              </w:rPr>
              <w:t>Plantago</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asiatica</w:t>
            </w:r>
            <w:r>
              <w:rPr>
                <w:bCs/>
                <w:color w:val="000000" w:themeColor="text1"/>
                <w:sz w:val="24"/>
                <w14:textFill>
                  <w14:solidFill>
                    <w14:schemeClr w14:val="tx1"/>
                  </w14:solidFill>
                </w14:textFill>
              </w:rPr>
              <w:t>、蜈蚣草</w:t>
            </w:r>
            <w:r>
              <w:rPr>
                <w:bCs/>
                <w:i/>
                <w:iCs/>
                <w:color w:val="000000" w:themeColor="text1"/>
                <w:sz w:val="24"/>
                <w14:textFill>
                  <w14:solidFill>
                    <w14:schemeClr w14:val="tx1"/>
                  </w14:solidFill>
                </w14:textFill>
              </w:rPr>
              <w:t>Pteris vittata</w:t>
            </w:r>
            <w:r>
              <w:rPr>
                <w:bCs/>
                <w:color w:val="000000" w:themeColor="text1"/>
                <w:sz w:val="24"/>
                <w14:textFill>
                  <w14:solidFill>
                    <w14:schemeClr w14:val="tx1"/>
                  </w14:solidFill>
                </w14:textFill>
              </w:rPr>
              <w:t xml:space="preserve">、紫茎泽兰 </w:t>
            </w:r>
            <w:r>
              <w:rPr>
                <w:bCs/>
                <w:i/>
                <w:color w:val="000000" w:themeColor="text1"/>
                <w:sz w:val="24"/>
                <w14:textFill>
                  <w14:solidFill>
                    <w14:schemeClr w14:val="tx1"/>
                  </w14:solidFill>
                </w14:textFill>
              </w:rPr>
              <w:t>Ageratina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adenophora</w:t>
            </w:r>
            <w:r>
              <w:rPr>
                <w:bCs/>
                <w:color w:val="000000" w:themeColor="text1"/>
                <w:sz w:val="24"/>
                <w14:textFill>
                  <w14:solidFill>
                    <w14:schemeClr w14:val="tx1"/>
                  </w14:solidFill>
                </w14:textFill>
              </w:rPr>
              <w:t xml:space="preserve">、千里光 </w:t>
            </w:r>
            <w:r>
              <w:rPr>
                <w:bCs/>
                <w:i/>
                <w:color w:val="000000" w:themeColor="text1"/>
                <w:sz w:val="24"/>
                <w14:textFill>
                  <w14:solidFill>
                    <w14:schemeClr w14:val="tx1"/>
                  </w14:solidFill>
                </w14:textFill>
              </w:rPr>
              <w:t>Senecio</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scandens</w:t>
            </w:r>
            <w:r>
              <w:rPr>
                <w:bCs/>
                <w:color w:val="000000" w:themeColor="text1"/>
                <w:sz w:val="24"/>
                <w14:textFill>
                  <w14:solidFill>
                    <w14:schemeClr w14:val="tx1"/>
                  </w14:solidFill>
                </w14:textFill>
              </w:rPr>
              <w:t xml:space="preserve">、云南兔儿风 </w:t>
            </w:r>
            <w:r>
              <w:rPr>
                <w:bCs/>
                <w:i/>
                <w:color w:val="000000" w:themeColor="text1"/>
                <w:sz w:val="24"/>
                <w14:textFill>
                  <w14:solidFill>
                    <w14:schemeClr w14:val="tx1"/>
                  </w14:solidFill>
                </w14:textFill>
              </w:rPr>
              <w:t>Ainsliaea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yunnanensis</w:t>
            </w:r>
            <w:r>
              <w:rPr>
                <w:bCs/>
                <w:color w:val="000000" w:themeColor="text1"/>
                <w:sz w:val="24"/>
                <w14:textFill>
                  <w14:solidFill>
                    <w14:schemeClr w14:val="tx1"/>
                  </w14:solidFill>
                </w14:textFill>
              </w:rPr>
              <w:t>、白茅</w:t>
            </w:r>
            <w:r>
              <w:rPr>
                <w:bCs/>
                <w:i/>
                <w:color w:val="000000" w:themeColor="text1"/>
                <w:sz w:val="24"/>
                <w14:textFill>
                  <w14:solidFill>
                    <w14:schemeClr w14:val="tx1"/>
                  </w14:solidFill>
                </w14:textFill>
              </w:rPr>
              <w:t>Imperata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cylindrica</w:t>
            </w:r>
            <w:r>
              <w:rPr>
                <w:bCs/>
                <w:color w:val="000000" w:themeColor="text1"/>
                <w:sz w:val="24"/>
                <w14:textFill>
                  <w14:solidFill>
                    <w14:schemeClr w14:val="tx1"/>
                  </w14:solidFill>
                </w14:textFill>
              </w:rPr>
              <w:t xml:space="preserve">、黄毛草莓 </w:t>
            </w:r>
            <w:r>
              <w:rPr>
                <w:bCs/>
                <w:i/>
                <w:color w:val="000000" w:themeColor="text1"/>
                <w:sz w:val="24"/>
                <w14:textFill>
                  <w14:solidFill>
                    <w14:schemeClr w14:val="tx1"/>
                  </w14:solidFill>
                </w14:textFill>
              </w:rPr>
              <w:t>Fragaria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nilgerrensis</w:t>
            </w:r>
            <w:r>
              <w:rPr>
                <w:bCs/>
                <w:color w:val="000000" w:themeColor="text1"/>
                <w:sz w:val="24"/>
                <w14:textFill>
                  <w14:solidFill>
                    <w14:schemeClr w14:val="tx1"/>
                  </w14:solidFill>
                </w14:textFill>
              </w:rPr>
              <w:t>等。</w:t>
            </w:r>
          </w:p>
          <w:p w14:paraId="2EF62DA7">
            <w:pPr>
              <w:snapToGrid w:val="0"/>
              <w:spacing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Ⅲ暖温性稀树灌木草丛</w:t>
            </w:r>
          </w:p>
          <w:p w14:paraId="3542250D">
            <w:pPr>
              <w:snapToGrid w:val="0"/>
              <w:spacing w:line="360" w:lineRule="auto"/>
              <w:ind w:firstLine="600" w:firstLineChars="25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w:t>
            </w:r>
            <w:r>
              <w:rPr>
                <w:rFonts w:hint="eastAsia"/>
                <w:bCs/>
                <w:color w:val="000000" w:themeColor="text1"/>
                <w:sz w:val="24"/>
                <w14:textFill>
                  <w14:solidFill>
                    <w14:schemeClr w14:val="tx1"/>
                  </w14:solidFill>
                </w14:textFill>
              </w:rPr>
              <w:t>工程区域</w:t>
            </w:r>
            <w:r>
              <w:rPr>
                <w:bCs/>
                <w:color w:val="000000" w:themeColor="text1"/>
                <w:sz w:val="24"/>
                <w14:textFill>
                  <w14:solidFill>
                    <w14:schemeClr w14:val="tx1"/>
                  </w14:solidFill>
                </w14:textFill>
              </w:rPr>
              <w:t>中，暖温性稀树灌木草丛受人为活动影响和地理条件的综合作用之下，评价区内的草地次生性</w:t>
            </w:r>
            <w:r>
              <w:rPr>
                <w:rFonts w:hint="eastAsia"/>
                <w:bCs/>
                <w:color w:val="000000" w:themeColor="text1"/>
                <w:sz w:val="24"/>
                <w14:textFill>
                  <w14:solidFill>
                    <w14:schemeClr w14:val="tx1"/>
                  </w14:solidFill>
                </w14:textFill>
              </w:rPr>
              <w:t>较为</w:t>
            </w:r>
            <w:r>
              <w:rPr>
                <w:bCs/>
                <w:color w:val="000000" w:themeColor="text1"/>
                <w:sz w:val="24"/>
                <w14:textFill>
                  <w14:solidFill>
                    <w14:schemeClr w14:val="tx1"/>
                  </w14:solidFill>
                </w14:textFill>
              </w:rPr>
              <w:t>明显，难以见到稀树的分布。此类</w:t>
            </w:r>
            <w:r>
              <w:rPr>
                <w:rFonts w:hint="eastAsia"/>
                <w:bCs/>
                <w:color w:val="000000" w:themeColor="text1"/>
                <w:sz w:val="24"/>
                <w14:textFill>
                  <w14:solidFill>
                    <w14:schemeClr w14:val="tx1"/>
                  </w14:solidFill>
                </w14:textFill>
              </w:rPr>
              <w:t>草丛</w:t>
            </w:r>
            <w:r>
              <w:rPr>
                <w:bCs/>
                <w:color w:val="000000" w:themeColor="text1"/>
                <w:sz w:val="24"/>
                <w14:textFill>
                  <w14:solidFill>
                    <w14:schemeClr w14:val="tx1"/>
                  </w14:solidFill>
                </w14:textFill>
              </w:rPr>
              <w:t>多受到人类耕种活动的影响，弃耕后，区域气候干旱、土壤贫瘠，所以更替为次生荒草地。在此植被中以中草为主，主要以禾本科植物为主要优势种。</w:t>
            </w:r>
          </w:p>
          <w:p w14:paraId="45944534">
            <w:pPr>
              <w:snapToGrid w:val="0"/>
              <w:spacing w:line="360" w:lineRule="auto"/>
              <w:ind w:firstLine="482" w:firstLineChars="200"/>
              <w:rPr>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④</w:t>
            </w:r>
            <w:r>
              <w:rPr>
                <w:rFonts w:hint="eastAsia"/>
                <w:b/>
                <w:color w:val="000000" w:themeColor="text1"/>
                <w:sz w:val="24"/>
                <w14:textFill>
                  <w14:solidFill>
                    <w14:schemeClr w14:val="tx1"/>
                  </w14:solidFill>
                </w14:textFill>
              </w:rPr>
              <w:t>含火棘的白茅群落</w:t>
            </w:r>
          </w:p>
          <w:p w14:paraId="642FC1CB">
            <w:pPr>
              <w:snapToGrid w:val="0"/>
              <w:spacing w:line="360" w:lineRule="auto"/>
              <w:ind w:firstLine="491" w:firstLineChars="205"/>
              <w:rPr>
                <w:bCs/>
                <w:i/>
                <w:color w:val="000000" w:themeColor="text1"/>
                <w:sz w:val="24"/>
                <w14:textFill>
                  <w14:solidFill>
                    <w14:schemeClr w14:val="tx1"/>
                  </w14:solidFill>
                </w14:textFill>
              </w:rPr>
            </w:pPr>
            <w:r>
              <w:rPr>
                <w:bCs/>
                <w:color w:val="000000" w:themeColor="text1"/>
                <w:sz w:val="24"/>
                <w14:textFill>
                  <w14:solidFill>
                    <w14:schemeClr w14:val="tx1"/>
                  </w14:solidFill>
                </w14:textFill>
              </w:rPr>
              <w:t>群落的盖度达65-75%左右，群落高0.2-1.2</w:t>
            </w:r>
            <w:r>
              <w:rPr>
                <w:bCs/>
                <w:iCs/>
                <w:color w:val="000000" w:themeColor="text1"/>
                <w:sz w:val="24"/>
                <w14:textFill>
                  <w14:solidFill>
                    <w14:schemeClr w14:val="tx1"/>
                  </w14:solidFill>
                </w14:textFill>
              </w:rPr>
              <w:t>m</w:t>
            </w:r>
            <w:r>
              <w:rPr>
                <w:bCs/>
                <w:color w:val="000000" w:themeColor="text1"/>
                <w:sz w:val="24"/>
                <w14:textFill>
                  <w14:solidFill>
                    <w14:schemeClr w14:val="tx1"/>
                  </w14:solidFill>
                </w14:textFill>
              </w:rPr>
              <w:t>。群落主要由草本层构成，灌木层偶见小叶栒子</w:t>
            </w:r>
            <w:r>
              <w:rPr>
                <w:bCs/>
                <w:i/>
                <w:iCs/>
                <w:color w:val="000000" w:themeColor="text1"/>
                <w:sz w:val="24"/>
                <w14:textFill>
                  <w14:solidFill>
                    <w14:schemeClr w14:val="tx1"/>
                  </w14:solidFill>
                </w14:textFill>
              </w:rPr>
              <w:t>Cotoneaster microphyllus</w:t>
            </w:r>
            <w:r>
              <w:rPr>
                <w:bCs/>
                <w:color w:val="000000" w:themeColor="text1"/>
                <w:sz w:val="24"/>
                <w14:textFill>
                  <w14:solidFill>
                    <w14:schemeClr w14:val="tx1"/>
                  </w14:solidFill>
                </w14:textFill>
              </w:rPr>
              <w:t>、火棘</w:t>
            </w:r>
            <w:r>
              <w:rPr>
                <w:bCs/>
                <w:i/>
                <w:iCs/>
                <w:color w:val="000000" w:themeColor="text1"/>
                <w:sz w:val="24"/>
                <w14:textFill>
                  <w14:solidFill>
                    <w14:schemeClr w14:val="tx1"/>
                  </w14:solidFill>
                </w14:textFill>
              </w:rPr>
              <w:t>Pyracantha fortuneana</w:t>
            </w:r>
            <w:r>
              <w:rPr>
                <w:bCs/>
                <w:color w:val="000000" w:themeColor="text1"/>
                <w:sz w:val="24"/>
                <w14:textFill>
                  <w14:solidFill>
                    <w14:schemeClr w14:val="tx1"/>
                  </w14:solidFill>
                </w14:textFill>
              </w:rPr>
              <w:t>；草本层主要组成物种包括白茅</w:t>
            </w:r>
            <w:r>
              <w:rPr>
                <w:bCs/>
                <w:i/>
                <w:color w:val="000000" w:themeColor="text1"/>
                <w:sz w:val="24"/>
                <w14:textFill>
                  <w14:solidFill>
                    <w14:schemeClr w14:val="tx1"/>
                  </w14:solidFill>
                </w14:textFill>
              </w:rPr>
              <w:t>Imperata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cylindrica</w:t>
            </w:r>
            <w:r>
              <w:rPr>
                <w:bCs/>
                <w:iCs/>
                <w:color w:val="000000" w:themeColor="text1"/>
                <w:sz w:val="24"/>
                <w14:textFill>
                  <w14:solidFill>
                    <w14:schemeClr w14:val="tx1"/>
                  </w14:solidFill>
                </w14:textFill>
              </w:rPr>
              <w:t>、</w:t>
            </w:r>
            <w:r>
              <w:rPr>
                <w:bCs/>
                <w:color w:val="000000" w:themeColor="text1"/>
                <w:sz w:val="24"/>
                <w14:textFill>
                  <w14:solidFill>
                    <w14:schemeClr w14:val="tx1"/>
                  </w14:solidFill>
                </w14:textFill>
              </w:rPr>
              <w:t xml:space="preserve">西南委陵菜 </w:t>
            </w:r>
            <w:r>
              <w:rPr>
                <w:bCs/>
                <w:i/>
                <w:color w:val="000000" w:themeColor="text1"/>
                <w:sz w:val="24"/>
                <w14:textFill>
                  <w14:solidFill>
                    <w14:schemeClr w14:val="tx1"/>
                  </w14:solidFill>
                </w14:textFill>
              </w:rPr>
              <w:t>Adiantum</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edgeworthii</w:t>
            </w:r>
            <w:r>
              <w:rPr>
                <w:bCs/>
                <w:color w:val="000000" w:themeColor="text1"/>
                <w:sz w:val="24"/>
                <w14:textFill>
                  <w14:solidFill>
                    <w14:schemeClr w14:val="tx1"/>
                  </w14:solidFill>
                </w14:textFill>
              </w:rPr>
              <w:t xml:space="preserve">、紫茎泽兰 </w:t>
            </w:r>
            <w:r>
              <w:rPr>
                <w:bCs/>
                <w:i/>
                <w:color w:val="000000" w:themeColor="text1"/>
                <w:sz w:val="24"/>
                <w14:textFill>
                  <w14:solidFill>
                    <w14:schemeClr w14:val="tx1"/>
                  </w14:solidFill>
                </w14:textFill>
              </w:rPr>
              <w:t>Ageratina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adenophora</w:t>
            </w:r>
            <w:r>
              <w:rPr>
                <w:bCs/>
                <w:color w:val="000000" w:themeColor="text1"/>
                <w:sz w:val="24"/>
                <w14:textFill>
                  <w14:solidFill>
                    <w14:schemeClr w14:val="tx1"/>
                  </w14:solidFill>
                </w14:textFill>
              </w:rPr>
              <w:t xml:space="preserve">、千里光 </w:t>
            </w:r>
            <w:r>
              <w:rPr>
                <w:bCs/>
                <w:i/>
                <w:color w:val="000000" w:themeColor="text1"/>
                <w:sz w:val="24"/>
                <w14:textFill>
                  <w14:solidFill>
                    <w14:schemeClr w14:val="tx1"/>
                  </w14:solidFill>
                </w14:textFill>
              </w:rPr>
              <w:t>Senecio</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scandens</w:t>
            </w:r>
            <w:r>
              <w:rPr>
                <w:bCs/>
                <w:color w:val="000000" w:themeColor="text1"/>
                <w:sz w:val="24"/>
                <w14:textFill>
                  <w14:solidFill>
                    <w14:schemeClr w14:val="tx1"/>
                  </w14:solidFill>
                </w14:textFill>
              </w:rPr>
              <w:t xml:space="preserve">、西南野古草 </w:t>
            </w:r>
            <w:r>
              <w:rPr>
                <w:bCs/>
                <w:i/>
                <w:color w:val="000000" w:themeColor="text1"/>
                <w:sz w:val="24"/>
                <w14:textFill>
                  <w14:solidFill>
                    <w14:schemeClr w14:val="tx1"/>
                  </w14:solidFill>
                </w14:textFill>
              </w:rPr>
              <w:t>Arundinella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hookeri</w:t>
            </w:r>
            <w:r>
              <w:rPr>
                <w:bCs/>
                <w:color w:val="000000" w:themeColor="text1"/>
                <w:sz w:val="24"/>
                <w14:textFill>
                  <w14:solidFill>
                    <w14:schemeClr w14:val="tx1"/>
                  </w14:solidFill>
                </w14:textFill>
              </w:rPr>
              <w:t>、野草莓</w:t>
            </w:r>
            <w:r>
              <w:rPr>
                <w:bCs/>
                <w:i/>
                <w:color w:val="000000" w:themeColor="text1"/>
                <w:sz w:val="24"/>
                <w14:textFill>
                  <w14:solidFill>
                    <w14:schemeClr w14:val="tx1"/>
                  </w14:solidFill>
                </w14:textFill>
              </w:rPr>
              <w:t>Fragaria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vesca</w:t>
            </w:r>
            <w:r>
              <w:rPr>
                <w:bCs/>
                <w:color w:val="000000" w:themeColor="text1"/>
                <w:sz w:val="24"/>
                <w14:textFill>
                  <w14:solidFill>
                    <w14:schemeClr w14:val="tx1"/>
                  </w14:solidFill>
                </w14:textFill>
              </w:rPr>
              <w:t>、</w:t>
            </w:r>
            <w:r>
              <w:rPr>
                <w:kern w:val="0"/>
                <w:sz w:val="24"/>
              </w:rPr>
              <w:t>华火绒草</w:t>
            </w:r>
            <w:r>
              <w:rPr>
                <w:rFonts w:eastAsia="TimesNewRomanPS-ItalicMT"/>
                <w:i/>
                <w:iCs/>
                <w:kern w:val="0"/>
                <w:sz w:val="24"/>
              </w:rPr>
              <w:t>Leontopodium sinense</w:t>
            </w:r>
            <w:r>
              <w:rPr>
                <w:bCs/>
                <w:color w:val="000000" w:themeColor="text1"/>
                <w:sz w:val="24"/>
                <w14:textFill>
                  <w14:solidFill>
                    <w14:schemeClr w14:val="tx1"/>
                  </w14:solidFill>
                </w14:textFill>
              </w:rPr>
              <w:t xml:space="preserve">、扁穗莎草 </w:t>
            </w:r>
            <w:r>
              <w:rPr>
                <w:bCs/>
                <w:i/>
                <w:color w:val="000000" w:themeColor="text1"/>
                <w:sz w:val="24"/>
                <w14:textFill>
                  <w14:solidFill>
                    <w14:schemeClr w14:val="tx1"/>
                  </w14:solidFill>
                </w14:textFill>
              </w:rPr>
              <w:t>Cyperus</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compressus</w:t>
            </w:r>
            <w:r>
              <w:rPr>
                <w:bCs/>
                <w:color w:val="000000" w:themeColor="text1"/>
                <w:sz w:val="24"/>
                <w14:textFill>
                  <w14:solidFill>
                    <w14:schemeClr w14:val="tx1"/>
                  </w14:solidFill>
                </w14:textFill>
              </w:rPr>
              <w:t xml:space="preserve">、云南清风藤 </w:t>
            </w:r>
            <w:r>
              <w:rPr>
                <w:bCs/>
                <w:i/>
                <w:color w:val="000000" w:themeColor="text1"/>
                <w:sz w:val="24"/>
                <w14:textFill>
                  <w14:solidFill>
                    <w14:schemeClr w14:val="tx1"/>
                  </w14:solidFill>
                </w14:textFill>
              </w:rPr>
              <w:t>Sabia</w:t>
            </w:r>
            <w:r>
              <w:rPr>
                <w:bCs/>
                <w:color w:val="000000" w:themeColor="text1"/>
                <w:sz w:val="24"/>
                <w14:textFill>
                  <w14:solidFill>
                    <w14:schemeClr w14:val="tx1"/>
                  </w14:solidFill>
                </w14:textFill>
              </w:rPr>
              <w:t xml:space="preserve"> </w:t>
            </w:r>
            <w:r>
              <w:rPr>
                <w:bCs/>
                <w:i/>
                <w:color w:val="000000" w:themeColor="text1"/>
                <w:sz w:val="24"/>
                <w14:textFill>
                  <w14:solidFill>
                    <w14:schemeClr w14:val="tx1"/>
                  </w14:solidFill>
                </w14:textFill>
              </w:rPr>
              <w:t>yunnanensis</w:t>
            </w:r>
            <w:r>
              <w:rPr>
                <w:bCs/>
                <w:color w:val="000000" w:themeColor="text1"/>
                <w:sz w:val="24"/>
                <w14:textFill>
                  <w14:solidFill>
                    <w14:schemeClr w14:val="tx1"/>
                  </w14:solidFill>
                </w14:textFill>
              </w:rPr>
              <w:t>、</w:t>
            </w:r>
            <w:r>
              <w:rPr>
                <w:kern w:val="0"/>
                <w:sz w:val="24"/>
              </w:rPr>
              <w:t>青蒿</w:t>
            </w:r>
            <w:r>
              <w:rPr>
                <w:rFonts w:eastAsia="TimesNewRomanPS-ItalicMT"/>
                <w:i/>
                <w:iCs/>
                <w:kern w:val="0"/>
                <w:sz w:val="24"/>
              </w:rPr>
              <w:t>Artemisia carvifolia</w:t>
            </w:r>
            <w:r>
              <w:rPr>
                <w:bCs/>
                <w:i/>
                <w:color w:val="000000" w:themeColor="text1"/>
                <w:sz w:val="24"/>
                <w14:textFill>
                  <w14:solidFill>
                    <w14:schemeClr w14:val="tx1"/>
                  </w14:solidFill>
                </w14:textFill>
              </w:rPr>
              <w:t>。</w:t>
            </w:r>
          </w:p>
          <w:p w14:paraId="172A63C9">
            <w:pPr>
              <w:snapToGrid w:val="0"/>
              <w:spacing w:line="360" w:lineRule="auto"/>
              <w:ind w:firstLine="480" w:firstLineChars="200"/>
              <w:rPr>
                <w:bCs/>
                <w:color w:val="000000" w:themeColor="text1"/>
                <w:sz w:val="24"/>
                <w14:textFill>
                  <w14:solidFill>
                    <w14:schemeClr w14:val="tx1"/>
                  </w14:solidFill>
                </w14:textFill>
              </w:rPr>
            </w:pPr>
            <w:r>
              <w:rPr>
                <w:bCs/>
                <w:iCs/>
                <w:color w:val="000000" w:themeColor="text1"/>
                <w:sz w:val="24"/>
                <w14:textFill>
                  <w14:solidFill>
                    <w14:schemeClr w14:val="tx1"/>
                  </w14:solidFill>
                </w14:textFill>
              </w:rPr>
              <w:t>2）</w:t>
            </w:r>
            <w:r>
              <w:rPr>
                <w:bCs/>
                <w:color w:val="000000" w:themeColor="text1"/>
                <w:sz w:val="24"/>
                <w14:textFill>
                  <w14:solidFill>
                    <w14:schemeClr w14:val="tx1"/>
                  </w14:solidFill>
                </w14:textFill>
              </w:rPr>
              <w:t>人工及栽培植被</w:t>
            </w:r>
          </w:p>
          <w:p w14:paraId="5042E418">
            <w:pPr>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本生态调查区，由于人为活动的影响，存在几类面积不等的人工群落。包括农田和园地。农田主要种植玉米、烟叶、土豆，园地种植桃树、李子等。</w:t>
            </w:r>
            <w:bookmarkEnd w:id="50"/>
          </w:p>
          <w:p w14:paraId="630DF8B5">
            <w:pPr>
              <w:pStyle w:val="28"/>
              <w:spacing w:after="0" w:line="360" w:lineRule="auto"/>
              <w:ind w:left="0" w:leftChars="0" w:firstLine="480" w:firstLineChars="200"/>
              <w:rPr>
                <w:bCs/>
                <w:sz w:val="24"/>
              </w:rPr>
            </w:pPr>
            <w:r>
              <w:rPr>
                <w:bCs/>
                <w:iCs/>
                <w:color w:val="000000" w:themeColor="text1"/>
                <w:sz w:val="24"/>
                <w14:textFill>
                  <w14:solidFill>
                    <w14:schemeClr w14:val="tx1"/>
                  </w14:solidFill>
                </w14:textFill>
              </w:rPr>
              <w:t>3）</w:t>
            </w:r>
            <w:r>
              <w:rPr>
                <w:rFonts w:hint="eastAsia" w:ascii="宋体" w:hAnsi="宋体"/>
                <w:bCs/>
                <w:sz w:val="24"/>
                <w:szCs w:val="24"/>
              </w:rPr>
              <w:t>重要野生植物</w:t>
            </w:r>
          </w:p>
          <w:p w14:paraId="06DF7830">
            <w:pPr>
              <w:pStyle w:val="28"/>
              <w:spacing w:after="0" w:line="360" w:lineRule="auto"/>
              <w:ind w:left="0" w:leftChars="0" w:firstLine="480" w:firstLineChars="200"/>
              <w:rPr>
                <w:sz w:val="24"/>
              </w:rPr>
            </w:pPr>
            <w:r>
              <w:rPr>
                <w:rFonts w:hint="eastAsia"/>
                <w:sz w:val="24"/>
              </w:rPr>
              <w:t>经实地踏查未发现评价区域内分布有《国家重点保护野生植物名录》（国家林业和草原局农业农村部公告，2021 年第15 号）和《云南省重点保护野生植物名录》（2023）记载的珍稀保护野生植物。根据云南省林业厅文件《关于印发云南省古树名木名录的通知》（云林保护字〔1996〕65 号）和实地走访，在评价区范围内未发现有名木古树分布。本次调查未见《中国生物多样性红色名录-高等植物卷》（2020）中的受威胁物种。依据《云南省极小种群野生植物保护名录（2022年版）》，评价区内未记录到国家和云南省政府列入拯救保护的极小种群物种。</w:t>
            </w:r>
          </w:p>
          <w:p w14:paraId="030BF9FD">
            <w:pPr>
              <w:pStyle w:val="28"/>
              <w:spacing w:after="0" w:line="360" w:lineRule="auto"/>
              <w:ind w:left="0" w:leftChars="0" w:firstLine="480" w:firstLineChars="200"/>
              <w:rPr>
                <w:sz w:val="24"/>
              </w:rPr>
            </w:pPr>
            <w:r>
              <w:rPr>
                <w:rFonts w:hint="eastAsia"/>
                <w:sz w:val="24"/>
              </w:rPr>
              <w:t>4）评价区植被类型及面积</w:t>
            </w:r>
          </w:p>
          <w:p w14:paraId="5771ABE6">
            <w:pPr>
              <w:pStyle w:val="28"/>
              <w:spacing w:after="0" w:line="360" w:lineRule="auto"/>
              <w:ind w:left="0" w:leftChars="0" w:firstLine="480" w:firstLineChars="200"/>
              <w:rPr>
                <w:sz w:val="24"/>
              </w:rPr>
            </w:pPr>
            <w:r>
              <w:rPr>
                <w:rFonts w:hint="eastAsia"/>
                <w:sz w:val="24"/>
              </w:rPr>
              <w:t>本项目生态评价范围总面积为</w:t>
            </w:r>
            <w:r>
              <w:rPr>
                <w:sz w:val="24"/>
              </w:rPr>
              <w:t>320.24</w:t>
            </w:r>
            <w:r>
              <w:rPr>
                <w:rFonts w:hint="eastAsia"/>
                <w:sz w:val="24"/>
              </w:rPr>
              <w:t>hm</w:t>
            </w:r>
            <w:r>
              <w:rPr>
                <w:rFonts w:hint="eastAsia"/>
                <w:sz w:val="24"/>
                <w:vertAlign w:val="superscript"/>
              </w:rPr>
              <w:t>2</w:t>
            </w:r>
            <w:r>
              <w:rPr>
                <w:rFonts w:hint="eastAsia"/>
                <w:sz w:val="24"/>
              </w:rPr>
              <w:t>，主要为农田，面积1</w:t>
            </w:r>
            <w:r>
              <w:rPr>
                <w:sz w:val="24"/>
              </w:rPr>
              <w:t>54.59</w:t>
            </w:r>
            <w:r>
              <w:rPr>
                <w:rFonts w:hint="eastAsia"/>
                <w:sz w:val="24"/>
              </w:rPr>
              <w:t>hm</w:t>
            </w:r>
            <w:r>
              <w:rPr>
                <w:rFonts w:hint="eastAsia"/>
                <w:sz w:val="24"/>
                <w:vertAlign w:val="superscript"/>
              </w:rPr>
              <w:t>2</w:t>
            </w:r>
            <w:r>
              <w:rPr>
                <w:rFonts w:hint="eastAsia"/>
                <w:sz w:val="24"/>
              </w:rPr>
              <w:t>，占总面积的</w:t>
            </w:r>
            <w:r>
              <w:rPr>
                <w:sz w:val="24"/>
              </w:rPr>
              <w:t>48.27</w:t>
            </w:r>
            <w:r>
              <w:rPr>
                <w:rFonts w:hint="eastAsia"/>
                <w:sz w:val="24"/>
              </w:rPr>
              <w:t>%；其次为暖温性针叶林，面积</w:t>
            </w:r>
            <w:r>
              <w:rPr>
                <w:sz w:val="24"/>
              </w:rPr>
              <w:t>113.57</w:t>
            </w:r>
            <w:r>
              <w:rPr>
                <w:rFonts w:hint="eastAsia"/>
                <w:sz w:val="24"/>
              </w:rPr>
              <w:t>hm</w:t>
            </w:r>
            <w:r>
              <w:rPr>
                <w:rFonts w:hint="eastAsia"/>
                <w:sz w:val="24"/>
                <w:vertAlign w:val="superscript"/>
              </w:rPr>
              <w:t>2</w:t>
            </w:r>
            <w:r>
              <w:rPr>
                <w:rFonts w:hint="eastAsia"/>
                <w:sz w:val="24"/>
              </w:rPr>
              <w:t>，占总面积的</w:t>
            </w:r>
            <w:r>
              <w:rPr>
                <w:sz w:val="24"/>
              </w:rPr>
              <w:t>35.46</w:t>
            </w:r>
            <w:r>
              <w:rPr>
                <w:rFonts w:hint="eastAsia"/>
                <w:sz w:val="24"/>
              </w:rPr>
              <w:t>%。项目评价区范围内植被类型及面积详见下表。</w:t>
            </w:r>
          </w:p>
          <w:p w14:paraId="13CB809B">
            <w:pPr>
              <w:pStyle w:val="61"/>
              <w:spacing w:line="240" w:lineRule="auto"/>
              <w:ind w:firstLine="0" w:firstLineChars="0"/>
              <w:jc w:val="center"/>
              <w:rPr>
                <w:rFonts w:ascii="Times New Roman" w:eastAsia="黑体" w:cs="Times New Roman"/>
                <w:bCs/>
                <w:lang w:val="zh-CN"/>
              </w:rPr>
            </w:pPr>
            <w:r>
              <w:rPr>
                <w:rFonts w:ascii="Times New Roman" w:eastAsia="黑体" w:cs="Times New Roman"/>
                <w:bCs/>
                <w:lang w:val="zh-CN"/>
              </w:rPr>
              <w:t>表3-8</w:t>
            </w:r>
            <w:r>
              <w:rPr>
                <w:rFonts w:hint="eastAsia" w:ascii="Times New Roman" w:eastAsia="黑体" w:cs="Times New Roman"/>
                <w:bCs/>
                <w:lang w:val="zh-CN"/>
              </w:rPr>
              <w:t>项目评价区范围内植被类型及面积统计表</w:t>
            </w:r>
          </w:p>
          <w:tbl>
            <w:tblPr>
              <w:tblStyle w:val="45"/>
              <w:tblW w:w="5000" w:type="pct"/>
              <w:tblInd w:w="0" w:type="dxa"/>
              <w:tblLayout w:type="autofit"/>
              <w:tblCellMar>
                <w:top w:w="0" w:type="dxa"/>
                <w:left w:w="108" w:type="dxa"/>
                <w:bottom w:w="0" w:type="dxa"/>
                <w:right w:w="108" w:type="dxa"/>
              </w:tblCellMar>
            </w:tblPr>
            <w:tblGrid>
              <w:gridCol w:w="1583"/>
              <w:gridCol w:w="2579"/>
              <w:gridCol w:w="1812"/>
              <w:gridCol w:w="1660"/>
            </w:tblGrid>
            <w:tr w14:paraId="64A212F7">
              <w:tblPrEx>
                <w:tblCellMar>
                  <w:top w:w="0" w:type="dxa"/>
                  <w:left w:w="108" w:type="dxa"/>
                  <w:bottom w:w="0" w:type="dxa"/>
                  <w:right w:w="108" w:type="dxa"/>
                </w:tblCellMar>
              </w:tblPrEx>
              <w:trPr>
                <w:trHeight w:val="540" w:hRule="atLeast"/>
              </w:trPr>
              <w:tc>
                <w:tcPr>
                  <w:tcW w:w="1037" w:type="pct"/>
                  <w:tcBorders>
                    <w:top w:val="single" w:color="auto" w:sz="8" w:space="0"/>
                    <w:left w:val="single" w:color="auto" w:sz="8" w:space="0"/>
                    <w:bottom w:val="single" w:color="auto" w:sz="8" w:space="0"/>
                    <w:right w:val="single" w:color="auto" w:sz="8" w:space="0"/>
                  </w:tcBorders>
                  <w:shd w:val="clear" w:color="auto" w:fill="auto"/>
                  <w:vAlign w:val="center"/>
                </w:tcPr>
                <w:p w14:paraId="3BA6EECA">
                  <w:pPr>
                    <w:widowControl/>
                    <w:jc w:val="center"/>
                    <w:rPr>
                      <w:b/>
                      <w:bCs/>
                      <w:color w:val="000000"/>
                      <w:kern w:val="0"/>
                    </w:rPr>
                  </w:pPr>
                  <w:r>
                    <w:rPr>
                      <w:b/>
                      <w:bCs/>
                      <w:color w:val="000000"/>
                      <w:kern w:val="0"/>
                    </w:rPr>
                    <w:t>植被性质</w:t>
                  </w:r>
                </w:p>
              </w:tc>
              <w:tc>
                <w:tcPr>
                  <w:tcW w:w="1689" w:type="pct"/>
                  <w:tcBorders>
                    <w:top w:val="single" w:color="auto" w:sz="8" w:space="0"/>
                    <w:left w:val="nil"/>
                    <w:bottom w:val="single" w:color="auto" w:sz="8" w:space="0"/>
                    <w:right w:val="single" w:color="auto" w:sz="8" w:space="0"/>
                  </w:tcBorders>
                  <w:shd w:val="clear" w:color="auto" w:fill="auto"/>
                  <w:noWrap/>
                  <w:vAlign w:val="center"/>
                </w:tcPr>
                <w:p w14:paraId="0E239141">
                  <w:pPr>
                    <w:widowControl/>
                    <w:jc w:val="center"/>
                    <w:rPr>
                      <w:b/>
                      <w:bCs/>
                      <w:color w:val="000000"/>
                      <w:kern w:val="0"/>
                    </w:rPr>
                  </w:pPr>
                  <w:r>
                    <w:rPr>
                      <w:b/>
                      <w:bCs/>
                      <w:color w:val="000000"/>
                      <w:kern w:val="0"/>
                    </w:rPr>
                    <w:t>植被类型</w:t>
                  </w:r>
                </w:p>
              </w:tc>
              <w:tc>
                <w:tcPr>
                  <w:tcW w:w="1187" w:type="pct"/>
                  <w:tcBorders>
                    <w:top w:val="single" w:color="auto" w:sz="8" w:space="0"/>
                    <w:left w:val="nil"/>
                    <w:bottom w:val="single" w:color="auto" w:sz="8" w:space="0"/>
                    <w:right w:val="single" w:color="auto" w:sz="8" w:space="0"/>
                  </w:tcBorders>
                  <w:shd w:val="clear" w:color="auto" w:fill="auto"/>
                  <w:vAlign w:val="center"/>
                </w:tcPr>
                <w:p w14:paraId="0588243D">
                  <w:pPr>
                    <w:widowControl/>
                    <w:jc w:val="center"/>
                    <w:rPr>
                      <w:b/>
                      <w:bCs/>
                      <w:color w:val="000000"/>
                      <w:kern w:val="0"/>
                    </w:rPr>
                  </w:pPr>
                  <w:r>
                    <w:rPr>
                      <w:b/>
                      <w:bCs/>
                      <w:color w:val="000000"/>
                      <w:kern w:val="0"/>
                    </w:rPr>
                    <w:t>面积（hm</w:t>
                  </w:r>
                  <w:r>
                    <w:rPr>
                      <w:b/>
                      <w:bCs/>
                      <w:color w:val="000000"/>
                      <w:kern w:val="0"/>
                      <w:vertAlign w:val="superscript"/>
                    </w:rPr>
                    <w:t>2</w:t>
                  </w:r>
                  <w:r>
                    <w:rPr>
                      <w:b/>
                      <w:bCs/>
                      <w:color w:val="000000"/>
                      <w:kern w:val="0"/>
                    </w:rPr>
                    <w:t>）</w:t>
                  </w:r>
                </w:p>
              </w:tc>
              <w:tc>
                <w:tcPr>
                  <w:tcW w:w="1087" w:type="pct"/>
                  <w:tcBorders>
                    <w:top w:val="single" w:color="auto" w:sz="8" w:space="0"/>
                    <w:left w:val="nil"/>
                    <w:bottom w:val="single" w:color="auto" w:sz="8" w:space="0"/>
                    <w:right w:val="single" w:color="auto" w:sz="8" w:space="0"/>
                  </w:tcBorders>
                  <w:shd w:val="clear" w:color="auto" w:fill="auto"/>
                  <w:vAlign w:val="center"/>
                </w:tcPr>
                <w:p w14:paraId="52E2DF6C">
                  <w:pPr>
                    <w:widowControl/>
                    <w:jc w:val="center"/>
                    <w:rPr>
                      <w:b/>
                      <w:bCs/>
                      <w:color w:val="000000"/>
                      <w:kern w:val="0"/>
                    </w:rPr>
                  </w:pPr>
                  <w:r>
                    <w:rPr>
                      <w:b/>
                      <w:bCs/>
                      <w:color w:val="000000"/>
                      <w:kern w:val="0"/>
                    </w:rPr>
                    <w:t>比例（%）</w:t>
                  </w:r>
                </w:p>
              </w:tc>
            </w:tr>
            <w:tr w14:paraId="14E92211">
              <w:tblPrEx>
                <w:tblCellMar>
                  <w:top w:w="0" w:type="dxa"/>
                  <w:left w:w="108" w:type="dxa"/>
                  <w:bottom w:w="0" w:type="dxa"/>
                  <w:right w:w="108" w:type="dxa"/>
                </w:tblCellMar>
              </w:tblPrEx>
              <w:trPr>
                <w:trHeight w:val="300" w:hRule="atLeast"/>
              </w:trPr>
              <w:tc>
                <w:tcPr>
                  <w:tcW w:w="1037" w:type="pct"/>
                  <w:vMerge w:val="restart"/>
                  <w:tcBorders>
                    <w:top w:val="nil"/>
                    <w:left w:val="single" w:color="auto" w:sz="8" w:space="0"/>
                    <w:bottom w:val="single" w:color="000000" w:sz="8" w:space="0"/>
                    <w:right w:val="single" w:color="auto" w:sz="8" w:space="0"/>
                  </w:tcBorders>
                  <w:shd w:val="clear" w:color="auto" w:fill="auto"/>
                  <w:vAlign w:val="center"/>
                </w:tcPr>
                <w:p w14:paraId="38BE7AAD">
                  <w:pPr>
                    <w:widowControl/>
                    <w:jc w:val="center"/>
                    <w:rPr>
                      <w:b/>
                      <w:bCs/>
                      <w:color w:val="000000"/>
                      <w:kern w:val="0"/>
                    </w:rPr>
                  </w:pPr>
                  <w:r>
                    <w:rPr>
                      <w:b/>
                      <w:bCs/>
                      <w:color w:val="000000"/>
                      <w:kern w:val="0"/>
                    </w:rPr>
                    <w:t>自然植被</w:t>
                  </w:r>
                </w:p>
              </w:tc>
              <w:tc>
                <w:tcPr>
                  <w:tcW w:w="1689" w:type="pct"/>
                  <w:tcBorders>
                    <w:top w:val="nil"/>
                    <w:left w:val="nil"/>
                    <w:bottom w:val="single" w:color="auto" w:sz="8" w:space="0"/>
                    <w:right w:val="single" w:color="auto" w:sz="8" w:space="0"/>
                  </w:tcBorders>
                  <w:shd w:val="clear" w:color="auto" w:fill="auto"/>
                  <w:noWrap/>
                  <w:vAlign w:val="center"/>
                </w:tcPr>
                <w:p w14:paraId="7E751CBB">
                  <w:pPr>
                    <w:widowControl/>
                    <w:jc w:val="center"/>
                    <w:rPr>
                      <w:color w:val="000000"/>
                      <w:kern w:val="0"/>
                    </w:rPr>
                  </w:pPr>
                  <w:r>
                    <w:rPr>
                      <w:color w:val="000000"/>
                      <w:kern w:val="0"/>
                    </w:rPr>
                    <w:t>暖温性针叶林</w:t>
                  </w:r>
                </w:p>
              </w:tc>
              <w:tc>
                <w:tcPr>
                  <w:tcW w:w="1187" w:type="pct"/>
                  <w:tcBorders>
                    <w:top w:val="nil"/>
                    <w:left w:val="nil"/>
                    <w:bottom w:val="single" w:color="auto" w:sz="8" w:space="0"/>
                    <w:right w:val="single" w:color="auto" w:sz="8" w:space="0"/>
                  </w:tcBorders>
                  <w:shd w:val="clear" w:color="auto" w:fill="auto"/>
                  <w:vAlign w:val="center"/>
                </w:tcPr>
                <w:p w14:paraId="6DDC22A0">
                  <w:pPr>
                    <w:widowControl/>
                    <w:jc w:val="center"/>
                    <w:rPr>
                      <w:color w:val="000000"/>
                      <w:kern w:val="0"/>
                    </w:rPr>
                  </w:pPr>
                  <w:r>
                    <w:rPr>
                      <w:color w:val="000000"/>
                      <w:kern w:val="0"/>
                    </w:rPr>
                    <w:t xml:space="preserve">113.57 </w:t>
                  </w:r>
                </w:p>
              </w:tc>
              <w:tc>
                <w:tcPr>
                  <w:tcW w:w="1087" w:type="pct"/>
                  <w:tcBorders>
                    <w:top w:val="nil"/>
                    <w:left w:val="nil"/>
                    <w:bottom w:val="single" w:color="auto" w:sz="8" w:space="0"/>
                    <w:right w:val="single" w:color="auto" w:sz="8" w:space="0"/>
                  </w:tcBorders>
                  <w:shd w:val="clear" w:color="auto" w:fill="auto"/>
                  <w:vAlign w:val="center"/>
                </w:tcPr>
                <w:p w14:paraId="31293529">
                  <w:pPr>
                    <w:widowControl/>
                    <w:jc w:val="center"/>
                    <w:rPr>
                      <w:color w:val="000000"/>
                      <w:kern w:val="0"/>
                    </w:rPr>
                  </w:pPr>
                  <w:r>
                    <w:rPr>
                      <w:color w:val="000000"/>
                      <w:kern w:val="0"/>
                    </w:rPr>
                    <w:t xml:space="preserve">35.46 </w:t>
                  </w:r>
                </w:p>
              </w:tc>
            </w:tr>
            <w:tr w14:paraId="13B2871B">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4ECC942E">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195D96C9">
                  <w:pPr>
                    <w:widowControl/>
                    <w:jc w:val="center"/>
                    <w:rPr>
                      <w:color w:val="000000"/>
                      <w:kern w:val="0"/>
                    </w:rPr>
                  </w:pPr>
                  <w:r>
                    <w:rPr>
                      <w:color w:val="000000"/>
                      <w:kern w:val="0"/>
                    </w:rPr>
                    <w:t>暖温性稀树灌木草丛</w:t>
                  </w:r>
                </w:p>
              </w:tc>
              <w:tc>
                <w:tcPr>
                  <w:tcW w:w="1187" w:type="pct"/>
                  <w:tcBorders>
                    <w:top w:val="nil"/>
                    <w:left w:val="nil"/>
                    <w:bottom w:val="single" w:color="auto" w:sz="8" w:space="0"/>
                    <w:right w:val="single" w:color="auto" w:sz="8" w:space="0"/>
                  </w:tcBorders>
                  <w:shd w:val="clear" w:color="auto" w:fill="auto"/>
                  <w:vAlign w:val="center"/>
                </w:tcPr>
                <w:p w14:paraId="366E49FA">
                  <w:pPr>
                    <w:widowControl/>
                    <w:jc w:val="center"/>
                    <w:rPr>
                      <w:color w:val="000000"/>
                      <w:kern w:val="0"/>
                    </w:rPr>
                  </w:pPr>
                  <w:r>
                    <w:rPr>
                      <w:color w:val="000000"/>
                      <w:kern w:val="0"/>
                    </w:rPr>
                    <w:t xml:space="preserve">11.75 </w:t>
                  </w:r>
                </w:p>
              </w:tc>
              <w:tc>
                <w:tcPr>
                  <w:tcW w:w="1087" w:type="pct"/>
                  <w:tcBorders>
                    <w:top w:val="nil"/>
                    <w:left w:val="nil"/>
                    <w:bottom w:val="single" w:color="auto" w:sz="8" w:space="0"/>
                    <w:right w:val="single" w:color="auto" w:sz="8" w:space="0"/>
                  </w:tcBorders>
                  <w:shd w:val="clear" w:color="auto" w:fill="auto"/>
                  <w:vAlign w:val="center"/>
                </w:tcPr>
                <w:p w14:paraId="4018D50F">
                  <w:pPr>
                    <w:widowControl/>
                    <w:jc w:val="center"/>
                    <w:rPr>
                      <w:color w:val="000000"/>
                      <w:kern w:val="0"/>
                    </w:rPr>
                  </w:pPr>
                  <w:r>
                    <w:rPr>
                      <w:color w:val="000000"/>
                      <w:kern w:val="0"/>
                    </w:rPr>
                    <w:t xml:space="preserve">3.67 </w:t>
                  </w:r>
                </w:p>
              </w:tc>
            </w:tr>
            <w:tr w14:paraId="70003483">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42F5C471">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697DEE47">
                  <w:pPr>
                    <w:widowControl/>
                    <w:jc w:val="center"/>
                    <w:rPr>
                      <w:color w:val="000000"/>
                      <w:kern w:val="0"/>
                    </w:rPr>
                  </w:pPr>
                  <w:r>
                    <w:rPr>
                      <w:color w:val="000000"/>
                      <w:kern w:val="0"/>
                    </w:rPr>
                    <w:t>暖性石灰岩灌丛</w:t>
                  </w:r>
                </w:p>
              </w:tc>
              <w:tc>
                <w:tcPr>
                  <w:tcW w:w="1187" w:type="pct"/>
                  <w:tcBorders>
                    <w:top w:val="nil"/>
                    <w:left w:val="nil"/>
                    <w:bottom w:val="single" w:color="auto" w:sz="8" w:space="0"/>
                    <w:right w:val="single" w:color="auto" w:sz="8" w:space="0"/>
                  </w:tcBorders>
                  <w:shd w:val="clear" w:color="auto" w:fill="auto"/>
                  <w:vAlign w:val="center"/>
                </w:tcPr>
                <w:p w14:paraId="1F2B01B9">
                  <w:pPr>
                    <w:widowControl/>
                    <w:jc w:val="center"/>
                    <w:rPr>
                      <w:color w:val="000000"/>
                      <w:kern w:val="0"/>
                    </w:rPr>
                  </w:pPr>
                  <w:r>
                    <w:rPr>
                      <w:color w:val="000000"/>
                      <w:kern w:val="0"/>
                    </w:rPr>
                    <w:t xml:space="preserve">6.71 </w:t>
                  </w:r>
                </w:p>
              </w:tc>
              <w:tc>
                <w:tcPr>
                  <w:tcW w:w="1087" w:type="pct"/>
                  <w:tcBorders>
                    <w:top w:val="nil"/>
                    <w:left w:val="nil"/>
                    <w:bottom w:val="single" w:color="auto" w:sz="8" w:space="0"/>
                    <w:right w:val="single" w:color="auto" w:sz="8" w:space="0"/>
                  </w:tcBorders>
                  <w:shd w:val="clear" w:color="auto" w:fill="auto"/>
                  <w:vAlign w:val="center"/>
                </w:tcPr>
                <w:p w14:paraId="4FEDC736">
                  <w:pPr>
                    <w:widowControl/>
                    <w:jc w:val="center"/>
                    <w:rPr>
                      <w:color w:val="000000"/>
                      <w:kern w:val="0"/>
                    </w:rPr>
                  </w:pPr>
                  <w:r>
                    <w:rPr>
                      <w:color w:val="000000"/>
                      <w:kern w:val="0"/>
                    </w:rPr>
                    <w:t xml:space="preserve">2.10 </w:t>
                  </w:r>
                </w:p>
              </w:tc>
            </w:tr>
            <w:tr w14:paraId="0C28253E">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52EB73E2">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2DC98D54">
                  <w:pPr>
                    <w:widowControl/>
                    <w:jc w:val="center"/>
                    <w:rPr>
                      <w:b/>
                      <w:bCs/>
                      <w:color w:val="000000"/>
                      <w:kern w:val="0"/>
                    </w:rPr>
                  </w:pPr>
                  <w:r>
                    <w:rPr>
                      <w:b/>
                      <w:bCs/>
                      <w:color w:val="000000"/>
                      <w:kern w:val="0"/>
                    </w:rPr>
                    <w:t>小计</w:t>
                  </w:r>
                </w:p>
              </w:tc>
              <w:tc>
                <w:tcPr>
                  <w:tcW w:w="1187" w:type="pct"/>
                  <w:tcBorders>
                    <w:top w:val="nil"/>
                    <w:left w:val="nil"/>
                    <w:bottom w:val="single" w:color="auto" w:sz="8" w:space="0"/>
                    <w:right w:val="single" w:color="auto" w:sz="8" w:space="0"/>
                  </w:tcBorders>
                  <w:shd w:val="clear" w:color="auto" w:fill="auto"/>
                  <w:vAlign w:val="center"/>
                </w:tcPr>
                <w:p w14:paraId="283F9C65">
                  <w:pPr>
                    <w:widowControl/>
                    <w:jc w:val="center"/>
                    <w:rPr>
                      <w:b/>
                      <w:bCs/>
                      <w:color w:val="000000"/>
                      <w:kern w:val="0"/>
                    </w:rPr>
                  </w:pPr>
                  <w:r>
                    <w:rPr>
                      <w:b/>
                      <w:bCs/>
                      <w:color w:val="000000"/>
                      <w:kern w:val="0"/>
                    </w:rPr>
                    <w:t xml:space="preserve">132.03 </w:t>
                  </w:r>
                </w:p>
              </w:tc>
              <w:tc>
                <w:tcPr>
                  <w:tcW w:w="1087" w:type="pct"/>
                  <w:tcBorders>
                    <w:top w:val="nil"/>
                    <w:left w:val="nil"/>
                    <w:bottom w:val="single" w:color="auto" w:sz="8" w:space="0"/>
                    <w:right w:val="single" w:color="auto" w:sz="8" w:space="0"/>
                  </w:tcBorders>
                  <w:shd w:val="clear" w:color="auto" w:fill="auto"/>
                  <w:vAlign w:val="center"/>
                </w:tcPr>
                <w:p w14:paraId="2B5F901B">
                  <w:pPr>
                    <w:widowControl/>
                    <w:jc w:val="center"/>
                    <w:rPr>
                      <w:color w:val="000000"/>
                      <w:kern w:val="0"/>
                    </w:rPr>
                  </w:pPr>
                  <w:r>
                    <w:rPr>
                      <w:color w:val="000000"/>
                      <w:kern w:val="0"/>
                    </w:rPr>
                    <w:t xml:space="preserve">41.23 </w:t>
                  </w:r>
                </w:p>
              </w:tc>
            </w:tr>
            <w:tr w14:paraId="2FE3FED4">
              <w:tblPrEx>
                <w:tblCellMar>
                  <w:top w:w="0" w:type="dxa"/>
                  <w:left w:w="108" w:type="dxa"/>
                  <w:bottom w:w="0" w:type="dxa"/>
                  <w:right w:w="108" w:type="dxa"/>
                </w:tblCellMar>
              </w:tblPrEx>
              <w:trPr>
                <w:trHeight w:val="300" w:hRule="atLeast"/>
              </w:trPr>
              <w:tc>
                <w:tcPr>
                  <w:tcW w:w="1037" w:type="pct"/>
                  <w:vMerge w:val="restart"/>
                  <w:tcBorders>
                    <w:top w:val="nil"/>
                    <w:left w:val="single" w:color="auto" w:sz="8" w:space="0"/>
                    <w:bottom w:val="single" w:color="000000" w:sz="8" w:space="0"/>
                    <w:right w:val="single" w:color="auto" w:sz="8" w:space="0"/>
                  </w:tcBorders>
                  <w:shd w:val="clear" w:color="auto" w:fill="auto"/>
                  <w:vAlign w:val="center"/>
                </w:tcPr>
                <w:p w14:paraId="7B296F4C">
                  <w:pPr>
                    <w:widowControl/>
                    <w:jc w:val="center"/>
                    <w:rPr>
                      <w:b/>
                      <w:bCs/>
                      <w:color w:val="000000"/>
                      <w:kern w:val="0"/>
                    </w:rPr>
                  </w:pPr>
                  <w:r>
                    <w:rPr>
                      <w:b/>
                      <w:bCs/>
                      <w:color w:val="000000"/>
                      <w:kern w:val="0"/>
                    </w:rPr>
                    <w:t>人工植被</w:t>
                  </w:r>
                </w:p>
              </w:tc>
              <w:tc>
                <w:tcPr>
                  <w:tcW w:w="1689" w:type="pct"/>
                  <w:tcBorders>
                    <w:top w:val="nil"/>
                    <w:left w:val="nil"/>
                    <w:bottom w:val="single" w:color="auto" w:sz="8" w:space="0"/>
                    <w:right w:val="single" w:color="auto" w:sz="8" w:space="0"/>
                  </w:tcBorders>
                  <w:shd w:val="clear" w:color="auto" w:fill="auto"/>
                  <w:noWrap/>
                  <w:vAlign w:val="center"/>
                </w:tcPr>
                <w:p w14:paraId="7F9FA427">
                  <w:pPr>
                    <w:widowControl/>
                    <w:jc w:val="center"/>
                    <w:rPr>
                      <w:color w:val="000000"/>
                      <w:kern w:val="0"/>
                    </w:rPr>
                  </w:pPr>
                  <w:r>
                    <w:rPr>
                      <w:color w:val="000000"/>
                      <w:kern w:val="0"/>
                    </w:rPr>
                    <w:t>园地</w:t>
                  </w:r>
                </w:p>
              </w:tc>
              <w:tc>
                <w:tcPr>
                  <w:tcW w:w="1187" w:type="pct"/>
                  <w:tcBorders>
                    <w:top w:val="nil"/>
                    <w:left w:val="nil"/>
                    <w:bottom w:val="single" w:color="auto" w:sz="8" w:space="0"/>
                    <w:right w:val="single" w:color="auto" w:sz="8" w:space="0"/>
                  </w:tcBorders>
                  <w:shd w:val="clear" w:color="auto" w:fill="auto"/>
                  <w:vAlign w:val="center"/>
                </w:tcPr>
                <w:p w14:paraId="2A695B97">
                  <w:pPr>
                    <w:widowControl/>
                    <w:jc w:val="center"/>
                    <w:rPr>
                      <w:color w:val="000000"/>
                      <w:kern w:val="0"/>
                    </w:rPr>
                  </w:pPr>
                  <w:r>
                    <w:rPr>
                      <w:color w:val="000000"/>
                      <w:kern w:val="0"/>
                    </w:rPr>
                    <w:t xml:space="preserve">11.64 </w:t>
                  </w:r>
                </w:p>
              </w:tc>
              <w:tc>
                <w:tcPr>
                  <w:tcW w:w="1087" w:type="pct"/>
                  <w:tcBorders>
                    <w:top w:val="nil"/>
                    <w:left w:val="nil"/>
                    <w:bottom w:val="single" w:color="auto" w:sz="8" w:space="0"/>
                    <w:right w:val="single" w:color="auto" w:sz="8" w:space="0"/>
                  </w:tcBorders>
                  <w:shd w:val="clear" w:color="auto" w:fill="auto"/>
                  <w:vAlign w:val="center"/>
                </w:tcPr>
                <w:p w14:paraId="26EB673B">
                  <w:pPr>
                    <w:widowControl/>
                    <w:jc w:val="center"/>
                    <w:rPr>
                      <w:color w:val="000000"/>
                      <w:kern w:val="0"/>
                    </w:rPr>
                  </w:pPr>
                  <w:r>
                    <w:rPr>
                      <w:color w:val="000000"/>
                      <w:kern w:val="0"/>
                    </w:rPr>
                    <w:t xml:space="preserve">3.64 </w:t>
                  </w:r>
                </w:p>
              </w:tc>
            </w:tr>
            <w:tr w14:paraId="10E4D395">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58B3CDED">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04EFDECF">
                  <w:pPr>
                    <w:widowControl/>
                    <w:jc w:val="center"/>
                    <w:rPr>
                      <w:color w:val="000000"/>
                      <w:kern w:val="0"/>
                    </w:rPr>
                  </w:pPr>
                  <w:r>
                    <w:rPr>
                      <w:color w:val="000000"/>
                      <w:kern w:val="0"/>
                    </w:rPr>
                    <w:t>农田</w:t>
                  </w:r>
                </w:p>
              </w:tc>
              <w:tc>
                <w:tcPr>
                  <w:tcW w:w="1187" w:type="pct"/>
                  <w:tcBorders>
                    <w:top w:val="nil"/>
                    <w:left w:val="nil"/>
                    <w:bottom w:val="single" w:color="auto" w:sz="8" w:space="0"/>
                    <w:right w:val="single" w:color="auto" w:sz="8" w:space="0"/>
                  </w:tcBorders>
                  <w:shd w:val="clear" w:color="auto" w:fill="auto"/>
                  <w:vAlign w:val="center"/>
                </w:tcPr>
                <w:p w14:paraId="01435949">
                  <w:pPr>
                    <w:widowControl/>
                    <w:jc w:val="center"/>
                    <w:rPr>
                      <w:color w:val="000000"/>
                      <w:kern w:val="0"/>
                    </w:rPr>
                  </w:pPr>
                  <w:r>
                    <w:rPr>
                      <w:color w:val="000000"/>
                      <w:kern w:val="0"/>
                    </w:rPr>
                    <w:t xml:space="preserve">154.59 </w:t>
                  </w:r>
                </w:p>
              </w:tc>
              <w:tc>
                <w:tcPr>
                  <w:tcW w:w="1087" w:type="pct"/>
                  <w:tcBorders>
                    <w:top w:val="nil"/>
                    <w:left w:val="nil"/>
                    <w:bottom w:val="single" w:color="auto" w:sz="8" w:space="0"/>
                    <w:right w:val="single" w:color="auto" w:sz="8" w:space="0"/>
                  </w:tcBorders>
                  <w:shd w:val="clear" w:color="auto" w:fill="auto"/>
                  <w:vAlign w:val="center"/>
                </w:tcPr>
                <w:p w14:paraId="0FC4EDD6">
                  <w:pPr>
                    <w:widowControl/>
                    <w:jc w:val="center"/>
                    <w:rPr>
                      <w:color w:val="000000"/>
                      <w:kern w:val="0"/>
                    </w:rPr>
                  </w:pPr>
                  <w:r>
                    <w:rPr>
                      <w:color w:val="000000"/>
                      <w:kern w:val="0"/>
                    </w:rPr>
                    <w:t xml:space="preserve">48.27 </w:t>
                  </w:r>
                </w:p>
              </w:tc>
            </w:tr>
            <w:tr w14:paraId="5E5A0A38">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3595B9E2">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4C08DE84">
                  <w:pPr>
                    <w:widowControl/>
                    <w:jc w:val="center"/>
                    <w:rPr>
                      <w:b/>
                      <w:bCs/>
                      <w:color w:val="000000"/>
                      <w:kern w:val="0"/>
                    </w:rPr>
                  </w:pPr>
                  <w:r>
                    <w:rPr>
                      <w:b/>
                      <w:bCs/>
                      <w:color w:val="000000"/>
                      <w:kern w:val="0"/>
                    </w:rPr>
                    <w:t>小计</w:t>
                  </w:r>
                </w:p>
              </w:tc>
              <w:tc>
                <w:tcPr>
                  <w:tcW w:w="1187" w:type="pct"/>
                  <w:tcBorders>
                    <w:top w:val="nil"/>
                    <w:left w:val="nil"/>
                    <w:bottom w:val="single" w:color="auto" w:sz="8" w:space="0"/>
                    <w:right w:val="single" w:color="auto" w:sz="8" w:space="0"/>
                  </w:tcBorders>
                  <w:shd w:val="clear" w:color="auto" w:fill="auto"/>
                  <w:vAlign w:val="center"/>
                </w:tcPr>
                <w:p w14:paraId="0B4D5429">
                  <w:pPr>
                    <w:widowControl/>
                    <w:jc w:val="center"/>
                    <w:rPr>
                      <w:b/>
                      <w:bCs/>
                      <w:color w:val="000000"/>
                      <w:kern w:val="0"/>
                    </w:rPr>
                  </w:pPr>
                  <w:r>
                    <w:rPr>
                      <w:b/>
                      <w:bCs/>
                      <w:color w:val="000000"/>
                      <w:kern w:val="0"/>
                    </w:rPr>
                    <w:t xml:space="preserve">166.23 </w:t>
                  </w:r>
                </w:p>
              </w:tc>
              <w:tc>
                <w:tcPr>
                  <w:tcW w:w="1087" w:type="pct"/>
                  <w:tcBorders>
                    <w:top w:val="nil"/>
                    <w:left w:val="nil"/>
                    <w:bottom w:val="single" w:color="auto" w:sz="8" w:space="0"/>
                    <w:right w:val="single" w:color="auto" w:sz="8" w:space="0"/>
                  </w:tcBorders>
                  <w:shd w:val="clear" w:color="auto" w:fill="auto"/>
                  <w:vAlign w:val="center"/>
                </w:tcPr>
                <w:p w14:paraId="30A25315">
                  <w:pPr>
                    <w:widowControl/>
                    <w:jc w:val="center"/>
                    <w:rPr>
                      <w:color w:val="000000"/>
                      <w:kern w:val="0"/>
                    </w:rPr>
                  </w:pPr>
                  <w:r>
                    <w:rPr>
                      <w:color w:val="000000"/>
                      <w:kern w:val="0"/>
                    </w:rPr>
                    <w:t xml:space="preserve">51.91 </w:t>
                  </w:r>
                </w:p>
              </w:tc>
            </w:tr>
            <w:tr w14:paraId="6A092A5E">
              <w:tblPrEx>
                <w:tblCellMar>
                  <w:top w:w="0" w:type="dxa"/>
                  <w:left w:w="108" w:type="dxa"/>
                  <w:bottom w:w="0" w:type="dxa"/>
                  <w:right w:w="108" w:type="dxa"/>
                </w:tblCellMar>
              </w:tblPrEx>
              <w:trPr>
                <w:trHeight w:val="300" w:hRule="atLeast"/>
              </w:trPr>
              <w:tc>
                <w:tcPr>
                  <w:tcW w:w="1037" w:type="pct"/>
                  <w:vMerge w:val="restart"/>
                  <w:tcBorders>
                    <w:top w:val="nil"/>
                    <w:left w:val="single" w:color="auto" w:sz="8" w:space="0"/>
                    <w:bottom w:val="single" w:color="000000" w:sz="8" w:space="0"/>
                    <w:right w:val="single" w:color="auto" w:sz="8" w:space="0"/>
                  </w:tcBorders>
                  <w:shd w:val="clear" w:color="auto" w:fill="auto"/>
                  <w:vAlign w:val="center"/>
                </w:tcPr>
                <w:p w14:paraId="3F46EC06">
                  <w:pPr>
                    <w:widowControl/>
                    <w:jc w:val="center"/>
                    <w:rPr>
                      <w:b/>
                      <w:bCs/>
                      <w:color w:val="000000"/>
                      <w:kern w:val="0"/>
                    </w:rPr>
                  </w:pPr>
                  <w:r>
                    <w:rPr>
                      <w:b/>
                      <w:bCs/>
                      <w:color w:val="000000"/>
                      <w:kern w:val="0"/>
                    </w:rPr>
                    <w:t>其他</w:t>
                  </w:r>
                </w:p>
              </w:tc>
              <w:tc>
                <w:tcPr>
                  <w:tcW w:w="1689" w:type="pct"/>
                  <w:tcBorders>
                    <w:top w:val="nil"/>
                    <w:left w:val="nil"/>
                    <w:bottom w:val="single" w:color="auto" w:sz="8" w:space="0"/>
                    <w:right w:val="single" w:color="auto" w:sz="8" w:space="0"/>
                  </w:tcBorders>
                  <w:shd w:val="clear" w:color="auto" w:fill="auto"/>
                  <w:noWrap/>
                  <w:vAlign w:val="center"/>
                </w:tcPr>
                <w:p w14:paraId="1ED96851">
                  <w:pPr>
                    <w:widowControl/>
                    <w:jc w:val="center"/>
                    <w:rPr>
                      <w:color w:val="000000"/>
                      <w:kern w:val="0"/>
                    </w:rPr>
                  </w:pPr>
                  <w:r>
                    <w:rPr>
                      <w:color w:val="000000"/>
                      <w:kern w:val="0"/>
                    </w:rPr>
                    <w:t>河流水面</w:t>
                  </w:r>
                </w:p>
              </w:tc>
              <w:tc>
                <w:tcPr>
                  <w:tcW w:w="1187" w:type="pct"/>
                  <w:tcBorders>
                    <w:top w:val="nil"/>
                    <w:left w:val="nil"/>
                    <w:bottom w:val="single" w:color="auto" w:sz="8" w:space="0"/>
                    <w:right w:val="single" w:color="auto" w:sz="8" w:space="0"/>
                  </w:tcBorders>
                  <w:shd w:val="clear" w:color="auto" w:fill="auto"/>
                  <w:vAlign w:val="center"/>
                </w:tcPr>
                <w:p w14:paraId="15839F81">
                  <w:pPr>
                    <w:widowControl/>
                    <w:jc w:val="center"/>
                    <w:rPr>
                      <w:color w:val="000000"/>
                      <w:kern w:val="0"/>
                    </w:rPr>
                  </w:pPr>
                  <w:r>
                    <w:rPr>
                      <w:color w:val="000000"/>
                      <w:kern w:val="0"/>
                    </w:rPr>
                    <w:t xml:space="preserve">0.28 </w:t>
                  </w:r>
                </w:p>
              </w:tc>
              <w:tc>
                <w:tcPr>
                  <w:tcW w:w="1087" w:type="pct"/>
                  <w:tcBorders>
                    <w:top w:val="nil"/>
                    <w:left w:val="nil"/>
                    <w:bottom w:val="single" w:color="auto" w:sz="8" w:space="0"/>
                    <w:right w:val="single" w:color="auto" w:sz="8" w:space="0"/>
                  </w:tcBorders>
                  <w:shd w:val="clear" w:color="auto" w:fill="auto"/>
                  <w:vAlign w:val="center"/>
                </w:tcPr>
                <w:p w14:paraId="758AD48D">
                  <w:pPr>
                    <w:widowControl/>
                    <w:jc w:val="center"/>
                    <w:rPr>
                      <w:color w:val="000000"/>
                      <w:kern w:val="0"/>
                    </w:rPr>
                  </w:pPr>
                  <w:r>
                    <w:rPr>
                      <w:color w:val="000000"/>
                      <w:kern w:val="0"/>
                    </w:rPr>
                    <w:t xml:space="preserve">0.09 </w:t>
                  </w:r>
                </w:p>
              </w:tc>
            </w:tr>
            <w:tr w14:paraId="0D63BE1D">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7CAB4FCE">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5321951C">
                  <w:pPr>
                    <w:widowControl/>
                    <w:jc w:val="center"/>
                    <w:rPr>
                      <w:color w:val="000000"/>
                      <w:kern w:val="0"/>
                    </w:rPr>
                  </w:pPr>
                  <w:r>
                    <w:rPr>
                      <w:color w:val="000000"/>
                      <w:kern w:val="0"/>
                    </w:rPr>
                    <w:t>城镇居民点</w:t>
                  </w:r>
                </w:p>
              </w:tc>
              <w:tc>
                <w:tcPr>
                  <w:tcW w:w="1187" w:type="pct"/>
                  <w:tcBorders>
                    <w:top w:val="nil"/>
                    <w:left w:val="nil"/>
                    <w:bottom w:val="single" w:color="auto" w:sz="8" w:space="0"/>
                    <w:right w:val="single" w:color="auto" w:sz="8" w:space="0"/>
                  </w:tcBorders>
                  <w:shd w:val="clear" w:color="auto" w:fill="auto"/>
                  <w:vAlign w:val="center"/>
                </w:tcPr>
                <w:p w14:paraId="4A623601">
                  <w:pPr>
                    <w:widowControl/>
                    <w:jc w:val="center"/>
                    <w:rPr>
                      <w:color w:val="000000"/>
                      <w:kern w:val="0"/>
                    </w:rPr>
                  </w:pPr>
                  <w:r>
                    <w:rPr>
                      <w:color w:val="000000"/>
                      <w:kern w:val="0"/>
                    </w:rPr>
                    <w:t xml:space="preserve">9.63 </w:t>
                  </w:r>
                </w:p>
              </w:tc>
              <w:tc>
                <w:tcPr>
                  <w:tcW w:w="1087" w:type="pct"/>
                  <w:tcBorders>
                    <w:top w:val="nil"/>
                    <w:left w:val="nil"/>
                    <w:bottom w:val="single" w:color="auto" w:sz="8" w:space="0"/>
                    <w:right w:val="single" w:color="auto" w:sz="8" w:space="0"/>
                  </w:tcBorders>
                  <w:shd w:val="clear" w:color="auto" w:fill="auto"/>
                  <w:vAlign w:val="center"/>
                </w:tcPr>
                <w:p w14:paraId="34BE8E3E">
                  <w:pPr>
                    <w:widowControl/>
                    <w:jc w:val="center"/>
                    <w:rPr>
                      <w:color w:val="000000"/>
                      <w:kern w:val="0"/>
                    </w:rPr>
                  </w:pPr>
                  <w:r>
                    <w:rPr>
                      <w:color w:val="000000"/>
                      <w:kern w:val="0"/>
                    </w:rPr>
                    <w:t xml:space="preserve">3.01 </w:t>
                  </w:r>
                </w:p>
              </w:tc>
            </w:tr>
            <w:tr w14:paraId="6BBADA6C">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46810CFE">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5FDC376D">
                  <w:pPr>
                    <w:widowControl/>
                    <w:jc w:val="center"/>
                    <w:rPr>
                      <w:color w:val="000000"/>
                      <w:kern w:val="0"/>
                    </w:rPr>
                  </w:pPr>
                  <w:r>
                    <w:rPr>
                      <w:color w:val="000000"/>
                      <w:kern w:val="0"/>
                    </w:rPr>
                    <w:t xml:space="preserve">工矿交通用地 </w:t>
                  </w:r>
                </w:p>
              </w:tc>
              <w:tc>
                <w:tcPr>
                  <w:tcW w:w="1187" w:type="pct"/>
                  <w:tcBorders>
                    <w:top w:val="nil"/>
                    <w:left w:val="nil"/>
                    <w:bottom w:val="single" w:color="auto" w:sz="8" w:space="0"/>
                    <w:right w:val="single" w:color="auto" w:sz="8" w:space="0"/>
                  </w:tcBorders>
                  <w:shd w:val="clear" w:color="auto" w:fill="auto"/>
                  <w:vAlign w:val="center"/>
                </w:tcPr>
                <w:p w14:paraId="1E47318F">
                  <w:pPr>
                    <w:widowControl/>
                    <w:jc w:val="center"/>
                    <w:rPr>
                      <w:color w:val="000000"/>
                      <w:kern w:val="0"/>
                    </w:rPr>
                  </w:pPr>
                  <w:r>
                    <w:rPr>
                      <w:color w:val="000000"/>
                      <w:kern w:val="0"/>
                    </w:rPr>
                    <w:t xml:space="preserve">12.06 </w:t>
                  </w:r>
                </w:p>
              </w:tc>
              <w:tc>
                <w:tcPr>
                  <w:tcW w:w="1087" w:type="pct"/>
                  <w:tcBorders>
                    <w:top w:val="nil"/>
                    <w:left w:val="nil"/>
                    <w:bottom w:val="single" w:color="auto" w:sz="8" w:space="0"/>
                    <w:right w:val="single" w:color="auto" w:sz="8" w:space="0"/>
                  </w:tcBorders>
                  <w:shd w:val="clear" w:color="auto" w:fill="auto"/>
                  <w:vAlign w:val="center"/>
                </w:tcPr>
                <w:p w14:paraId="2C44F013">
                  <w:pPr>
                    <w:widowControl/>
                    <w:jc w:val="center"/>
                    <w:rPr>
                      <w:color w:val="000000"/>
                      <w:kern w:val="0"/>
                    </w:rPr>
                  </w:pPr>
                  <w:r>
                    <w:rPr>
                      <w:color w:val="000000"/>
                      <w:kern w:val="0"/>
                    </w:rPr>
                    <w:t xml:space="preserve">3.77 </w:t>
                  </w:r>
                </w:p>
              </w:tc>
            </w:tr>
            <w:tr w14:paraId="4045FE41">
              <w:tblPrEx>
                <w:tblCellMar>
                  <w:top w:w="0" w:type="dxa"/>
                  <w:left w:w="108" w:type="dxa"/>
                  <w:bottom w:w="0" w:type="dxa"/>
                  <w:right w:w="108" w:type="dxa"/>
                </w:tblCellMar>
              </w:tblPrEx>
              <w:trPr>
                <w:trHeight w:val="300" w:hRule="atLeast"/>
              </w:trPr>
              <w:tc>
                <w:tcPr>
                  <w:tcW w:w="1037" w:type="pct"/>
                  <w:vMerge w:val="continue"/>
                  <w:tcBorders>
                    <w:top w:val="nil"/>
                    <w:left w:val="single" w:color="auto" w:sz="8" w:space="0"/>
                    <w:bottom w:val="single" w:color="000000" w:sz="8" w:space="0"/>
                    <w:right w:val="single" w:color="auto" w:sz="8" w:space="0"/>
                  </w:tcBorders>
                  <w:vAlign w:val="center"/>
                </w:tcPr>
                <w:p w14:paraId="7A5A530C">
                  <w:pPr>
                    <w:widowControl/>
                    <w:jc w:val="left"/>
                    <w:rPr>
                      <w:b/>
                      <w:bCs/>
                      <w:color w:val="000000"/>
                      <w:kern w:val="0"/>
                    </w:rPr>
                  </w:pPr>
                </w:p>
              </w:tc>
              <w:tc>
                <w:tcPr>
                  <w:tcW w:w="1689" w:type="pct"/>
                  <w:tcBorders>
                    <w:top w:val="nil"/>
                    <w:left w:val="nil"/>
                    <w:bottom w:val="single" w:color="auto" w:sz="8" w:space="0"/>
                    <w:right w:val="single" w:color="auto" w:sz="8" w:space="0"/>
                  </w:tcBorders>
                  <w:shd w:val="clear" w:color="auto" w:fill="auto"/>
                  <w:noWrap/>
                  <w:vAlign w:val="center"/>
                </w:tcPr>
                <w:p w14:paraId="7630F043">
                  <w:pPr>
                    <w:widowControl/>
                    <w:jc w:val="center"/>
                    <w:rPr>
                      <w:b/>
                      <w:bCs/>
                      <w:color w:val="000000"/>
                      <w:kern w:val="0"/>
                    </w:rPr>
                  </w:pPr>
                  <w:r>
                    <w:rPr>
                      <w:b/>
                      <w:bCs/>
                      <w:color w:val="000000"/>
                      <w:kern w:val="0"/>
                    </w:rPr>
                    <w:t>小计</w:t>
                  </w:r>
                </w:p>
              </w:tc>
              <w:tc>
                <w:tcPr>
                  <w:tcW w:w="1187" w:type="pct"/>
                  <w:tcBorders>
                    <w:top w:val="nil"/>
                    <w:left w:val="nil"/>
                    <w:bottom w:val="single" w:color="auto" w:sz="8" w:space="0"/>
                    <w:right w:val="single" w:color="auto" w:sz="8" w:space="0"/>
                  </w:tcBorders>
                  <w:shd w:val="clear" w:color="auto" w:fill="auto"/>
                  <w:vAlign w:val="center"/>
                </w:tcPr>
                <w:p w14:paraId="4E7E32C0">
                  <w:pPr>
                    <w:widowControl/>
                    <w:jc w:val="center"/>
                    <w:rPr>
                      <w:b/>
                      <w:bCs/>
                      <w:color w:val="000000"/>
                      <w:kern w:val="0"/>
                    </w:rPr>
                  </w:pPr>
                  <w:r>
                    <w:rPr>
                      <w:b/>
                      <w:bCs/>
                      <w:color w:val="000000"/>
                      <w:kern w:val="0"/>
                    </w:rPr>
                    <w:t xml:space="preserve">21.97 </w:t>
                  </w:r>
                </w:p>
              </w:tc>
              <w:tc>
                <w:tcPr>
                  <w:tcW w:w="1087" w:type="pct"/>
                  <w:tcBorders>
                    <w:top w:val="nil"/>
                    <w:left w:val="nil"/>
                    <w:bottom w:val="single" w:color="auto" w:sz="8" w:space="0"/>
                    <w:right w:val="single" w:color="auto" w:sz="8" w:space="0"/>
                  </w:tcBorders>
                  <w:shd w:val="clear" w:color="auto" w:fill="auto"/>
                  <w:vAlign w:val="center"/>
                </w:tcPr>
                <w:p w14:paraId="5A6DC5B1">
                  <w:pPr>
                    <w:widowControl/>
                    <w:jc w:val="center"/>
                    <w:rPr>
                      <w:color w:val="000000"/>
                      <w:kern w:val="0"/>
                    </w:rPr>
                  </w:pPr>
                  <w:r>
                    <w:rPr>
                      <w:color w:val="000000"/>
                      <w:kern w:val="0"/>
                    </w:rPr>
                    <w:t xml:space="preserve">6.86 </w:t>
                  </w:r>
                </w:p>
              </w:tc>
            </w:tr>
            <w:tr w14:paraId="5BE6E2BC">
              <w:tblPrEx>
                <w:tblCellMar>
                  <w:top w:w="0" w:type="dxa"/>
                  <w:left w:w="108" w:type="dxa"/>
                  <w:bottom w:w="0" w:type="dxa"/>
                  <w:right w:w="108" w:type="dxa"/>
                </w:tblCellMar>
              </w:tblPrEx>
              <w:trPr>
                <w:trHeight w:val="300" w:hRule="atLeast"/>
              </w:trPr>
              <w:tc>
                <w:tcPr>
                  <w:tcW w:w="2726" w:type="pct"/>
                  <w:gridSpan w:val="2"/>
                  <w:tcBorders>
                    <w:top w:val="nil"/>
                    <w:left w:val="single" w:color="auto" w:sz="8" w:space="0"/>
                    <w:bottom w:val="single" w:color="auto" w:sz="8" w:space="0"/>
                    <w:right w:val="single" w:color="000000" w:sz="8" w:space="0"/>
                  </w:tcBorders>
                  <w:shd w:val="clear" w:color="auto" w:fill="auto"/>
                  <w:vAlign w:val="center"/>
                </w:tcPr>
                <w:p w14:paraId="5837CD1E">
                  <w:pPr>
                    <w:widowControl/>
                    <w:jc w:val="center"/>
                    <w:rPr>
                      <w:b/>
                      <w:bCs/>
                      <w:color w:val="000000"/>
                      <w:kern w:val="0"/>
                    </w:rPr>
                  </w:pPr>
                  <w:r>
                    <w:rPr>
                      <w:b/>
                      <w:bCs/>
                      <w:color w:val="000000"/>
                      <w:kern w:val="0"/>
                    </w:rPr>
                    <w:t>合计</w:t>
                  </w:r>
                </w:p>
              </w:tc>
              <w:tc>
                <w:tcPr>
                  <w:tcW w:w="1187" w:type="pct"/>
                  <w:tcBorders>
                    <w:top w:val="nil"/>
                    <w:left w:val="nil"/>
                    <w:bottom w:val="single" w:color="auto" w:sz="8" w:space="0"/>
                    <w:right w:val="single" w:color="auto" w:sz="8" w:space="0"/>
                  </w:tcBorders>
                  <w:shd w:val="clear" w:color="auto" w:fill="auto"/>
                  <w:vAlign w:val="center"/>
                </w:tcPr>
                <w:p w14:paraId="6FC4D901">
                  <w:pPr>
                    <w:widowControl/>
                    <w:jc w:val="center"/>
                    <w:rPr>
                      <w:b/>
                      <w:bCs/>
                      <w:color w:val="000000"/>
                      <w:kern w:val="0"/>
                    </w:rPr>
                  </w:pPr>
                  <w:r>
                    <w:rPr>
                      <w:b/>
                      <w:bCs/>
                      <w:color w:val="000000"/>
                      <w:kern w:val="0"/>
                    </w:rPr>
                    <w:t xml:space="preserve">320.24 </w:t>
                  </w:r>
                </w:p>
              </w:tc>
              <w:tc>
                <w:tcPr>
                  <w:tcW w:w="1087" w:type="pct"/>
                  <w:tcBorders>
                    <w:top w:val="nil"/>
                    <w:left w:val="nil"/>
                    <w:bottom w:val="single" w:color="auto" w:sz="8" w:space="0"/>
                    <w:right w:val="single" w:color="auto" w:sz="8" w:space="0"/>
                  </w:tcBorders>
                  <w:shd w:val="clear" w:color="auto" w:fill="auto"/>
                  <w:vAlign w:val="center"/>
                </w:tcPr>
                <w:p w14:paraId="6DC5E4C9">
                  <w:pPr>
                    <w:widowControl/>
                    <w:jc w:val="center"/>
                    <w:rPr>
                      <w:color w:val="000000"/>
                      <w:kern w:val="0"/>
                    </w:rPr>
                  </w:pPr>
                  <w:r>
                    <w:rPr>
                      <w:color w:val="000000"/>
                      <w:kern w:val="0"/>
                    </w:rPr>
                    <w:t xml:space="preserve">100.00 </w:t>
                  </w:r>
                </w:p>
              </w:tc>
            </w:tr>
          </w:tbl>
          <w:p w14:paraId="2591F8BC">
            <w:pPr>
              <w:pStyle w:val="28"/>
              <w:spacing w:after="0" w:line="360" w:lineRule="auto"/>
              <w:ind w:left="0" w:leftChars="0" w:firstLine="482" w:firstLineChars="200"/>
              <w:rPr>
                <w:b/>
                <w:bCs/>
                <w:sz w:val="24"/>
              </w:rPr>
            </w:pPr>
            <w:r>
              <w:rPr>
                <w:b/>
                <w:bCs/>
                <w:sz w:val="24"/>
              </w:rPr>
              <w:t>3</w:t>
            </w:r>
            <w:r>
              <w:rPr>
                <w:rFonts w:hint="eastAsia"/>
                <w:b/>
                <w:bCs/>
                <w:sz w:val="24"/>
              </w:rPr>
              <w:t>、陆生脊椎动物现状</w:t>
            </w:r>
          </w:p>
          <w:p w14:paraId="71B2CB67">
            <w:pPr>
              <w:pStyle w:val="28"/>
              <w:spacing w:after="0" w:line="360" w:lineRule="auto"/>
              <w:ind w:left="0" w:leftChars="0" w:firstLine="480" w:firstLineChars="200"/>
              <w:rPr>
                <w:sz w:val="24"/>
              </w:rPr>
            </w:pPr>
            <w:r>
              <w:rPr>
                <w:rFonts w:hint="eastAsia"/>
                <w:sz w:val="24"/>
              </w:rPr>
              <w:t>根据实地调查、走访及查阅文献记载，项目评价区记录的陆生脊椎动物情况如下。</w:t>
            </w:r>
          </w:p>
          <w:p w14:paraId="73323284">
            <w:pPr>
              <w:pStyle w:val="28"/>
              <w:spacing w:after="0" w:line="360" w:lineRule="auto"/>
              <w:ind w:left="0" w:leftChars="0" w:firstLine="480" w:firstLineChars="200"/>
              <w:rPr>
                <w:sz w:val="24"/>
              </w:rPr>
            </w:pPr>
            <w:r>
              <w:rPr>
                <w:rFonts w:hint="eastAsia"/>
                <w:sz w:val="24"/>
              </w:rPr>
              <w:t>（1）两栖类</w:t>
            </w:r>
          </w:p>
          <w:p w14:paraId="456AF103">
            <w:pPr>
              <w:pStyle w:val="28"/>
              <w:spacing w:after="0" w:line="360" w:lineRule="auto"/>
              <w:ind w:left="0" w:leftChars="0" w:firstLine="480" w:firstLineChars="200"/>
              <w:rPr>
                <w:sz w:val="24"/>
              </w:rPr>
            </w:pPr>
            <w:r>
              <w:rPr>
                <w:rFonts w:hint="eastAsia"/>
                <w:sz w:val="24"/>
              </w:rPr>
              <w:t>通过野外实地考察、走访调查及查阅文献，评价区内记录到两栖纲动物常见种有中华蟾蜍</w:t>
            </w:r>
            <w:r>
              <w:rPr>
                <w:rFonts w:hint="eastAsia"/>
                <w:i/>
                <w:iCs/>
                <w:sz w:val="24"/>
              </w:rPr>
              <w:t>Bufo gargarizens</w:t>
            </w:r>
            <w:r>
              <w:rPr>
                <w:rFonts w:hint="eastAsia"/>
                <w:sz w:val="24"/>
              </w:rPr>
              <w:t>、无指盘臭蛙</w:t>
            </w:r>
            <w:r>
              <w:rPr>
                <w:rFonts w:hint="eastAsia"/>
                <w:i/>
                <w:iCs/>
                <w:sz w:val="24"/>
              </w:rPr>
              <w:t>Odorrana grahami</w:t>
            </w:r>
            <w:r>
              <w:rPr>
                <w:rFonts w:hint="eastAsia"/>
                <w:sz w:val="24"/>
              </w:rPr>
              <w:t xml:space="preserve"> 和滇蛙</w:t>
            </w:r>
            <w:r>
              <w:rPr>
                <w:rFonts w:hint="eastAsia"/>
                <w:i/>
                <w:iCs/>
                <w:sz w:val="24"/>
              </w:rPr>
              <w:t>Nidirana pleuraden</w:t>
            </w:r>
            <w:r>
              <w:rPr>
                <w:rFonts w:hint="eastAsia"/>
                <w:sz w:val="24"/>
              </w:rPr>
              <w:t>等。</w:t>
            </w:r>
          </w:p>
          <w:p w14:paraId="32ACD0CA">
            <w:pPr>
              <w:pStyle w:val="28"/>
              <w:spacing w:after="0" w:line="360" w:lineRule="auto"/>
              <w:ind w:left="0" w:leftChars="0" w:firstLine="480" w:firstLineChars="200"/>
              <w:rPr>
                <w:sz w:val="24"/>
              </w:rPr>
            </w:pPr>
            <w:r>
              <w:rPr>
                <w:rFonts w:hint="eastAsia"/>
                <w:sz w:val="24"/>
              </w:rPr>
              <w:t>（2）爬行类</w:t>
            </w:r>
          </w:p>
          <w:p w14:paraId="673A5922">
            <w:pPr>
              <w:pStyle w:val="28"/>
              <w:spacing w:after="0" w:line="360" w:lineRule="auto"/>
              <w:ind w:left="0" w:leftChars="0" w:firstLine="480" w:firstLineChars="200"/>
              <w:rPr>
                <w:sz w:val="24"/>
              </w:rPr>
            </w:pPr>
            <w:r>
              <w:rPr>
                <w:rFonts w:hint="eastAsia"/>
                <w:sz w:val="24"/>
              </w:rPr>
              <w:t>经实地调查与走访，并结合相关文献记载等，评价区内记录到爬行动物常见种有云南半叶趾虎</w:t>
            </w:r>
            <w:r>
              <w:rPr>
                <w:rFonts w:hint="eastAsia"/>
                <w:i/>
                <w:iCs/>
                <w:sz w:val="24"/>
              </w:rPr>
              <w:t>Hemiphyllodactylus yunnanensis</w:t>
            </w:r>
            <w:r>
              <w:rPr>
                <w:rFonts w:hint="eastAsia"/>
                <w:sz w:val="24"/>
              </w:rPr>
              <w:t xml:space="preserve"> 、昆明龙蜥</w:t>
            </w:r>
            <w:r>
              <w:rPr>
                <w:rFonts w:hint="eastAsia"/>
                <w:i/>
                <w:iCs/>
                <w:sz w:val="24"/>
              </w:rPr>
              <w:t>Diploderma varcoae</w:t>
            </w:r>
            <w:r>
              <w:rPr>
                <w:rFonts w:hint="eastAsia"/>
                <w:sz w:val="24"/>
              </w:rPr>
              <w:t>、铜蜓蜥</w:t>
            </w:r>
            <w:r>
              <w:rPr>
                <w:rFonts w:hint="eastAsia"/>
                <w:i/>
                <w:iCs/>
                <w:sz w:val="24"/>
              </w:rPr>
              <w:t>Sphenomorphus indicum</w:t>
            </w:r>
            <w:r>
              <w:rPr>
                <w:rFonts w:hint="eastAsia"/>
                <w:sz w:val="24"/>
              </w:rPr>
              <w:t>、灰鼠蛇</w:t>
            </w:r>
            <w:r>
              <w:rPr>
                <w:rFonts w:hint="eastAsia"/>
                <w:i/>
                <w:sz w:val="24"/>
              </w:rPr>
              <w:t>Ptyas</w:t>
            </w:r>
            <w:r>
              <w:rPr>
                <w:rFonts w:hint="eastAsia"/>
                <w:sz w:val="24"/>
              </w:rPr>
              <w:t xml:space="preserve"> </w:t>
            </w:r>
            <w:r>
              <w:rPr>
                <w:rFonts w:hint="eastAsia"/>
                <w:i/>
                <w:sz w:val="24"/>
              </w:rPr>
              <w:t>korro</w:t>
            </w:r>
            <w:r>
              <w:rPr>
                <w:rFonts w:hint="eastAsia"/>
                <w:sz w:val="24"/>
              </w:rPr>
              <w:t>等。</w:t>
            </w:r>
          </w:p>
          <w:p w14:paraId="447A5B7F">
            <w:pPr>
              <w:pStyle w:val="28"/>
              <w:spacing w:after="0" w:line="360" w:lineRule="auto"/>
              <w:ind w:left="0" w:leftChars="0" w:firstLine="480" w:firstLineChars="200"/>
              <w:rPr>
                <w:sz w:val="24"/>
              </w:rPr>
            </w:pPr>
            <w:r>
              <w:rPr>
                <w:rFonts w:hint="eastAsia"/>
                <w:sz w:val="24"/>
              </w:rPr>
              <w:t>（3）鸟类</w:t>
            </w:r>
          </w:p>
          <w:p w14:paraId="7D712AE8">
            <w:pPr>
              <w:pStyle w:val="28"/>
              <w:spacing w:after="0" w:line="360" w:lineRule="auto"/>
              <w:ind w:left="0" w:leftChars="0" w:firstLine="480" w:firstLineChars="200"/>
              <w:rPr>
                <w:sz w:val="24"/>
              </w:rPr>
            </w:pPr>
            <w:r>
              <w:rPr>
                <w:rFonts w:hint="eastAsia"/>
                <w:sz w:val="24"/>
              </w:rPr>
              <w:t>经实地调查与走访，并结合相关文献记载等，评价区内分布的鸟类较多，其中，雀形目的物种数最多。评价区的鸟类以林栖雀形目的小型鸣禽为主，这符合当地以针叶林为主的植被类型，以及兼有灌丛和人工植被的生境状况。主要有小䴙䴘</w:t>
            </w:r>
            <w:r>
              <w:rPr>
                <w:i/>
                <w:iCs/>
                <w:sz w:val="24"/>
              </w:rPr>
              <w:t>Tachybaptus ruficollis</w:t>
            </w:r>
            <w:r>
              <w:rPr>
                <w:rFonts w:hint="eastAsia"/>
                <w:sz w:val="24"/>
              </w:rPr>
              <w:t>、凤头䴙䴘</w:t>
            </w:r>
            <w:r>
              <w:rPr>
                <w:i/>
                <w:iCs/>
                <w:sz w:val="24"/>
              </w:rPr>
              <w:t>Podiceps</w:t>
            </w:r>
            <w:r>
              <w:rPr>
                <w:rFonts w:hint="eastAsia"/>
                <w:i/>
                <w:iCs/>
                <w:sz w:val="24"/>
              </w:rPr>
              <w:t xml:space="preserve"> cristatus</w:t>
            </w:r>
            <w:r>
              <w:rPr>
                <w:rFonts w:hint="eastAsia"/>
                <w:sz w:val="24"/>
              </w:rPr>
              <w:t>、山斑鸠</w:t>
            </w:r>
            <w:r>
              <w:rPr>
                <w:rFonts w:hint="eastAsia"/>
                <w:i/>
                <w:iCs/>
                <w:sz w:val="24"/>
              </w:rPr>
              <w:t>Streptopelia orientalis</w:t>
            </w:r>
            <w:r>
              <w:rPr>
                <w:rFonts w:hint="eastAsia"/>
                <w:sz w:val="24"/>
              </w:rPr>
              <w:t>、珠颈斑鸠</w:t>
            </w:r>
            <w:r>
              <w:rPr>
                <w:rFonts w:hint="eastAsia"/>
                <w:i/>
                <w:iCs/>
                <w:sz w:val="24"/>
              </w:rPr>
              <w:t>Spilopelia chinensis</w:t>
            </w:r>
            <w:r>
              <w:rPr>
                <w:rFonts w:hint="eastAsia"/>
                <w:sz w:val="24"/>
              </w:rPr>
              <w:t>、苍鹭</w:t>
            </w:r>
            <w:r>
              <w:rPr>
                <w:rFonts w:hint="eastAsia"/>
                <w:i/>
                <w:iCs/>
                <w:sz w:val="24"/>
              </w:rPr>
              <w:t>Ardea cinerea</w:t>
            </w:r>
            <w:r>
              <w:rPr>
                <w:rFonts w:hint="eastAsia"/>
                <w:sz w:val="24"/>
              </w:rPr>
              <w:t>、白鹭</w:t>
            </w:r>
            <w:r>
              <w:rPr>
                <w:rFonts w:hint="eastAsia"/>
                <w:i/>
                <w:iCs/>
                <w:sz w:val="24"/>
              </w:rPr>
              <w:t>Egretta garzetta</w:t>
            </w:r>
            <w:r>
              <w:rPr>
                <w:rFonts w:hint="eastAsia"/>
                <w:sz w:val="24"/>
              </w:rPr>
              <w:t>、牛背鹭</w:t>
            </w:r>
            <w:r>
              <w:rPr>
                <w:rFonts w:hint="eastAsia"/>
                <w:i/>
                <w:iCs/>
                <w:sz w:val="24"/>
              </w:rPr>
              <w:t>Bubulcus coromandus</w:t>
            </w:r>
            <w:r>
              <w:rPr>
                <w:rFonts w:hint="eastAsia"/>
                <w:sz w:val="24"/>
              </w:rPr>
              <w:t>、戴胜</w:t>
            </w:r>
            <w:r>
              <w:rPr>
                <w:rFonts w:hint="eastAsia"/>
                <w:i/>
                <w:iCs/>
                <w:sz w:val="24"/>
              </w:rPr>
              <w:t>Upupa epops</w:t>
            </w:r>
            <w:r>
              <w:rPr>
                <w:rFonts w:hint="eastAsia"/>
                <w:sz w:val="24"/>
              </w:rPr>
              <w:t>、普通翠鸟</w:t>
            </w:r>
            <w:r>
              <w:rPr>
                <w:rFonts w:hint="eastAsia"/>
                <w:i/>
                <w:iCs/>
                <w:sz w:val="24"/>
              </w:rPr>
              <w:t>Alcedo atthis</w:t>
            </w:r>
            <w:r>
              <w:rPr>
                <w:rFonts w:hint="eastAsia"/>
                <w:sz w:val="24"/>
              </w:rPr>
              <w:t>、灰头绿啄木鸟</w:t>
            </w:r>
            <w:r>
              <w:rPr>
                <w:rFonts w:hint="eastAsia"/>
                <w:i/>
                <w:iCs/>
                <w:sz w:val="24"/>
              </w:rPr>
              <w:t>Picus canus</w:t>
            </w:r>
            <w:r>
              <w:rPr>
                <w:rFonts w:hint="eastAsia"/>
                <w:sz w:val="24"/>
              </w:rPr>
              <w:t>、棕背伯劳</w:t>
            </w:r>
            <w:r>
              <w:rPr>
                <w:rFonts w:hint="eastAsia"/>
                <w:i/>
                <w:iCs/>
                <w:sz w:val="24"/>
              </w:rPr>
              <w:t>Lanius schach</w:t>
            </w:r>
            <w:r>
              <w:rPr>
                <w:rFonts w:hint="eastAsia"/>
                <w:sz w:val="24"/>
              </w:rPr>
              <w:t>、松鸦</w:t>
            </w:r>
            <w:r>
              <w:rPr>
                <w:rFonts w:hint="eastAsia"/>
                <w:i/>
                <w:iCs/>
                <w:sz w:val="24"/>
              </w:rPr>
              <w:t>Garrulus glandarius</w:t>
            </w:r>
            <w:r>
              <w:rPr>
                <w:rFonts w:hint="eastAsia"/>
                <w:sz w:val="24"/>
              </w:rPr>
              <w:t>、红嘴蓝鹊</w:t>
            </w:r>
            <w:r>
              <w:rPr>
                <w:rFonts w:hint="eastAsia"/>
                <w:i/>
                <w:iCs/>
                <w:sz w:val="24"/>
              </w:rPr>
              <w:t>Urocissa erythroryncha</w:t>
            </w:r>
            <w:r>
              <w:rPr>
                <w:rFonts w:hint="eastAsia"/>
                <w:sz w:val="24"/>
              </w:rPr>
              <w:t>、喜鹊</w:t>
            </w:r>
            <w:r>
              <w:rPr>
                <w:rFonts w:hint="eastAsia"/>
                <w:i/>
                <w:iCs/>
                <w:sz w:val="24"/>
              </w:rPr>
              <w:t>Pica serica</w:t>
            </w:r>
            <w:r>
              <w:rPr>
                <w:rFonts w:hint="eastAsia"/>
                <w:sz w:val="24"/>
              </w:rPr>
              <w:t>、大山雀</w:t>
            </w:r>
            <w:r>
              <w:rPr>
                <w:rFonts w:hint="eastAsia"/>
                <w:i/>
                <w:iCs/>
                <w:sz w:val="24"/>
              </w:rPr>
              <w:t>Parus minor</w:t>
            </w:r>
            <w:r>
              <w:rPr>
                <w:rFonts w:hint="eastAsia"/>
                <w:sz w:val="24"/>
              </w:rPr>
              <w:t>、黄臀鹎</w:t>
            </w:r>
            <w:r>
              <w:rPr>
                <w:rFonts w:hint="eastAsia"/>
                <w:i/>
                <w:iCs/>
                <w:sz w:val="24"/>
              </w:rPr>
              <w:t>Pycnonotus xanthorrhous</w:t>
            </w:r>
            <w:r>
              <w:rPr>
                <w:rFonts w:hint="eastAsia"/>
                <w:sz w:val="24"/>
              </w:rPr>
              <w:t>、红尾水鸲</w:t>
            </w:r>
            <w:r>
              <w:rPr>
                <w:rFonts w:hint="eastAsia"/>
                <w:i/>
                <w:iCs/>
                <w:sz w:val="24"/>
              </w:rPr>
              <w:t>Phoenicurus fuliginosus</w:t>
            </w:r>
            <w:r>
              <w:rPr>
                <w:rFonts w:hint="eastAsia"/>
                <w:sz w:val="24"/>
              </w:rPr>
              <w:t>、山麻雀</w:t>
            </w:r>
            <w:r>
              <w:rPr>
                <w:rFonts w:hint="eastAsia"/>
                <w:i/>
                <w:iCs/>
                <w:sz w:val="24"/>
              </w:rPr>
              <w:t>Passer cinnamomeus</w:t>
            </w:r>
            <w:r>
              <w:rPr>
                <w:rFonts w:hint="eastAsia"/>
                <w:sz w:val="24"/>
              </w:rPr>
              <w:t>、麻雀</w:t>
            </w:r>
            <w:r>
              <w:rPr>
                <w:rFonts w:hint="eastAsia"/>
                <w:i/>
                <w:iCs/>
                <w:sz w:val="24"/>
              </w:rPr>
              <w:t>Passer montanus</w:t>
            </w:r>
            <w:r>
              <w:rPr>
                <w:rFonts w:hint="eastAsia"/>
                <w:sz w:val="24"/>
              </w:rPr>
              <w:t>、蓝喉太阳鸟</w:t>
            </w:r>
            <w:r>
              <w:rPr>
                <w:rFonts w:hint="eastAsia"/>
                <w:i/>
                <w:iCs/>
                <w:sz w:val="24"/>
              </w:rPr>
              <w:t>Aethopyga gouldiae</w:t>
            </w:r>
            <w:r>
              <w:rPr>
                <w:rFonts w:hint="eastAsia"/>
                <w:sz w:val="24"/>
              </w:rPr>
              <w:t>、褐胁雀鹛</w:t>
            </w:r>
            <w:r>
              <w:rPr>
                <w:i/>
                <w:iCs/>
                <w:sz w:val="24"/>
              </w:rPr>
              <w:t>Schoeniparus dubius</w:t>
            </w:r>
            <w:r>
              <w:rPr>
                <w:rFonts w:hint="eastAsia"/>
                <w:sz w:val="24"/>
              </w:rPr>
              <w:t>、黑喉石䳭</w:t>
            </w:r>
            <w:r>
              <w:rPr>
                <w:i/>
                <w:iCs/>
                <w:sz w:val="24"/>
              </w:rPr>
              <w:t>Saxicola maurus</w:t>
            </w:r>
            <w:r>
              <w:rPr>
                <w:rFonts w:hint="eastAsia"/>
                <w:sz w:val="24"/>
              </w:rPr>
              <w:t>、黑头金翅雀</w:t>
            </w:r>
            <w:r>
              <w:rPr>
                <w:i/>
                <w:iCs/>
                <w:sz w:val="24"/>
              </w:rPr>
              <w:t>Chloris</w:t>
            </w:r>
            <w:r>
              <w:rPr>
                <w:rFonts w:hint="eastAsia"/>
                <w:i/>
                <w:iCs/>
                <w:sz w:val="24"/>
              </w:rPr>
              <w:t xml:space="preserve"> ambigua</w:t>
            </w:r>
            <w:r>
              <w:rPr>
                <w:rFonts w:hint="eastAsia"/>
                <w:sz w:val="24"/>
              </w:rPr>
              <w:t>、灰眉岩鹀西南亚种</w:t>
            </w:r>
            <w:r>
              <w:rPr>
                <w:rFonts w:hint="eastAsia"/>
                <w:i/>
                <w:iCs/>
                <w:sz w:val="24"/>
              </w:rPr>
              <w:t>Emberiza yunnanensis</w:t>
            </w:r>
            <w:r>
              <w:rPr>
                <w:rFonts w:hint="eastAsia"/>
                <w:sz w:val="24"/>
              </w:rPr>
              <w:t xml:space="preserve"> 等。</w:t>
            </w:r>
          </w:p>
          <w:p w14:paraId="7987F09A">
            <w:pPr>
              <w:pStyle w:val="28"/>
              <w:spacing w:after="0" w:line="360" w:lineRule="auto"/>
              <w:ind w:left="0" w:leftChars="0" w:firstLine="480" w:firstLineChars="200"/>
              <w:rPr>
                <w:sz w:val="24"/>
              </w:rPr>
            </w:pPr>
            <w:r>
              <w:rPr>
                <w:rFonts w:hint="eastAsia"/>
                <w:sz w:val="24"/>
              </w:rPr>
              <w:t>（4）哺乳类</w:t>
            </w:r>
          </w:p>
          <w:p w14:paraId="2C74A7BC">
            <w:pPr>
              <w:pStyle w:val="28"/>
              <w:spacing w:after="0" w:line="360" w:lineRule="auto"/>
              <w:ind w:left="0" w:leftChars="0" w:firstLine="480" w:firstLineChars="200"/>
              <w:rPr>
                <w:sz w:val="24"/>
              </w:rPr>
            </w:pPr>
            <w:r>
              <w:rPr>
                <w:rFonts w:hint="eastAsia"/>
                <w:sz w:val="24"/>
              </w:rPr>
              <w:t>通过野外实地调查、现场访问和文献查阅，评价区的哺乳类成分以啮齿目的珀氏长吻松鼠</w:t>
            </w:r>
            <w:r>
              <w:rPr>
                <w:rFonts w:hint="eastAsia"/>
                <w:i/>
                <w:iCs/>
                <w:sz w:val="24"/>
              </w:rPr>
              <w:t>Dremomys pernyi</w:t>
            </w:r>
            <w:r>
              <w:rPr>
                <w:rFonts w:hint="eastAsia"/>
                <w:sz w:val="24"/>
              </w:rPr>
              <w:t>、赤腹松鼠</w:t>
            </w:r>
            <w:r>
              <w:rPr>
                <w:rFonts w:hint="eastAsia"/>
                <w:i/>
                <w:iCs/>
                <w:sz w:val="24"/>
              </w:rPr>
              <w:t>Callosciurus erythraeus</w:t>
            </w:r>
            <w:r>
              <w:rPr>
                <w:rFonts w:hint="eastAsia"/>
                <w:sz w:val="24"/>
              </w:rPr>
              <w:t>、中华姬鼠</w:t>
            </w:r>
            <w:r>
              <w:rPr>
                <w:rFonts w:hint="eastAsia"/>
                <w:i/>
                <w:iCs/>
                <w:sz w:val="24"/>
              </w:rPr>
              <w:t>Apodemus draco</w:t>
            </w:r>
            <w:r>
              <w:rPr>
                <w:rFonts w:hint="eastAsia"/>
                <w:sz w:val="24"/>
              </w:rPr>
              <w:t>、褐家鼠</w:t>
            </w:r>
            <w:r>
              <w:rPr>
                <w:rFonts w:hint="eastAsia"/>
                <w:i/>
                <w:iCs/>
                <w:sz w:val="24"/>
              </w:rPr>
              <w:t>Rattus norvegicus</w:t>
            </w:r>
            <w:r>
              <w:rPr>
                <w:rFonts w:hint="eastAsia"/>
                <w:sz w:val="24"/>
              </w:rPr>
              <w:t>、北社鼠</w:t>
            </w:r>
            <w:r>
              <w:rPr>
                <w:rFonts w:hint="eastAsia"/>
                <w:i/>
                <w:iCs/>
                <w:sz w:val="24"/>
              </w:rPr>
              <w:t>Niviventer confucianus</w:t>
            </w:r>
            <w:r>
              <w:rPr>
                <w:rFonts w:hint="eastAsia"/>
                <w:sz w:val="24"/>
              </w:rPr>
              <w:t>、小家鼠</w:t>
            </w:r>
            <w:r>
              <w:rPr>
                <w:rFonts w:hint="eastAsia"/>
                <w:i/>
                <w:iCs/>
                <w:sz w:val="24"/>
              </w:rPr>
              <w:t>Mus musculus</w:t>
            </w:r>
            <w:r>
              <w:rPr>
                <w:rFonts w:hint="eastAsia"/>
                <w:sz w:val="24"/>
              </w:rPr>
              <w:t>为优势，其中赤腹松鼠、珀氏长吻松鼠和中华姬鼠主要活动于沿线林地、灌丛及园地等，而其他鼠科的鼠类主要在居民点、农田和园地等人工生态环境中活动。</w:t>
            </w:r>
          </w:p>
          <w:p w14:paraId="12539677">
            <w:pPr>
              <w:pStyle w:val="28"/>
              <w:spacing w:after="0" w:line="360" w:lineRule="auto"/>
              <w:ind w:left="0" w:leftChars="0" w:firstLine="480" w:firstLineChars="200"/>
              <w:rPr>
                <w:sz w:val="24"/>
              </w:rPr>
            </w:pPr>
            <w:r>
              <w:rPr>
                <w:rFonts w:hint="eastAsia"/>
                <w:sz w:val="24"/>
              </w:rPr>
              <w:t>（5）重点保护野生动物</w:t>
            </w:r>
          </w:p>
          <w:p w14:paraId="03B75E3F">
            <w:pPr>
              <w:pStyle w:val="28"/>
              <w:spacing w:after="0" w:line="360" w:lineRule="auto"/>
              <w:ind w:left="0" w:leftChars="0" w:firstLine="480" w:firstLineChars="200"/>
              <w:rPr>
                <w:sz w:val="24"/>
              </w:rPr>
            </w:pPr>
            <w:r>
              <w:rPr>
                <w:rFonts w:hint="eastAsia"/>
                <w:sz w:val="24"/>
              </w:rPr>
              <w:t>根据中国观鸟记录中心、《中国鸟类野外手册》《国家重点保护野生动物名录（2021）》《云南省重点保护陆生野生动物名录（2023）》等资料，并结合实地和访问调查，评价区未记录到国家和省级重点保护动物，未记录到《中国生物多样性红色名录-脊椎动物卷（2020）》中易危、濒危和极危物种。</w:t>
            </w:r>
          </w:p>
          <w:p w14:paraId="25DA461E">
            <w:pPr>
              <w:pStyle w:val="28"/>
              <w:spacing w:after="0" w:line="360" w:lineRule="auto"/>
              <w:ind w:left="0" w:leftChars="0" w:firstLine="480" w:firstLineChars="200"/>
              <w:rPr>
                <w:sz w:val="24"/>
              </w:rPr>
            </w:pPr>
            <w:r>
              <w:rPr>
                <w:rFonts w:hint="eastAsia"/>
                <w:sz w:val="24"/>
              </w:rPr>
              <w:t>（6）候鸟迁徙通道</w:t>
            </w:r>
          </w:p>
          <w:p w14:paraId="14DC05E0">
            <w:pPr>
              <w:pStyle w:val="26"/>
              <w:spacing w:line="360" w:lineRule="auto"/>
              <w:ind w:firstLine="480" w:firstLineChars="200"/>
              <w:rPr>
                <w:rFonts w:ascii="Times New Roman" w:hAnsi="Times New Roman"/>
                <w:color w:val="000000" w:themeColor="text1"/>
                <w:kern w:val="2"/>
                <w:sz w:val="24"/>
                <w:szCs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在调查过程中，对在项目区进行耕作的村民进行了访问，访问结果均为周边没有</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打雀山</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或</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打雀点</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，没有听说过有夜间打鸟的现象，也没有发现当地秋季夜间有鸟类迷失方向、扑火的现象。项目区也不涉及云南省林草局于</w:t>
            </w:r>
            <w:r>
              <w:rPr>
                <w:rFonts w:ascii="Times New Roman" w:hAnsi="Times New Roman"/>
                <w:color w:val="000000" w:themeColor="text1"/>
                <w:sz w:val="24"/>
                <w14:textFill>
                  <w14:solidFill>
                    <w14:schemeClr w14:val="tx1"/>
                  </w14:solidFill>
                </w14:textFill>
              </w:rPr>
              <w:t>2023</w:t>
            </w:r>
            <w:r>
              <w:rPr>
                <w:rFonts w:hint="eastAsia" w:ascii="Times New Roman" w:hAnsi="Times New Roman"/>
                <w:color w:val="000000" w:themeColor="text1"/>
                <w:sz w:val="24"/>
                <w14:textFill>
                  <w14:solidFill>
                    <w14:schemeClr w14:val="tx1"/>
                  </w14:solidFill>
                </w14:textFill>
              </w:rPr>
              <w:t>年</w:t>
            </w:r>
            <w:r>
              <w:rPr>
                <w:rFonts w:ascii="Times New Roman" w:hAnsi="Times New Roman"/>
                <w:color w:val="000000" w:themeColor="text1"/>
                <w:sz w:val="24"/>
                <w14:textFill>
                  <w14:solidFill>
                    <w14:schemeClr w14:val="tx1"/>
                  </w14:solidFill>
                </w14:textFill>
              </w:rPr>
              <w:t>12</w:t>
            </w:r>
            <w:r>
              <w:rPr>
                <w:rFonts w:hint="eastAsia" w:ascii="Times New Roman" w:hAnsi="Times New Roman"/>
                <w:color w:val="000000" w:themeColor="text1"/>
                <w:sz w:val="24"/>
                <w14:textFill>
                  <w14:solidFill>
                    <w14:schemeClr w14:val="tx1"/>
                  </w14:solidFill>
                </w14:textFill>
              </w:rPr>
              <w:t>月</w:t>
            </w:r>
            <w:r>
              <w:rPr>
                <w:rFonts w:ascii="Times New Roman" w:hAnsi="Times New Roman"/>
                <w:color w:val="000000" w:themeColor="text1"/>
                <w:sz w:val="24"/>
                <w14:textFill>
                  <w14:solidFill>
                    <w14:schemeClr w14:val="tx1"/>
                  </w14:solidFill>
                </w14:textFill>
              </w:rPr>
              <w:t>14</w:t>
            </w:r>
            <w:r>
              <w:rPr>
                <w:rFonts w:hint="eastAsia" w:ascii="Times New Roman" w:hAnsi="Times New Roman"/>
                <w:color w:val="000000" w:themeColor="text1"/>
                <w:sz w:val="24"/>
                <w14:textFill>
                  <w14:solidFill>
                    <w14:schemeClr w14:val="tx1"/>
                  </w14:solidFill>
                </w14:textFill>
              </w:rPr>
              <w:t>日发布的云南省候鸟迁徙通道重点区域范围（第一批），经与云南省候鸟迁徙通道重点区域范围（第一批）进行叠图分析，本项目不涉及云南省候鸟迁徙通道。</w:t>
            </w:r>
          </w:p>
          <w:p w14:paraId="69A4AD97">
            <w:pPr>
              <w:pStyle w:val="26"/>
              <w:spacing w:line="360" w:lineRule="auto"/>
              <w:jc w:val="center"/>
              <w:rPr>
                <w:rFonts w:ascii="Times New Roman" w:hAnsi="Times New Roman"/>
                <w:b/>
                <w:bCs/>
                <w:color w:val="000000" w:themeColor="text1"/>
                <w:kern w:val="2"/>
                <w:sz w:val="24"/>
                <w:szCs w:val="24"/>
                <w14:textFill>
                  <w14:solidFill>
                    <w14:schemeClr w14:val="tx1"/>
                  </w14:solidFill>
                </w14:textFill>
              </w:rPr>
            </w:pPr>
            <w:r>
              <w:rPr>
                <w:rFonts w:hAnsi="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3474085</wp:posOffset>
                      </wp:positionH>
                      <wp:positionV relativeFrom="paragraph">
                        <wp:posOffset>987425</wp:posOffset>
                      </wp:positionV>
                      <wp:extent cx="1443355" cy="325755"/>
                      <wp:effectExtent l="76200" t="0" r="23495" b="493395"/>
                      <wp:wrapNone/>
                      <wp:docPr id="116" name="对话气泡: 矩形 116"/>
                      <wp:cNvGraphicFramePr/>
                      <a:graphic xmlns:a="http://schemas.openxmlformats.org/drawingml/2006/main">
                        <a:graphicData uri="http://schemas.microsoft.com/office/word/2010/wordprocessingShape">
                          <wps:wsp>
                            <wps:cNvSpPr/>
                            <wps:spPr>
                              <a:xfrm>
                                <a:off x="0" y="0"/>
                                <a:ext cx="1443355" cy="325755"/>
                              </a:xfrm>
                              <a:prstGeom prst="wedgeRectCallout">
                                <a:avLst>
                                  <a:gd name="adj1" fmla="val -52581"/>
                                  <a:gd name="adj2" fmla="val 18588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9FC73A">
                                  <w:pPr>
                                    <w:jc w:val="center"/>
                                  </w:pPr>
                                  <w:r>
                                    <w:rPr>
                                      <w:rFonts w:hint="eastAsia"/>
                                    </w:rPr>
                                    <w:t>南冲风电场送出线路</w:t>
                                  </w:r>
                                </w:p>
                              </w:txbxContent>
                            </wps:txbx>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对话气泡: 矩形 116" o:spid="_x0000_s1026" o:spt="61" type="#_x0000_t61" style="position:absolute;left:0pt;margin-left:273.55pt;margin-top:77.75pt;height:25.65pt;width:113.65pt;z-index:251662336;v-text-anchor:middle;mso-width-relative:page;mso-height-relative:page;" filled="f" stroked="t" coordsize="21600,21600" o:gfxdata="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wQ0fs2QAAAAsBAAAPAAAAAAAAAAEAIAAAACIA&#10;AABkcnMvZG93bnJldi54bWxQSwECFAAUAAAACACHTuJA9pA/ArMCAAA/BQAADgAAAAAAAAABACAA&#10;AAAoAQAAZHJzL2Uyb0RvYy54bWxQSwUGAAAAAAYABgBZAQAATQYAAAAA&#10;" adj="-557,50951">
                      <v:fill on="f" focussize="0,0"/>
                      <v:stroke weight="1pt" color="#000000 [3213]" miterlimit="8" joinstyle="miter"/>
                      <v:imagedata o:title=""/>
                      <o:lock v:ext="edit" aspectratio="f"/>
                      <v:textbox>
                        <w:txbxContent>
                          <w:p w14:paraId="4E9FC73A">
                            <w:pPr>
                              <w:jc w:val="center"/>
                            </w:pPr>
                            <w:r>
                              <w:rPr>
                                <w:rFonts w:hint="eastAsia"/>
                              </w:rPr>
                              <w:t>南冲风电场送出线路</w:t>
                            </w:r>
                          </w:p>
                        </w:txbxContent>
                      </v:textbox>
                    </v:shape>
                  </w:pict>
                </mc:Fallback>
              </mc:AlternateContent>
            </w:r>
            <w:r>
              <w:drawing>
                <wp:inline distT="0" distB="0" distL="0" distR="0">
                  <wp:extent cx="5274310" cy="3678555"/>
                  <wp:effectExtent l="0" t="0" r="2540" b="0"/>
                  <wp:docPr id="115" name="图片 115"/>
                  <wp:cNvGraphicFramePr/>
                  <a:graphic xmlns:a="http://schemas.openxmlformats.org/drawingml/2006/main">
                    <a:graphicData uri="http://schemas.openxmlformats.org/drawingml/2006/picture">
                      <pic:pic xmlns:pic="http://schemas.openxmlformats.org/drawingml/2006/picture">
                        <pic:nvPicPr>
                          <pic:cNvPr id="115" name="图片 115"/>
                          <pic:cNvPicPr/>
                        </pic:nvPicPr>
                        <pic:blipFill>
                          <a:blip r:embed="rId44">
                            <a:extLst>
                              <a:ext uri="{28A0092B-C50C-407E-A947-70E740481C1C}">
                                <a14:useLocalDpi xmlns:a14="http://schemas.microsoft.com/office/drawing/2010/main" val="0"/>
                              </a:ext>
                            </a:extLst>
                          </a:blip>
                          <a:srcRect/>
                          <a:stretch>
                            <a:fillRect/>
                          </a:stretch>
                        </pic:blipFill>
                        <pic:spPr>
                          <a:xfrm>
                            <a:off x="0" y="0"/>
                            <a:ext cx="5274310" cy="3678555"/>
                          </a:xfrm>
                          <a:prstGeom prst="rect">
                            <a:avLst/>
                          </a:prstGeom>
                          <a:noFill/>
                          <a:ln>
                            <a:noFill/>
                          </a:ln>
                        </pic:spPr>
                      </pic:pic>
                    </a:graphicData>
                  </a:graphic>
                </wp:inline>
              </w:drawing>
            </w:r>
            <w:r>
              <w:rPr>
                <w:rFonts w:hint="eastAsia" w:ascii="Times New Roman" w:hAnsi="Times New Roman"/>
                <w:b/>
                <w:bCs/>
                <w:color w:val="000000" w:themeColor="text1"/>
                <w:sz w:val="24"/>
                <w14:textFill>
                  <w14:solidFill>
                    <w14:schemeClr w14:val="tx1"/>
                  </w14:solidFill>
                </w14:textFill>
              </w:rPr>
              <w:t>图</w:t>
            </w:r>
            <w:r>
              <w:rPr>
                <w:rFonts w:ascii="Times New Roman" w:hAnsi="Times New Roman"/>
                <w:b/>
                <w:bCs/>
                <w:color w:val="000000" w:themeColor="text1"/>
                <w:sz w:val="24"/>
                <w14:textFill>
                  <w14:solidFill>
                    <w14:schemeClr w14:val="tx1"/>
                  </w14:solidFill>
                </w14:textFill>
              </w:rPr>
              <w:t xml:space="preserve">3-1 </w:t>
            </w:r>
            <w:r>
              <w:rPr>
                <w:rFonts w:hint="eastAsia" w:ascii="Times New Roman" w:hAnsi="Times New Roman"/>
                <w:b/>
                <w:bCs/>
                <w:color w:val="000000" w:themeColor="text1"/>
                <w:sz w:val="24"/>
                <w14:textFill>
                  <w14:solidFill>
                    <w14:schemeClr w14:val="tx1"/>
                  </w14:solidFill>
                </w14:textFill>
              </w:rPr>
              <w:t>本项目与云南省候鸟迁徙通道重点区域范围（第一批）位置关系示意图</w:t>
            </w:r>
          </w:p>
          <w:p w14:paraId="5A4CA963">
            <w:pPr>
              <w:spacing w:line="360" w:lineRule="auto"/>
              <w:ind w:firstLine="480" w:firstLineChars="200"/>
              <w:rPr>
                <w:iCs/>
                <w:color w:val="000000" w:themeColor="text1"/>
                <w:sz w:val="24"/>
                <w:szCs w:val="24"/>
                <w14:textFill>
                  <w14:solidFill>
                    <w14:schemeClr w14:val="tx1"/>
                  </w14:solidFill>
                </w14:textFill>
              </w:rPr>
            </w:pPr>
            <w:r>
              <w:rPr>
                <w:rFonts w:hint="eastAsia"/>
                <w:iCs/>
                <w:color w:val="000000" w:themeColor="text1"/>
                <w:sz w:val="24"/>
                <w14:textFill>
                  <w14:solidFill>
                    <w14:schemeClr w14:val="tx1"/>
                  </w14:solidFill>
                </w14:textFill>
              </w:rPr>
              <w:t>评价区主要处于曲靖市富源县，地处云南省候鸟迁徙通道东线区域，根据现有资料，云南省候鸟迁徙通道东线上已知的候鸟迁徙聚集点主要为滇东北的昭通市昭阳区五堆石、永善县马楠</w:t>
            </w:r>
            <w:r>
              <w:rPr>
                <w:iCs/>
                <w:color w:val="000000" w:themeColor="text1"/>
                <w:sz w:val="24"/>
                <w14:textFill>
                  <w14:solidFill>
                    <w14:schemeClr w14:val="tx1"/>
                  </w14:solidFill>
                </w14:textFill>
              </w:rPr>
              <w:t>-</w:t>
            </w:r>
            <w:r>
              <w:rPr>
                <w:rFonts w:hint="eastAsia"/>
                <w:iCs/>
                <w:color w:val="000000" w:themeColor="text1"/>
                <w:sz w:val="24"/>
                <w14:textFill>
                  <w14:solidFill>
                    <w14:schemeClr w14:val="tx1"/>
                  </w14:solidFill>
                </w14:textFill>
              </w:rPr>
              <w:t>石门坎、巧家县小火塘，滇中的东川滥泥坪，滇东南的富宁县鸟王山、西畴县弯刀寨，滇南的蒙自市冷泉、开远县大黑山、砚山县黑巴等地。至今为止，曲靖市境内没有相关的迁徙聚集点的记录。在实地调查过程中通过访查调查区的居民和劳作人员，均表示在调查区内从未见过鸟类夜间扑灯（火）现象；没有村民秋季上山打“雾露雀”的现象；未发生秋季夜间鸟类飞入民居的现象；也没有秋季捕鹰的现象。但秋季夜间多数居民都没有关注是否有鸟叫声，少量居民表示偶尔在秋季夜间偶尔可以听到鸟类鸣声。在实地调查过程中，调查人员主要对场区的部分山脊垭口和台地进行了重点巡查，未发现存留的火堆痕迹。综上所述，说明评价区存在秋季候鸟迁徙聚集点的可能性不大。据此可知，从地形上评价区虽然不会形成鸟类迁徙聚集点，但会有部分迁徙鸟类在此迁飞和过境。</w:t>
            </w:r>
          </w:p>
          <w:p w14:paraId="555FE564">
            <w:pPr>
              <w:pStyle w:val="7"/>
              <w:spacing w:before="0" w:after="0" w:line="360" w:lineRule="auto"/>
              <w:ind w:firstLine="482" w:firstLineChars="200"/>
              <w:rPr>
                <w:sz w:val="24"/>
                <w:szCs w:val="24"/>
              </w:rPr>
            </w:pPr>
            <w:r>
              <w:rPr>
                <w:rFonts w:ascii="Times New Roman" w:hAnsi="Times New Roman" w:eastAsia="宋体"/>
                <w:sz w:val="24"/>
                <w:szCs w:val="24"/>
              </w:rPr>
              <w:t>4、</w:t>
            </w:r>
            <w:r>
              <w:rPr>
                <w:rFonts w:hint="eastAsia" w:ascii="宋体" w:hAnsi="宋体" w:eastAsia="宋体"/>
                <w:sz w:val="24"/>
                <w:szCs w:val="24"/>
              </w:rPr>
              <w:t>项目涉及环境敏感区情况</w:t>
            </w:r>
          </w:p>
          <w:p w14:paraId="06852785">
            <w:pPr>
              <w:spacing w:line="360" w:lineRule="auto"/>
              <w:ind w:firstLine="480" w:firstLineChars="200"/>
              <w:rPr>
                <w:rFonts w:ascii="宋体" w:hAnsi="宋体"/>
                <w:sz w:val="24"/>
                <w:szCs w:val="24"/>
              </w:rPr>
            </w:pPr>
            <w:r>
              <w:rPr>
                <w:rFonts w:ascii="宋体" w:hAnsi="宋体"/>
                <w:sz w:val="24"/>
                <w:szCs w:val="24"/>
              </w:rPr>
              <w:t>根据工程</w:t>
            </w:r>
            <w:r>
              <w:rPr>
                <w:rFonts w:hint="eastAsia" w:ascii="宋体" w:hAnsi="宋体"/>
                <w:sz w:val="24"/>
                <w:szCs w:val="24"/>
              </w:rPr>
              <w:t>线路</w:t>
            </w:r>
            <w:r>
              <w:rPr>
                <w:rFonts w:ascii="宋体" w:hAnsi="宋体"/>
                <w:sz w:val="24"/>
                <w:szCs w:val="24"/>
              </w:rPr>
              <w:t>方案，</w:t>
            </w:r>
            <w:r>
              <w:rPr>
                <w:rFonts w:hint="eastAsia" w:ascii="宋体" w:hAnsi="宋体"/>
                <w:sz w:val="24"/>
                <w:szCs w:val="24"/>
              </w:rPr>
              <w:t>项目线路</w:t>
            </w:r>
            <w:r>
              <w:rPr>
                <w:rFonts w:ascii="宋体" w:hAnsi="宋体"/>
                <w:sz w:val="24"/>
                <w:szCs w:val="24"/>
              </w:rPr>
              <w:t>总长</w:t>
            </w:r>
            <w:r>
              <w:rPr>
                <w:sz w:val="24"/>
                <w:szCs w:val="24"/>
              </w:rPr>
              <w:t>4.851km</w:t>
            </w:r>
            <w:r>
              <w:rPr>
                <w:rFonts w:ascii="宋体" w:hAnsi="宋体"/>
                <w:sz w:val="24"/>
                <w:szCs w:val="24"/>
              </w:rPr>
              <w:t>，</w:t>
            </w:r>
            <w:r>
              <w:rPr>
                <w:kern w:val="0"/>
                <w:sz w:val="24"/>
                <w:szCs w:val="24"/>
              </w:rPr>
              <w:t>根据</w:t>
            </w:r>
            <w:r>
              <w:rPr>
                <w:rFonts w:hint="eastAsia"/>
                <w:kern w:val="0"/>
                <w:sz w:val="24"/>
                <w:szCs w:val="24"/>
              </w:rPr>
              <w:t>叠图分析，</w:t>
            </w:r>
            <w:r>
              <w:rPr>
                <w:rFonts w:hint="eastAsia" w:ascii="宋体" w:hAnsi="宋体"/>
                <w:kern w:val="0"/>
                <w:sz w:val="24"/>
                <w:szCs w:val="24"/>
              </w:rPr>
              <w:t>项目线路不涉及占用国家级公益林和省级公益林，不涉及占用或跨越生态保护红线，不涉及饮用水水源保护地、自然公园、自然保护地等环境敏感区。本次环评提出建设方在施工期间严格避让生态公益林地、节约集约利用林地原则</w:t>
            </w:r>
            <w:r>
              <w:rPr>
                <w:rFonts w:hint="eastAsia" w:ascii="宋体" w:hAnsi="宋体"/>
                <w:sz w:val="24"/>
                <w:szCs w:val="24"/>
              </w:rPr>
              <w:t>。工程施工期将严格按照环境保护法律法规、国家和地方公益林管控要求、环境影响评价文件要求开展生态环境保护设计，进一步落实各项生态环境保护措施和要求。</w:t>
            </w:r>
          </w:p>
        </w:tc>
      </w:tr>
      <w:tr w14:paraId="1B21E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336" w:type="pct"/>
            <w:vAlign w:val="center"/>
          </w:tcPr>
          <w:p w14:paraId="55C35C94">
            <w:pPr>
              <w:adjustRightInd w:val="0"/>
              <w:snapToGrid w:val="0"/>
              <w:jc w:val="center"/>
              <w:rPr>
                <w:kern w:val="0"/>
                <w:sz w:val="24"/>
                <w:szCs w:val="24"/>
              </w:rPr>
            </w:pPr>
            <w:r>
              <w:rPr>
                <w:bCs/>
                <w:sz w:val="24"/>
                <w:szCs w:val="24"/>
              </w:rPr>
              <w:t>与项目有关的原有环境污染和生态破坏问题</w:t>
            </w:r>
          </w:p>
        </w:tc>
        <w:tc>
          <w:tcPr>
            <w:tcW w:w="4664" w:type="pct"/>
            <w:vAlign w:val="center"/>
          </w:tcPr>
          <w:p w14:paraId="42C374E1">
            <w:pPr>
              <w:spacing w:line="360" w:lineRule="auto"/>
              <w:ind w:firstLine="480" w:firstLineChars="200"/>
              <w:rPr>
                <w:sz w:val="24"/>
                <w:szCs w:val="22"/>
              </w:rPr>
            </w:pPr>
            <w:r>
              <w:rPr>
                <w:sz w:val="24"/>
              </w:rPr>
              <w:t>本项目</w:t>
            </w:r>
            <w:r>
              <w:rPr>
                <w:rFonts w:hint="eastAsia"/>
                <w:sz w:val="24"/>
                <w:szCs w:val="22"/>
              </w:rPr>
              <w:t>工程为</w:t>
            </w:r>
            <w:r>
              <w:rPr>
                <w:sz w:val="24"/>
                <w:szCs w:val="22"/>
              </w:rPr>
              <w:t>新建输电线路，110kV南冲风电场升压站尚未动工建设，铜厂变电站</w:t>
            </w:r>
            <w:r>
              <w:rPr>
                <w:rFonts w:hint="eastAsia"/>
                <w:sz w:val="24"/>
                <w:szCs w:val="22"/>
              </w:rPr>
              <w:t>已于2</w:t>
            </w:r>
            <w:r>
              <w:rPr>
                <w:sz w:val="24"/>
                <w:szCs w:val="22"/>
              </w:rPr>
              <w:t>025</w:t>
            </w:r>
            <w:r>
              <w:rPr>
                <w:rFonts w:hint="eastAsia"/>
                <w:sz w:val="24"/>
                <w:szCs w:val="22"/>
              </w:rPr>
              <w:t>年1</w:t>
            </w:r>
            <w:r>
              <w:rPr>
                <w:sz w:val="24"/>
                <w:szCs w:val="22"/>
              </w:rPr>
              <w:t>2</w:t>
            </w:r>
            <w:r>
              <w:rPr>
                <w:rFonts w:hint="eastAsia"/>
                <w:sz w:val="24"/>
                <w:szCs w:val="22"/>
              </w:rPr>
              <w:t>月投入运行。</w:t>
            </w:r>
            <w:r>
              <w:rPr>
                <w:sz w:val="24"/>
                <w:szCs w:val="22"/>
              </w:rPr>
              <w:t>据调查，</w:t>
            </w:r>
            <w:r>
              <w:rPr>
                <w:rFonts w:hint="eastAsia"/>
                <w:sz w:val="24"/>
                <w:szCs w:val="22"/>
              </w:rPr>
              <w:t>本工程区域主要噪声源有道路交通噪声、社会生活噪声、</w:t>
            </w:r>
            <w:r>
              <w:rPr>
                <w:sz w:val="24"/>
                <w:szCs w:val="22"/>
              </w:rPr>
              <w:t>铜厂变电站</w:t>
            </w:r>
            <w:r>
              <w:rPr>
                <w:rFonts w:hint="eastAsia"/>
                <w:sz w:val="24"/>
                <w:szCs w:val="22"/>
              </w:rPr>
              <w:t>运行期噪声。本次环境现状监测结果表明，本工程评价范围内的电磁环境和声环境现状均满足相应国家标准要求，未发现明显环境问题。现状调查期间也未发现环境空气、水环境等环境污染问题</w:t>
            </w:r>
            <w:r>
              <w:rPr>
                <w:sz w:val="24"/>
              </w:rPr>
              <w:t>。</w:t>
            </w:r>
          </w:p>
          <w:p w14:paraId="27F5C8B7">
            <w:pPr>
              <w:spacing w:line="360" w:lineRule="auto"/>
              <w:ind w:firstLine="480" w:firstLineChars="200"/>
            </w:pPr>
            <w:r>
              <w:rPr>
                <w:sz w:val="24"/>
              </w:rPr>
              <w:t>综上所述，与本项目有关的110kV铜厂变电站自</w:t>
            </w:r>
            <w:r>
              <w:rPr>
                <w:rFonts w:hint="eastAsia"/>
                <w:sz w:val="24"/>
              </w:rPr>
              <w:t>动工</w:t>
            </w:r>
            <w:r>
              <w:rPr>
                <w:sz w:val="24"/>
              </w:rPr>
              <w:t>至今，未收到相关的投诉意见。本项目涉及的</w:t>
            </w:r>
            <w:r>
              <w:rPr>
                <w:rFonts w:hint="eastAsia"/>
                <w:sz w:val="24"/>
              </w:rPr>
              <w:t>在</w:t>
            </w:r>
            <w:r>
              <w:rPr>
                <w:sz w:val="24"/>
              </w:rPr>
              <w:t>建工程产生的污染物均能满足相应评价标准限值要求或均有相应的环保措施处理处置，本期工程建设不必针对原有污染物采取新的环保措施。本工程建设不存在制约项目建设的原有污染物和环境问题。</w:t>
            </w:r>
          </w:p>
        </w:tc>
      </w:tr>
      <w:tr w14:paraId="439C3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13" w:hRule="atLeast"/>
          <w:jc w:val="center"/>
        </w:trPr>
        <w:tc>
          <w:tcPr>
            <w:tcW w:w="336" w:type="pct"/>
            <w:vAlign w:val="center"/>
          </w:tcPr>
          <w:p w14:paraId="7EF75A83">
            <w:pPr>
              <w:adjustRightInd w:val="0"/>
              <w:snapToGrid w:val="0"/>
              <w:jc w:val="center"/>
              <w:rPr>
                <w:kern w:val="0"/>
                <w:sz w:val="24"/>
                <w:szCs w:val="24"/>
              </w:rPr>
            </w:pPr>
            <w:r>
              <w:rPr>
                <w:kern w:val="0"/>
                <w:sz w:val="24"/>
                <w:szCs w:val="24"/>
              </w:rPr>
              <w:t>生态环境保护目标</w:t>
            </w:r>
          </w:p>
        </w:tc>
        <w:tc>
          <w:tcPr>
            <w:tcW w:w="4664" w:type="pct"/>
            <w:vAlign w:val="center"/>
          </w:tcPr>
          <w:p w14:paraId="725840E8">
            <w:pPr>
              <w:pStyle w:val="2"/>
              <w:spacing w:before="120" w:after="0" w:line="360" w:lineRule="auto"/>
              <w:ind w:right="0"/>
              <w:rPr>
                <w:b/>
                <w:sz w:val="24"/>
              </w:rPr>
            </w:pPr>
            <w:r>
              <w:rPr>
                <w:b/>
                <w:sz w:val="24"/>
              </w:rPr>
              <w:t>一、评价范围</w:t>
            </w:r>
          </w:p>
          <w:p w14:paraId="3EBF0515">
            <w:pPr>
              <w:pStyle w:val="2"/>
              <w:spacing w:before="0" w:after="0" w:line="360" w:lineRule="auto"/>
              <w:ind w:right="0" w:firstLine="480" w:firstLineChars="200"/>
              <w:rPr>
                <w:sz w:val="24"/>
              </w:rPr>
            </w:pPr>
            <w:r>
              <w:rPr>
                <w:sz w:val="24"/>
              </w:rPr>
              <w:t>根据项目周围自然环境和社会环境情况以及项目的工程特点，项目主要影响的环境要素为环境空气、声环境、水环境、生态环境及电磁环境。根据地表水、大气环境、声环境、生态影响</w:t>
            </w:r>
            <w:r>
              <w:rPr>
                <w:rFonts w:hint="eastAsia"/>
                <w:sz w:val="24"/>
              </w:rPr>
              <w:t>等</w:t>
            </w:r>
            <w:r>
              <w:rPr>
                <w:sz w:val="24"/>
              </w:rPr>
              <w:t>环境影响评价技术导则以及《环境影响评价技术导则输变电》（HJ24-2020）各环境要素评价等级和评价范围如下：</w:t>
            </w:r>
          </w:p>
          <w:p w14:paraId="4132D9C2">
            <w:pPr>
              <w:pStyle w:val="2"/>
              <w:spacing w:before="0" w:after="0" w:line="360" w:lineRule="auto"/>
              <w:ind w:right="0"/>
              <w:rPr>
                <w:b/>
                <w:sz w:val="24"/>
              </w:rPr>
            </w:pPr>
            <w:r>
              <w:rPr>
                <w:b/>
                <w:sz w:val="24"/>
              </w:rPr>
              <w:t>1、电磁环境</w:t>
            </w:r>
          </w:p>
          <w:p w14:paraId="56D8CD3A">
            <w:pPr>
              <w:pStyle w:val="2"/>
              <w:spacing w:before="0" w:after="0" w:line="360" w:lineRule="auto"/>
              <w:ind w:right="0" w:firstLine="480" w:firstLineChars="200"/>
              <w:rPr>
                <w:sz w:val="24"/>
              </w:rPr>
            </w:pPr>
            <w:r>
              <w:rPr>
                <w:sz w:val="24"/>
              </w:rPr>
              <w:t>（1）评价工作等级：</w:t>
            </w:r>
          </w:p>
          <w:p w14:paraId="56461D89">
            <w:pPr>
              <w:spacing w:line="360" w:lineRule="auto"/>
              <w:ind w:firstLine="480" w:firstLineChars="200"/>
              <w:rPr>
                <w:sz w:val="24"/>
              </w:rPr>
            </w:pPr>
            <w:r>
              <w:rPr>
                <w:sz w:val="24"/>
              </w:rPr>
              <w:t>根据《环境影响评价技术导则输变电》（HJ24-2020）可知，电磁环境评价工作等级划分见表3-9。</w:t>
            </w:r>
          </w:p>
          <w:p w14:paraId="5AE7E716">
            <w:pPr>
              <w:pStyle w:val="2"/>
              <w:adjustRightInd w:val="0"/>
              <w:spacing w:before="0" w:after="0" w:line="240" w:lineRule="auto"/>
              <w:ind w:right="0"/>
              <w:jc w:val="center"/>
              <w:rPr>
                <w:rFonts w:eastAsia="黑体"/>
                <w:bCs/>
                <w:sz w:val="24"/>
                <w:szCs w:val="21"/>
              </w:rPr>
            </w:pPr>
            <w:r>
              <w:rPr>
                <w:rFonts w:eastAsia="黑体"/>
                <w:bCs/>
                <w:sz w:val="24"/>
                <w:szCs w:val="21"/>
              </w:rPr>
              <w:t>表3-9电磁环境评价工作等级划分表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113"/>
              <w:gridCol w:w="905"/>
              <w:gridCol w:w="3592"/>
              <w:gridCol w:w="1077"/>
            </w:tblGrid>
            <w:tr w14:paraId="1554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Align w:val="center"/>
                </w:tcPr>
                <w:p w14:paraId="0D991A6D">
                  <w:pPr>
                    <w:tabs>
                      <w:tab w:val="left" w:pos="3240"/>
                    </w:tabs>
                    <w:jc w:val="center"/>
                  </w:pPr>
                  <w:r>
                    <w:t>分类</w:t>
                  </w:r>
                </w:p>
              </w:tc>
              <w:tc>
                <w:tcPr>
                  <w:tcW w:w="1113" w:type="dxa"/>
                  <w:vAlign w:val="center"/>
                </w:tcPr>
                <w:p w14:paraId="45977C7F">
                  <w:pPr>
                    <w:tabs>
                      <w:tab w:val="left" w:pos="3240"/>
                    </w:tabs>
                    <w:jc w:val="center"/>
                  </w:pPr>
                  <w:r>
                    <w:t>电压等级</w:t>
                  </w:r>
                </w:p>
              </w:tc>
              <w:tc>
                <w:tcPr>
                  <w:tcW w:w="905" w:type="dxa"/>
                  <w:vAlign w:val="center"/>
                </w:tcPr>
                <w:p w14:paraId="5F8FF71E">
                  <w:pPr>
                    <w:tabs>
                      <w:tab w:val="left" w:pos="3240"/>
                    </w:tabs>
                    <w:jc w:val="center"/>
                  </w:pPr>
                  <w:r>
                    <w:t>工程</w:t>
                  </w:r>
                </w:p>
              </w:tc>
              <w:tc>
                <w:tcPr>
                  <w:tcW w:w="3592" w:type="dxa"/>
                  <w:vAlign w:val="center"/>
                </w:tcPr>
                <w:p w14:paraId="310811B7">
                  <w:pPr>
                    <w:tabs>
                      <w:tab w:val="left" w:pos="3240"/>
                    </w:tabs>
                    <w:jc w:val="center"/>
                  </w:pPr>
                  <w:r>
                    <w:t>条件</w:t>
                  </w:r>
                </w:p>
              </w:tc>
              <w:tc>
                <w:tcPr>
                  <w:tcW w:w="1077" w:type="dxa"/>
                  <w:vAlign w:val="center"/>
                </w:tcPr>
                <w:p w14:paraId="1D9C6ED4">
                  <w:pPr>
                    <w:tabs>
                      <w:tab w:val="left" w:pos="3240"/>
                    </w:tabs>
                    <w:jc w:val="center"/>
                  </w:pPr>
                  <w:r>
                    <w:t>评价等级</w:t>
                  </w:r>
                </w:p>
              </w:tc>
            </w:tr>
            <w:tr w14:paraId="42B5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vAlign w:val="center"/>
                </w:tcPr>
                <w:p w14:paraId="627BD0D1">
                  <w:pPr>
                    <w:tabs>
                      <w:tab w:val="left" w:pos="3240"/>
                    </w:tabs>
                    <w:jc w:val="center"/>
                  </w:pPr>
                  <w:r>
                    <w:t>交流</w:t>
                  </w:r>
                </w:p>
              </w:tc>
              <w:tc>
                <w:tcPr>
                  <w:tcW w:w="1113" w:type="dxa"/>
                  <w:vMerge w:val="restart"/>
                  <w:vAlign w:val="center"/>
                </w:tcPr>
                <w:p w14:paraId="4306C009">
                  <w:pPr>
                    <w:tabs>
                      <w:tab w:val="left" w:pos="3240"/>
                    </w:tabs>
                    <w:jc w:val="center"/>
                  </w:pPr>
                  <w:r>
                    <w:t>220kV</w:t>
                  </w:r>
                </w:p>
              </w:tc>
              <w:tc>
                <w:tcPr>
                  <w:tcW w:w="905" w:type="dxa"/>
                  <w:vMerge w:val="restart"/>
                  <w:vAlign w:val="center"/>
                </w:tcPr>
                <w:p w14:paraId="7501F880">
                  <w:pPr>
                    <w:tabs>
                      <w:tab w:val="left" w:pos="3240"/>
                    </w:tabs>
                    <w:jc w:val="center"/>
                  </w:pPr>
                  <w:r>
                    <w:t>变电站</w:t>
                  </w:r>
                </w:p>
              </w:tc>
              <w:tc>
                <w:tcPr>
                  <w:tcW w:w="3592" w:type="dxa"/>
                  <w:vAlign w:val="center"/>
                </w:tcPr>
                <w:p w14:paraId="67A74188">
                  <w:pPr>
                    <w:tabs>
                      <w:tab w:val="left" w:pos="3240"/>
                    </w:tabs>
                    <w:jc w:val="center"/>
                  </w:pPr>
                  <w:r>
                    <w:t>户内式、地下式</w:t>
                  </w:r>
                </w:p>
              </w:tc>
              <w:tc>
                <w:tcPr>
                  <w:tcW w:w="1077" w:type="dxa"/>
                  <w:vAlign w:val="center"/>
                </w:tcPr>
                <w:p w14:paraId="1689E223">
                  <w:pPr>
                    <w:tabs>
                      <w:tab w:val="left" w:pos="3240"/>
                    </w:tabs>
                    <w:jc w:val="center"/>
                  </w:pPr>
                  <w:r>
                    <w:t>三级</w:t>
                  </w:r>
                </w:p>
              </w:tc>
            </w:tr>
            <w:tr w14:paraId="2795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3B0572E8">
                  <w:pPr>
                    <w:tabs>
                      <w:tab w:val="left" w:pos="3240"/>
                    </w:tabs>
                    <w:jc w:val="center"/>
                  </w:pPr>
                </w:p>
              </w:tc>
              <w:tc>
                <w:tcPr>
                  <w:tcW w:w="1113" w:type="dxa"/>
                  <w:vMerge w:val="continue"/>
                  <w:vAlign w:val="center"/>
                </w:tcPr>
                <w:p w14:paraId="5B160798">
                  <w:pPr>
                    <w:tabs>
                      <w:tab w:val="left" w:pos="3240"/>
                    </w:tabs>
                    <w:jc w:val="center"/>
                  </w:pPr>
                </w:p>
              </w:tc>
              <w:tc>
                <w:tcPr>
                  <w:tcW w:w="905" w:type="dxa"/>
                  <w:vMerge w:val="continue"/>
                  <w:vAlign w:val="center"/>
                </w:tcPr>
                <w:p w14:paraId="772E3FD6">
                  <w:pPr>
                    <w:tabs>
                      <w:tab w:val="left" w:pos="3240"/>
                    </w:tabs>
                    <w:jc w:val="center"/>
                  </w:pPr>
                </w:p>
              </w:tc>
              <w:tc>
                <w:tcPr>
                  <w:tcW w:w="3592" w:type="dxa"/>
                  <w:vAlign w:val="center"/>
                </w:tcPr>
                <w:p w14:paraId="4453EAFB">
                  <w:pPr>
                    <w:tabs>
                      <w:tab w:val="left" w:pos="3240"/>
                    </w:tabs>
                    <w:jc w:val="center"/>
                  </w:pPr>
                  <w:r>
                    <w:t>户外式</w:t>
                  </w:r>
                </w:p>
              </w:tc>
              <w:tc>
                <w:tcPr>
                  <w:tcW w:w="1077" w:type="dxa"/>
                  <w:vAlign w:val="center"/>
                </w:tcPr>
                <w:p w14:paraId="626A6AEF">
                  <w:pPr>
                    <w:tabs>
                      <w:tab w:val="left" w:pos="3240"/>
                    </w:tabs>
                    <w:jc w:val="center"/>
                  </w:pPr>
                  <w:r>
                    <w:t>二级</w:t>
                  </w:r>
                </w:p>
              </w:tc>
            </w:tr>
            <w:tr w14:paraId="11FB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248B3D24">
                  <w:pPr>
                    <w:tabs>
                      <w:tab w:val="left" w:pos="3240"/>
                    </w:tabs>
                    <w:jc w:val="center"/>
                  </w:pPr>
                </w:p>
              </w:tc>
              <w:tc>
                <w:tcPr>
                  <w:tcW w:w="1113" w:type="dxa"/>
                  <w:vMerge w:val="continue"/>
                  <w:vAlign w:val="center"/>
                </w:tcPr>
                <w:p w14:paraId="0CB5629A">
                  <w:pPr>
                    <w:tabs>
                      <w:tab w:val="left" w:pos="3240"/>
                    </w:tabs>
                    <w:jc w:val="center"/>
                  </w:pPr>
                </w:p>
              </w:tc>
              <w:tc>
                <w:tcPr>
                  <w:tcW w:w="905" w:type="dxa"/>
                  <w:vMerge w:val="restart"/>
                  <w:vAlign w:val="center"/>
                </w:tcPr>
                <w:p w14:paraId="25945D3A">
                  <w:pPr>
                    <w:tabs>
                      <w:tab w:val="left" w:pos="3240"/>
                    </w:tabs>
                    <w:jc w:val="center"/>
                  </w:pPr>
                  <w:r>
                    <w:t>输电线路</w:t>
                  </w:r>
                </w:p>
              </w:tc>
              <w:tc>
                <w:tcPr>
                  <w:tcW w:w="3592" w:type="dxa"/>
                  <w:vAlign w:val="center"/>
                </w:tcPr>
                <w:p w14:paraId="47C94526">
                  <w:pPr>
                    <w:tabs>
                      <w:tab w:val="left" w:pos="3240"/>
                    </w:tabs>
                  </w:pPr>
                  <w:r>
                    <w:t>1、地下电缆</w:t>
                  </w:r>
                </w:p>
                <w:p w14:paraId="0F6E9CCC">
                  <w:pPr>
                    <w:tabs>
                      <w:tab w:val="left" w:pos="3240"/>
                    </w:tabs>
                  </w:pPr>
                  <w:r>
                    <w:t>2、边导线地面投影外两侧各15m范围内无电磁环境敏感目标的架空线路</w:t>
                  </w:r>
                </w:p>
              </w:tc>
              <w:tc>
                <w:tcPr>
                  <w:tcW w:w="1077" w:type="dxa"/>
                  <w:vAlign w:val="center"/>
                </w:tcPr>
                <w:p w14:paraId="2181F75B">
                  <w:pPr>
                    <w:tabs>
                      <w:tab w:val="left" w:pos="3240"/>
                    </w:tabs>
                    <w:jc w:val="center"/>
                  </w:pPr>
                  <w:r>
                    <w:t>三级</w:t>
                  </w:r>
                </w:p>
              </w:tc>
            </w:tr>
            <w:tr w14:paraId="1B29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vAlign w:val="center"/>
                </w:tcPr>
                <w:p w14:paraId="6C4ED33A">
                  <w:pPr>
                    <w:tabs>
                      <w:tab w:val="left" w:pos="3240"/>
                    </w:tabs>
                    <w:jc w:val="center"/>
                  </w:pPr>
                </w:p>
              </w:tc>
              <w:tc>
                <w:tcPr>
                  <w:tcW w:w="1113" w:type="dxa"/>
                  <w:vMerge w:val="continue"/>
                  <w:vAlign w:val="center"/>
                </w:tcPr>
                <w:p w14:paraId="270A4325">
                  <w:pPr>
                    <w:tabs>
                      <w:tab w:val="left" w:pos="3240"/>
                    </w:tabs>
                    <w:jc w:val="center"/>
                  </w:pPr>
                </w:p>
              </w:tc>
              <w:tc>
                <w:tcPr>
                  <w:tcW w:w="905" w:type="dxa"/>
                  <w:vMerge w:val="continue"/>
                  <w:vAlign w:val="center"/>
                </w:tcPr>
                <w:p w14:paraId="4FBEABA5">
                  <w:pPr>
                    <w:tabs>
                      <w:tab w:val="left" w:pos="3240"/>
                    </w:tabs>
                    <w:jc w:val="center"/>
                  </w:pPr>
                </w:p>
              </w:tc>
              <w:tc>
                <w:tcPr>
                  <w:tcW w:w="3592" w:type="dxa"/>
                  <w:vAlign w:val="center"/>
                </w:tcPr>
                <w:p w14:paraId="60CBC489">
                  <w:pPr>
                    <w:tabs>
                      <w:tab w:val="left" w:pos="3240"/>
                    </w:tabs>
                  </w:pPr>
                  <w:r>
                    <w:t>边导线地面投影外两侧各15m范围有电磁环境敏感目标的架空线路</w:t>
                  </w:r>
                </w:p>
              </w:tc>
              <w:tc>
                <w:tcPr>
                  <w:tcW w:w="1077" w:type="dxa"/>
                  <w:vAlign w:val="center"/>
                </w:tcPr>
                <w:p w14:paraId="043FB5AF">
                  <w:pPr>
                    <w:tabs>
                      <w:tab w:val="left" w:pos="3240"/>
                    </w:tabs>
                    <w:jc w:val="center"/>
                  </w:pPr>
                  <w:r>
                    <w:t>二级</w:t>
                  </w:r>
                </w:p>
              </w:tc>
            </w:tr>
            <w:tr w14:paraId="1A87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71" w:type="dxa"/>
                  <w:vMerge w:val="continue"/>
                  <w:vAlign w:val="center"/>
                </w:tcPr>
                <w:p w14:paraId="26523990">
                  <w:pPr>
                    <w:tabs>
                      <w:tab w:val="left" w:pos="3240"/>
                    </w:tabs>
                    <w:jc w:val="center"/>
                  </w:pPr>
                </w:p>
              </w:tc>
              <w:tc>
                <w:tcPr>
                  <w:tcW w:w="1113" w:type="dxa"/>
                  <w:vMerge w:val="restart"/>
                  <w:vAlign w:val="center"/>
                </w:tcPr>
                <w:p w14:paraId="3B771E6F">
                  <w:pPr>
                    <w:tabs>
                      <w:tab w:val="left" w:pos="3240"/>
                    </w:tabs>
                    <w:jc w:val="center"/>
                  </w:pPr>
                  <w:r>
                    <w:t>110kV</w:t>
                  </w:r>
                </w:p>
              </w:tc>
              <w:tc>
                <w:tcPr>
                  <w:tcW w:w="905" w:type="dxa"/>
                  <w:vMerge w:val="restart"/>
                  <w:vAlign w:val="center"/>
                </w:tcPr>
                <w:p w14:paraId="63D748FC">
                  <w:pPr>
                    <w:tabs>
                      <w:tab w:val="left" w:pos="3240"/>
                    </w:tabs>
                    <w:jc w:val="center"/>
                  </w:pPr>
                  <w:r>
                    <w:t>变电站</w:t>
                  </w:r>
                </w:p>
              </w:tc>
              <w:tc>
                <w:tcPr>
                  <w:tcW w:w="3592" w:type="dxa"/>
                  <w:vAlign w:val="center"/>
                </w:tcPr>
                <w:p w14:paraId="5517E262">
                  <w:pPr>
                    <w:tabs>
                      <w:tab w:val="left" w:pos="3240"/>
                    </w:tabs>
                    <w:jc w:val="center"/>
                  </w:pPr>
                  <w:r>
                    <w:t>户内式、地下式</w:t>
                  </w:r>
                </w:p>
              </w:tc>
              <w:tc>
                <w:tcPr>
                  <w:tcW w:w="1077" w:type="dxa"/>
                  <w:vAlign w:val="center"/>
                </w:tcPr>
                <w:p w14:paraId="1054A697">
                  <w:pPr>
                    <w:tabs>
                      <w:tab w:val="left" w:pos="3240"/>
                    </w:tabs>
                    <w:jc w:val="center"/>
                  </w:pPr>
                  <w:r>
                    <w:t>三级</w:t>
                  </w:r>
                </w:p>
              </w:tc>
            </w:tr>
            <w:tr w14:paraId="7163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671" w:type="dxa"/>
                  <w:vMerge w:val="continue"/>
                  <w:vAlign w:val="center"/>
                </w:tcPr>
                <w:p w14:paraId="62CFAD01">
                  <w:pPr>
                    <w:tabs>
                      <w:tab w:val="left" w:pos="3240"/>
                    </w:tabs>
                    <w:jc w:val="center"/>
                  </w:pPr>
                </w:p>
              </w:tc>
              <w:tc>
                <w:tcPr>
                  <w:tcW w:w="1113" w:type="dxa"/>
                  <w:vMerge w:val="continue"/>
                  <w:vAlign w:val="center"/>
                </w:tcPr>
                <w:p w14:paraId="542CDD53">
                  <w:pPr>
                    <w:tabs>
                      <w:tab w:val="left" w:pos="3240"/>
                    </w:tabs>
                    <w:jc w:val="center"/>
                  </w:pPr>
                </w:p>
              </w:tc>
              <w:tc>
                <w:tcPr>
                  <w:tcW w:w="905" w:type="dxa"/>
                  <w:vMerge w:val="continue"/>
                  <w:vAlign w:val="center"/>
                </w:tcPr>
                <w:p w14:paraId="58338A73">
                  <w:pPr>
                    <w:tabs>
                      <w:tab w:val="left" w:pos="3240"/>
                    </w:tabs>
                    <w:jc w:val="center"/>
                  </w:pPr>
                </w:p>
              </w:tc>
              <w:tc>
                <w:tcPr>
                  <w:tcW w:w="3592" w:type="dxa"/>
                  <w:vAlign w:val="center"/>
                </w:tcPr>
                <w:p w14:paraId="4C533AB0">
                  <w:pPr>
                    <w:tabs>
                      <w:tab w:val="left" w:pos="3240"/>
                    </w:tabs>
                    <w:jc w:val="center"/>
                  </w:pPr>
                  <w:r>
                    <w:t>户外式</w:t>
                  </w:r>
                </w:p>
              </w:tc>
              <w:tc>
                <w:tcPr>
                  <w:tcW w:w="1077" w:type="dxa"/>
                  <w:vAlign w:val="center"/>
                </w:tcPr>
                <w:p w14:paraId="2FFF54C5">
                  <w:pPr>
                    <w:tabs>
                      <w:tab w:val="left" w:pos="3240"/>
                    </w:tabs>
                    <w:jc w:val="center"/>
                  </w:pPr>
                  <w:r>
                    <w:t>二级</w:t>
                  </w:r>
                </w:p>
              </w:tc>
            </w:tr>
            <w:tr w14:paraId="62B0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671" w:type="dxa"/>
                  <w:vMerge w:val="continue"/>
                  <w:vAlign w:val="center"/>
                </w:tcPr>
                <w:p w14:paraId="1DB39A00">
                  <w:pPr>
                    <w:tabs>
                      <w:tab w:val="left" w:pos="3240"/>
                    </w:tabs>
                    <w:jc w:val="center"/>
                  </w:pPr>
                </w:p>
              </w:tc>
              <w:tc>
                <w:tcPr>
                  <w:tcW w:w="1113" w:type="dxa"/>
                  <w:vMerge w:val="continue"/>
                  <w:vAlign w:val="center"/>
                </w:tcPr>
                <w:p w14:paraId="0E27C6E6">
                  <w:pPr>
                    <w:tabs>
                      <w:tab w:val="left" w:pos="3240"/>
                    </w:tabs>
                    <w:jc w:val="center"/>
                  </w:pPr>
                </w:p>
              </w:tc>
              <w:tc>
                <w:tcPr>
                  <w:tcW w:w="905" w:type="dxa"/>
                  <w:vMerge w:val="restart"/>
                  <w:vAlign w:val="center"/>
                </w:tcPr>
                <w:p w14:paraId="27061151">
                  <w:pPr>
                    <w:tabs>
                      <w:tab w:val="left" w:pos="3240"/>
                    </w:tabs>
                    <w:jc w:val="center"/>
                  </w:pPr>
                  <w:r>
                    <w:t>输电</w:t>
                  </w:r>
                </w:p>
                <w:p w14:paraId="2ED306E6">
                  <w:pPr>
                    <w:tabs>
                      <w:tab w:val="left" w:pos="3240"/>
                    </w:tabs>
                    <w:jc w:val="center"/>
                  </w:pPr>
                  <w:r>
                    <w:t>线路</w:t>
                  </w:r>
                </w:p>
              </w:tc>
              <w:tc>
                <w:tcPr>
                  <w:tcW w:w="3592" w:type="dxa"/>
                  <w:vAlign w:val="center"/>
                </w:tcPr>
                <w:p w14:paraId="70BC816A">
                  <w:pPr>
                    <w:tabs>
                      <w:tab w:val="left" w:pos="3240"/>
                    </w:tabs>
                  </w:pPr>
                  <w:r>
                    <w:t>1、地下电缆</w:t>
                  </w:r>
                </w:p>
                <w:p w14:paraId="0ABDB3E0">
                  <w:pPr>
                    <w:tabs>
                      <w:tab w:val="left" w:pos="3240"/>
                    </w:tabs>
                  </w:pPr>
                  <w:r>
                    <w:t>2、边导线地面投影外两侧各10m范围内无电磁环境敏感目标的架空线路</w:t>
                  </w:r>
                </w:p>
              </w:tc>
              <w:tc>
                <w:tcPr>
                  <w:tcW w:w="1077" w:type="dxa"/>
                  <w:vAlign w:val="center"/>
                </w:tcPr>
                <w:p w14:paraId="2AAA4F4D">
                  <w:pPr>
                    <w:tabs>
                      <w:tab w:val="left" w:pos="3240"/>
                    </w:tabs>
                    <w:jc w:val="center"/>
                  </w:pPr>
                  <w:r>
                    <w:t>三级</w:t>
                  </w:r>
                </w:p>
              </w:tc>
            </w:tr>
            <w:tr w14:paraId="3B21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1" w:type="dxa"/>
                  <w:vMerge w:val="continue"/>
                  <w:vAlign w:val="center"/>
                </w:tcPr>
                <w:p w14:paraId="39D71402">
                  <w:pPr>
                    <w:tabs>
                      <w:tab w:val="left" w:pos="3240"/>
                    </w:tabs>
                    <w:jc w:val="center"/>
                  </w:pPr>
                </w:p>
              </w:tc>
              <w:tc>
                <w:tcPr>
                  <w:tcW w:w="1113" w:type="dxa"/>
                  <w:vMerge w:val="continue"/>
                  <w:vAlign w:val="center"/>
                </w:tcPr>
                <w:p w14:paraId="0B277030">
                  <w:pPr>
                    <w:tabs>
                      <w:tab w:val="left" w:pos="3240"/>
                    </w:tabs>
                    <w:jc w:val="center"/>
                  </w:pPr>
                </w:p>
              </w:tc>
              <w:tc>
                <w:tcPr>
                  <w:tcW w:w="905" w:type="dxa"/>
                  <w:vMerge w:val="continue"/>
                  <w:vAlign w:val="center"/>
                </w:tcPr>
                <w:p w14:paraId="0307A4A7">
                  <w:pPr>
                    <w:tabs>
                      <w:tab w:val="left" w:pos="3240"/>
                    </w:tabs>
                    <w:jc w:val="center"/>
                  </w:pPr>
                </w:p>
              </w:tc>
              <w:tc>
                <w:tcPr>
                  <w:tcW w:w="3592" w:type="dxa"/>
                  <w:vAlign w:val="center"/>
                </w:tcPr>
                <w:p w14:paraId="57444B85">
                  <w:pPr>
                    <w:tabs>
                      <w:tab w:val="left" w:pos="3240"/>
                    </w:tabs>
                  </w:pPr>
                  <w:r>
                    <w:t>边导线地面投影外两侧各10m范围有电磁环境敏感目标的架空线路</w:t>
                  </w:r>
                </w:p>
              </w:tc>
              <w:tc>
                <w:tcPr>
                  <w:tcW w:w="1077" w:type="dxa"/>
                  <w:vAlign w:val="center"/>
                </w:tcPr>
                <w:p w14:paraId="721217A4">
                  <w:pPr>
                    <w:tabs>
                      <w:tab w:val="left" w:pos="3240"/>
                    </w:tabs>
                    <w:jc w:val="center"/>
                  </w:pPr>
                  <w:r>
                    <w:t>二级</w:t>
                  </w:r>
                </w:p>
              </w:tc>
            </w:tr>
          </w:tbl>
          <w:p w14:paraId="001F684C">
            <w:pPr>
              <w:pStyle w:val="2"/>
              <w:spacing w:before="0" w:after="0" w:line="360" w:lineRule="auto"/>
              <w:ind w:right="0" w:firstLine="480" w:firstLineChars="200"/>
              <w:rPr>
                <w:sz w:val="24"/>
              </w:rPr>
            </w:pPr>
            <w:r>
              <w:rPr>
                <w:sz w:val="24"/>
              </w:rPr>
              <w:t>本项目110kV输电线路地面投影外两侧各10m范围内无电磁环境敏感目标，输电线路电磁环境评价等级为三级。</w:t>
            </w:r>
          </w:p>
          <w:p w14:paraId="4FF0EBAC">
            <w:pPr>
              <w:pStyle w:val="2"/>
              <w:spacing w:before="0" w:after="0" w:line="360" w:lineRule="auto"/>
              <w:ind w:right="0" w:firstLine="480" w:firstLineChars="200"/>
              <w:rPr>
                <w:sz w:val="24"/>
              </w:rPr>
            </w:pPr>
            <w:r>
              <w:rPr>
                <w:sz w:val="24"/>
              </w:rPr>
              <w:t>（2）评价范围</w:t>
            </w:r>
          </w:p>
          <w:p w14:paraId="688E0AF0">
            <w:pPr>
              <w:pStyle w:val="2"/>
              <w:spacing w:before="0" w:after="0" w:line="360" w:lineRule="auto"/>
              <w:ind w:right="0" w:firstLine="480" w:firstLineChars="200"/>
              <w:rPr>
                <w:sz w:val="24"/>
              </w:rPr>
            </w:pPr>
            <w:r>
              <w:rPr>
                <w:sz w:val="24"/>
                <w:lang w:bidi="ar"/>
              </w:rPr>
              <w:t>根据《环境影响评价技术导则</w:t>
            </w:r>
            <w:r>
              <w:rPr>
                <w:rFonts w:hint="eastAsia"/>
                <w:sz w:val="24"/>
                <w:lang w:bidi="ar"/>
              </w:rPr>
              <w:t xml:space="preserve"> </w:t>
            </w:r>
            <w:r>
              <w:rPr>
                <w:sz w:val="24"/>
                <w:lang w:bidi="ar"/>
              </w:rPr>
              <w:t>输变电》（HJ24-2020）可知，</w:t>
            </w:r>
            <w:r>
              <w:rPr>
                <w:rFonts w:hint="eastAsia"/>
                <w:sz w:val="24"/>
              </w:rPr>
              <w:t>电磁环境评价范围为架空线路边导线地面投影外两侧各30m</w:t>
            </w:r>
            <w:r>
              <w:rPr>
                <w:sz w:val="24"/>
              </w:rPr>
              <w:t>。</w:t>
            </w:r>
          </w:p>
          <w:p w14:paraId="2C467F2B">
            <w:pPr>
              <w:pStyle w:val="2"/>
              <w:spacing w:before="0" w:after="0" w:line="360" w:lineRule="auto"/>
              <w:ind w:right="0"/>
              <w:rPr>
                <w:b/>
                <w:sz w:val="24"/>
              </w:rPr>
            </w:pPr>
            <w:r>
              <w:rPr>
                <w:b/>
                <w:sz w:val="24"/>
              </w:rPr>
              <w:t>2、声环境</w:t>
            </w:r>
          </w:p>
          <w:p w14:paraId="5C485230">
            <w:pPr>
              <w:pStyle w:val="2"/>
              <w:spacing w:before="0" w:after="0" w:line="360" w:lineRule="auto"/>
              <w:ind w:right="0" w:firstLine="480" w:firstLineChars="200"/>
              <w:rPr>
                <w:sz w:val="24"/>
              </w:rPr>
            </w:pPr>
            <w:r>
              <w:rPr>
                <w:sz w:val="24"/>
              </w:rPr>
              <w:t>根据《环境影响评价技术导则</w:t>
            </w:r>
            <w:r>
              <w:rPr>
                <w:rFonts w:hint="eastAsia"/>
                <w:sz w:val="24"/>
              </w:rPr>
              <w:t xml:space="preserve"> </w:t>
            </w:r>
            <w:r>
              <w:rPr>
                <w:sz w:val="24"/>
              </w:rPr>
              <w:t>输变电》（HJ24-2020），</w:t>
            </w:r>
            <w:r>
              <w:rPr>
                <w:rFonts w:hint="eastAsia"/>
                <w:sz w:val="24"/>
              </w:rPr>
              <w:t>施工期声环境评价范围为塔基、临时施工场地外延1</w:t>
            </w:r>
            <w:r>
              <w:rPr>
                <w:sz w:val="24"/>
              </w:rPr>
              <w:t>20</w:t>
            </w:r>
            <w:r>
              <w:rPr>
                <w:rFonts w:hint="eastAsia"/>
                <w:sz w:val="24"/>
              </w:rPr>
              <w:t>m范围；运行期</w:t>
            </w:r>
            <w:r>
              <w:rPr>
                <w:sz w:val="24"/>
              </w:rPr>
              <w:t>声环境评价范围可参照电磁环境评价范围，评价范围为110kV架空线路边导线地面投影外两侧各30m内的带状区域。</w:t>
            </w:r>
          </w:p>
          <w:p w14:paraId="5D85ED67">
            <w:pPr>
              <w:pStyle w:val="2"/>
              <w:spacing w:before="0" w:after="0" w:line="360" w:lineRule="auto"/>
              <w:ind w:right="0"/>
              <w:rPr>
                <w:b/>
                <w:sz w:val="24"/>
              </w:rPr>
            </w:pPr>
            <w:r>
              <w:rPr>
                <w:b/>
                <w:sz w:val="24"/>
              </w:rPr>
              <w:t>3、生态环境</w:t>
            </w:r>
          </w:p>
          <w:p w14:paraId="292E41E8">
            <w:pPr>
              <w:spacing w:line="360" w:lineRule="auto"/>
              <w:ind w:firstLine="480" w:firstLineChars="200"/>
              <w:rPr>
                <w:sz w:val="24"/>
              </w:rPr>
            </w:pPr>
            <w:r>
              <w:rPr>
                <w:rFonts w:hint="eastAsia"/>
                <w:sz w:val="24"/>
              </w:rPr>
              <w:t>本项目不涉及占用和跨越生态保护红线。</w:t>
            </w:r>
            <w:r>
              <w:rPr>
                <w:sz w:val="24"/>
              </w:rPr>
              <w:t>根据</w:t>
            </w:r>
            <w:r>
              <w:rPr>
                <w:rFonts w:hint="eastAsia"/>
                <w:sz w:val="24"/>
              </w:rPr>
              <w:t>《环境影响评价技术导则 生态影响》（HJ19-2022）和</w:t>
            </w:r>
            <w:r>
              <w:rPr>
                <w:sz w:val="24"/>
              </w:rPr>
              <w:t>《环境影响评价技术导则</w:t>
            </w:r>
            <w:r>
              <w:rPr>
                <w:rFonts w:hint="eastAsia"/>
                <w:sz w:val="24"/>
              </w:rPr>
              <w:t xml:space="preserve"> </w:t>
            </w:r>
            <w:r>
              <w:rPr>
                <w:sz w:val="24"/>
              </w:rPr>
              <w:t>输变电》（HJ24-2020）</w:t>
            </w:r>
            <w:r>
              <w:rPr>
                <w:rFonts w:hint="eastAsia"/>
                <w:sz w:val="24"/>
              </w:rPr>
              <w:t>，本项目全路线段生态评价工作等级为三级，</w:t>
            </w:r>
            <w:r>
              <w:rPr>
                <w:sz w:val="24"/>
              </w:rPr>
              <w:t>生态环境影响评价范围为线路边导线地面投影外两侧各300m内的带状区域。</w:t>
            </w:r>
          </w:p>
          <w:p w14:paraId="15E67D4C">
            <w:pPr>
              <w:pStyle w:val="189"/>
              <w:ind w:left="0" w:firstLine="0" w:firstLineChars="0"/>
              <w:jc w:val="both"/>
              <w:rPr>
                <w:b/>
                <w:sz w:val="24"/>
              </w:rPr>
            </w:pPr>
            <w:r>
              <w:rPr>
                <w:b/>
                <w:sz w:val="24"/>
              </w:rPr>
              <w:t>二、主要环境保</w:t>
            </w:r>
            <w:r>
              <w:rPr>
                <w:rFonts w:hint="eastAsia"/>
                <w:b/>
                <w:sz w:val="24"/>
              </w:rPr>
              <w:t>护</w:t>
            </w:r>
            <w:r>
              <w:rPr>
                <w:b/>
                <w:sz w:val="24"/>
              </w:rPr>
              <w:t>目标</w:t>
            </w:r>
          </w:p>
          <w:p w14:paraId="46617F56">
            <w:pPr>
              <w:pStyle w:val="2"/>
              <w:spacing w:before="0" w:after="0" w:line="360" w:lineRule="auto"/>
              <w:ind w:right="0" w:firstLine="480" w:firstLineChars="200"/>
              <w:rPr>
                <w:b/>
                <w:bCs/>
                <w:sz w:val="24"/>
              </w:rPr>
            </w:pPr>
            <w:r>
              <w:rPr>
                <w:sz w:val="24"/>
              </w:rPr>
              <w:t>经核实，本项目不涉及</w:t>
            </w:r>
            <w:r>
              <w:rPr>
                <w:rFonts w:hint="eastAsia"/>
                <w:sz w:val="24"/>
              </w:rPr>
              <w:t>生态保护红线、</w:t>
            </w:r>
            <w:r>
              <w:rPr>
                <w:sz w:val="24"/>
              </w:rPr>
              <w:t>自然保护区、风景名胜区、森林公园、饮用水水源保护区等生态环境敏感区。项目主要环境保护目标见表3-10。</w:t>
            </w:r>
          </w:p>
          <w:p w14:paraId="5B3C0866">
            <w:pPr>
              <w:adjustRightInd w:val="0"/>
              <w:snapToGrid w:val="0"/>
              <w:rPr>
                <w:kern w:val="0"/>
              </w:rPr>
            </w:pPr>
          </w:p>
          <w:p w14:paraId="291B2439">
            <w:pPr>
              <w:pStyle w:val="2"/>
              <w:adjustRightInd w:val="0"/>
              <w:spacing w:before="0" w:after="0" w:line="240" w:lineRule="auto"/>
              <w:ind w:right="0"/>
              <w:jc w:val="center"/>
              <w:rPr>
                <w:rFonts w:eastAsia="黑体"/>
                <w:bCs/>
                <w:sz w:val="24"/>
                <w:szCs w:val="21"/>
              </w:rPr>
            </w:pPr>
            <w:r>
              <w:rPr>
                <w:rFonts w:eastAsia="黑体"/>
                <w:bCs/>
                <w:sz w:val="24"/>
                <w:szCs w:val="21"/>
              </w:rPr>
              <w:t>表3-10</w:t>
            </w:r>
            <w:r>
              <w:rPr>
                <w:rFonts w:hint="eastAsia" w:eastAsia="黑体"/>
                <w:bCs/>
                <w:sz w:val="24"/>
                <w:szCs w:val="21"/>
              </w:rPr>
              <w:t>项目环境保护目标一览表</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395"/>
              <w:gridCol w:w="1581"/>
              <w:gridCol w:w="2127"/>
              <w:gridCol w:w="1517"/>
            </w:tblGrid>
            <w:tr w14:paraId="6507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0DF63A15">
                  <w:pPr>
                    <w:pStyle w:val="2"/>
                    <w:jc w:val="center"/>
                    <w:rPr>
                      <w:sz w:val="21"/>
                      <w:szCs w:val="21"/>
                    </w:rPr>
                  </w:pPr>
                  <w:r>
                    <w:rPr>
                      <w:rFonts w:hint="eastAsia"/>
                      <w:sz w:val="21"/>
                      <w:szCs w:val="21"/>
                    </w:rPr>
                    <w:t>保护要素</w:t>
                  </w:r>
                </w:p>
              </w:tc>
              <w:tc>
                <w:tcPr>
                  <w:tcW w:w="1395" w:type="dxa"/>
                  <w:vAlign w:val="center"/>
                </w:tcPr>
                <w:p w14:paraId="3A1EEDBA">
                  <w:pPr>
                    <w:pStyle w:val="2"/>
                    <w:jc w:val="center"/>
                    <w:rPr>
                      <w:sz w:val="21"/>
                      <w:szCs w:val="21"/>
                    </w:rPr>
                  </w:pPr>
                  <w:r>
                    <w:rPr>
                      <w:rFonts w:hint="eastAsia"/>
                      <w:sz w:val="21"/>
                      <w:szCs w:val="21"/>
                    </w:rPr>
                    <w:t>保护目标</w:t>
                  </w:r>
                </w:p>
              </w:tc>
              <w:tc>
                <w:tcPr>
                  <w:tcW w:w="1581" w:type="dxa"/>
                  <w:vAlign w:val="center"/>
                </w:tcPr>
                <w:p w14:paraId="4F92D7F4">
                  <w:pPr>
                    <w:pStyle w:val="2"/>
                    <w:jc w:val="center"/>
                    <w:rPr>
                      <w:sz w:val="21"/>
                      <w:szCs w:val="21"/>
                    </w:rPr>
                  </w:pPr>
                  <w:r>
                    <w:rPr>
                      <w:rFonts w:hint="eastAsia"/>
                      <w:sz w:val="21"/>
                      <w:szCs w:val="21"/>
                    </w:rPr>
                    <w:t>位置关系</w:t>
                  </w:r>
                </w:p>
              </w:tc>
              <w:tc>
                <w:tcPr>
                  <w:tcW w:w="2127" w:type="dxa"/>
                  <w:vAlign w:val="center"/>
                </w:tcPr>
                <w:p w14:paraId="4F738E3F">
                  <w:pPr>
                    <w:pStyle w:val="2"/>
                    <w:jc w:val="center"/>
                    <w:rPr>
                      <w:sz w:val="21"/>
                      <w:szCs w:val="21"/>
                    </w:rPr>
                  </w:pPr>
                  <w:r>
                    <w:rPr>
                      <w:rFonts w:hint="eastAsia"/>
                      <w:sz w:val="21"/>
                      <w:szCs w:val="21"/>
                    </w:rPr>
                    <w:t>规模/功能</w:t>
                  </w:r>
                </w:p>
              </w:tc>
              <w:tc>
                <w:tcPr>
                  <w:tcW w:w="1517" w:type="dxa"/>
                  <w:vAlign w:val="center"/>
                </w:tcPr>
                <w:p w14:paraId="1F24E23A">
                  <w:pPr>
                    <w:pStyle w:val="2"/>
                    <w:jc w:val="center"/>
                    <w:rPr>
                      <w:sz w:val="21"/>
                      <w:szCs w:val="21"/>
                    </w:rPr>
                  </w:pPr>
                  <w:r>
                    <w:rPr>
                      <w:rFonts w:hint="eastAsia"/>
                      <w:sz w:val="21"/>
                      <w:szCs w:val="21"/>
                    </w:rPr>
                    <w:t>保护级别或要求</w:t>
                  </w:r>
                </w:p>
              </w:tc>
            </w:tr>
            <w:tr w14:paraId="3BCF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880" w:type="dxa"/>
                  <w:vAlign w:val="center"/>
                </w:tcPr>
                <w:p w14:paraId="6DF896B9">
                  <w:pPr>
                    <w:pStyle w:val="2"/>
                    <w:jc w:val="center"/>
                    <w:rPr>
                      <w:sz w:val="21"/>
                      <w:szCs w:val="21"/>
                    </w:rPr>
                  </w:pPr>
                  <w:r>
                    <w:rPr>
                      <w:rFonts w:hint="eastAsia"/>
                      <w:sz w:val="21"/>
                      <w:szCs w:val="21"/>
                    </w:rPr>
                    <w:t>生态环境</w:t>
                  </w:r>
                </w:p>
              </w:tc>
              <w:tc>
                <w:tcPr>
                  <w:tcW w:w="1395" w:type="dxa"/>
                  <w:vAlign w:val="center"/>
                </w:tcPr>
                <w:p w14:paraId="74BB3349">
                  <w:pPr>
                    <w:pStyle w:val="2"/>
                    <w:rPr>
                      <w:sz w:val="21"/>
                      <w:szCs w:val="21"/>
                    </w:rPr>
                  </w:pPr>
                  <w:r>
                    <w:rPr>
                      <w:rFonts w:hint="eastAsia"/>
                      <w:sz w:val="21"/>
                      <w:szCs w:val="21"/>
                    </w:rPr>
                    <w:t>植被与陆生动植物</w:t>
                  </w:r>
                </w:p>
              </w:tc>
              <w:tc>
                <w:tcPr>
                  <w:tcW w:w="1581" w:type="dxa"/>
                  <w:vAlign w:val="center"/>
                </w:tcPr>
                <w:p w14:paraId="4CAB6FEE">
                  <w:pPr>
                    <w:pStyle w:val="2"/>
                    <w:rPr>
                      <w:sz w:val="21"/>
                      <w:szCs w:val="21"/>
                    </w:rPr>
                  </w:pPr>
                  <w:r>
                    <w:rPr>
                      <w:rFonts w:hint="eastAsia"/>
                      <w:sz w:val="21"/>
                      <w:szCs w:val="21"/>
                    </w:rPr>
                    <w:t>工程占地范围内，以及占地范围外延300m</w:t>
                  </w:r>
                </w:p>
              </w:tc>
              <w:tc>
                <w:tcPr>
                  <w:tcW w:w="2127" w:type="dxa"/>
                  <w:vAlign w:val="center"/>
                </w:tcPr>
                <w:p w14:paraId="67F1D367">
                  <w:pPr>
                    <w:pStyle w:val="2"/>
                    <w:rPr>
                      <w:sz w:val="21"/>
                      <w:szCs w:val="21"/>
                    </w:rPr>
                  </w:pPr>
                  <w:r>
                    <w:rPr>
                      <w:rFonts w:hint="eastAsia"/>
                      <w:sz w:val="21"/>
                      <w:szCs w:val="21"/>
                    </w:rPr>
                    <w:t>云南松林、华山松林，小叶栒子、火棘灌丛，白茅草地；野生动物资源</w:t>
                  </w:r>
                </w:p>
              </w:tc>
              <w:tc>
                <w:tcPr>
                  <w:tcW w:w="1517" w:type="dxa"/>
                  <w:vAlign w:val="center"/>
                </w:tcPr>
                <w:p w14:paraId="4347FD5F">
                  <w:pPr>
                    <w:pStyle w:val="2"/>
                    <w:rPr>
                      <w:sz w:val="21"/>
                      <w:szCs w:val="21"/>
                    </w:rPr>
                  </w:pPr>
                  <w:r>
                    <w:rPr>
                      <w:rFonts w:hint="eastAsia"/>
                      <w:sz w:val="21"/>
                      <w:szCs w:val="21"/>
                    </w:rPr>
                    <w:t>施工不超范围占地</w:t>
                  </w:r>
                </w:p>
              </w:tc>
            </w:tr>
            <w:tr w14:paraId="14B2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80" w:type="dxa"/>
                  <w:vAlign w:val="center"/>
                </w:tcPr>
                <w:p w14:paraId="33114D90">
                  <w:pPr>
                    <w:pStyle w:val="2"/>
                    <w:jc w:val="center"/>
                    <w:rPr>
                      <w:sz w:val="21"/>
                      <w:szCs w:val="21"/>
                    </w:rPr>
                  </w:pPr>
                  <w:r>
                    <w:rPr>
                      <w:rFonts w:hint="eastAsia"/>
                      <w:sz w:val="21"/>
                      <w:szCs w:val="21"/>
                    </w:rPr>
                    <w:t>地表水环境</w:t>
                  </w:r>
                </w:p>
              </w:tc>
              <w:tc>
                <w:tcPr>
                  <w:tcW w:w="1395" w:type="dxa"/>
                  <w:vAlign w:val="center"/>
                </w:tcPr>
                <w:p w14:paraId="39D95060">
                  <w:pPr>
                    <w:pStyle w:val="2"/>
                    <w:rPr>
                      <w:sz w:val="21"/>
                      <w:szCs w:val="21"/>
                    </w:rPr>
                  </w:pPr>
                  <w:r>
                    <w:rPr>
                      <w:rFonts w:hint="eastAsia"/>
                      <w:sz w:val="21"/>
                      <w:szCs w:val="21"/>
                    </w:rPr>
                    <w:t>/</w:t>
                  </w:r>
                </w:p>
              </w:tc>
              <w:tc>
                <w:tcPr>
                  <w:tcW w:w="1581" w:type="dxa"/>
                  <w:vAlign w:val="center"/>
                </w:tcPr>
                <w:p w14:paraId="60ED3C27">
                  <w:pPr>
                    <w:pStyle w:val="2"/>
                    <w:rPr>
                      <w:sz w:val="21"/>
                      <w:szCs w:val="21"/>
                    </w:rPr>
                  </w:pPr>
                  <w:r>
                    <w:rPr>
                      <w:rFonts w:hint="eastAsia"/>
                      <w:sz w:val="21"/>
                      <w:szCs w:val="21"/>
                    </w:rPr>
                    <w:t>/</w:t>
                  </w:r>
                </w:p>
              </w:tc>
              <w:tc>
                <w:tcPr>
                  <w:tcW w:w="2127" w:type="dxa"/>
                  <w:vAlign w:val="center"/>
                </w:tcPr>
                <w:p w14:paraId="082996BD">
                  <w:pPr>
                    <w:pStyle w:val="2"/>
                    <w:rPr>
                      <w:sz w:val="21"/>
                      <w:szCs w:val="21"/>
                    </w:rPr>
                  </w:pPr>
                  <w:r>
                    <w:rPr>
                      <w:rFonts w:hint="eastAsia"/>
                      <w:sz w:val="21"/>
                      <w:szCs w:val="21"/>
                    </w:rPr>
                    <w:t>/</w:t>
                  </w:r>
                </w:p>
              </w:tc>
              <w:tc>
                <w:tcPr>
                  <w:tcW w:w="1517" w:type="dxa"/>
                  <w:vAlign w:val="center"/>
                </w:tcPr>
                <w:p w14:paraId="3E8879B9">
                  <w:pPr>
                    <w:pStyle w:val="2"/>
                    <w:rPr>
                      <w:sz w:val="21"/>
                      <w:szCs w:val="21"/>
                    </w:rPr>
                  </w:pPr>
                  <w:r>
                    <w:rPr>
                      <w:rFonts w:hint="eastAsia"/>
                      <w:sz w:val="21"/>
                      <w:szCs w:val="21"/>
                    </w:rPr>
                    <w:t>/</w:t>
                  </w:r>
                </w:p>
              </w:tc>
            </w:tr>
            <w:tr w14:paraId="06E6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vAlign w:val="center"/>
                </w:tcPr>
                <w:p w14:paraId="1D73A48E">
                  <w:pPr>
                    <w:pStyle w:val="2"/>
                    <w:jc w:val="center"/>
                    <w:rPr>
                      <w:sz w:val="21"/>
                      <w:szCs w:val="21"/>
                    </w:rPr>
                  </w:pPr>
                  <w:r>
                    <w:rPr>
                      <w:rFonts w:hint="eastAsia"/>
                      <w:sz w:val="21"/>
                      <w:szCs w:val="21"/>
                    </w:rPr>
                    <w:t>电磁和声环境</w:t>
                  </w:r>
                </w:p>
              </w:tc>
              <w:tc>
                <w:tcPr>
                  <w:tcW w:w="1395" w:type="dxa"/>
                  <w:vAlign w:val="center"/>
                </w:tcPr>
                <w:p w14:paraId="787C9C19">
                  <w:pPr>
                    <w:pStyle w:val="2"/>
                    <w:rPr>
                      <w:sz w:val="21"/>
                      <w:szCs w:val="21"/>
                    </w:rPr>
                  </w:pPr>
                  <w:r>
                    <w:rPr>
                      <w:rFonts w:hint="eastAsia"/>
                      <w:sz w:val="21"/>
                      <w:szCs w:val="21"/>
                    </w:rPr>
                    <w:t>S204公路附近居民</w:t>
                  </w:r>
                </w:p>
              </w:tc>
              <w:tc>
                <w:tcPr>
                  <w:tcW w:w="1581" w:type="dxa"/>
                  <w:vAlign w:val="center"/>
                </w:tcPr>
                <w:p w14:paraId="5F7D53FB">
                  <w:pPr>
                    <w:pStyle w:val="2"/>
                    <w:rPr>
                      <w:sz w:val="21"/>
                      <w:szCs w:val="21"/>
                    </w:rPr>
                  </w:pPr>
                  <w:r>
                    <w:rPr>
                      <w:rFonts w:hint="eastAsia"/>
                      <w:sz w:val="21"/>
                      <w:szCs w:val="21"/>
                    </w:rPr>
                    <w:t>N</w:t>
                  </w:r>
                  <w:r>
                    <w:rPr>
                      <w:sz w:val="21"/>
                      <w:szCs w:val="21"/>
                    </w:rPr>
                    <w:t>7</w:t>
                  </w:r>
                  <w:r>
                    <w:rPr>
                      <w:rFonts w:hint="eastAsia"/>
                      <w:sz w:val="21"/>
                      <w:szCs w:val="21"/>
                    </w:rPr>
                    <w:t>塔基东南侧1</w:t>
                  </w:r>
                  <w:r>
                    <w:rPr>
                      <w:sz w:val="21"/>
                      <w:szCs w:val="21"/>
                    </w:rPr>
                    <w:t>00</w:t>
                  </w:r>
                  <w:r>
                    <w:rPr>
                      <w:rFonts w:hint="eastAsia"/>
                      <w:sz w:val="21"/>
                      <w:szCs w:val="21"/>
                    </w:rPr>
                    <w:t>m处，距线路中心约3</w:t>
                  </w:r>
                  <w:r>
                    <w:rPr>
                      <w:sz w:val="21"/>
                      <w:szCs w:val="21"/>
                    </w:rPr>
                    <w:t>7</w:t>
                  </w:r>
                  <w:r>
                    <w:rPr>
                      <w:rFonts w:hint="eastAsia"/>
                      <w:sz w:val="21"/>
                      <w:szCs w:val="21"/>
                    </w:rPr>
                    <w:t>m，距边导线约3</w:t>
                  </w:r>
                  <w:r>
                    <w:rPr>
                      <w:sz w:val="21"/>
                      <w:szCs w:val="21"/>
                    </w:rPr>
                    <w:t>0</w:t>
                  </w:r>
                  <w:r>
                    <w:rPr>
                      <w:rFonts w:hint="eastAsia"/>
                      <w:sz w:val="21"/>
                      <w:szCs w:val="21"/>
                    </w:rPr>
                    <w:t>m</w:t>
                  </w:r>
                </w:p>
              </w:tc>
              <w:tc>
                <w:tcPr>
                  <w:tcW w:w="2127" w:type="dxa"/>
                  <w:vAlign w:val="center"/>
                </w:tcPr>
                <w:p w14:paraId="660BA969">
                  <w:pPr>
                    <w:pStyle w:val="2"/>
                    <w:rPr>
                      <w:sz w:val="21"/>
                      <w:szCs w:val="21"/>
                    </w:rPr>
                  </w:pPr>
                  <w:r>
                    <w:rPr>
                      <w:rFonts w:hint="eastAsia"/>
                      <w:sz w:val="21"/>
                      <w:szCs w:val="21"/>
                    </w:rPr>
                    <w:t>1户，无人居住，自建房，砖结构，平顶， 3层，高约9m</w:t>
                  </w:r>
                </w:p>
              </w:tc>
              <w:tc>
                <w:tcPr>
                  <w:tcW w:w="1517" w:type="dxa"/>
                  <w:vAlign w:val="center"/>
                </w:tcPr>
                <w:p w14:paraId="686F0A31">
                  <w:pPr>
                    <w:pStyle w:val="2"/>
                    <w:rPr>
                      <w:sz w:val="21"/>
                      <w:szCs w:val="21"/>
                    </w:rPr>
                  </w:pPr>
                  <w:r>
                    <w:rPr>
                      <w:sz w:val="21"/>
                      <w:szCs w:val="21"/>
                    </w:rPr>
                    <w:t>EBN</w:t>
                  </w:r>
                  <w:r>
                    <w:rPr>
                      <w:sz w:val="21"/>
                      <w:szCs w:val="21"/>
                      <w:vertAlign w:val="subscript"/>
                    </w:rPr>
                    <w:t>1</w:t>
                  </w:r>
                </w:p>
              </w:tc>
            </w:tr>
          </w:tbl>
          <w:p w14:paraId="255EDEF6">
            <w:pPr>
              <w:pStyle w:val="2"/>
              <w:spacing w:before="0" w:after="0" w:line="360" w:lineRule="auto"/>
              <w:ind w:right="0"/>
            </w:pPr>
            <w:r>
              <w:t>注：</w:t>
            </w:r>
            <w:r>
              <w:rPr>
                <w:rFonts w:hint="eastAsia" w:ascii="宋体" w:hAnsi="宋体" w:cs="宋体"/>
              </w:rPr>
              <w:t>①</w:t>
            </w:r>
            <w:r>
              <w:t>本工程环境保护目标是根据当前设计阶段提供的路径调查确定，方位及最近距离也是根据当前设计阶段提供的路径估算，均可能随工程的不断深化而变化，建议下阶段进一步优化设计线路走线，尽量让线路远离居民敏感目标；</w:t>
            </w:r>
            <w:r>
              <w:rPr>
                <w:rFonts w:hint="eastAsia" w:ascii="宋体" w:hAnsi="宋体" w:cs="宋体"/>
              </w:rPr>
              <w:t>②</w:t>
            </w:r>
            <w:r>
              <w:t>E—工频电场强度，B—工频磁感应强度，N—声环境影响；E、B 执行《电磁环境控制限值》中公众曝露电场强度4kV/m、磁感应强度100μT 的要求；N</w:t>
            </w:r>
            <w:r>
              <w:rPr>
                <w:vertAlign w:val="subscript"/>
              </w:rPr>
              <w:t>1</w:t>
            </w:r>
            <w:r>
              <w:t>—执行《声环境质量标准》（GB3838-2008）1 类功能区标准。</w:t>
            </w:r>
          </w:p>
        </w:tc>
      </w:tr>
    </w:tbl>
    <w:p w14:paraId="00E71AC8">
      <w:pPr>
        <w:pStyle w:val="39"/>
        <w:jc w:val="center"/>
        <w:rPr>
          <w:rFonts w:ascii="Times New Roman" w:hAnsi="Times New Roman" w:eastAsia="黑体"/>
          <w:snapToGrid w:val="0"/>
          <w:kern w:val="2"/>
          <w:sz w:val="36"/>
          <w:szCs w:val="36"/>
        </w:rPr>
        <w:sectPr>
          <w:pgSz w:w="11906" w:h="16838"/>
          <w:pgMar w:top="1440" w:right="1800" w:bottom="1440" w:left="1800" w:header="851" w:footer="1077" w:gutter="0"/>
          <w:cols w:space="720" w:num="1"/>
          <w:docGrid w:linePitch="312" w:charSpace="0"/>
        </w:sectPr>
      </w:pPr>
    </w:p>
    <w:tbl>
      <w:tblPr>
        <w:tblStyle w:val="45"/>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7861"/>
      </w:tblGrid>
      <w:tr w14:paraId="4AE7C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9" w:type="pct"/>
            <w:vAlign w:val="center"/>
          </w:tcPr>
          <w:p w14:paraId="3CFB09FA">
            <w:pPr>
              <w:adjustRightInd w:val="0"/>
              <w:snapToGrid w:val="0"/>
              <w:jc w:val="center"/>
              <w:rPr>
                <w:kern w:val="0"/>
              </w:rPr>
            </w:pPr>
            <w:r>
              <w:rPr>
                <w:kern w:val="0"/>
              </w:rPr>
              <w:t>评价</w:t>
            </w:r>
          </w:p>
          <w:p w14:paraId="05BA92D1">
            <w:pPr>
              <w:adjustRightInd w:val="0"/>
              <w:snapToGrid w:val="0"/>
              <w:jc w:val="center"/>
              <w:rPr>
                <w:kern w:val="0"/>
              </w:rPr>
            </w:pPr>
            <w:r>
              <w:rPr>
                <w:kern w:val="0"/>
              </w:rPr>
              <w:t>标准</w:t>
            </w:r>
          </w:p>
        </w:tc>
        <w:tc>
          <w:tcPr>
            <w:tcW w:w="4570" w:type="pct"/>
          </w:tcPr>
          <w:p w14:paraId="619F1671">
            <w:pPr>
              <w:snapToGrid w:val="0"/>
              <w:spacing w:line="360" w:lineRule="auto"/>
              <w:ind w:firstLine="480" w:firstLineChars="200"/>
              <w:rPr>
                <w:b/>
                <w:bCs/>
                <w:sz w:val="24"/>
              </w:rPr>
            </w:pPr>
            <w:r>
              <w:rPr>
                <w:sz w:val="24"/>
              </w:rPr>
              <w:t>根据项目区功能区划以及对照各标准要求确定本项目环境影响评价执行以下标准：</w:t>
            </w:r>
          </w:p>
          <w:p w14:paraId="2F2CE7EF">
            <w:pPr>
              <w:snapToGrid w:val="0"/>
              <w:spacing w:line="360" w:lineRule="auto"/>
              <w:rPr>
                <w:b/>
                <w:bCs/>
                <w:sz w:val="24"/>
              </w:rPr>
            </w:pPr>
            <w:r>
              <w:rPr>
                <w:b/>
                <w:bCs/>
                <w:sz w:val="24"/>
              </w:rPr>
              <w:t>一、环境质量标准</w:t>
            </w:r>
          </w:p>
          <w:p w14:paraId="68CA9177">
            <w:pPr>
              <w:snapToGrid w:val="0"/>
              <w:spacing w:line="360" w:lineRule="auto"/>
              <w:rPr>
                <w:b/>
                <w:bCs/>
                <w:sz w:val="24"/>
              </w:rPr>
            </w:pPr>
            <w:r>
              <w:rPr>
                <w:b/>
                <w:bCs/>
                <w:sz w:val="24"/>
              </w:rPr>
              <w:t>1、环境空气</w:t>
            </w:r>
          </w:p>
          <w:p w14:paraId="3E3B73AC">
            <w:pPr>
              <w:pStyle w:val="2"/>
              <w:spacing w:before="0" w:after="0" w:line="360" w:lineRule="auto"/>
              <w:ind w:right="0" w:firstLine="480" w:firstLineChars="200"/>
              <w:rPr>
                <w:sz w:val="24"/>
              </w:rPr>
            </w:pPr>
            <w:r>
              <w:rPr>
                <w:sz w:val="24"/>
              </w:rPr>
              <w:t>本项目所在区域环境空气质量功能区划为二类区，</w:t>
            </w:r>
            <w:r>
              <w:rPr>
                <w:rFonts w:hint="eastAsia"/>
                <w:sz w:val="24"/>
              </w:rPr>
              <w:t>执行《环境空气质量标准》（GB3095-2026）中的二级标准过渡限值要求</w:t>
            </w:r>
            <w:r>
              <w:rPr>
                <w:sz w:val="24"/>
              </w:rPr>
              <w:t>，具体标准值见表3-11。</w:t>
            </w:r>
          </w:p>
          <w:p w14:paraId="09D1677A">
            <w:pPr>
              <w:pStyle w:val="2"/>
              <w:adjustRightInd w:val="0"/>
              <w:spacing w:before="0" w:after="0" w:line="240" w:lineRule="auto"/>
              <w:ind w:right="0"/>
              <w:jc w:val="center"/>
              <w:rPr>
                <w:rFonts w:eastAsia="黑体"/>
                <w:bCs/>
                <w:sz w:val="24"/>
                <w:szCs w:val="21"/>
              </w:rPr>
            </w:pPr>
            <w:r>
              <w:rPr>
                <w:rFonts w:eastAsia="黑体"/>
                <w:bCs/>
                <w:sz w:val="24"/>
                <w:szCs w:val="21"/>
              </w:rPr>
              <w:t>表3-11环境空气质量标准</w:t>
            </w:r>
          </w:p>
          <w:tbl>
            <w:tblPr>
              <w:tblStyle w:val="45"/>
              <w:tblW w:w="87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2335"/>
              <w:gridCol w:w="1971"/>
              <w:gridCol w:w="1365"/>
            </w:tblGrid>
            <w:tr w14:paraId="4797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tcBorders>
                    <w:top w:val="single" w:color="auto" w:sz="4" w:space="0"/>
                    <w:left w:val="single" w:color="auto" w:sz="4" w:space="0"/>
                    <w:bottom w:val="single" w:color="auto" w:sz="4" w:space="0"/>
                    <w:right w:val="single" w:color="auto" w:sz="4" w:space="0"/>
                  </w:tcBorders>
                  <w:noWrap/>
                  <w:vAlign w:val="center"/>
                </w:tcPr>
                <w:p w14:paraId="1FE43D54">
                  <w:pPr>
                    <w:widowControl/>
                    <w:jc w:val="center"/>
                    <w:rPr>
                      <w:color w:val="000000"/>
                      <w:kern w:val="0"/>
                      <w:sz w:val="22"/>
                      <w:szCs w:val="22"/>
                    </w:rPr>
                  </w:pPr>
                  <w:r>
                    <w:rPr>
                      <w:rFonts w:hint="eastAsia"/>
                      <w:color w:val="000000"/>
                      <w:kern w:val="0"/>
                      <w:sz w:val="22"/>
                      <w:szCs w:val="22"/>
                    </w:rPr>
                    <w:t>污染物项目</w:t>
                  </w:r>
                </w:p>
              </w:tc>
              <w:tc>
                <w:tcPr>
                  <w:tcW w:w="2694" w:type="dxa"/>
                  <w:tcBorders>
                    <w:top w:val="single" w:color="auto" w:sz="4" w:space="0"/>
                    <w:left w:val="single" w:color="auto" w:sz="4" w:space="0"/>
                    <w:bottom w:val="single" w:color="auto" w:sz="4" w:space="0"/>
                    <w:right w:val="single" w:color="auto" w:sz="4" w:space="0"/>
                  </w:tcBorders>
                  <w:noWrap/>
                  <w:vAlign w:val="center"/>
                </w:tcPr>
                <w:p w14:paraId="1211777D">
                  <w:pPr>
                    <w:widowControl/>
                    <w:jc w:val="center"/>
                    <w:rPr>
                      <w:color w:val="000000"/>
                      <w:kern w:val="0"/>
                      <w:sz w:val="22"/>
                      <w:szCs w:val="22"/>
                    </w:rPr>
                  </w:pPr>
                  <w:r>
                    <w:rPr>
                      <w:rFonts w:hint="eastAsia"/>
                      <w:color w:val="000000"/>
                      <w:kern w:val="0"/>
                      <w:sz w:val="22"/>
                      <w:szCs w:val="22"/>
                    </w:rPr>
                    <w:t>平均时间</w:t>
                  </w:r>
                </w:p>
              </w:tc>
              <w:tc>
                <w:tcPr>
                  <w:tcW w:w="2268" w:type="dxa"/>
                  <w:tcBorders>
                    <w:top w:val="single" w:color="auto" w:sz="4" w:space="0"/>
                    <w:left w:val="single" w:color="auto" w:sz="4" w:space="0"/>
                    <w:bottom w:val="single" w:color="auto" w:sz="4" w:space="0"/>
                    <w:right w:val="single" w:color="auto" w:sz="4" w:space="0"/>
                  </w:tcBorders>
                  <w:noWrap/>
                  <w:vAlign w:val="center"/>
                </w:tcPr>
                <w:p w14:paraId="4321C430">
                  <w:pPr>
                    <w:widowControl/>
                    <w:jc w:val="center"/>
                    <w:rPr>
                      <w:color w:val="000000"/>
                      <w:kern w:val="0"/>
                      <w:sz w:val="22"/>
                      <w:szCs w:val="22"/>
                    </w:rPr>
                  </w:pPr>
                  <w:r>
                    <w:rPr>
                      <w:rFonts w:hint="eastAsia"/>
                      <w:color w:val="000000"/>
                      <w:kern w:val="0"/>
                      <w:sz w:val="22"/>
                      <w:szCs w:val="22"/>
                    </w:rPr>
                    <w:t>二级浓度过渡限值</w:t>
                  </w:r>
                </w:p>
              </w:tc>
              <w:tc>
                <w:tcPr>
                  <w:tcW w:w="1559" w:type="dxa"/>
                  <w:tcBorders>
                    <w:top w:val="single" w:color="auto" w:sz="4" w:space="0"/>
                    <w:left w:val="single" w:color="auto" w:sz="4" w:space="0"/>
                    <w:bottom w:val="single" w:color="auto" w:sz="4" w:space="0"/>
                    <w:right w:val="single" w:color="auto" w:sz="4" w:space="0"/>
                  </w:tcBorders>
                  <w:noWrap/>
                  <w:vAlign w:val="center"/>
                </w:tcPr>
                <w:p w14:paraId="01702DBF">
                  <w:pPr>
                    <w:widowControl/>
                    <w:jc w:val="center"/>
                    <w:rPr>
                      <w:color w:val="000000"/>
                      <w:kern w:val="0"/>
                      <w:sz w:val="22"/>
                      <w:szCs w:val="22"/>
                    </w:rPr>
                  </w:pPr>
                  <w:r>
                    <w:rPr>
                      <w:rFonts w:hint="eastAsia"/>
                      <w:color w:val="000000"/>
                      <w:kern w:val="0"/>
                      <w:sz w:val="22"/>
                      <w:szCs w:val="22"/>
                    </w:rPr>
                    <w:t>单位</w:t>
                  </w:r>
                </w:p>
              </w:tc>
            </w:tr>
            <w:tr w14:paraId="6EBA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2249DC35">
                  <w:pPr>
                    <w:widowControl/>
                    <w:jc w:val="center"/>
                    <w:rPr>
                      <w:color w:val="000000"/>
                      <w:kern w:val="0"/>
                      <w:sz w:val="22"/>
                      <w:szCs w:val="22"/>
                    </w:rPr>
                  </w:pPr>
                  <w:r>
                    <w:rPr>
                      <w:rFonts w:hint="eastAsia"/>
                      <w:color w:val="000000"/>
                      <w:kern w:val="0"/>
                      <w:sz w:val="22"/>
                      <w:szCs w:val="22"/>
                    </w:rPr>
                    <w:t>二氧化硫</w:t>
                  </w:r>
                  <w:r>
                    <w:rPr>
                      <w:color w:val="000000"/>
                      <w:kern w:val="0"/>
                      <w:sz w:val="22"/>
                      <w:szCs w:val="22"/>
                    </w:rPr>
                    <w:t xml:space="preserve"> (SO₂)</w:t>
                  </w:r>
                </w:p>
              </w:tc>
              <w:tc>
                <w:tcPr>
                  <w:tcW w:w="2694" w:type="dxa"/>
                  <w:tcBorders>
                    <w:top w:val="single" w:color="auto" w:sz="4" w:space="0"/>
                    <w:left w:val="single" w:color="auto" w:sz="4" w:space="0"/>
                    <w:bottom w:val="single" w:color="auto" w:sz="4" w:space="0"/>
                    <w:right w:val="single" w:color="auto" w:sz="4" w:space="0"/>
                  </w:tcBorders>
                  <w:noWrap/>
                  <w:vAlign w:val="center"/>
                </w:tcPr>
                <w:p w14:paraId="0691AC02">
                  <w:pPr>
                    <w:widowControl/>
                    <w:jc w:val="center"/>
                    <w:rPr>
                      <w:color w:val="000000"/>
                      <w:kern w:val="0"/>
                      <w:sz w:val="22"/>
                      <w:szCs w:val="22"/>
                    </w:rPr>
                  </w:pPr>
                  <w:r>
                    <w:rPr>
                      <w:rFonts w:hint="eastAsia"/>
                      <w:color w:val="000000"/>
                      <w:kern w:val="0"/>
                      <w:sz w:val="22"/>
                      <w:szCs w:val="22"/>
                    </w:rPr>
                    <w:t>年平均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1D807889">
                  <w:pPr>
                    <w:widowControl/>
                    <w:jc w:val="center"/>
                    <w:rPr>
                      <w:color w:val="000000"/>
                      <w:kern w:val="0"/>
                      <w:sz w:val="22"/>
                      <w:szCs w:val="22"/>
                    </w:rPr>
                  </w:pPr>
                  <w:r>
                    <w:rPr>
                      <w:color w:val="000000"/>
                      <w:kern w:val="0"/>
                      <w:sz w:val="22"/>
                      <w:szCs w:val="22"/>
                    </w:rPr>
                    <w:t>60</w:t>
                  </w:r>
                </w:p>
              </w:tc>
              <w:tc>
                <w:tcPr>
                  <w:tcW w:w="1559" w:type="dxa"/>
                  <w:vMerge w:val="restart"/>
                  <w:tcBorders>
                    <w:top w:val="single" w:color="auto" w:sz="4" w:space="0"/>
                    <w:left w:val="single" w:color="auto" w:sz="4" w:space="0"/>
                    <w:bottom w:val="single" w:color="auto" w:sz="4" w:space="0"/>
                    <w:right w:val="single" w:color="auto" w:sz="4" w:space="0"/>
                  </w:tcBorders>
                  <w:noWrap/>
                  <w:vAlign w:val="center"/>
                </w:tcPr>
                <w:p w14:paraId="649CCEE6">
                  <w:pPr>
                    <w:widowControl/>
                    <w:jc w:val="center"/>
                    <w:rPr>
                      <w:color w:val="000000"/>
                      <w:kern w:val="0"/>
                      <w:sz w:val="22"/>
                      <w:szCs w:val="22"/>
                    </w:rPr>
                  </w:pPr>
                  <w:r>
                    <w:rPr>
                      <w:color w:val="000000"/>
                      <w:kern w:val="0"/>
                      <w:sz w:val="22"/>
                      <w:szCs w:val="22"/>
                    </w:rPr>
                    <w:t>μg/m³</w:t>
                  </w:r>
                </w:p>
              </w:tc>
            </w:tr>
            <w:tr w14:paraId="6D6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77F8EEAD">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23E96826">
                  <w:pPr>
                    <w:widowControl/>
                    <w:jc w:val="center"/>
                    <w:rPr>
                      <w:color w:val="000000"/>
                      <w:kern w:val="0"/>
                      <w:sz w:val="22"/>
                      <w:szCs w:val="22"/>
                    </w:rPr>
                  </w:pPr>
                  <w:r>
                    <w:rPr>
                      <w:color w:val="000000"/>
                      <w:kern w:val="0"/>
                      <w:sz w:val="22"/>
                      <w:szCs w:val="22"/>
                    </w:rPr>
                    <w:t>24</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4C4D32AD">
                  <w:pPr>
                    <w:widowControl/>
                    <w:jc w:val="center"/>
                    <w:rPr>
                      <w:color w:val="000000"/>
                      <w:kern w:val="0"/>
                      <w:sz w:val="22"/>
                      <w:szCs w:val="22"/>
                    </w:rPr>
                  </w:pPr>
                  <w:r>
                    <w:rPr>
                      <w:color w:val="000000"/>
                      <w:kern w:val="0"/>
                      <w:sz w:val="22"/>
                      <w:szCs w:val="22"/>
                    </w:rPr>
                    <w:t>150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89DEB84">
                  <w:pPr>
                    <w:widowControl/>
                    <w:jc w:val="left"/>
                    <w:rPr>
                      <w:color w:val="000000"/>
                      <w:kern w:val="0"/>
                      <w:sz w:val="22"/>
                      <w:szCs w:val="22"/>
                    </w:rPr>
                  </w:pPr>
                </w:p>
              </w:tc>
            </w:tr>
            <w:tr w14:paraId="35A6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3EDDEC9B">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62CAD10C">
                  <w:pPr>
                    <w:widowControl/>
                    <w:jc w:val="center"/>
                    <w:rPr>
                      <w:color w:val="000000"/>
                      <w:kern w:val="0"/>
                      <w:sz w:val="22"/>
                      <w:szCs w:val="22"/>
                    </w:rPr>
                  </w:pPr>
                  <w:r>
                    <w:rPr>
                      <w:color w:val="000000"/>
                      <w:kern w:val="0"/>
                      <w:sz w:val="22"/>
                      <w:szCs w:val="22"/>
                    </w:rPr>
                    <w:t>1</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19C291ED">
                  <w:pPr>
                    <w:widowControl/>
                    <w:jc w:val="center"/>
                    <w:rPr>
                      <w:color w:val="000000"/>
                      <w:kern w:val="0"/>
                      <w:sz w:val="22"/>
                      <w:szCs w:val="22"/>
                    </w:rPr>
                  </w:pPr>
                  <w:r>
                    <w:rPr>
                      <w:color w:val="000000"/>
                      <w:kern w:val="0"/>
                      <w:sz w:val="22"/>
                      <w:szCs w:val="22"/>
                    </w:rPr>
                    <w:t>500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864FF66">
                  <w:pPr>
                    <w:widowControl/>
                    <w:jc w:val="left"/>
                    <w:rPr>
                      <w:color w:val="000000"/>
                      <w:kern w:val="0"/>
                      <w:sz w:val="22"/>
                      <w:szCs w:val="22"/>
                    </w:rPr>
                  </w:pPr>
                </w:p>
              </w:tc>
            </w:tr>
            <w:tr w14:paraId="4AC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58F1A026">
                  <w:pPr>
                    <w:widowControl/>
                    <w:jc w:val="center"/>
                    <w:rPr>
                      <w:color w:val="000000"/>
                      <w:kern w:val="0"/>
                      <w:sz w:val="22"/>
                      <w:szCs w:val="22"/>
                    </w:rPr>
                  </w:pPr>
                  <w:r>
                    <w:rPr>
                      <w:rFonts w:hint="eastAsia"/>
                      <w:color w:val="000000"/>
                      <w:kern w:val="0"/>
                      <w:sz w:val="22"/>
                      <w:szCs w:val="22"/>
                    </w:rPr>
                    <w:t>二氧化氮</w:t>
                  </w:r>
                  <w:r>
                    <w:rPr>
                      <w:color w:val="000000"/>
                      <w:kern w:val="0"/>
                      <w:sz w:val="22"/>
                      <w:szCs w:val="22"/>
                    </w:rPr>
                    <w:t xml:space="preserve"> (NO₂)</w:t>
                  </w:r>
                </w:p>
              </w:tc>
              <w:tc>
                <w:tcPr>
                  <w:tcW w:w="2694" w:type="dxa"/>
                  <w:tcBorders>
                    <w:top w:val="single" w:color="auto" w:sz="4" w:space="0"/>
                    <w:left w:val="single" w:color="auto" w:sz="4" w:space="0"/>
                    <w:bottom w:val="single" w:color="auto" w:sz="4" w:space="0"/>
                    <w:right w:val="single" w:color="auto" w:sz="4" w:space="0"/>
                  </w:tcBorders>
                  <w:noWrap/>
                  <w:vAlign w:val="center"/>
                </w:tcPr>
                <w:p w14:paraId="4899B310">
                  <w:pPr>
                    <w:widowControl/>
                    <w:jc w:val="center"/>
                    <w:rPr>
                      <w:color w:val="000000"/>
                      <w:kern w:val="0"/>
                      <w:sz w:val="22"/>
                      <w:szCs w:val="22"/>
                    </w:rPr>
                  </w:pPr>
                  <w:r>
                    <w:rPr>
                      <w:rFonts w:hint="eastAsia"/>
                      <w:color w:val="000000"/>
                      <w:kern w:val="0"/>
                      <w:sz w:val="22"/>
                      <w:szCs w:val="22"/>
                    </w:rPr>
                    <w:t>年平均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4B773DCF">
                  <w:pPr>
                    <w:widowControl/>
                    <w:jc w:val="center"/>
                    <w:rPr>
                      <w:color w:val="000000"/>
                      <w:kern w:val="0"/>
                      <w:sz w:val="22"/>
                      <w:szCs w:val="22"/>
                    </w:rPr>
                  </w:pPr>
                  <w:r>
                    <w:rPr>
                      <w:color w:val="000000"/>
                      <w:kern w:val="0"/>
                      <w:sz w:val="22"/>
                      <w:szCs w:val="22"/>
                    </w:rPr>
                    <w:t>40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88B159A">
                  <w:pPr>
                    <w:widowControl/>
                    <w:jc w:val="left"/>
                    <w:rPr>
                      <w:color w:val="000000"/>
                      <w:kern w:val="0"/>
                      <w:sz w:val="22"/>
                      <w:szCs w:val="22"/>
                    </w:rPr>
                  </w:pPr>
                </w:p>
              </w:tc>
            </w:tr>
            <w:tr w14:paraId="52CC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092C1CF0">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7C5EE87E">
                  <w:pPr>
                    <w:widowControl/>
                    <w:jc w:val="center"/>
                    <w:rPr>
                      <w:color w:val="000000"/>
                      <w:kern w:val="0"/>
                      <w:sz w:val="22"/>
                      <w:szCs w:val="22"/>
                    </w:rPr>
                  </w:pPr>
                  <w:r>
                    <w:rPr>
                      <w:color w:val="000000"/>
                      <w:kern w:val="0"/>
                      <w:sz w:val="22"/>
                      <w:szCs w:val="22"/>
                    </w:rPr>
                    <w:t>24</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600A2AA6">
                  <w:pPr>
                    <w:widowControl/>
                    <w:jc w:val="center"/>
                    <w:rPr>
                      <w:color w:val="000000"/>
                      <w:kern w:val="0"/>
                      <w:sz w:val="22"/>
                      <w:szCs w:val="22"/>
                    </w:rPr>
                  </w:pPr>
                  <w:r>
                    <w:rPr>
                      <w:color w:val="000000"/>
                      <w:kern w:val="0"/>
                      <w:sz w:val="22"/>
                      <w:szCs w:val="22"/>
                    </w:rPr>
                    <w:t>80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1130C55">
                  <w:pPr>
                    <w:widowControl/>
                    <w:jc w:val="left"/>
                    <w:rPr>
                      <w:color w:val="000000"/>
                      <w:kern w:val="0"/>
                      <w:sz w:val="22"/>
                      <w:szCs w:val="22"/>
                    </w:rPr>
                  </w:pPr>
                </w:p>
              </w:tc>
            </w:tr>
            <w:tr w14:paraId="00E2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15E82F50">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076BC797">
                  <w:pPr>
                    <w:widowControl/>
                    <w:jc w:val="center"/>
                    <w:rPr>
                      <w:color w:val="000000"/>
                      <w:kern w:val="0"/>
                      <w:sz w:val="22"/>
                      <w:szCs w:val="22"/>
                    </w:rPr>
                  </w:pPr>
                  <w:r>
                    <w:rPr>
                      <w:color w:val="000000"/>
                      <w:kern w:val="0"/>
                      <w:sz w:val="22"/>
                      <w:szCs w:val="22"/>
                    </w:rPr>
                    <w:t>1</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4CD48FD2">
                  <w:pPr>
                    <w:widowControl/>
                    <w:jc w:val="center"/>
                    <w:rPr>
                      <w:color w:val="000000"/>
                      <w:kern w:val="0"/>
                      <w:sz w:val="22"/>
                      <w:szCs w:val="22"/>
                    </w:rPr>
                  </w:pPr>
                  <w:r>
                    <w:rPr>
                      <w:color w:val="000000"/>
                      <w:kern w:val="0"/>
                      <w:sz w:val="22"/>
                      <w:szCs w:val="22"/>
                    </w:rPr>
                    <w:t>200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19E4C53">
                  <w:pPr>
                    <w:widowControl/>
                    <w:jc w:val="left"/>
                    <w:rPr>
                      <w:color w:val="000000"/>
                      <w:kern w:val="0"/>
                      <w:sz w:val="22"/>
                      <w:szCs w:val="22"/>
                    </w:rPr>
                  </w:pPr>
                </w:p>
              </w:tc>
            </w:tr>
            <w:tr w14:paraId="7998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1728E64A">
                  <w:pPr>
                    <w:widowControl/>
                    <w:jc w:val="center"/>
                    <w:rPr>
                      <w:color w:val="000000"/>
                      <w:kern w:val="0"/>
                      <w:sz w:val="22"/>
                      <w:szCs w:val="22"/>
                    </w:rPr>
                  </w:pPr>
                  <w:r>
                    <w:rPr>
                      <w:rFonts w:hint="eastAsia"/>
                      <w:color w:val="000000"/>
                      <w:kern w:val="0"/>
                      <w:sz w:val="22"/>
                      <w:szCs w:val="22"/>
                    </w:rPr>
                    <w:t>一氧化碳</w:t>
                  </w:r>
                  <w:r>
                    <w:rPr>
                      <w:color w:val="000000"/>
                      <w:kern w:val="0"/>
                      <w:sz w:val="22"/>
                      <w:szCs w:val="22"/>
                    </w:rPr>
                    <w:t xml:space="preserve"> (CO)</w:t>
                  </w:r>
                </w:p>
              </w:tc>
              <w:tc>
                <w:tcPr>
                  <w:tcW w:w="2694" w:type="dxa"/>
                  <w:tcBorders>
                    <w:top w:val="single" w:color="auto" w:sz="4" w:space="0"/>
                    <w:left w:val="single" w:color="auto" w:sz="4" w:space="0"/>
                    <w:bottom w:val="single" w:color="auto" w:sz="4" w:space="0"/>
                    <w:right w:val="single" w:color="auto" w:sz="4" w:space="0"/>
                  </w:tcBorders>
                  <w:noWrap/>
                  <w:vAlign w:val="center"/>
                </w:tcPr>
                <w:p w14:paraId="171770B7">
                  <w:pPr>
                    <w:widowControl/>
                    <w:jc w:val="center"/>
                    <w:rPr>
                      <w:color w:val="000000"/>
                      <w:kern w:val="0"/>
                      <w:sz w:val="22"/>
                      <w:szCs w:val="22"/>
                    </w:rPr>
                  </w:pPr>
                  <w:r>
                    <w:rPr>
                      <w:color w:val="000000"/>
                      <w:kern w:val="0"/>
                      <w:sz w:val="22"/>
                      <w:szCs w:val="22"/>
                    </w:rPr>
                    <w:t>24</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794BD490">
                  <w:pPr>
                    <w:widowControl/>
                    <w:jc w:val="center"/>
                    <w:rPr>
                      <w:color w:val="000000"/>
                      <w:kern w:val="0"/>
                      <w:sz w:val="22"/>
                      <w:szCs w:val="22"/>
                    </w:rPr>
                  </w:pPr>
                  <w:r>
                    <w:rPr>
                      <w:color w:val="000000"/>
                      <w:kern w:val="0"/>
                      <w:sz w:val="22"/>
                      <w:szCs w:val="22"/>
                    </w:rPr>
                    <w:t>4</w:t>
                  </w:r>
                </w:p>
              </w:tc>
              <w:tc>
                <w:tcPr>
                  <w:tcW w:w="1559" w:type="dxa"/>
                  <w:vMerge w:val="restart"/>
                  <w:tcBorders>
                    <w:top w:val="single" w:color="auto" w:sz="4" w:space="0"/>
                    <w:left w:val="single" w:color="auto" w:sz="4" w:space="0"/>
                    <w:bottom w:val="single" w:color="auto" w:sz="4" w:space="0"/>
                    <w:right w:val="single" w:color="auto" w:sz="4" w:space="0"/>
                  </w:tcBorders>
                  <w:noWrap/>
                  <w:vAlign w:val="center"/>
                </w:tcPr>
                <w:p w14:paraId="6D2683B8">
                  <w:pPr>
                    <w:widowControl/>
                    <w:jc w:val="center"/>
                    <w:rPr>
                      <w:color w:val="000000"/>
                      <w:kern w:val="0"/>
                      <w:sz w:val="22"/>
                      <w:szCs w:val="22"/>
                    </w:rPr>
                  </w:pPr>
                  <w:r>
                    <w:rPr>
                      <w:color w:val="000000"/>
                      <w:kern w:val="0"/>
                      <w:sz w:val="22"/>
                      <w:szCs w:val="22"/>
                    </w:rPr>
                    <w:t>mg/m³</w:t>
                  </w:r>
                </w:p>
              </w:tc>
            </w:tr>
            <w:tr w14:paraId="6039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5CE567DD">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67CE7ACD">
                  <w:pPr>
                    <w:widowControl/>
                    <w:jc w:val="center"/>
                    <w:rPr>
                      <w:color w:val="000000"/>
                      <w:kern w:val="0"/>
                      <w:sz w:val="22"/>
                      <w:szCs w:val="22"/>
                    </w:rPr>
                  </w:pPr>
                  <w:r>
                    <w:rPr>
                      <w:color w:val="000000"/>
                      <w:kern w:val="0"/>
                      <w:sz w:val="22"/>
                      <w:szCs w:val="22"/>
                    </w:rPr>
                    <w:t>1</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7749EB6D">
                  <w:pPr>
                    <w:widowControl/>
                    <w:jc w:val="center"/>
                    <w:rPr>
                      <w:color w:val="000000"/>
                      <w:kern w:val="0"/>
                      <w:sz w:val="22"/>
                      <w:szCs w:val="22"/>
                    </w:rPr>
                  </w:pPr>
                  <w:r>
                    <w:rPr>
                      <w:color w:val="000000"/>
                      <w:kern w:val="0"/>
                      <w:sz w:val="22"/>
                      <w:szCs w:val="22"/>
                    </w:rPr>
                    <w:t>10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9D9B672">
                  <w:pPr>
                    <w:widowControl/>
                    <w:jc w:val="left"/>
                    <w:rPr>
                      <w:color w:val="000000"/>
                      <w:kern w:val="0"/>
                      <w:sz w:val="22"/>
                      <w:szCs w:val="22"/>
                    </w:rPr>
                  </w:pPr>
                </w:p>
              </w:tc>
            </w:tr>
            <w:tr w14:paraId="0BAC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0C41D44D">
                  <w:pPr>
                    <w:widowControl/>
                    <w:jc w:val="center"/>
                    <w:rPr>
                      <w:color w:val="000000"/>
                      <w:kern w:val="0"/>
                      <w:sz w:val="22"/>
                      <w:szCs w:val="22"/>
                    </w:rPr>
                  </w:pPr>
                  <w:r>
                    <w:rPr>
                      <w:rFonts w:hint="eastAsia"/>
                      <w:color w:val="000000"/>
                      <w:kern w:val="0"/>
                      <w:sz w:val="22"/>
                      <w:szCs w:val="22"/>
                    </w:rPr>
                    <w:t>臭氧</w:t>
                  </w:r>
                  <w:r>
                    <w:rPr>
                      <w:color w:val="000000"/>
                      <w:kern w:val="0"/>
                      <w:sz w:val="22"/>
                      <w:szCs w:val="22"/>
                    </w:rPr>
                    <w:t xml:space="preserve"> (O₃)</w:t>
                  </w:r>
                </w:p>
              </w:tc>
              <w:tc>
                <w:tcPr>
                  <w:tcW w:w="2694" w:type="dxa"/>
                  <w:tcBorders>
                    <w:top w:val="single" w:color="auto" w:sz="4" w:space="0"/>
                    <w:left w:val="single" w:color="auto" w:sz="4" w:space="0"/>
                    <w:bottom w:val="single" w:color="auto" w:sz="4" w:space="0"/>
                    <w:right w:val="single" w:color="auto" w:sz="4" w:space="0"/>
                  </w:tcBorders>
                  <w:noWrap/>
                  <w:vAlign w:val="center"/>
                </w:tcPr>
                <w:p w14:paraId="547A39F4">
                  <w:pPr>
                    <w:widowControl/>
                    <w:jc w:val="center"/>
                    <w:rPr>
                      <w:color w:val="000000"/>
                      <w:kern w:val="0"/>
                      <w:sz w:val="22"/>
                      <w:szCs w:val="22"/>
                    </w:rPr>
                  </w:pPr>
                  <w:r>
                    <w:rPr>
                      <w:rFonts w:hint="eastAsia"/>
                      <w:color w:val="000000"/>
                      <w:kern w:val="0"/>
                      <w:sz w:val="22"/>
                      <w:szCs w:val="22"/>
                    </w:rPr>
                    <w:t>日最大</w:t>
                  </w:r>
                  <w:r>
                    <w:rPr>
                      <w:color w:val="000000"/>
                      <w:kern w:val="0"/>
                      <w:sz w:val="22"/>
                      <w:szCs w:val="22"/>
                    </w:rPr>
                    <w:t>8</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700E3761">
                  <w:pPr>
                    <w:widowControl/>
                    <w:jc w:val="center"/>
                    <w:rPr>
                      <w:color w:val="000000"/>
                      <w:kern w:val="0"/>
                      <w:sz w:val="22"/>
                      <w:szCs w:val="22"/>
                    </w:rPr>
                  </w:pPr>
                  <w:r>
                    <w:rPr>
                      <w:color w:val="000000"/>
                      <w:kern w:val="0"/>
                      <w:sz w:val="22"/>
                      <w:szCs w:val="22"/>
                    </w:rPr>
                    <w:t>160</w:t>
                  </w:r>
                </w:p>
              </w:tc>
              <w:tc>
                <w:tcPr>
                  <w:tcW w:w="1559" w:type="dxa"/>
                  <w:vMerge w:val="restart"/>
                  <w:tcBorders>
                    <w:top w:val="single" w:color="auto" w:sz="4" w:space="0"/>
                    <w:left w:val="single" w:color="auto" w:sz="4" w:space="0"/>
                    <w:bottom w:val="single" w:color="auto" w:sz="4" w:space="0"/>
                    <w:right w:val="single" w:color="auto" w:sz="4" w:space="0"/>
                  </w:tcBorders>
                  <w:noWrap/>
                  <w:vAlign w:val="center"/>
                </w:tcPr>
                <w:p w14:paraId="6C6F7A19">
                  <w:pPr>
                    <w:widowControl/>
                    <w:jc w:val="center"/>
                    <w:rPr>
                      <w:color w:val="000000"/>
                      <w:kern w:val="0"/>
                      <w:sz w:val="22"/>
                      <w:szCs w:val="22"/>
                    </w:rPr>
                  </w:pPr>
                  <w:r>
                    <w:rPr>
                      <w:color w:val="000000"/>
                      <w:kern w:val="0"/>
                      <w:sz w:val="22"/>
                      <w:szCs w:val="22"/>
                    </w:rPr>
                    <w:t>μg/m³</w:t>
                  </w:r>
                </w:p>
              </w:tc>
            </w:tr>
            <w:tr w14:paraId="2EDF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6187C1A1">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301C2797">
                  <w:pPr>
                    <w:widowControl/>
                    <w:jc w:val="center"/>
                    <w:rPr>
                      <w:color w:val="000000"/>
                      <w:kern w:val="0"/>
                      <w:sz w:val="22"/>
                      <w:szCs w:val="22"/>
                    </w:rPr>
                  </w:pPr>
                  <w:r>
                    <w:rPr>
                      <w:color w:val="000000"/>
                      <w:kern w:val="0"/>
                      <w:sz w:val="22"/>
                      <w:szCs w:val="22"/>
                    </w:rPr>
                    <w:t>1</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43278720">
                  <w:pPr>
                    <w:widowControl/>
                    <w:jc w:val="center"/>
                    <w:rPr>
                      <w:color w:val="000000"/>
                      <w:kern w:val="0"/>
                      <w:sz w:val="22"/>
                      <w:szCs w:val="22"/>
                    </w:rPr>
                  </w:pPr>
                  <w:r>
                    <w:rPr>
                      <w:color w:val="000000"/>
                      <w:kern w:val="0"/>
                      <w:sz w:val="22"/>
                      <w:szCs w:val="22"/>
                    </w:rPr>
                    <w:t>200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E77A419">
                  <w:pPr>
                    <w:widowControl/>
                    <w:jc w:val="left"/>
                    <w:rPr>
                      <w:color w:val="000000"/>
                      <w:kern w:val="0"/>
                      <w:sz w:val="22"/>
                      <w:szCs w:val="22"/>
                    </w:rPr>
                  </w:pPr>
                </w:p>
              </w:tc>
            </w:tr>
            <w:tr w14:paraId="5257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477CB559">
                  <w:pPr>
                    <w:widowControl/>
                    <w:jc w:val="center"/>
                    <w:rPr>
                      <w:color w:val="000000"/>
                      <w:kern w:val="0"/>
                      <w:sz w:val="22"/>
                      <w:szCs w:val="22"/>
                    </w:rPr>
                  </w:pPr>
                  <w:r>
                    <w:rPr>
                      <w:rFonts w:hint="eastAsia"/>
                      <w:color w:val="000000"/>
                      <w:kern w:val="0"/>
                      <w:sz w:val="22"/>
                      <w:szCs w:val="22"/>
                    </w:rPr>
                    <w:t>颗粒物</w:t>
                  </w:r>
                  <w:r>
                    <w:rPr>
                      <w:color w:val="000000"/>
                      <w:kern w:val="0"/>
                      <w:sz w:val="22"/>
                      <w:szCs w:val="22"/>
                    </w:rPr>
                    <w:t xml:space="preserve"> (PM₁₀)</w:t>
                  </w:r>
                </w:p>
              </w:tc>
              <w:tc>
                <w:tcPr>
                  <w:tcW w:w="2694" w:type="dxa"/>
                  <w:tcBorders>
                    <w:top w:val="single" w:color="auto" w:sz="4" w:space="0"/>
                    <w:left w:val="single" w:color="auto" w:sz="4" w:space="0"/>
                    <w:bottom w:val="single" w:color="auto" w:sz="4" w:space="0"/>
                    <w:right w:val="single" w:color="auto" w:sz="4" w:space="0"/>
                  </w:tcBorders>
                  <w:noWrap/>
                  <w:vAlign w:val="center"/>
                </w:tcPr>
                <w:p w14:paraId="1645F479">
                  <w:pPr>
                    <w:widowControl/>
                    <w:jc w:val="center"/>
                    <w:rPr>
                      <w:color w:val="000000"/>
                      <w:kern w:val="0"/>
                      <w:sz w:val="22"/>
                      <w:szCs w:val="22"/>
                    </w:rPr>
                  </w:pPr>
                  <w:r>
                    <w:rPr>
                      <w:rFonts w:hint="eastAsia"/>
                      <w:color w:val="000000"/>
                      <w:kern w:val="0"/>
                      <w:sz w:val="22"/>
                      <w:szCs w:val="22"/>
                    </w:rPr>
                    <w:t>年平均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14C070F8">
                  <w:pPr>
                    <w:widowControl/>
                    <w:jc w:val="center"/>
                    <w:rPr>
                      <w:color w:val="000000"/>
                      <w:kern w:val="0"/>
                      <w:sz w:val="22"/>
                      <w:szCs w:val="22"/>
                    </w:rPr>
                  </w:pPr>
                  <w:r>
                    <w:rPr>
                      <w:color w:val="000000"/>
                      <w:kern w:val="0"/>
                      <w:sz w:val="22"/>
                      <w:szCs w:val="22"/>
                    </w:rPr>
                    <w:t>60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5BA979C">
                  <w:pPr>
                    <w:widowControl/>
                    <w:jc w:val="left"/>
                    <w:rPr>
                      <w:color w:val="000000"/>
                      <w:kern w:val="0"/>
                      <w:sz w:val="22"/>
                      <w:szCs w:val="22"/>
                    </w:rPr>
                  </w:pPr>
                </w:p>
              </w:tc>
            </w:tr>
            <w:tr w14:paraId="2C54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729BEBDA">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62B40A9F">
                  <w:pPr>
                    <w:widowControl/>
                    <w:jc w:val="center"/>
                    <w:rPr>
                      <w:color w:val="000000"/>
                      <w:kern w:val="0"/>
                      <w:sz w:val="22"/>
                      <w:szCs w:val="22"/>
                    </w:rPr>
                  </w:pPr>
                  <w:r>
                    <w:rPr>
                      <w:color w:val="000000"/>
                      <w:kern w:val="0"/>
                      <w:sz w:val="22"/>
                      <w:szCs w:val="22"/>
                    </w:rPr>
                    <w:t>24</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30085C7D">
                  <w:pPr>
                    <w:widowControl/>
                    <w:jc w:val="center"/>
                    <w:rPr>
                      <w:color w:val="000000"/>
                      <w:kern w:val="0"/>
                      <w:sz w:val="22"/>
                      <w:szCs w:val="22"/>
                    </w:rPr>
                  </w:pPr>
                  <w:r>
                    <w:rPr>
                      <w:color w:val="000000"/>
                      <w:kern w:val="0"/>
                      <w:sz w:val="22"/>
                      <w:szCs w:val="22"/>
                    </w:rPr>
                    <w:t>120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BD1025F">
                  <w:pPr>
                    <w:widowControl/>
                    <w:jc w:val="left"/>
                    <w:rPr>
                      <w:color w:val="000000"/>
                      <w:kern w:val="0"/>
                      <w:sz w:val="22"/>
                      <w:szCs w:val="22"/>
                    </w:rPr>
                  </w:pPr>
                </w:p>
              </w:tc>
            </w:tr>
            <w:tr w14:paraId="40B7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restart"/>
                  <w:tcBorders>
                    <w:top w:val="single" w:color="auto" w:sz="4" w:space="0"/>
                    <w:left w:val="single" w:color="auto" w:sz="4" w:space="0"/>
                    <w:bottom w:val="single" w:color="auto" w:sz="4" w:space="0"/>
                    <w:right w:val="single" w:color="auto" w:sz="4" w:space="0"/>
                  </w:tcBorders>
                  <w:noWrap/>
                  <w:vAlign w:val="center"/>
                </w:tcPr>
                <w:p w14:paraId="4FBAFC7C">
                  <w:pPr>
                    <w:widowControl/>
                    <w:jc w:val="center"/>
                    <w:rPr>
                      <w:color w:val="000000"/>
                      <w:kern w:val="0"/>
                      <w:sz w:val="22"/>
                      <w:szCs w:val="22"/>
                    </w:rPr>
                  </w:pPr>
                  <w:r>
                    <w:rPr>
                      <w:rFonts w:hint="eastAsia"/>
                      <w:color w:val="000000"/>
                      <w:kern w:val="0"/>
                      <w:sz w:val="22"/>
                      <w:szCs w:val="22"/>
                    </w:rPr>
                    <w:t>颗粒物</w:t>
                  </w:r>
                  <w:r>
                    <w:rPr>
                      <w:color w:val="000000"/>
                      <w:kern w:val="0"/>
                      <w:sz w:val="22"/>
                      <w:szCs w:val="22"/>
                    </w:rPr>
                    <w:t xml:space="preserve"> (PM₂.</w:t>
                  </w:r>
                  <w:r>
                    <w:rPr>
                      <w:rFonts w:eastAsia="MS Gothic"/>
                      <w:color w:val="000000"/>
                      <w:kern w:val="0"/>
                      <w:sz w:val="22"/>
                      <w:szCs w:val="22"/>
                    </w:rPr>
                    <w:t>₅</w:t>
                  </w:r>
                  <w:r>
                    <w:rPr>
                      <w:color w:val="000000"/>
                      <w:kern w:val="0"/>
                      <w:sz w:val="22"/>
                      <w:szCs w:val="22"/>
                    </w:rPr>
                    <w:t>)</w:t>
                  </w:r>
                </w:p>
              </w:tc>
              <w:tc>
                <w:tcPr>
                  <w:tcW w:w="2694" w:type="dxa"/>
                  <w:tcBorders>
                    <w:top w:val="single" w:color="auto" w:sz="4" w:space="0"/>
                    <w:left w:val="single" w:color="auto" w:sz="4" w:space="0"/>
                    <w:bottom w:val="single" w:color="auto" w:sz="4" w:space="0"/>
                    <w:right w:val="single" w:color="auto" w:sz="4" w:space="0"/>
                  </w:tcBorders>
                  <w:noWrap/>
                  <w:vAlign w:val="center"/>
                </w:tcPr>
                <w:p w14:paraId="5374F4E4">
                  <w:pPr>
                    <w:widowControl/>
                    <w:jc w:val="center"/>
                    <w:rPr>
                      <w:color w:val="000000"/>
                      <w:kern w:val="0"/>
                      <w:sz w:val="22"/>
                      <w:szCs w:val="22"/>
                    </w:rPr>
                  </w:pPr>
                  <w:r>
                    <w:rPr>
                      <w:rFonts w:hint="eastAsia"/>
                      <w:color w:val="000000"/>
                      <w:kern w:val="0"/>
                      <w:sz w:val="22"/>
                      <w:szCs w:val="22"/>
                    </w:rPr>
                    <w:t>年平均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48E3B27C">
                  <w:pPr>
                    <w:widowControl/>
                    <w:jc w:val="center"/>
                    <w:rPr>
                      <w:color w:val="000000"/>
                      <w:kern w:val="0"/>
                      <w:sz w:val="22"/>
                      <w:szCs w:val="22"/>
                    </w:rPr>
                  </w:pPr>
                  <w:r>
                    <w:rPr>
                      <w:color w:val="000000"/>
                      <w:kern w:val="0"/>
                      <w:sz w:val="22"/>
                      <w:szCs w:val="22"/>
                    </w:rPr>
                    <w:t>30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24308D9">
                  <w:pPr>
                    <w:widowControl/>
                    <w:jc w:val="left"/>
                    <w:rPr>
                      <w:color w:val="000000"/>
                      <w:kern w:val="0"/>
                      <w:sz w:val="22"/>
                      <w:szCs w:val="22"/>
                    </w:rPr>
                  </w:pPr>
                </w:p>
              </w:tc>
            </w:tr>
            <w:tr w14:paraId="372F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0" w:type="dxa"/>
                  <w:vMerge w:val="continue"/>
                  <w:tcBorders>
                    <w:top w:val="single" w:color="auto" w:sz="4" w:space="0"/>
                    <w:left w:val="single" w:color="auto" w:sz="4" w:space="0"/>
                    <w:bottom w:val="single" w:color="auto" w:sz="4" w:space="0"/>
                    <w:right w:val="single" w:color="auto" w:sz="4" w:space="0"/>
                  </w:tcBorders>
                  <w:vAlign w:val="center"/>
                </w:tcPr>
                <w:p w14:paraId="57632980">
                  <w:pPr>
                    <w:widowControl/>
                    <w:jc w:val="left"/>
                    <w:rPr>
                      <w:color w:val="000000"/>
                      <w:kern w:val="0"/>
                      <w:sz w:val="22"/>
                      <w:szCs w:val="22"/>
                    </w:rPr>
                  </w:pPr>
                </w:p>
              </w:tc>
              <w:tc>
                <w:tcPr>
                  <w:tcW w:w="2694" w:type="dxa"/>
                  <w:tcBorders>
                    <w:top w:val="single" w:color="auto" w:sz="4" w:space="0"/>
                    <w:left w:val="single" w:color="auto" w:sz="4" w:space="0"/>
                    <w:bottom w:val="single" w:color="auto" w:sz="4" w:space="0"/>
                    <w:right w:val="single" w:color="auto" w:sz="4" w:space="0"/>
                  </w:tcBorders>
                  <w:noWrap/>
                  <w:vAlign w:val="center"/>
                </w:tcPr>
                <w:p w14:paraId="123C04A5">
                  <w:pPr>
                    <w:widowControl/>
                    <w:jc w:val="center"/>
                    <w:rPr>
                      <w:color w:val="000000"/>
                      <w:kern w:val="0"/>
                      <w:sz w:val="22"/>
                      <w:szCs w:val="22"/>
                    </w:rPr>
                  </w:pPr>
                  <w:r>
                    <w:rPr>
                      <w:color w:val="000000"/>
                      <w:kern w:val="0"/>
                      <w:sz w:val="22"/>
                      <w:szCs w:val="22"/>
                    </w:rPr>
                    <w:t>24</w:t>
                  </w:r>
                  <w:r>
                    <w:rPr>
                      <w:rFonts w:hint="eastAsia"/>
                      <w:color w:val="000000"/>
                      <w:kern w:val="0"/>
                      <w:sz w:val="22"/>
                      <w:szCs w:val="22"/>
                    </w:rPr>
                    <w:t>小时平均</w:t>
                  </w:r>
                </w:p>
              </w:tc>
              <w:tc>
                <w:tcPr>
                  <w:tcW w:w="2268" w:type="dxa"/>
                  <w:tcBorders>
                    <w:top w:val="single" w:color="auto" w:sz="4" w:space="0"/>
                    <w:left w:val="single" w:color="auto" w:sz="4" w:space="0"/>
                    <w:bottom w:val="single" w:color="auto" w:sz="4" w:space="0"/>
                    <w:right w:val="single" w:color="auto" w:sz="4" w:space="0"/>
                  </w:tcBorders>
                  <w:noWrap/>
                  <w:vAlign w:val="center"/>
                </w:tcPr>
                <w:p w14:paraId="238AEC0F">
                  <w:pPr>
                    <w:widowControl/>
                    <w:jc w:val="center"/>
                    <w:rPr>
                      <w:color w:val="000000"/>
                      <w:kern w:val="0"/>
                      <w:sz w:val="22"/>
                      <w:szCs w:val="22"/>
                    </w:rPr>
                  </w:pPr>
                  <w:r>
                    <w:rPr>
                      <w:color w:val="000000"/>
                      <w:kern w:val="0"/>
                      <w:sz w:val="22"/>
                      <w:szCs w:val="22"/>
                    </w:rPr>
                    <w:t>60</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38EC52E">
                  <w:pPr>
                    <w:widowControl/>
                    <w:jc w:val="left"/>
                    <w:rPr>
                      <w:color w:val="000000"/>
                      <w:kern w:val="0"/>
                      <w:sz w:val="22"/>
                      <w:szCs w:val="22"/>
                    </w:rPr>
                  </w:pPr>
                </w:p>
              </w:tc>
            </w:tr>
          </w:tbl>
          <w:p w14:paraId="204B898A">
            <w:pPr>
              <w:snapToGrid w:val="0"/>
              <w:spacing w:before="120" w:beforeLines="50" w:line="360" w:lineRule="auto"/>
              <w:rPr>
                <w:b/>
                <w:bCs/>
                <w:sz w:val="24"/>
              </w:rPr>
            </w:pPr>
            <w:r>
              <w:rPr>
                <w:b/>
                <w:bCs/>
                <w:sz w:val="24"/>
              </w:rPr>
              <w:t xml:space="preserve"> 2、地表水环境</w:t>
            </w:r>
          </w:p>
          <w:p w14:paraId="0CE83107">
            <w:pPr>
              <w:pStyle w:val="2"/>
              <w:spacing w:before="0" w:after="0" w:line="360" w:lineRule="auto"/>
              <w:ind w:right="0" w:firstLine="480" w:firstLineChars="200"/>
              <w:rPr>
                <w:sz w:val="24"/>
              </w:rPr>
            </w:pPr>
            <w:r>
              <w:rPr>
                <w:kern w:val="2"/>
                <w:sz w:val="24"/>
                <w:szCs w:val="24"/>
                <w:lang w:val="zh-CN"/>
              </w:rPr>
              <w:t>本项目位于珠江流域，项目区附近分布有黄泥河</w:t>
            </w:r>
            <w:r>
              <w:rPr>
                <w:rFonts w:hint="eastAsia"/>
                <w:kern w:val="2"/>
                <w:sz w:val="24"/>
                <w:szCs w:val="24"/>
                <w:lang w:val="zh-CN"/>
              </w:rPr>
              <w:t>，工程</w:t>
            </w:r>
            <w:r>
              <w:rPr>
                <w:kern w:val="2"/>
                <w:sz w:val="24"/>
                <w:szCs w:val="24"/>
                <w:lang w:val="zh-CN"/>
              </w:rPr>
              <w:t>距离黄泥河直线距离约2.42km。根据《云南省水功能区划》（云南省水利厅，2014 年修订）、《曲靖市水功能区划》（2014年修订），项目区属于黄泥河富源-罗平保留区：从富源龙海至入小黄泥河入黄泥河口，流经富源和平两县，全长147.9km，流经河边水文站，开发利用程度较低。水质现状为Ⅳ类，近期水质目标为Ⅳ类，远期水质目标为Ⅲ类。因此，工程所在黄泥河</w:t>
            </w:r>
            <w:r>
              <w:rPr>
                <w:rFonts w:hint="eastAsia"/>
                <w:kern w:val="2"/>
                <w:sz w:val="24"/>
                <w:szCs w:val="24"/>
                <w:lang w:val="zh-CN"/>
              </w:rPr>
              <w:t>流域</w:t>
            </w:r>
            <w:r>
              <w:rPr>
                <w:kern w:val="2"/>
                <w:sz w:val="24"/>
                <w:szCs w:val="24"/>
                <w:lang w:val="zh-CN"/>
              </w:rPr>
              <w:t>执行《地表水环境质量标准》中的Ⅲ类标准</w:t>
            </w:r>
            <w:r>
              <w:rPr>
                <w:sz w:val="24"/>
              </w:rPr>
              <w:t>。</w:t>
            </w:r>
          </w:p>
          <w:p w14:paraId="42AD8E5E">
            <w:pPr>
              <w:pStyle w:val="2"/>
              <w:spacing w:before="0" w:after="0" w:line="360" w:lineRule="auto"/>
              <w:ind w:right="0" w:firstLine="480" w:firstLineChars="200"/>
              <w:rPr>
                <w:sz w:val="24"/>
              </w:rPr>
            </w:pPr>
            <w:r>
              <w:rPr>
                <w:sz w:val="24"/>
              </w:rPr>
              <w:t>具体的标准值详见表3-9。</w:t>
            </w:r>
          </w:p>
          <w:p w14:paraId="173B882A">
            <w:pPr>
              <w:pStyle w:val="2"/>
              <w:adjustRightInd w:val="0"/>
              <w:spacing w:before="0" w:after="0" w:line="240" w:lineRule="auto"/>
              <w:ind w:right="0"/>
              <w:jc w:val="center"/>
              <w:rPr>
                <w:rFonts w:eastAsia="黑体"/>
                <w:bCs/>
                <w:sz w:val="24"/>
                <w:szCs w:val="21"/>
              </w:rPr>
            </w:pPr>
            <w:r>
              <w:rPr>
                <w:rFonts w:eastAsia="黑体"/>
                <w:bCs/>
                <w:sz w:val="24"/>
                <w:szCs w:val="21"/>
              </w:rPr>
              <w:t>表3-9地表水环境质量标准单位：mg/L，pH（无量纲）</w:t>
            </w:r>
          </w:p>
          <w:tbl>
            <w:tblPr>
              <w:tblStyle w:val="45"/>
              <w:tblW w:w="4973"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739"/>
              <w:gridCol w:w="2137"/>
              <w:gridCol w:w="536"/>
              <w:gridCol w:w="1453"/>
              <w:gridCol w:w="1271"/>
            </w:tblGrid>
            <w:tr w14:paraId="1AF06B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98" w:type="pct"/>
                  <w:tcBorders>
                    <w:tl2br w:val="nil"/>
                    <w:tr2bl w:val="nil"/>
                  </w:tcBorders>
                  <w:vAlign w:val="center"/>
                </w:tcPr>
                <w:p w14:paraId="0CDD158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序号</w:t>
                  </w:r>
                </w:p>
              </w:tc>
              <w:tc>
                <w:tcPr>
                  <w:tcW w:w="1145" w:type="pct"/>
                  <w:tcBorders>
                    <w:tl2br w:val="nil"/>
                    <w:tr2bl w:val="nil"/>
                  </w:tcBorders>
                  <w:vAlign w:val="center"/>
                </w:tcPr>
                <w:p w14:paraId="18905B1A">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项目</w:t>
                  </w:r>
                </w:p>
              </w:tc>
              <w:tc>
                <w:tcPr>
                  <w:tcW w:w="1407" w:type="pct"/>
                  <w:tcBorders>
                    <w:tl2br w:val="nil"/>
                    <w:tr2bl w:val="nil"/>
                  </w:tcBorders>
                  <w:vAlign w:val="center"/>
                </w:tcPr>
                <w:p w14:paraId="7503B39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Ⅲ类标准值</w:t>
                  </w:r>
                </w:p>
              </w:tc>
              <w:tc>
                <w:tcPr>
                  <w:tcW w:w="353" w:type="pct"/>
                  <w:tcBorders>
                    <w:tl2br w:val="nil"/>
                    <w:tr2bl w:val="nil"/>
                  </w:tcBorders>
                  <w:vAlign w:val="center"/>
                </w:tcPr>
                <w:p w14:paraId="2A0E463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序号</w:t>
                  </w:r>
                </w:p>
              </w:tc>
              <w:tc>
                <w:tcPr>
                  <w:tcW w:w="957" w:type="pct"/>
                  <w:tcBorders>
                    <w:tl2br w:val="nil"/>
                    <w:tr2bl w:val="nil"/>
                  </w:tcBorders>
                  <w:vAlign w:val="center"/>
                </w:tcPr>
                <w:p w14:paraId="00A92845">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项目</w:t>
                  </w:r>
                </w:p>
              </w:tc>
              <w:tc>
                <w:tcPr>
                  <w:tcW w:w="837" w:type="pct"/>
                  <w:tcBorders>
                    <w:tl2br w:val="nil"/>
                    <w:tr2bl w:val="nil"/>
                  </w:tcBorders>
                  <w:vAlign w:val="center"/>
                </w:tcPr>
                <w:p w14:paraId="747A829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Ⅲ类标准值</w:t>
                  </w:r>
                </w:p>
              </w:tc>
            </w:tr>
            <w:tr w14:paraId="25AAAB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jc w:val="center"/>
              </w:trPr>
              <w:tc>
                <w:tcPr>
                  <w:tcW w:w="298" w:type="pct"/>
                  <w:tcBorders>
                    <w:tl2br w:val="nil"/>
                    <w:tr2bl w:val="nil"/>
                  </w:tcBorders>
                  <w:vAlign w:val="center"/>
                </w:tcPr>
                <w:p w14:paraId="14612BE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w:t>
                  </w:r>
                </w:p>
              </w:tc>
              <w:tc>
                <w:tcPr>
                  <w:tcW w:w="1145" w:type="pct"/>
                  <w:tcBorders>
                    <w:tl2br w:val="nil"/>
                    <w:tr2bl w:val="nil"/>
                  </w:tcBorders>
                  <w:vAlign w:val="center"/>
                </w:tcPr>
                <w:p w14:paraId="6EDE811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水温</w:t>
                  </w:r>
                </w:p>
              </w:tc>
              <w:tc>
                <w:tcPr>
                  <w:tcW w:w="1407" w:type="pct"/>
                  <w:tcBorders>
                    <w:tl2br w:val="nil"/>
                    <w:tr2bl w:val="nil"/>
                  </w:tcBorders>
                  <w:vAlign w:val="center"/>
                </w:tcPr>
                <w:p w14:paraId="690ACAA2">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人为造成水温变化：周平均最大温升≤1；周平均最大温降≤2</w:t>
                  </w:r>
                </w:p>
              </w:tc>
              <w:tc>
                <w:tcPr>
                  <w:tcW w:w="353" w:type="pct"/>
                  <w:tcBorders>
                    <w:tl2br w:val="nil"/>
                    <w:tr2bl w:val="nil"/>
                  </w:tcBorders>
                  <w:vAlign w:val="center"/>
                </w:tcPr>
                <w:p w14:paraId="5E0C981E">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13</w:t>
                  </w:r>
                </w:p>
              </w:tc>
              <w:tc>
                <w:tcPr>
                  <w:tcW w:w="957" w:type="pct"/>
                  <w:tcBorders>
                    <w:tl2br w:val="nil"/>
                    <w:tr2bl w:val="nil"/>
                  </w:tcBorders>
                  <w:vAlign w:val="center"/>
                </w:tcPr>
                <w:p w14:paraId="2434ACF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硒</w:t>
                  </w:r>
                </w:p>
              </w:tc>
              <w:tc>
                <w:tcPr>
                  <w:tcW w:w="837" w:type="pct"/>
                  <w:tcBorders>
                    <w:tl2br w:val="nil"/>
                    <w:tr2bl w:val="nil"/>
                  </w:tcBorders>
                  <w:vAlign w:val="center"/>
                </w:tcPr>
                <w:p w14:paraId="13DD239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w:t>
                  </w:r>
                  <w:r>
                    <w:rPr>
                      <w:rFonts w:hint="eastAsia"/>
                      <w:color w:val="000000" w:themeColor="text1"/>
                      <w:kern w:val="44"/>
                      <w14:textFill>
                        <w14:solidFill>
                          <w14:schemeClr w14:val="tx1"/>
                        </w14:solidFill>
                      </w14:textFill>
                    </w:rPr>
                    <w:t>1</w:t>
                  </w:r>
                </w:p>
              </w:tc>
            </w:tr>
            <w:tr w14:paraId="17D80B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1F70D3B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w:t>
                  </w:r>
                </w:p>
              </w:tc>
              <w:tc>
                <w:tcPr>
                  <w:tcW w:w="1145" w:type="pct"/>
                  <w:tcBorders>
                    <w:tl2br w:val="nil"/>
                    <w:tr2bl w:val="nil"/>
                  </w:tcBorders>
                  <w:vAlign w:val="center"/>
                </w:tcPr>
                <w:p w14:paraId="4677AE1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pH值</w:t>
                  </w:r>
                </w:p>
              </w:tc>
              <w:tc>
                <w:tcPr>
                  <w:tcW w:w="1407" w:type="pct"/>
                  <w:tcBorders>
                    <w:tl2br w:val="nil"/>
                    <w:tr2bl w:val="nil"/>
                  </w:tcBorders>
                  <w:vAlign w:val="center"/>
                </w:tcPr>
                <w:p w14:paraId="785F47B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6~9</w:t>
                  </w:r>
                </w:p>
              </w:tc>
              <w:tc>
                <w:tcPr>
                  <w:tcW w:w="353" w:type="pct"/>
                  <w:tcBorders>
                    <w:tl2br w:val="nil"/>
                    <w:tr2bl w:val="nil"/>
                  </w:tcBorders>
                  <w:vAlign w:val="center"/>
                </w:tcPr>
                <w:p w14:paraId="7A4EB4EE">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14</w:t>
                  </w:r>
                </w:p>
              </w:tc>
              <w:tc>
                <w:tcPr>
                  <w:tcW w:w="957" w:type="pct"/>
                  <w:tcBorders>
                    <w:tl2br w:val="nil"/>
                    <w:tr2bl w:val="nil"/>
                  </w:tcBorders>
                  <w:vAlign w:val="center"/>
                </w:tcPr>
                <w:p w14:paraId="38800812">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砷</w:t>
                  </w:r>
                </w:p>
              </w:tc>
              <w:tc>
                <w:tcPr>
                  <w:tcW w:w="837" w:type="pct"/>
                  <w:tcBorders>
                    <w:tl2br w:val="nil"/>
                    <w:tr2bl w:val="nil"/>
                  </w:tcBorders>
                  <w:vAlign w:val="center"/>
                </w:tcPr>
                <w:p w14:paraId="22C26CE3">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w:t>
                  </w:r>
                  <w:r>
                    <w:rPr>
                      <w:rFonts w:hint="eastAsia"/>
                      <w:color w:val="000000" w:themeColor="text1"/>
                      <w:kern w:val="44"/>
                      <w14:textFill>
                        <w14:solidFill>
                          <w14:schemeClr w14:val="tx1"/>
                        </w14:solidFill>
                      </w14:textFill>
                    </w:rPr>
                    <w:t>05</w:t>
                  </w:r>
                </w:p>
              </w:tc>
            </w:tr>
            <w:tr w14:paraId="6983DD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564B2CF7">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3</w:t>
                  </w:r>
                </w:p>
              </w:tc>
              <w:tc>
                <w:tcPr>
                  <w:tcW w:w="1145" w:type="pct"/>
                  <w:tcBorders>
                    <w:tl2br w:val="nil"/>
                    <w:tr2bl w:val="nil"/>
                  </w:tcBorders>
                  <w:vAlign w:val="center"/>
                </w:tcPr>
                <w:p w14:paraId="1D08F538">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溶解氧</w:t>
                  </w:r>
                </w:p>
              </w:tc>
              <w:tc>
                <w:tcPr>
                  <w:tcW w:w="1407" w:type="pct"/>
                  <w:tcBorders>
                    <w:tl2br w:val="nil"/>
                    <w:tr2bl w:val="nil"/>
                  </w:tcBorders>
                  <w:vAlign w:val="center"/>
                </w:tcPr>
                <w:p w14:paraId="7BB437F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5</w:t>
                  </w:r>
                </w:p>
              </w:tc>
              <w:tc>
                <w:tcPr>
                  <w:tcW w:w="353" w:type="pct"/>
                  <w:tcBorders>
                    <w:tl2br w:val="nil"/>
                    <w:tr2bl w:val="nil"/>
                  </w:tcBorders>
                  <w:vAlign w:val="center"/>
                </w:tcPr>
                <w:p w14:paraId="4BD4CC29">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15</w:t>
                  </w:r>
                </w:p>
              </w:tc>
              <w:tc>
                <w:tcPr>
                  <w:tcW w:w="957" w:type="pct"/>
                  <w:tcBorders>
                    <w:tl2br w:val="nil"/>
                    <w:tr2bl w:val="nil"/>
                  </w:tcBorders>
                  <w:vAlign w:val="center"/>
                </w:tcPr>
                <w:p w14:paraId="3DA9266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汞</w:t>
                  </w:r>
                </w:p>
              </w:tc>
              <w:tc>
                <w:tcPr>
                  <w:tcW w:w="837" w:type="pct"/>
                  <w:tcBorders>
                    <w:tl2br w:val="nil"/>
                    <w:tr2bl w:val="nil"/>
                  </w:tcBorders>
                  <w:vAlign w:val="center"/>
                </w:tcPr>
                <w:p w14:paraId="1D33DBC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≤0.00</w:t>
                  </w:r>
                  <w:r>
                    <w:rPr>
                      <w:rFonts w:hint="eastAsia"/>
                      <w:color w:val="000000" w:themeColor="text1"/>
                      <w:kern w:val="44"/>
                      <w14:textFill>
                        <w14:solidFill>
                          <w14:schemeClr w14:val="tx1"/>
                        </w14:solidFill>
                      </w14:textFill>
                    </w:rPr>
                    <w:t>01</w:t>
                  </w:r>
                </w:p>
              </w:tc>
            </w:tr>
            <w:tr w14:paraId="0F18CA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02D280E8">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4</w:t>
                  </w:r>
                </w:p>
              </w:tc>
              <w:tc>
                <w:tcPr>
                  <w:tcW w:w="1145" w:type="pct"/>
                  <w:tcBorders>
                    <w:tl2br w:val="nil"/>
                    <w:tr2bl w:val="nil"/>
                  </w:tcBorders>
                  <w:vAlign w:val="center"/>
                </w:tcPr>
                <w:p w14:paraId="60A803BE">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高锰酸盐指数</w:t>
                  </w:r>
                </w:p>
              </w:tc>
              <w:tc>
                <w:tcPr>
                  <w:tcW w:w="1407" w:type="pct"/>
                  <w:tcBorders>
                    <w:tl2br w:val="nil"/>
                    <w:tr2bl w:val="nil"/>
                  </w:tcBorders>
                  <w:vAlign w:val="center"/>
                </w:tcPr>
                <w:p w14:paraId="28A48A76">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6</w:t>
                  </w:r>
                </w:p>
              </w:tc>
              <w:tc>
                <w:tcPr>
                  <w:tcW w:w="353" w:type="pct"/>
                  <w:tcBorders>
                    <w:tl2br w:val="nil"/>
                    <w:tr2bl w:val="nil"/>
                  </w:tcBorders>
                  <w:vAlign w:val="center"/>
                </w:tcPr>
                <w:p w14:paraId="4B6093B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16</w:t>
                  </w:r>
                </w:p>
              </w:tc>
              <w:tc>
                <w:tcPr>
                  <w:tcW w:w="957" w:type="pct"/>
                  <w:tcBorders>
                    <w:tl2br w:val="nil"/>
                    <w:tr2bl w:val="nil"/>
                  </w:tcBorders>
                  <w:vAlign w:val="center"/>
                </w:tcPr>
                <w:p w14:paraId="530F3B21">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镉</w:t>
                  </w:r>
                </w:p>
              </w:tc>
              <w:tc>
                <w:tcPr>
                  <w:tcW w:w="837" w:type="pct"/>
                  <w:tcBorders>
                    <w:tl2br w:val="nil"/>
                    <w:tr2bl w:val="nil"/>
                  </w:tcBorders>
                  <w:vAlign w:val="center"/>
                </w:tcPr>
                <w:p w14:paraId="0A5C398F">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≤0.005</w:t>
                  </w:r>
                </w:p>
              </w:tc>
            </w:tr>
            <w:tr w14:paraId="453761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452C393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5</w:t>
                  </w:r>
                </w:p>
              </w:tc>
              <w:tc>
                <w:tcPr>
                  <w:tcW w:w="1145" w:type="pct"/>
                  <w:tcBorders>
                    <w:tl2br w:val="nil"/>
                    <w:tr2bl w:val="nil"/>
                  </w:tcBorders>
                  <w:vAlign w:val="center"/>
                </w:tcPr>
                <w:p w14:paraId="4C9AAE4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化学需氧量</w:t>
                  </w:r>
                </w:p>
              </w:tc>
              <w:tc>
                <w:tcPr>
                  <w:tcW w:w="1407" w:type="pct"/>
                  <w:tcBorders>
                    <w:tl2br w:val="nil"/>
                    <w:tr2bl w:val="nil"/>
                  </w:tcBorders>
                  <w:vAlign w:val="center"/>
                </w:tcPr>
                <w:p w14:paraId="651D548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20</w:t>
                  </w:r>
                </w:p>
              </w:tc>
              <w:tc>
                <w:tcPr>
                  <w:tcW w:w="353" w:type="pct"/>
                  <w:tcBorders>
                    <w:tl2br w:val="nil"/>
                    <w:tr2bl w:val="nil"/>
                  </w:tcBorders>
                  <w:vAlign w:val="center"/>
                </w:tcPr>
                <w:p w14:paraId="313FA9D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17</w:t>
                  </w:r>
                </w:p>
              </w:tc>
              <w:tc>
                <w:tcPr>
                  <w:tcW w:w="957" w:type="pct"/>
                  <w:tcBorders>
                    <w:tl2br w:val="nil"/>
                    <w:tr2bl w:val="nil"/>
                  </w:tcBorders>
                  <w:vAlign w:val="center"/>
                </w:tcPr>
                <w:p w14:paraId="72644452">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铬（六价）</w:t>
                  </w:r>
                </w:p>
              </w:tc>
              <w:tc>
                <w:tcPr>
                  <w:tcW w:w="837" w:type="pct"/>
                  <w:tcBorders>
                    <w:tl2br w:val="nil"/>
                    <w:tr2bl w:val="nil"/>
                  </w:tcBorders>
                  <w:vAlign w:val="center"/>
                </w:tcPr>
                <w:p w14:paraId="0B9DF11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≤0.05</w:t>
                  </w:r>
                </w:p>
              </w:tc>
            </w:tr>
            <w:tr w14:paraId="109640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789B39FA">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6</w:t>
                  </w:r>
                </w:p>
              </w:tc>
              <w:tc>
                <w:tcPr>
                  <w:tcW w:w="1145" w:type="pct"/>
                  <w:tcBorders>
                    <w:tl2br w:val="nil"/>
                    <w:tr2bl w:val="nil"/>
                  </w:tcBorders>
                  <w:vAlign w:val="center"/>
                </w:tcPr>
                <w:p w14:paraId="760C2893">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五日生化需氧量</w:t>
                  </w:r>
                </w:p>
              </w:tc>
              <w:tc>
                <w:tcPr>
                  <w:tcW w:w="1407" w:type="pct"/>
                  <w:tcBorders>
                    <w:tl2br w:val="nil"/>
                    <w:tr2bl w:val="nil"/>
                  </w:tcBorders>
                  <w:vAlign w:val="center"/>
                </w:tcPr>
                <w:p w14:paraId="4B7D79E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4</w:t>
                  </w:r>
                </w:p>
              </w:tc>
              <w:tc>
                <w:tcPr>
                  <w:tcW w:w="353" w:type="pct"/>
                  <w:tcBorders>
                    <w:tl2br w:val="nil"/>
                    <w:tr2bl w:val="nil"/>
                  </w:tcBorders>
                  <w:vAlign w:val="center"/>
                </w:tcPr>
                <w:p w14:paraId="27B9649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18</w:t>
                  </w:r>
                </w:p>
              </w:tc>
              <w:tc>
                <w:tcPr>
                  <w:tcW w:w="957" w:type="pct"/>
                  <w:tcBorders>
                    <w:tl2br w:val="nil"/>
                    <w:tr2bl w:val="nil"/>
                  </w:tcBorders>
                  <w:vAlign w:val="center"/>
                </w:tcPr>
                <w:p w14:paraId="0E53A828">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铅</w:t>
                  </w:r>
                </w:p>
              </w:tc>
              <w:tc>
                <w:tcPr>
                  <w:tcW w:w="837" w:type="pct"/>
                  <w:tcBorders>
                    <w:tl2br w:val="nil"/>
                    <w:tr2bl w:val="nil"/>
                  </w:tcBorders>
                  <w:vAlign w:val="center"/>
                </w:tcPr>
                <w:p w14:paraId="3A66B0B7">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≤0.05</w:t>
                  </w:r>
                </w:p>
              </w:tc>
            </w:tr>
            <w:tr w14:paraId="714A20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6F32C80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7</w:t>
                  </w:r>
                </w:p>
              </w:tc>
              <w:tc>
                <w:tcPr>
                  <w:tcW w:w="1145" w:type="pct"/>
                  <w:tcBorders>
                    <w:tl2br w:val="nil"/>
                    <w:tr2bl w:val="nil"/>
                  </w:tcBorders>
                  <w:vAlign w:val="center"/>
                </w:tcPr>
                <w:p w14:paraId="0A2F948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氨氮</w:t>
                  </w:r>
                </w:p>
              </w:tc>
              <w:tc>
                <w:tcPr>
                  <w:tcW w:w="1407" w:type="pct"/>
                  <w:tcBorders>
                    <w:tl2br w:val="nil"/>
                    <w:tr2bl w:val="nil"/>
                  </w:tcBorders>
                  <w:vAlign w:val="center"/>
                </w:tcPr>
                <w:p w14:paraId="5E60A693">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w:t>
                  </w:r>
                  <w:r>
                    <w:rPr>
                      <w:rFonts w:hint="eastAsia"/>
                      <w:color w:val="000000" w:themeColor="text1"/>
                      <w:kern w:val="44"/>
                      <w14:textFill>
                        <w14:solidFill>
                          <w14:schemeClr w14:val="tx1"/>
                        </w14:solidFill>
                      </w14:textFill>
                    </w:rPr>
                    <w:t>0</w:t>
                  </w:r>
                </w:p>
              </w:tc>
              <w:tc>
                <w:tcPr>
                  <w:tcW w:w="353" w:type="pct"/>
                  <w:tcBorders>
                    <w:tl2br w:val="nil"/>
                    <w:tr2bl w:val="nil"/>
                  </w:tcBorders>
                  <w:vAlign w:val="center"/>
                </w:tcPr>
                <w:p w14:paraId="3CE33875">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19</w:t>
                  </w:r>
                </w:p>
              </w:tc>
              <w:tc>
                <w:tcPr>
                  <w:tcW w:w="957" w:type="pct"/>
                  <w:tcBorders>
                    <w:tl2br w:val="nil"/>
                    <w:tr2bl w:val="nil"/>
                  </w:tcBorders>
                  <w:vAlign w:val="center"/>
                </w:tcPr>
                <w:p w14:paraId="73F9BF49">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氰化物</w:t>
                  </w:r>
                </w:p>
              </w:tc>
              <w:tc>
                <w:tcPr>
                  <w:tcW w:w="837" w:type="pct"/>
                  <w:tcBorders>
                    <w:tl2br w:val="nil"/>
                    <w:tr2bl w:val="nil"/>
                  </w:tcBorders>
                  <w:vAlign w:val="center"/>
                </w:tcPr>
                <w:p w14:paraId="4F2C4B1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≤0.2</w:t>
                  </w:r>
                </w:p>
              </w:tc>
            </w:tr>
            <w:tr w14:paraId="40F1CE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43D74CB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8</w:t>
                  </w:r>
                </w:p>
              </w:tc>
              <w:tc>
                <w:tcPr>
                  <w:tcW w:w="1145" w:type="pct"/>
                  <w:tcBorders>
                    <w:tl2br w:val="nil"/>
                    <w:tr2bl w:val="nil"/>
                  </w:tcBorders>
                  <w:vAlign w:val="center"/>
                </w:tcPr>
                <w:p w14:paraId="35A65F0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总磷（以P计）</w:t>
                  </w:r>
                </w:p>
              </w:tc>
              <w:tc>
                <w:tcPr>
                  <w:tcW w:w="1407" w:type="pct"/>
                  <w:tcBorders>
                    <w:tl2br w:val="nil"/>
                    <w:tr2bl w:val="nil"/>
                  </w:tcBorders>
                  <w:vAlign w:val="center"/>
                </w:tcPr>
                <w:p w14:paraId="4A99180A">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w:t>
                  </w:r>
                  <w:r>
                    <w:rPr>
                      <w:rFonts w:hint="eastAsia"/>
                      <w:color w:val="000000" w:themeColor="text1"/>
                      <w:kern w:val="44"/>
                      <w14:textFill>
                        <w14:solidFill>
                          <w14:schemeClr w14:val="tx1"/>
                        </w14:solidFill>
                      </w14:textFill>
                    </w:rPr>
                    <w:t>2</w:t>
                  </w:r>
                </w:p>
              </w:tc>
              <w:tc>
                <w:tcPr>
                  <w:tcW w:w="353" w:type="pct"/>
                  <w:tcBorders>
                    <w:tl2br w:val="nil"/>
                    <w:tr2bl w:val="nil"/>
                  </w:tcBorders>
                  <w:vAlign w:val="center"/>
                </w:tcPr>
                <w:p w14:paraId="6E3C18D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20</w:t>
                  </w:r>
                </w:p>
              </w:tc>
              <w:tc>
                <w:tcPr>
                  <w:tcW w:w="957" w:type="pct"/>
                  <w:tcBorders>
                    <w:tl2br w:val="nil"/>
                    <w:tr2bl w:val="nil"/>
                  </w:tcBorders>
                  <w:vAlign w:val="center"/>
                </w:tcPr>
                <w:p w14:paraId="1290D3F5">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挥发酚</w:t>
                  </w:r>
                </w:p>
              </w:tc>
              <w:tc>
                <w:tcPr>
                  <w:tcW w:w="837" w:type="pct"/>
                  <w:tcBorders>
                    <w:tl2br w:val="nil"/>
                    <w:tr2bl w:val="nil"/>
                  </w:tcBorders>
                  <w:vAlign w:val="center"/>
                </w:tcPr>
                <w:p w14:paraId="59202329">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≤0.0</w:t>
                  </w:r>
                  <w:r>
                    <w:rPr>
                      <w:rFonts w:hint="eastAsia"/>
                      <w:color w:val="000000" w:themeColor="text1"/>
                      <w:kern w:val="44"/>
                      <w14:textFill>
                        <w14:solidFill>
                          <w14:schemeClr w14:val="tx1"/>
                        </w14:solidFill>
                      </w14:textFill>
                    </w:rPr>
                    <w:t>05</w:t>
                  </w:r>
                </w:p>
              </w:tc>
            </w:tr>
            <w:tr w14:paraId="785C63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1798B3A6">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9</w:t>
                  </w:r>
                </w:p>
              </w:tc>
              <w:tc>
                <w:tcPr>
                  <w:tcW w:w="1145" w:type="pct"/>
                  <w:tcBorders>
                    <w:tl2br w:val="nil"/>
                    <w:tr2bl w:val="nil"/>
                  </w:tcBorders>
                  <w:vAlign w:val="center"/>
                </w:tcPr>
                <w:p w14:paraId="58309ADB">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总氮(湖、库，以N计)</w:t>
                  </w:r>
                </w:p>
              </w:tc>
              <w:tc>
                <w:tcPr>
                  <w:tcW w:w="1407" w:type="pct"/>
                  <w:tcBorders>
                    <w:tl2br w:val="nil"/>
                    <w:tr2bl w:val="nil"/>
                  </w:tcBorders>
                  <w:vAlign w:val="center"/>
                </w:tcPr>
                <w:p w14:paraId="5BB19C33">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w:t>
                  </w:r>
                  <w:r>
                    <w:rPr>
                      <w:rFonts w:hint="eastAsia"/>
                      <w:color w:val="000000" w:themeColor="text1"/>
                      <w:kern w:val="44"/>
                      <w14:textFill>
                        <w14:solidFill>
                          <w14:schemeClr w14:val="tx1"/>
                        </w14:solidFill>
                      </w14:textFill>
                    </w:rPr>
                    <w:t>0</w:t>
                  </w:r>
                </w:p>
              </w:tc>
              <w:tc>
                <w:tcPr>
                  <w:tcW w:w="353" w:type="pct"/>
                  <w:tcBorders>
                    <w:tl2br w:val="nil"/>
                    <w:tr2bl w:val="nil"/>
                  </w:tcBorders>
                  <w:vAlign w:val="center"/>
                </w:tcPr>
                <w:p w14:paraId="47C225C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21</w:t>
                  </w:r>
                </w:p>
              </w:tc>
              <w:tc>
                <w:tcPr>
                  <w:tcW w:w="957" w:type="pct"/>
                  <w:tcBorders>
                    <w:tl2br w:val="nil"/>
                    <w:tr2bl w:val="nil"/>
                  </w:tcBorders>
                  <w:vAlign w:val="center"/>
                </w:tcPr>
                <w:p w14:paraId="7E30D1B5">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石油类</w:t>
                  </w:r>
                </w:p>
              </w:tc>
              <w:tc>
                <w:tcPr>
                  <w:tcW w:w="837" w:type="pct"/>
                  <w:tcBorders>
                    <w:tl2br w:val="nil"/>
                    <w:tr2bl w:val="nil"/>
                  </w:tcBorders>
                  <w:vAlign w:val="center"/>
                </w:tcPr>
                <w:p w14:paraId="31E9FB59">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w:t>
                  </w:r>
                  <w:r>
                    <w:rPr>
                      <w:rFonts w:hint="eastAsia"/>
                      <w:color w:val="000000" w:themeColor="text1"/>
                      <w:kern w:val="44"/>
                      <w14:textFill>
                        <w14:solidFill>
                          <w14:schemeClr w14:val="tx1"/>
                        </w14:solidFill>
                      </w14:textFill>
                    </w:rPr>
                    <w:t>05</w:t>
                  </w:r>
                </w:p>
              </w:tc>
            </w:tr>
            <w:tr w14:paraId="2CDE35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0B5165EF">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10</w:t>
                  </w:r>
                </w:p>
              </w:tc>
              <w:tc>
                <w:tcPr>
                  <w:tcW w:w="1145" w:type="pct"/>
                  <w:tcBorders>
                    <w:tl2br w:val="nil"/>
                    <w:tr2bl w:val="nil"/>
                  </w:tcBorders>
                  <w:vAlign w:val="center"/>
                </w:tcPr>
                <w:p w14:paraId="4CC044E2">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铜</w:t>
                  </w:r>
                </w:p>
              </w:tc>
              <w:tc>
                <w:tcPr>
                  <w:tcW w:w="1407" w:type="pct"/>
                  <w:tcBorders>
                    <w:tl2br w:val="nil"/>
                    <w:tr2bl w:val="nil"/>
                  </w:tcBorders>
                  <w:vAlign w:val="center"/>
                </w:tcPr>
                <w:p w14:paraId="071F81C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≤1.0</w:t>
                  </w:r>
                </w:p>
              </w:tc>
              <w:tc>
                <w:tcPr>
                  <w:tcW w:w="353" w:type="pct"/>
                  <w:tcBorders>
                    <w:tl2br w:val="nil"/>
                    <w:tr2bl w:val="nil"/>
                  </w:tcBorders>
                  <w:vAlign w:val="center"/>
                </w:tcPr>
                <w:p w14:paraId="5EC14896">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22</w:t>
                  </w:r>
                </w:p>
              </w:tc>
              <w:tc>
                <w:tcPr>
                  <w:tcW w:w="957" w:type="pct"/>
                  <w:tcBorders>
                    <w:tl2br w:val="nil"/>
                    <w:tr2bl w:val="nil"/>
                  </w:tcBorders>
                  <w:vAlign w:val="center"/>
                </w:tcPr>
                <w:p w14:paraId="380A9848">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阴离子表面活性剂</w:t>
                  </w:r>
                </w:p>
              </w:tc>
              <w:tc>
                <w:tcPr>
                  <w:tcW w:w="837" w:type="pct"/>
                  <w:tcBorders>
                    <w:tl2br w:val="nil"/>
                    <w:tr2bl w:val="nil"/>
                  </w:tcBorders>
                  <w:vAlign w:val="center"/>
                </w:tcPr>
                <w:p w14:paraId="0980CA51">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w:t>
                  </w:r>
                  <w:r>
                    <w:rPr>
                      <w:rFonts w:hint="eastAsia"/>
                      <w:color w:val="000000" w:themeColor="text1"/>
                      <w:kern w:val="44"/>
                      <w14:textFill>
                        <w14:solidFill>
                          <w14:schemeClr w14:val="tx1"/>
                        </w14:solidFill>
                      </w14:textFill>
                    </w:rPr>
                    <w:t>2</w:t>
                  </w:r>
                </w:p>
              </w:tc>
            </w:tr>
            <w:tr w14:paraId="0C03BF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63C3ECE4">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11</w:t>
                  </w:r>
                </w:p>
              </w:tc>
              <w:tc>
                <w:tcPr>
                  <w:tcW w:w="1145" w:type="pct"/>
                  <w:tcBorders>
                    <w:tl2br w:val="nil"/>
                    <w:tr2bl w:val="nil"/>
                  </w:tcBorders>
                  <w:vAlign w:val="center"/>
                </w:tcPr>
                <w:p w14:paraId="6E63CFBA">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锌</w:t>
                  </w:r>
                </w:p>
              </w:tc>
              <w:tc>
                <w:tcPr>
                  <w:tcW w:w="1407" w:type="pct"/>
                  <w:tcBorders>
                    <w:tl2br w:val="nil"/>
                    <w:tr2bl w:val="nil"/>
                  </w:tcBorders>
                  <w:vAlign w:val="center"/>
                </w:tcPr>
                <w:p w14:paraId="0624F7C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1.0</w:t>
                  </w:r>
                </w:p>
              </w:tc>
              <w:tc>
                <w:tcPr>
                  <w:tcW w:w="353" w:type="pct"/>
                  <w:tcBorders>
                    <w:tl2br w:val="nil"/>
                    <w:tr2bl w:val="nil"/>
                  </w:tcBorders>
                  <w:vAlign w:val="center"/>
                </w:tcPr>
                <w:p w14:paraId="5343363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23</w:t>
                  </w:r>
                </w:p>
              </w:tc>
              <w:tc>
                <w:tcPr>
                  <w:tcW w:w="957" w:type="pct"/>
                  <w:tcBorders>
                    <w:tl2br w:val="nil"/>
                    <w:tr2bl w:val="nil"/>
                  </w:tcBorders>
                  <w:vAlign w:val="center"/>
                </w:tcPr>
                <w:p w14:paraId="54846F91">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硫化物</w:t>
                  </w:r>
                </w:p>
              </w:tc>
              <w:tc>
                <w:tcPr>
                  <w:tcW w:w="837" w:type="pct"/>
                  <w:tcBorders>
                    <w:tl2br w:val="nil"/>
                    <w:tr2bl w:val="nil"/>
                  </w:tcBorders>
                  <w:vAlign w:val="center"/>
                </w:tcPr>
                <w:p w14:paraId="77B8EA5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≤0.</w:t>
                  </w:r>
                  <w:r>
                    <w:rPr>
                      <w:rFonts w:hint="eastAsia"/>
                      <w:color w:val="000000" w:themeColor="text1"/>
                      <w:kern w:val="44"/>
                      <w14:textFill>
                        <w14:solidFill>
                          <w14:schemeClr w14:val="tx1"/>
                        </w14:solidFill>
                      </w14:textFill>
                    </w:rPr>
                    <w:t>2</w:t>
                  </w:r>
                </w:p>
              </w:tc>
            </w:tr>
            <w:tr w14:paraId="5359DA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98" w:type="pct"/>
                  <w:tcBorders>
                    <w:tl2br w:val="nil"/>
                    <w:tr2bl w:val="nil"/>
                  </w:tcBorders>
                  <w:vAlign w:val="center"/>
                </w:tcPr>
                <w:p w14:paraId="06DE7F5D">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12</w:t>
                  </w:r>
                </w:p>
              </w:tc>
              <w:tc>
                <w:tcPr>
                  <w:tcW w:w="1145" w:type="pct"/>
                  <w:tcBorders>
                    <w:tl2br w:val="nil"/>
                    <w:tr2bl w:val="nil"/>
                  </w:tcBorders>
                  <w:vAlign w:val="center"/>
                </w:tcPr>
                <w:p w14:paraId="20C8C8E3">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氟化物（以F-计）</w:t>
                  </w:r>
                </w:p>
              </w:tc>
              <w:tc>
                <w:tcPr>
                  <w:tcW w:w="1407" w:type="pct"/>
                  <w:tcBorders>
                    <w:tl2br w:val="nil"/>
                    <w:tr2bl w:val="nil"/>
                  </w:tcBorders>
                  <w:vAlign w:val="center"/>
                </w:tcPr>
                <w:p w14:paraId="51CF657C">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≤1.</w:t>
                  </w:r>
                  <w:r>
                    <w:rPr>
                      <w:rFonts w:hint="eastAsia"/>
                      <w:color w:val="000000" w:themeColor="text1"/>
                      <w:kern w:val="44"/>
                      <w14:textFill>
                        <w14:solidFill>
                          <w14:schemeClr w14:val="tx1"/>
                        </w14:solidFill>
                      </w14:textFill>
                    </w:rPr>
                    <w:t>0</w:t>
                  </w:r>
                </w:p>
              </w:tc>
              <w:tc>
                <w:tcPr>
                  <w:tcW w:w="353" w:type="pct"/>
                  <w:tcBorders>
                    <w:tl2br w:val="nil"/>
                    <w:tr2bl w:val="nil"/>
                  </w:tcBorders>
                  <w:vAlign w:val="center"/>
                </w:tcPr>
                <w:p w14:paraId="1C7528A8">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24</w:t>
                  </w:r>
                </w:p>
              </w:tc>
              <w:tc>
                <w:tcPr>
                  <w:tcW w:w="957" w:type="pct"/>
                  <w:tcBorders>
                    <w:tl2br w:val="nil"/>
                    <w:tr2bl w:val="nil"/>
                  </w:tcBorders>
                  <w:vAlign w:val="center"/>
                </w:tcPr>
                <w:p w14:paraId="55A56A01">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粪大肠菌群（个／L）</w:t>
                  </w:r>
                </w:p>
              </w:tc>
              <w:tc>
                <w:tcPr>
                  <w:tcW w:w="837" w:type="pct"/>
                  <w:tcBorders>
                    <w:tl2br w:val="nil"/>
                    <w:tr2bl w:val="nil"/>
                  </w:tcBorders>
                  <w:vAlign w:val="center"/>
                </w:tcPr>
                <w:p w14:paraId="45E09250">
                  <w:pPr>
                    <w:jc w:val="center"/>
                    <w:rPr>
                      <w:color w:val="000000" w:themeColor="text1"/>
                      <w:kern w:val="44"/>
                      <w14:textFill>
                        <w14:solidFill>
                          <w14:schemeClr w14:val="tx1"/>
                        </w14:solidFill>
                      </w14:textFill>
                    </w:rPr>
                  </w:pPr>
                  <w:r>
                    <w:rPr>
                      <w:color w:val="000000" w:themeColor="text1"/>
                      <w:kern w:val="44"/>
                      <w14:textFill>
                        <w14:solidFill>
                          <w14:schemeClr w14:val="tx1"/>
                        </w14:solidFill>
                      </w14:textFill>
                    </w:rPr>
                    <w:t>≤</w:t>
                  </w:r>
                  <w:r>
                    <w:rPr>
                      <w:rFonts w:hint="eastAsia"/>
                      <w:color w:val="000000" w:themeColor="text1"/>
                      <w:kern w:val="44"/>
                      <w14:textFill>
                        <w14:solidFill>
                          <w14:schemeClr w14:val="tx1"/>
                        </w14:solidFill>
                      </w14:textFill>
                    </w:rPr>
                    <w:t>1</w:t>
                  </w:r>
                  <w:r>
                    <w:rPr>
                      <w:color w:val="000000" w:themeColor="text1"/>
                      <w:kern w:val="44"/>
                      <w14:textFill>
                        <w14:solidFill>
                          <w14:schemeClr w14:val="tx1"/>
                        </w14:solidFill>
                      </w14:textFill>
                    </w:rPr>
                    <w:t>0000</w:t>
                  </w:r>
                </w:p>
              </w:tc>
            </w:tr>
          </w:tbl>
          <w:p w14:paraId="23723C75">
            <w:pPr>
              <w:snapToGrid w:val="0"/>
              <w:spacing w:before="120" w:beforeLines="50" w:line="360" w:lineRule="auto"/>
              <w:rPr>
                <w:b/>
                <w:bCs/>
                <w:sz w:val="24"/>
              </w:rPr>
            </w:pPr>
            <w:r>
              <w:rPr>
                <w:b/>
                <w:bCs/>
                <w:sz w:val="24"/>
              </w:rPr>
              <w:t>3、声环境</w:t>
            </w:r>
          </w:p>
          <w:p w14:paraId="708610F8">
            <w:pPr>
              <w:adjustRightInd w:val="0"/>
              <w:spacing w:line="360" w:lineRule="auto"/>
              <w:ind w:firstLine="480" w:firstLineChars="200"/>
              <w:rPr>
                <w:kern w:val="0"/>
                <w:sz w:val="24"/>
                <w:szCs w:val="18"/>
              </w:rPr>
            </w:pPr>
            <w:r>
              <w:rPr>
                <w:kern w:val="0"/>
                <w:sz w:val="24"/>
                <w:szCs w:val="18"/>
              </w:rPr>
              <w:t>根据现场踏勘，工程</w:t>
            </w:r>
            <w:r>
              <w:rPr>
                <w:sz w:val="24"/>
                <w:lang w:val="zh-CN"/>
              </w:rPr>
              <w:t>沿线主要为农村地区、山区，项目区周边主要分布村庄、农田和乡村道路，声环境质量执行《声环境质量标准》（GB3096-2008）</w:t>
            </w:r>
            <w:r>
              <w:rPr>
                <w:sz w:val="24"/>
              </w:rPr>
              <w:t>1</w:t>
            </w:r>
            <w:r>
              <w:rPr>
                <w:sz w:val="24"/>
                <w:lang w:val="zh-CN"/>
              </w:rPr>
              <w:t>类标准。</w:t>
            </w:r>
            <w:r>
              <w:rPr>
                <w:kern w:val="0"/>
                <w:sz w:val="24"/>
                <w:szCs w:val="18"/>
              </w:rPr>
              <w:t>具体标准限值见下表：</w:t>
            </w:r>
          </w:p>
          <w:p w14:paraId="6245EA56">
            <w:pPr>
              <w:pStyle w:val="2"/>
              <w:adjustRightInd w:val="0"/>
              <w:spacing w:before="0" w:after="0" w:line="240" w:lineRule="auto"/>
              <w:ind w:right="0"/>
              <w:jc w:val="center"/>
              <w:rPr>
                <w:rFonts w:eastAsia="黑体"/>
                <w:bCs/>
                <w:sz w:val="24"/>
                <w:szCs w:val="21"/>
              </w:rPr>
            </w:pPr>
            <w:r>
              <w:rPr>
                <w:rFonts w:eastAsia="黑体"/>
                <w:bCs/>
                <w:sz w:val="24"/>
                <w:szCs w:val="21"/>
              </w:rPr>
              <w:t>表3-11环境噪声限值</w:t>
            </w:r>
          </w:p>
          <w:tbl>
            <w:tblPr>
              <w:tblStyle w:val="4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202"/>
              <w:gridCol w:w="2270"/>
              <w:gridCol w:w="2150"/>
            </w:tblGrid>
            <w:tr w14:paraId="67C89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 w:hRule="atLeast"/>
                <w:jc w:val="center"/>
              </w:trPr>
              <w:tc>
                <w:tcPr>
                  <w:tcW w:w="2100" w:type="pct"/>
                  <w:vMerge w:val="restart"/>
                  <w:tcMar>
                    <w:top w:w="20" w:type="dxa"/>
                    <w:left w:w="20" w:type="dxa"/>
                    <w:bottom w:w="0" w:type="dxa"/>
                    <w:right w:w="20" w:type="dxa"/>
                  </w:tcMar>
                  <w:vAlign w:val="center"/>
                </w:tcPr>
                <w:p w14:paraId="2F3BC2FB">
                  <w:pPr>
                    <w:adjustRightInd w:val="0"/>
                    <w:snapToGrid w:val="0"/>
                    <w:jc w:val="center"/>
                    <w:rPr>
                      <w:b/>
                      <w:kern w:val="0"/>
                    </w:rPr>
                  </w:pPr>
                  <w:r>
                    <w:rPr>
                      <w:b/>
                      <w:kern w:val="0"/>
                    </w:rPr>
                    <w:t>声环境功能区划</w:t>
                  </w:r>
                </w:p>
              </w:tc>
              <w:tc>
                <w:tcPr>
                  <w:tcW w:w="2899" w:type="pct"/>
                  <w:gridSpan w:val="2"/>
                  <w:tcMar>
                    <w:top w:w="20" w:type="dxa"/>
                    <w:left w:w="20" w:type="dxa"/>
                    <w:bottom w:w="0" w:type="dxa"/>
                    <w:right w:w="20" w:type="dxa"/>
                  </w:tcMar>
                  <w:vAlign w:val="center"/>
                </w:tcPr>
                <w:p w14:paraId="22B3D394">
                  <w:pPr>
                    <w:adjustRightInd w:val="0"/>
                    <w:snapToGrid w:val="0"/>
                    <w:jc w:val="center"/>
                    <w:rPr>
                      <w:b/>
                      <w:kern w:val="0"/>
                    </w:rPr>
                  </w:pPr>
                  <w:r>
                    <w:rPr>
                      <w:b/>
                      <w:kern w:val="0"/>
                    </w:rPr>
                    <w:t>等效声级Leq</w:t>
                  </w:r>
                </w:p>
              </w:tc>
            </w:tr>
            <w:tr w14:paraId="5609C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 w:hRule="atLeast"/>
                <w:jc w:val="center"/>
              </w:trPr>
              <w:tc>
                <w:tcPr>
                  <w:tcW w:w="2100" w:type="pct"/>
                  <w:vMerge w:val="continue"/>
                  <w:tcMar>
                    <w:top w:w="20" w:type="dxa"/>
                    <w:left w:w="20" w:type="dxa"/>
                    <w:bottom w:w="0" w:type="dxa"/>
                    <w:right w:w="20" w:type="dxa"/>
                  </w:tcMar>
                  <w:vAlign w:val="center"/>
                </w:tcPr>
                <w:p w14:paraId="156FA98F">
                  <w:pPr>
                    <w:adjustRightInd w:val="0"/>
                    <w:snapToGrid w:val="0"/>
                    <w:jc w:val="center"/>
                    <w:rPr>
                      <w:b/>
                      <w:kern w:val="0"/>
                    </w:rPr>
                  </w:pPr>
                </w:p>
              </w:tc>
              <w:tc>
                <w:tcPr>
                  <w:tcW w:w="1489" w:type="pct"/>
                  <w:tcMar>
                    <w:top w:w="20" w:type="dxa"/>
                    <w:left w:w="20" w:type="dxa"/>
                    <w:bottom w:w="0" w:type="dxa"/>
                    <w:right w:w="20" w:type="dxa"/>
                  </w:tcMar>
                  <w:vAlign w:val="center"/>
                </w:tcPr>
                <w:p w14:paraId="77C88107">
                  <w:pPr>
                    <w:adjustRightInd w:val="0"/>
                    <w:snapToGrid w:val="0"/>
                    <w:jc w:val="center"/>
                    <w:rPr>
                      <w:b/>
                      <w:kern w:val="0"/>
                    </w:rPr>
                  </w:pPr>
                  <w:r>
                    <w:rPr>
                      <w:b/>
                      <w:kern w:val="0"/>
                    </w:rPr>
                    <w:t>昼间</w:t>
                  </w:r>
                </w:p>
              </w:tc>
              <w:tc>
                <w:tcPr>
                  <w:tcW w:w="1409" w:type="pct"/>
                  <w:vAlign w:val="center"/>
                </w:tcPr>
                <w:p w14:paraId="620ADE94">
                  <w:pPr>
                    <w:adjustRightInd w:val="0"/>
                    <w:snapToGrid w:val="0"/>
                    <w:jc w:val="center"/>
                    <w:rPr>
                      <w:b/>
                      <w:kern w:val="0"/>
                    </w:rPr>
                  </w:pPr>
                  <w:r>
                    <w:rPr>
                      <w:b/>
                      <w:kern w:val="0"/>
                    </w:rPr>
                    <w:t>夜间</w:t>
                  </w:r>
                </w:p>
              </w:tc>
            </w:tr>
            <w:tr w14:paraId="6DAD5C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 w:hRule="atLeast"/>
                <w:jc w:val="center"/>
              </w:trPr>
              <w:tc>
                <w:tcPr>
                  <w:tcW w:w="2100" w:type="pct"/>
                  <w:tcMar>
                    <w:top w:w="20" w:type="dxa"/>
                    <w:left w:w="20" w:type="dxa"/>
                    <w:bottom w:w="0" w:type="dxa"/>
                    <w:right w:w="20" w:type="dxa"/>
                  </w:tcMar>
                  <w:vAlign w:val="center"/>
                </w:tcPr>
                <w:p w14:paraId="508334DF">
                  <w:pPr>
                    <w:adjustRightInd w:val="0"/>
                    <w:snapToGrid w:val="0"/>
                    <w:jc w:val="center"/>
                    <w:rPr>
                      <w:kern w:val="0"/>
                    </w:rPr>
                  </w:pPr>
                  <w:r>
                    <w:rPr>
                      <w:kern w:val="0"/>
                    </w:rPr>
                    <w:t>1类</w:t>
                  </w:r>
                </w:p>
              </w:tc>
              <w:tc>
                <w:tcPr>
                  <w:tcW w:w="1489" w:type="pct"/>
                  <w:tcMar>
                    <w:top w:w="20" w:type="dxa"/>
                    <w:left w:w="20" w:type="dxa"/>
                    <w:bottom w:w="0" w:type="dxa"/>
                    <w:right w:w="20" w:type="dxa"/>
                  </w:tcMar>
                  <w:vAlign w:val="center"/>
                </w:tcPr>
                <w:p w14:paraId="549029E6">
                  <w:pPr>
                    <w:adjustRightInd w:val="0"/>
                    <w:snapToGrid w:val="0"/>
                    <w:jc w:val="center"/>
                    <w:rPr>
                      <w:kern w:val="0"/>
                    </w:rPr>
                  </w:pPr>
                  <w:r>
                    <w:rPr>
                      <w:kern w:val="0"/>
                    </w:rPr>
                    <w:t>55</w:t>
                  </w:r>
                </w:p>
              </w:tc>
              <w:tc>
                <w:tcPr>
                  <w:tcW w:w="1409" w:type="pct"/>
                  <w:tcMar>
                    <w:top w:w="20" w:type="dxa"/>
                    <w:left w:w="20" w:type="dxa"/>
                    <w:bottom w:w="0" w:type="dxa"/>
                    <w:right w:w="20" w:type="dxa"/>
                  </w:tcMar>
                  <w:vAlign w:val="center"/>
                </w:tcPr>
                <w:p w14:paraId="39A4430F">
                  <w:pPr>
                    <w:adjustRightInd w:val="0"/>
                    <w:snapToGrid w:val="0"/>
                    <w:jc w:val="center"/>
                    <w:rPr>
                      <w:kern w:val="0"/>
                    </w:rPr>
                  </w:pPr>
                  <w:r>
                    <w:rPr>
                      <w:kern w:val="0"/>
                    </w:rPr>
                    <w:t>45</w:t>
                  </w:r>
                </w:p>
              </w:tc>
            </w:tr>
          </w:tbl>
          <w:p w14:paraId="2EC2BAB3">
            <w:pPr>
              <w:snapToGrid w:val="0"/>
              <w:spacing w:before="120" w:beforeLines="50" w:line="360" w:lineRule="auto"/>
              <w:rPr>
                <w:b/>
                <w:bCs/>
                <w:sz w:val="24"/>
              </w:rPr>
            </w:pPr>
            <w:r>
              <w:rPr>
                <w:b/>
                <w:bCs/>
                <w:sz w:val="24"/>
              </w:rPr>
              <w:t>4、</w:t>
            </w:r>
            <w:r>
              <w:rPr>
                <w:rFonts w:hint="eastAsia"/>
                <w:b/>
                <w:bCs/>
                <w:sz w:val="24"/>
              </w:rPr>
              <w:t>电磁</w:t>
            </w:r>
            <w:r>
              <w:rPr>
                <w:b/>
                <w:bCs/>
                <w:sz w:val="24"/>
              </w:rPr>
              <w:t>环境</w:t>
            </w:r>
          </w:p>
          <w:p w14:paraId="379E4A3F">
            <w:pPr>
              <w:spacing w:line="360" w:lineRule="auto"/>
              <w:ind w:firstLine="480" w:firstLineChars="200"/>
              <w:rPr>
                <w:sz w:val="24"/>
              </w:rPr>
            </w:pPr>
            <w:r>
              <w:rPr>
                <w:sz w:val="24"/>
                <w:lang w:bidi="ar"/>
              </w:rPr>
              <w:t>根据《电磁环境控制限值》（GB 8702-2014）的限值，本项目输电线路的频率为50Hz，根据《电磁环境控制限值》（GB 8702-2014）表1公众暴露控制限值（居民区），0.025kHz～1.2kHz频率范围内，电场强度E（V/m）为200/f，磁感应强度B（μT）为5/f，其中f为频率；本项目的频率为50 Hz（0.05 kHz）。见表3-12。</w:t>
            </w:r>
          </w:p>
          <w:p w14:paraId="4E9327C8">
            <w:pPr>
              <w:pStyle w:val="2"/>
              <w:adjustRightInd w:val="0"/>
              <w:spacing w:before="0" w:after="0" w:line="240" w:lineRule="auto"/>
              <w:ind w:right="0"/>
              <w:jc w:val="center"/>
              <w:rPr>
                <w:rFonts w:eastAsia="黑体"/>
                <w:bCs/>
                <w:sz w:val="24"/>
                <w:szCs w:val="21"/>
              </w:rPr>
            </w:pPr>
            <w:r>
              <w:rPr>
                <w:rFonts w:eastAsia="黑体"/>
                <w:bCs/>
                <w:sz w:val="24"/>
                <w:szCs w:val="21"/>
              </w:rPr>
              <w:t>表3-12电磁环境公众曝露控制限值</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0"/>
              <w:gridCol w:w="2172"/>
              <w:gridCol w:w="2410"/>
            </w:tblGrid>
            <w:tr w14:paraId="2C46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650" w:type="dxa"/>
                  <w:tcBorders>
                    <w:top w:val="single" w:color="auto" w:sz="4" w:space="0"/>
                    <w:left w:val="single" w:color="auto" w:sz="4" w:space="0"/>
                    <w:bottom w:val="single" w:color="auto" w:sz="4" w:space="0"/>
                    <w:right w:val="single" w:color="auto" w:sz="4" w:space="0"/>
                  </w:tcBorders>
                  <w:vAlign w:val="center"/>
                </w:tcPr>
                <w:p w14:paraId="7E69F5C6">
                  <w:pPr>
                    <w:jc w:val="center"/>
                  </w:pPr>
                  <w:r>
                    <w:rPr>
                      <w:lang w:bidi="ar"/>
                    </w:rPr>
                    <w:t>频率范围</w:t>
                  </w:r>
                </w:p>
              </w:tc>
              <w:tc>
                <w:tcPr>
                  <w:tcW w:w="2172" w:type="dxa"/>
                  <w:tcBorders>
                    <w:top w:val="single" w:color="auto" w:sz="4" w:space="0"/>
                    <w:left w:val="single" w:color="auto" w:sz="4" w:space="0"/>
                    <w:bottom w:val="single" w:color="auto" w:sz="4" w:space="0"/>
                    <w:right w:val="single" w:color="auto" w:sz="4" w:space="0"/>
                  </w:tcBorders>
                  <w:vAlign w:val="center"/>
                </w:tcPr>
                <w:p w14:paraId="4206B021">
                  <w:pPr>
                    <w:jc w:val="center"/>
                  </w:pPr>
                  <w:r>
                    <w:rPr>
                      <w:lang w:bidi="ar"/>
                    </w:rPr>
                    <w:t>电场强度E（V/m）</w:t>
                  </w:r>
                </w:p>
              </w:tc>
              <w:tc>
                <w:tcPr>
                  <w:tcW w:w="2410" w:type="dxa"/>
                  <w:tcBorders>
                    <w:top w:val="single" w:color="auto" w:sz="4" w:space="0"/>
                    <w:left w:val="single" w:color="auto" w:sz="4" w:space="0"/>
                    <w:bottom w:val="single" w:color="auto" w:sz="4" w:space="0"/>
                    <w:right w:val="single" w:color="auto" w:sz="4" w:space="0"/>
                  </w:tcBorders>
                  <w:vAlign w:val="center"/>
                </w:tcPr>
                <w:p w14:paraId="159FBDEE">
                  <w:pPr>
                    <w:jc w:val="center"/>
                  </w:pPr>
                  <w:r>
                    <w:rPr>
                      <w:lang w:bidi="ar"/>
                    </w:rPr>
                    <w:t>磁感应强度B（</w:t>
                  </w:r>
                  <w:r>
                    <w:rPr>
                      <w:spacing w:val="-20"/>
                      <w:lang w:bidi="ar"/>
                    </w:rPr>
                    <w:t>μT</w:t>
                  </w:r>
                  <w:r>
                    <w:rPr>
                      <w:lang w:bidi="ar"/>
                    </w:rPr>
                    <w:t>）</w:t>
                  </w:r>
                </w:p>
              </w:tc>
            </w:tr>
            <w:tr w14:paraId="1973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2650" w:type="dxa"/>
                  <w:tcBorders>
                    <w:top w:val="single" w:color="auto" w:sz="4" w:space="0"/>
                    <w:left w:val="single" w:color="auto" w:sz="4" w:space="0"/>
                    <w:bottom w:val="single" w:color="auto" w:sz="4" w:space="0"/>
                    <w:right w:val="single" w:color="auto" w:sz="4" w:space="0"/>
                  </w:tcBorders>
                  <w:vAlign w:val="center"/>
                </w:tcPr>
                <w:p w14:paraId="14CA1F45">
                  <w:pPr>
                    <w:jc w:val="center"/>
                  </w:pPr>
                  <w:r>
                    <w:rPr>
                      <w:lang w:bidi="ar"/>
                    </w:rPr>
                    <w:t>0.025kHz~1.2kHz</w:t>
                  </w:r>
                </w:p>
              </w:tc>
              <w:tc>
                <w:tcPr>
                  <w:tcW w:w="2172" w:type="dxa"/>
                  <w:tcBorders>
                    <w:top w:val="single" w:color="auto" w:sz="4" w:space="0"/>
                    <w:left w:val="single" w:color="auto" w:sz="4" w:space="0"/>
                    <w:bottom w:val="single" w:color="auto" w:sz="4" w:space="0"/>
                    <w:right w:val="single" w:color="auto" w:sz="4" w:space="0"/>
                  </w:tcBorders>
                  <w:vAlign w:val="center"/>
                </w:tcPr>
                <w:p w14:paraId="291E4C6C">
                  <w:pPr>
                    <w:jc w:val="center"/>
                  </w:pPr>
                  <w:r>
                    <w:rPr>
                      <w:lang w:bidi="ar"/>
                    </w:rPr>
                    <w:t>200/f</w:t>
                  </w:r>
                </w:p>
              </w:tc>
              <w:tc>
                <w:tcPr>
                  <w:tcW w:w="2410" w:type="dxa"/>
                  <w:tcBorders>
                    <w:top w:val="single" w:color="auto" w:sz="4" w:space="0"/>
                    <w:left w:val="single" w:color="auto" w:sz="4" w:space="0"/>
                    <w:bottom w:val="single" w:color="auto" w:sz="4" w:space="0"/>
                    <w:right w:val="single" w:color="auto" w:sz="4" w:space="0"/>
                  </w:tcBorders>
                  <w:vAlign w:val="center"/>
                </w:tcPr>
                <w:p w14:paraId="0A66811D">
                  <w:pPr>
                    <w:jc w:val="center"/>
                  </w:pPr>
                  <w:r>
                    <w:rPr>
                      <w:lang w:bidi="ar"/>
                    </w:rPr>
                    <w:t>5/f</w:t>
                  </w:r>
                </w:p>
              </w:tc>
            </w:tr>
            <w:tr w14:paraId="25C9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650" w:type="dxa"/>
                  <w:tcBorders>
                    <w:top w:val="single" w:color="auto" w:sz="4" w:space="0"/>
                    <w:left w:val="single" w:color="auto" w:sz="4" w:space="0"/>
                    <w:bottom w:val="single" w:color="auto" w:sz="4" w:space="0"/>
                    <w:right w:val="single" w:color="auto" w:sz="4" w:space="0"/>
                  </w:tcBorders>
                  <w:vAlign w:val="center"/>
                </w:tcPr>
                <w:p w14:paraId="0C71A447">
                  <w:pPr>
                    <w:jc w:val="center"/>
                  </w:pPr>
                  <w:r>
                    <w:rPr>
                      <w:lang w:bidi="ar"/>
                    </w:rPr>
                    <w:t>工作频率（0.05kHz）</w:t>
                  </w:r>
                </w:p>
              </w:tc>
              <w:tc>
                <w:tcPr>
                  <w:tcW w:w="2172" w:type="dxa"/>
                  <w:tcBorders>
                    <w:top w:val="single" w:color="auto" w:sz="4" w:space="0"/>
                    <w:left w:val="single" w:color="auto" w:sz="4" w:space="0"/>
                    <w:bottom w:val="single" w:color="auto" w:sz="4" w:space="0"/>
                    <w:right w:val="single" w:color="auto" w:sz="4" w:space="0"/>
                  </w:tcBorders>
                  <w:vAlign w:val="center"/>
                </w:tcPr>
                <w:p w14:paraId="7EB7EBA4">
                  <w:pPr>
                    <w:jc w:val="center"/>
                  </w:pPr>
                  <w:r>
                    <w:rPr>
                      <w:lang w:bidi="ar"/>
                    </w:rPr>
                    <w:t>4000V/m（4kV/m）</w:t>
                  </w:r>
                </w:p>
              </w:tc>
              <w:tc>
                <w:tcPr>
                  <w:tcW w:w="2410" w:type="dxa"/>
                  <w:tcBorders>
                    <w:top w:val="single" w:color="auto" w:sz="4" w:space="0"/>
                    <w:left w:val="single" w:color="auto" w:sz="4" w:space="0"/>
                    <w:bottom w:val="single" w:color="auto" w:sz="4" w:space="0"/>
                    <w:right w:val="single" w:color="auto" w:sz="4" w:space="0"/>
                  </w:tcBorders>
                  <w:vAlign w:val="center"/>
                </w:tcPr>
                <w:p w14:paraId="70D7E717">
                  <w:pPr>
                    <w:jc w:val="center"/>
                  </w:pPr>
                  <w:r>
                    <w:rPr>
                      <w:lang w:bidi="ar"/>
                    </w:rPr>
                    <w:t>100μT（0.1mT）</w:t>
                  </w:r>
                </w:p>
              </w:tc>
            </w:tr>
            <w:tr w14:paraId="07DF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7232" w:type="dxa"/>
                  <w:gridSpan w:val="3"/>
                  <w:tcBorders>
                    <w:top w:val="single" w:color="auto" w:sz="4" w:space="0"/>
                    <w:left w:val="single" w:color="auto" w:sz="4" w:space="0"/>
                    <w:bottom w:val="single" w:color="auto" w:sz="4" w:space="0"/>
                    <w:right w:val="single" w:color="auto" w:sz="4" w:space="0"/>
                  </w:tcBorders>
                  <w:vAlign w:val="center"/>
                </w:tcPr>
                <w:p w14:paraId="35F22CE8">
                  <w:pPr>
                    <w:jc w:val="left"/>
                  </w:pPr>
                  <w:r>
                    <w:rPr>
                      <w:lang w:bidi="ar"/>
                    </w:rPr>
                    <w:t>注：1、频率f的取值为0.05kHz。</w:t>
                  </w:r>
                </w:p>
                <w:p w14:paraId="26B1A3A3">
                  <w:pPr>
                    <w:ind w:firstLine="420" w:firstLineChars="200"/>
                    <w:jc w:val="left"/>
                  </w:pPr>
                  <w:r>
                    <w:rPr>
                      <w:lang w:bidi="ar"/>
                    </w:rPr>
                    <w:t>2、架空输电线路线下的耕地、园地、牧草地、畜禽饲养地、养殖水面、道路等场所，其频率50Hz的电场强度控制限值为10kV/m，且应给出警示和防护指示标志。</w:t>
                  </w:r>
                </w:p>
              </w:tc>
            </w:tr>
          </w:tbl>
          <w:p w14:paraId="231EFA54">
            <w:pPr>
              <w:spacing w:line="360" w:lineRule="auto"/>
              <w:ind w:firstLine="480" w:firstLineChars="200"/>
              <w:rPr>
                <w:sz w:val="24"/>
              </w:rPr>
            </w:pPr>
            <w:r>
              <w:rPr>
                <w:sz w:val="24"/>
                <w:lang w:bidi="ar"/>
              </w:rPr>
              <w:t>本项目工频电场、工频磁场执行标准如下：</w:t>
            </w:r>
          </w:p>
          <w:p w14:paraId="76763FF4">
            <w:pPr>
              <w:spacing w:line="360" w:lineRule="auto"/>
              <w:ind w:firstLine="480" w:firstLineChars="200"/>
              <w:rPr>
                <w:sz w:val="24"/>
              </w:rPr>
            </w:pPr>
            <w:r>
              <w:rPr>
                <w:sz w:val="24"/>
                <w:lang w:bidi="ar"/>
              </w:rPr>
              <w:t>①工频电场强度限值</w:t>
            </w:r>
          </w:p>
          <w:p w14:paraId="318072DF">
            <w:pPr>
              <w:spacing w:line="360" w:lineRule="auto"/>
              <w:ind w:firstLine="480" w:firstLineChars="200"/>
              <w:rPr>
                <w:sz w:val="24"/>
                <w:lang w:bidi="ar"/>
              </w:rPr>
            </w:pPr>
            <w:r>
              <w:rPr>
                <w:sz w:val="24"/>
                <w:lang w:bidi="ar"/>
              </w:rPr>
              <w:t>以4000V/m作为工频电场强度公众曝露控制限值。</w:t>
            </w:r>
          </w:p>
          <w:p w14:paraId="27C398F9">
            <w:pPr>
              <w:spacing w:line="360" w:lineRule="auto"/>
              <w:ind w:firstLine="480" w:firstLineChars="200"/>
              <w:rPr>
                <w:sz w:val="24"/>
              </w:rPr>
            </w:pPr>
            <w:r>
              <w:rPr>
                <w:sz w:val="24"/>
              </w:rPr>
              <w:t>架空输电线路线下的耕地、园地、牧草地、道路等场所，其频率50Hz的电场强度控制限值为10kV/m，且应给出警示和防护指示标志。</w:t>
            </w:r>
          </w:p>
          <w:p w14:paraId="15D058A2">
            <w:pPr>
              <w:spacing w:line="360" w:lineRule="auto"/>
              <w:ind w:firstLine="480" w:firstLineChars="200"/>
              <w:rPr>
                <w:sz w:val="24"/>
              </w:rPr>
            </w:pPr>
            <w:r>
              <w:rPr>
                <w:sz w:val="24"/>
                <w:lang w:bidi="ar"/>
              </w:rPr>
              <w:t>②工频磁感应强度限值</w:t>
            </w:r>
          </w:p>
          <w:p w14:paraId="54871433">
            <w:pPr>
              <w:pStyle w:val="190"/>
              <w:ind w:firstLine="496" w:firstLineChars="200"/>
              <w:rPr>
                <w:lang w:val="en-US"/>
              </w:rPr>
            </w:pPr>
            <w:r>
              <w:rPr>
                <w:sz w:val="24"/>
                <w:lang w:bidi="ar"/>
              </w:rPr>
              <w:t>以100μT作为工频磁感应强度公众曝露控制限值。</w:t>
            </w:r>
          </w:p>
          <w:p w14:paraId="5D1ECA75">
            <w:pPr>
              <w:numPr>
                <w:ilvl w:val="0"/>
                <w:numId w:val="3"/>
              </w:numPr>
              <w:adjustRightInd w:val="0"/>
              <w:snapToGrid w:val="0"/>
              <w:spacing w:line="360" w:lineRule="auto"/>
              <w:rPr>
                <w:rFonts w:eastAsia="黑体"/>
                <w:kern w:val="0"/>
                <w:sz w:val="24"/>
              </w:rPr>
            </w:pPr>
            <w:r>
              <w:rPr>
                <w:rFonts w:eastAsia="黑体"/>
                <w:kern w:val="0"/>
                <w:sz w:val="24"/>
              </w:rPr>
              <w:t>污染物排放标准</w:t>
            </w:r>
          </w:p>
          <w:p w14:paraId="0149D3DB">
            <w:pPr>
              <w:numPr>
                <w:ilvl w:val="0"/>
                <w:numId w:val="4"/>
              </w:numPr>
              <w:adjustRightInd w:val="0"/>
              <w:snapToGrid w:val="0"/>
              <w:spacing w:line="360" w:lineRule="auto"/>
              <w:rPr>
                <w:b/>
                <w:bCs/>
                <w:sz w:val="24"/>
              </w:rPr>
            </w:pPr>
            <w:r>
              <w:rPr>
                <w:b/>
                <w:bCs/>
                <w:sz w:val="24"/>
              </w:rPr>
              <w:t>大气污染物排放标准</w:t>
            </w:r>
          </w:p>
          <w:p w14:paraId="08513AE0">
            <w:pPr>
              <w:pStyle w:val="189"/>
              <w:ind w:left="0" w:right="0" w:firstLine="480"/>
              <w:jc w:val="both"/>
              <w:rPr>
                <w:sz w:val="24"/>
              </w:rPr>
            </w:pPr>
            <w:r>
              <w:rPr>
                <w:sz w:val="24"/>
              </w:rPr>
              <w:t>施工期扬尘为无组织排放，执行《大气污染物综合排放标准》（GB16297-1996）中无组织排放颗粒物小于等于1.0mg/m</w:t>
            </w:r>
            <w:r>
              <w:rPr>
                <w:sz w:val="24"/>
                <w:vertAlign w:val="superscript"/>
              </w:rPr>
              <w:t>3</w:t>
            </w:r>
            <w:r>
              <w:rPr>
                <w:sz w:val="24"/>
              </w:rPr>
              <w:t>。</w:t>
            </w:r>
          </w:p>
          <w:p w14:paraId="2F4C4D56">
            <w:pPr>
              <w:pStyle w:val="190"/>
              <w:numPr>
                <w:ilvl w:val="0"/>
                <w:numId w:val="4"/>
              </w:numPr>
              <w:ind w:firstLine="0"/>
              <w:rPr>
                <w:b/>
                <w:bCs/>
                <w:sz w:val="24"/>
                <w:lang w:val="en-US"/>
              </w:rPr>
            </w:pPr>
            <w:r>
              <w:rPr>
                <w:b/>
                <w:bCs/>
                <w:sz w:val="24"/>
                <w:lang w:val="en-US"/>
              </w:rPr>
              <w:t>污水排放标准</w:t>
            </w:r>
          </w:p>
          <w:p w14:paraId="1D3FB6CC">
            <w:pPr>
              <w:spacing w:line="360" w:lineRule="auto"/>
              <w:ind w:firstLine="480" w:firstLineChars="200"/>
              <w:rPr>
                <w:sz w:val="24"/>
              </w:rPr>
            </w:pPr>
            <w:r>
              <w:rPr>
                <w:sz w:val="24"/>
              </w:rPr>
              <w:t>施工期施工废水经沉沙池处理后回用于施工作业，不外排；项目运营期不产生废水</w:t>
            </w:r>
            <w:r>
              <w:rPr>
                <w:rFonts w:hint="eastAsia"/>
                <w:sz w:val="24"/>
              </w:rPr>
              <w:t>。</w:t>
            </w:r>
            <w:r>
              <w:rPr>
                <w:sz w:val="24"/>
              </w:rPr>
              <w:t>因此，项目废水不外排，不设废水排放标准。</w:t>
            </w:r>
          </w:p>
          <w:p w14:paraId="30546413">
            <w:pPr>
              <w:pStyle w:val="190"/>
              <w:numPr>
                <w:ilvl w:val="0"/>
                <w:numId w:val="4"/>
              </w:numPr>
              <w:ind w:firstLine="0"/>
              <w:rPr>
                <w:b/>
                <w:bCs/>
                <w:sz w:val="24"/>
                <w:lang w:val="en-US"/>
              </w:rPr>
            </w:pPr>
            <w:r>
              <w:rPr>
                <w:b/>
                <w:bCs/>
                <w:sz w:val="24"/>
                <w:lang w:val="en-US"/>
              </w:rPr>
              <w:t>噪声排放标准</w:t>
            </w:r>
          </w:p>
          <w:p w14:paraId="0783F49A">
            <w:pPr>
              <w:spacing w:line="360" w:lineRule="auto"/>
              <w:ind w:firstLine="480" w:firstLineChars="200"/>
              <w:rPr>
                <w:sz w:val="24"/>
              </w:rPr>
            </w:pPr>
            <w:r>
              <w:rPr>
                <w:rFonts w:hint="eastAsia"/>
                <w:sz w:val="24"/>
              </w:rPr>
              <w:t>（1）施工期</w:t>
            </w:r>
          </w:p>
          <w:p w14:paraId="308FF253">
            <w:pPr>
              <w:spacing w:line="360" w:lineRule="auto"/>
              <w:ind w:firstLine="480" w:firstLineChars="200"/>
              <w:rPr>
                <w:sz w:val="24"/>
              </w:rPr>
            </w:pPr>
            <w:r>
              <w:rPr>
                <w:sz w:val="24"/>
              </w:rPr>
              <w:t>施工期噪声执行</w:t>
            </w:r>
            <w:r>
              <w:rPr>
                <w:rFonts w:hint="eastAsia"/>
                <w:color w:val="000000" w:themeColor="text1"/>
                <w:sz w:val="24"/>
                <w14:textFill>
                  <w14:solidFill>
                    <w14:schemeClr w14:val="tx1"/>
                  </w14:solidFill>
                </w14:textFill>
              </w:rPr>
              <w:t>《建筑施工噪声排放标准》（</w:t>
            </w:r>
            <w:r>
              <w:rPr>
                <w:color w:val="000000" w:themeColor="text1"/>
                <w:sz w:val="24"/>
                <w14:textFill>
                  <w14:solidFill>
                    <w14:schemeClr w14:val="tx1"/>
                  </w14:solidFill>
                </w14:textFill>
              </w:rPr>
              <w:t>GB 12523-2025</w:t>
            </w:r>
            <w:r>
              <w:rPr>
                <w:rFonts w:hint="eastAsia"/>
                <w:color w:val="000000" w:themeColor="text1"/>
                <w:sz w:val="24"/>
                <w14:textFill>
                  <w14:solidFill>
                    <w14:schemeClr w14:val="tx1"/>
                  </w14:solidFill>
                </w14:textFill>
              </w:rPr>
              <w:t>）</w:t>
            </w:r>
            <w:r>
              <w:rPr>
                <w:sz w:val="24"/>
              </w:rPr>
              <w:t>，见表3-13。</w:t>
            </w:r>
          </w:p>
          <w:p w14:paraId="1D502BF0">
            <w:pPr>
              <w:pStyle w:val="2"/>
              <w:adjustRightInd w:val="0"/>
              <w:spacing w:before="0" w:after="0" w:line="240" w:lineRule="auto"/>
              <w:ind w:right="0"/>
              <w:jc w:val="center"/>
              <w:rPr>
                <w:rFonts w:eastAsia="黑体"/>
                <w:bCs/>
                <w:sz w:val="24"/>
                <w:szCs w:val="21"/>
              </w:rPr>
            </w:pPr>
            <w:r>
              <w:rPr>
                <w:rFonts w:eastAsia="黑体"/>
                <w:bCs/>
                <w:sz w:val="24"/>
                <w:szCs w:val="21"/>
              </w:rPr>
              <w:t>表3-13建筑施工噪声排放</w:t>
            </w:r>
            <w:r>
              <w:rPr>
                <w:rFonts w:hint="eastAsia" w:eastAsia="黑体"/>
                <w:bCs/>
                <w:sz w:val="24"/>
                <w:szCs w:val="21"/>
              </w:rPr>
              <w:t xml:space="preserve">标准 </w:t>
            </w:r>
            <w:r>
              <w:rPr>
                <w:rFonts w:eastAsia="黑体"/>
                <w:bCs/>
                <w:sz w:val="24"/>
                <w:szCs w:val="21"/>
              </w:rPr>
              <w:t xml:space="preserve"> 单位：dB（A）</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7"/>
              <w:gridCol w:w="3818"/>
            </w:tblGrid>
            <w:tr w14:paraId="0220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2"/>
                  <w:vAlign w:val="center"/>
                </w:tcPr>
                <w:p w14:paraId="27B266DA">
                  <w:pPr>
                    <w:ind w:left="-63" w:leftChars="-30" w:right="-63" w:rightChars="-30"/>
                    <w:jc w:val="center"/>
                    <w:rPr>
                      <w:bCs/>
                    </w:rPr>
                  </w:pPr>
                  <w:r>
                    <w:rPr>
                      <w:bCs/>
                    </w:rPr>
                    <w:t>噪声限值dB(A)</w:t>
                  </w:r>
                </w:p>
              </w:tc>
            </w:tr>
            <w:tr w14:paraId="547D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00" w:type="pct"/>
                  <w:vAlign w:val="center"/>
                </w:tcPr>
                <w:p w14:paraId="312B01C4">
                  <w:pPr>
                    <w:ind w:left="-63" w:leftChars="-30" w:right="-63" w:rightChars="-30"/>
                    <w:jc w:val="center"/>
                    <w:rPr>
                      <w:bCs/>
                    </w:rPr>
                  </w:pPr>
                  <w:r>
                    <w:rPr>
                      <w:bCs/>
                    </w:rPr>
                    <w:t>昼间</w:t>
                  </w:r>
                </w:p>
              </w:tc>
              <w:tc>
                <w:tcPr>
                  <w:tcW w:w="2500" w:type="pct"/>
                  <w:vAlign w:val="center"/>
                </w:tcPr>
                <w:p w14:paraId="59EF82E6">
                  <w:pPr>
                    <w:ind w:left="-63" w:leftChars="-30" w:right="-63" w:rightChars="-30"/>
                    <w:jc w:val="center"/>
                    <w:rPr>
                      <w:bCs/>
                    </w:rPr>
                  </w:pPr>
                  <w:r>
                    <w:rPr>
                      <w:bCs/>
                    </w:rPr>
                    <w:t>夜间</w:t>
                  </w:r>
                </w:p>
              </w:tc>
            </w:tr>
            <w:tr w14:paraId="6106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00" w:type="pct"/>
                  <w:vAlign w:val="center"/>
                </w:tcPr>
                <w:p w14:paraId="721843B4">
                  <w:pPr>
                    <w:ind w:left="-63" w:leftChars="-30" w:right="-63" w:rightChars="-30"/>
                    <w:jc w:val="center"/>
                    <w:rPr>
                      <w:bCs/>
                    </w:rPr>
                  </w:pPr>
                  <w:r>
                    <w:rPr>
                      <w:bCs/>
                    </w:rPr>
                    <w:t>70</w:t>
                  </w:r>
                </w:p>
              </w:tc>
              <w:tc>
                <w:tcPr>
                  <w:tcW w:w="2500" w:type="pct"/>
                  <w:vAlign w:val="center"/>
                </w:tcPr>
                <w:p w14:paraId="27EA4282">
                  <w:pPr>
                    <w:ind w:left="-63" w:leftChars="-30" w:right="-63" w:rightChars="-30"/>
                    <w:jc w:val="center"/>
                    <w:rPr>
                      <w:bCs/>
                    </w:rPr>
                  </w:pPr>
                  <w:r>
                    <w:rPr>
                      <w:bCs/>
                    </w:rPr>
                    <w:t>55</w:t>
                  </w:r>
                </w:p>
              </w:tc>
            </w:tr>
          </w:tbl>
          <w:p w14:paraId="6144F0A5">
            <w:pPr>
              <w:spacing w:line="360" w:lineRule="auto"/>
              <w:ind w:firstLine="480" w:firstLineChars="200"/>
              <w:rPr>
                <w:sz w:val="24"/>
              </w:rPr>
            </w:pPr>
            <w:r>
              <w:rPr>
                <w:rFonts w:hint="eastAsia"/>
                <w:sz w:val="24"/>
              </w:rPr>
              <w:t>夜间场界噪声最大声级超过上表限值的幅度不得高于 15 dB（A）。</w:t>
            </w:r>
          </w:p>
          <w:p w14:paraId="343C4974">
            <w:pPr>
              <w:spacing w:line="360" w:lineRule="auto"/>
              <w:ind w:firstLine="480" w:firstLineChars="200"/>
              <w:rPr>
                <w:sz w:val="24"/>
              </w:rPr>
            </w:pPr>
            <w:r>
              <w:rPr>
                <w:rFonts w:hint="eastAsia"/>
                <w:sz w:val="24"/>
              </w:rPr>
              <w:t>（2）运行期</w:t>
            </w:r>
          </w:p>
          <w:p w14:paraId="69D1C0E7">
            <w:pPr>
              <w:spacing w:line="360" w:lineRule="auto"/>
              <w:ind w:firstLine="480" w:firstLineChars="200"/>
              <w:rPr>
                <w:sz w:val="24"/>
              </w:rPr>
            </w:pPr>
            <w:r>
              <w:rPr>
                <w:rFonts w:hint="eastAsia"/>
                <w:sz w:val="24"/>
              </w:rPr>
              <w:t>输电线路无排放标准，运营期相应区域噪声应满足声环境质量标准。项目位于曲靖市富源县营上镇，根据《声环境功能区划分技术规范》（GB/T15190-2014），本项目所在区域属于1类声环境功能区。声环境质量执行《声环境质量标准》（GB3096-2008）的1类标准，标准限值详见下表。</w:t>
            </w:r>
          </w:p>
          <w:p w14:paraId="4799B880">
            <w:pPr>
              <w:pStyle w:val="2"/>
              <w:adjustRightInd w:val="0"/>
              <w:spacing w:before="0" w:after="0" w:line="240" w:lineRule="auto"/>
              <w:ind w:right="0"/>
              <w:jc w:val="center"/>
              <w:rPr>
                <w:rFonts w:eastAsia="黑体"/>
                <w:bCs/>
                <w:sz w:val="24"/>
                <w:szCs w:val="21"/>
              </w:rPr>
            </w:pPr>
            <w:r>
              <w:rPr>
                <w:rFonts w:eastAsia="黑体"/>
                <w:bCs/>
                <w:sz w:val="24"/>
                <w:szCs w:val="21"/>
              </w:rPr>
              <w:t>表3-14</w:t>
            </w:r>
            <w:r>
              <w:rPr>
                <w:rFonts w:hint="eastAsia" w:eastAsia="黑体"/>
                <w:bCs/>
                <w:sz w:val="24"/>
                <w:szCs w:val="21"/>
              </w:rPr>
              <w:t xml:space="preserve">声环境质量标准 </w:t>
            </w:r>
            <w:r>
              <w:rPr>
                <w:rFonts w:eastAsia="黑体"/>
                <w:bCs/>
                <w:sz w:val="24"/>
                <w:szCs w:val="21"/>
              </w:rPr>
              <w:t xml:space="preserve">  </w:t>
            </w:r>
            <w:r>
              <w:rPr>
                <w:rFonts w:hint="eastAsia" w:eastAsia="黑体"/>
                <w:bCs/>
                <w:sz w:val="24"/>
                <w:szCs w:val="21"/>
              </w:rPr>
              <w:t xml:space="preserve">单位：dB（A） </w:t>
            </w:r>
          </w:p>
          <w:tbl>
            <w:tblPr>
              <w:tblStyle w:val="4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8"/>
              <w:gridCol w:w="2419"/>
              <w:gridCol w:w="2726"/>
            </w:tblGrid>
            <w:tr w14:paraId="0B30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30" w:type="pct"/>
                  <w:tcBorders>
                    <w:top w:val="single" w:color="auto" w:sz="4" w:space="0"/>
                    <w:left w:val="single" w:color="auto" w:sz="4" w:space="0"/>
                    <w:bottom w:val="single" w:color="auto" w:sz="4" w:space="0"/>
                    <w:right w:val="single" w:color="auto" w:sz="4" w:space="0"/>
                  </w:tcBorders>
                  <w:vAlign w:val="center"/>
                </w:tcPr>
                <w:p w14:paraId="6F47DFB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类别</w:t>
                  </w:r>
                </w:p>
              </w:tc>
              <w:tc>
                <w:tcPr>
                  <w:tcW w:w="1584" w:type="pct"/>
                  <w:tcBorders>
                    <w:top w:val="single" w:color="auto" w:sz="4" w:space="0"/>
                    <w:left w:val="single" w:color="auto" w:sz="4" w:space="0"/>
                    <w:bottom w:val="single" w:color="auto" w:sz="4" w:space="0"/>
                    <w:right w:val="single" w:color="auto" w:sz="4" w:space="0"/>
                  </w:tcBorders>
                  <w:vAlign w:val="center"/>
                </w:tcPr>
                <w:p w14:paraId="335F3C5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昼间</w:t>
                  </w:r>
                </w:p>
              </w:tc>
              <w:tc>
                <w:tcPr>
                  <w:tcW w:w="1785" w:type="pct"/>
                  <w:tcBorders>
                    <w:top w:val="single" w:color="auto" w:sz="4" w:space="0"/>
                    <w:left w:val="single" w:color="auto" w:sz="4" w:space="0"/>
                    <w:bottom w:val="single" w:color="auto" w:sz="4" w:space="0"/>
                    <w:right w:val="single" w:color="auto" w:sz="4" w:space="0"/>
                  </w:tcBorders>
                  <w:vAlign w:val="center"/>
                </w:tcPr>
                <w:p w14:paraId="67999D3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夜间</w:t>
                  </w:r>
                </w:p>
              </w:tc>
            </w:tr>
            <w:tr w14:paraId="7BDF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1630" w:type="pct"/>
                  <w:tcBorders>
                    <w:top w:val="single" w:color="auto" w:sz="4" w:space="0"/>
                    <w:left w:val="single" w:color="auto" w:sz="4" w:space="0"/>
                    <w:bottom w:val="single" w:color="auto" w:sz="4" w:space="0"/>
                    <w:right w:val="single" w:color="auto" w:sz="4" w:space="0"/>
                  </w:tcBorders>
                  <w:vAlign w:val="center"/>
                </w:tcPr>
                <w:p w14:paraId="6B2B8F8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1类</w:t>
                  </w:r>
                </w:p>
              </w:tc>
              <w:tc>
                <w:tcPr>
                  <w:tcW w:w="1584" w:type="pct"/>
                  <w:tcBorders>
                    <w:top w:val="single" w:color="auto" w:sz="4" w:space="0"/>
                    <w:left w:val="single" w:color="auto" w:sz="4" w:space="0"/>
                    <w:bottom w:val="single" w:color="auto" w:sz="4" w:space="0"/>
                    <w:right w:val="single" w:color="auto" w:sz="4" w:space="0"/>
                  </w:tcBorders>
                  <w:vAlign w:val="center"/>
                </w:tcPr>
                <w:p w14:paraId="012F12B5">
                  <w:pPr>
                    <w:jc w:val="center"/>
                    <w:rPr>
                      <w:color w:val="000000" w:themeColor="text1"/>
                      <w14:textFill>
                        <w14:solidFill>
                          <w14:schemeClr w14:val="tx1"/>
                        </w14:solidFill>
                      </w14:textFill>
                    </w:rPr>
                  </w:pPr>
                  <w:r>
                    <w:rPr>
                      <w:color w:val="000000" w:themeColor="text1"/>
                      <w14:textFill>
                        <w14:solidFill>
                          <w14:schemeClr w14:val="tx1"/>
                        </w14:solidFill>
                      </w14:textFill>
                    </w:rPr>
                    <w:t>55</w:t>
                  </w:r>
                </w:p>
              </w:tc>
              <w:tc>
                <w:tcPr>
                  <w:tcW w:w="1785" w:type="pct"/>
                  <w:tcBorders>
                    <w:top w:val="single" w:color="auto" w:sz="4" w:space="0"/>
                    <w:left w:val="single" w:color="auto" w:sz="4" w:space="0"/>
                    <w:bottom w:val="single" w:color="auto" w:sz="4" w:space="0"/>
                    <w:right w:val="single" w:color="auto" w:sz="4" w:space="0"/>
                  </w:tcBorders>
                  <w:vAlign w:val="center"/>
                </w:tcPr>
                <w:p w14:paraId="05ED4E3F">
                  <w:pPr>
                    <w:jc w:val="center"/>
                    <w:rPr>
                      <w:color w:val="000000" w:themeColor="text1"/>
                      <w14:textFill>
                        <w14:solidFill>
                          <w14:schemeClr w14:val="tx1"/>
                        </w14:solidFill>
                      </w14:textFill>
                    </w:rPr>
                  </w:pPr>
                  <w:r>
                    <w:rPr>
                      <w:color w:val="000000" w:themeColor="text1"/>
                      <w14:textFill>
                        <w14:solidFill>
                          <w14:schemeClr w14:val="tx1"/>
                        </w14:solidFill>
                      </w14:textFill>
                    </w:rPr>
                    <w:t>45</w:t>
                  </w:r>
                </w:p>
              </w:tc>
            </w:tr>
          </w:tbl>
          <w:p w14:paraId="5DF083A1">
            <w:pPr>
              <w:snapToGrid w:val="0"/>
              <w:spacing w:line="360" w:lineRule="auto"/>
              <w:rPr>
                <w:b/>
                <w:bCs/>
                <w:sz w:val="24"/>
              </w:rPr>
            </w:pPr>
            <w:r>
              <w:rPr>
                <w:b/>
                <w:bCs/>
                <w:sz w:val="24"/>
              </w:rPr>
              <w:t>4、固体废物</w:t>
            </w:r>
          </w:p>
          <w:p w14:paraId="07906E65">
            <w:pPr>
              <w:adjustRightInd w:val="0"/>
              <w:spacing w:line="360" w:lineRule="auto"/>
              <w:ind w:firstLine="480" w:firstLineChars="200"/>
              <w:rPr>
                <w:spacing w:val="4"/>
                <w:kern w:val="24"/>
                <w:sz w:val="24"/>
                <w:szCs w:val="24"/>
                <w:lang w:val="zh-CN" w:bidi="ar"/>
              </w:rPr>
            </w:pPr>
            <w:r>
              <w:rPr>
                <w:rFonts w:hint="eastAsia"/>
                <w:color w:val="000000" w:themeColor="text1"/>
                <w:sz w:val="24"/>
                <w14:textFill>
                  <w14:solidFill>
                    <w14:schemeClr w14:val="tx1"/>
                  </w14:solidFill>
                </w14:textFill>
              </w:rPr>
              <w:t>生活垃圾经收集后全部清运，施工期固体废物执行《建筑垃圾污染控制技术规范》（</w:t>
            </w:r>
            <w:r>
              <w:rPr>
                <w:color w:val="000000" w:themeColor="text1"/>
                <w:sz w:val="24"/>
                <w14:textFill>
                  <w14:solidFill>
                    <w14:schemeClr w14:val="tx1"/>
                  </w14:solidFill>
                </w14:textFill>
              </w:rPr>
              <w:t>HJ1642-2026</w:t>
            </w:r>
            <w:r>
              <w:rPr>
                <w:rFonts w:hint="eastAsia"/>
                <w:color w:val="000000" w:themeColor="text1"/>
                <w:sz w:val="24"/>
                <w14:textFill>
                  <w14:solidFill>
                    <w14:schemeClr w14:val="tx1"/>
                  </w14:solidFill>
                </w14:textFill>
              </w:rPr>
              <w:t>），其余固体废弃物处置按照《一般工业固体废物贮存和填埋污染控制标准》（</w:t>
            </w:r>
            <w:r>
              <w:rPr>
                <w:color w:val="000000" w:themeColor="text1"/>
                <w:sz w:val="24"/>
                <w14:textFill>
                  <w14:solidFill>
                    <w14:schemeClr w14:val="tx1"/>
                  </w14:solidFill>
                </w14:textFill>
              </w:rPr>
              <w:t>GB18599-2020</w:t>
            </w:r>
            <w:r>
              <w:rPr>
                <w:rFonts w:hint="eastAsia"/>
                <w:color w:val="000000" w:themeColor="text1"/>
                <w:sz w:val="24"/>
                <w14:textFill>
                  <w14:solidFill>
                    <w14:schemeClr w14:val="tx1"/>
                  </w14:solidFill>
                </w14:textFill>
              </w:rPr>
              <w:t>）执行</w:t>
            </w:r>
            <w:r>
              <w:rPr>
                <w:spacing w:val="4"/>
                <w:kern w:val="24"/>
                <w:sz w:val="24"/>
                <w:szCs w:val="24"/>
                <w:lang w:bidi="ar"/>
              </w:rPr>
              <w:t>。</w:t>
            </w:r>
          </w:p>
        </w:tc>
      </w:tr>
      <w:tr w14:paraId="283B2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29" w:type="pct"/>
            <w:vAlign w:val="center"/>
          </w:tcPr>
          <w:p w14:paraId="38376ED0">
            <w:pPr>
              <w:adjustRightInd w:val="0"/>
              <w:snapToGrid w:val="0"/>
              <w:jc w:val="center"/>
              <w:rPr>
                <w:kern w:val="0"/>
                <w:sz w:val="24"/>
              </w:rPr>
            </w:pPr>
            <w:r>
              <w:rPr>
                <w:kern w:val="0"/>
                <w:sz w:val="24"/>
              </w:rPr>
              <w:t>其他</w:t>
            </w:r>
          </w:p>
        </w:tc>
        <w:tc>
          <w:tcPr>
            <w:tcW w:w="4570" w:type="pct"/>
            <w:vAlign w:val="center"/>
          </w:tcPr>
          <w:p w14:paraId="1EEA93F7">
            <w:pPr>
              <w:adjustRightInd w:val="0"/>
              <w:snapToGrid w:val="0"/>
              <w:spacing w:line="360" w:lineRule="auto"/>
              <w:ind w:firstLine="480" w:firstLineChars="200"/>
              <w:jc w:val="left"/>
              <w:rPr>
                <w:sz w:val="24"/>
              </w:rPr>
            </w:pPr>
            <w:r>
              <w:rPr>
                <w:sz w:val="24"/>
              </w:rPr>
              <w:t>本项目运行期间无废气、废水的产生，不涉及SO</w:t>
            </w:r>
            <w:r>
              <w:rPr>
                <w:sz w:val="24"/>
                <w:vertAlign w:val="subscript"/>
              </w:rPr>
              <w:t>2</w:t>
            </w:r>
            <w:r>
              <w:rPr>
                <w:sz w:val="24"/>
              </w:rPr>
              <w:t>、NO</w:t>
            </w:r>
            <w:r>
              <w:rPr>
                <w:sz w:val="24"/>
                <w:vertAlign w:val="subscript"/>
              </w:rPr>
              <w:t>x</w:t>
            </w:r>
            <w:r>
              <w:rPr>
                <w:sz w:val="24"/>
              </w:rPr>
              <w:t>、COD、NH</w:t>
            </w:r>
            <w:r>
              <w:rPr>
                <w:sz w:val="24"/>
                <w:vertAlign w:val="subscript"/>
              </w:rPr>
              <w:t>3</w:t>
            </w:r>
            <w:r>
              <w:rPr>
                <w:sz w:val="24"/>
              </w:rPr>
              <w:t>-N等，因此，本项目不设总量控制指标。</w:t>
            </w:r>
          </w:p>
        </w:tc>
      </w:tr>
    </w:tbl>
    <w:p w14:paraId="7FD47F7B">
      <w:pPr>
        <w:pStyle w:val="39"/>
        <w:jc w:val="center"/>
        <w:outlineLvl w:val="0"/>
        <w:rPr>
          <w:rFonts w:ascii="Times New Roman" w:hAnsi="Times New Roman" w:eastAsia="黑体"/>
          <w:snapToGrid w:val="0"/>
          <w:sz w:val="30"/>
          <w:szCs w:val="30"/>
        </w:rPr>
      </w:pPr>
      <w:r>
        <w:rPr>
          <w:rFonts w:ascii="Times New Roman" w:hAnsi="Times New Roman" w:eastAsia="黑体"/>
          <w:snapToGrid w:val="0"/>
          <w:kern w:val="2"/>
          <w:sz w:val="36"/>
          <w:szCs w:val="36"/>
        </w:rPr>
        <w:br w:type="page"/>
      </w:r>
      <w:bookmarkStart w:id="51" w:name="_Toc30554"/>
      <w:bookmarkStart w:id="52" w:name="_Toc18227"/>
      <w:bookmarkStart w:id="53" w:name="_Toc5626"/>
      <w:bookmarkStart w:id="54" w:name="_Toc32367"/>
      <w:bookmarkStart w:id="55" w:name="_Toc225952991"/>
      <w:bookmarkStart w:id="56" w:name="_Toc227764331"/>
      <w:bookmarkStart w:id="57" w:name="_Toc17754"/>
      <w:bookmarkStart w:id="58" w:name="_Toc27536"/>
      <w:bookmarkStart w:id="59" w:name="_Toc22569"/>
      <w:r>
        <w:rPr>
          <w:rFonts w:ascii="Times New Roman" w:hAnsi="Times New Roman" w:eastAsia="黑体"/>
          <w:snapToGrid w:val="0"/>
          <w:sz w:val="30"/>
          <w:szCs w:val="30"/>
        </w:rPr>
        <w:t>四、生态环境影响分析</w:t>
      </w:r>
      <w:bookmarkEnd w:id="51"/>
      <w:bookmarkEnd w:id="52"/>
      <w:bookmarkEnd w:id="53"/>
      <w:bookmarkEnd w:id="54"/>
      <w:bookmarkEnd w:id="55"/>
      <w:bookmarkEnd w:id="56"/>
      <w:bookmarkEnd w:id="57"/>
      <w:bookmarkEnd w:id="58"/>
      <w:bookmarkEnd w:id="59"/>
    </w:p>
    <w:tbl>
      <w:tblPr>
        <w:tblStyle w:val="45"/>
        <w:tblW w:w="564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58"/>
        <w:gridCol w:w="8799"/>
      </w:tblGrid>
      <w:tr w14:paraId="2BD17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98" w:type="pct"/>
            <w:tcMar>
              <w:left w:w="28" w:type="dxa"/>
              <w:right w:w="28" w:type="dxa"/>
            </w:tcMar>
            <w:vAlign w:val="center"/>
          </w:tcPr>
          <w:p w14:paraId="162B9782">
            <w:pPr>
              <w:pStyle w:val="39"/>
              <w:adjustRightInd w:val="0"/>
              <w:snapToGrid w:val="0"/>
              <w:spacing w:before="0" w:beforeAutospacing="0" w:after="0" w:afterAutospacing="0"/>
              <w:jc w:val="center"/>
              <w:rPr>
                <w:rFonts w:ascii="Times New Roman" w:hAnsi="Times New Roman"/>
                <w:bCs/>
                <w:kern w:val="2"/>
                <w:szCs w:val="24"/>
              </w:rPr>
            </w:pPr>
            <w:bookmarkStart w:id="60" w:name="_Hlk49796138"/>
            <w:r>
              <w:rPr>
                <w:rFonts w:ascii="Times New Roman" w:hAnsi="Times New Roman"/>
                <w:bCs/>
                <w:spacing w:val="10"/>
                <w:kern w:val="2"/>
                <w:szCs w:val="24"/>
              </w:rPr>
              <w:t>施工期生态环境影响分析</w:t>
            </w:r>
            <w:bookmarkEnd w:id="60"/>
          </w:p>
        </w:tc>
        <w:tc>
          <w:tcPr>
            <w:tcW w:w="4702" w:type="pct"/>
          </w:tcPr>
          <w:p w14:paraId="21601997">
            <w:pPr>
              <w:snapToGrid w:val="0"/>
              <w:spacing w:line="360" w:lineRule="auto"/>
              <w:rPr>
                <w:b/>
                <w:bCs/>
                <w:sz w:val="24"/>
              </w:rPr>
            </w:pPr>
            <w:r>
              <w:rPr>
                <w:b/>
                <w:sz w:val="24"/>
              </w:rPr>
              <w:t>一、</w:t>
            </w:r>
            <w:r>
              <w:rPr>
                <w:b/>
                <w:bCs/>
                <w:sz w:val="24"/>
              </w:rPr>
              <w:t>工艺流程简述</w:t>
            </w:r>
          </w:p>
          <w:p w14:paraId="7EC274A4">
            <w:pPr>
              <w:snapToGrid w:val="0"/>
              <w:spacing w:line="360" w:lineRule="auto"/>
              <w:rPr>
                <w:b/>
                <w:sz w:val="24"/>
              </w:rPr>
            </w:pPr>
            <w:r>
              <w:rPr>
                <w:b/>
                <w:bCs/>
                <w:sz w:val="24"/>
              </w:rPr>
              <w:t>1、工艺流程图及产污环节</w:t>
            </w:r>
          </w:p>
          <w:p w14:paraId="51AD7DA5">
            <w:pPr>
              <w:pStyle w:val="189"/>
              <w:ind w:left="0" w:right="0" w:firstLine="496"/>
              <w:jc w:val="left"/>
              <w:rPr>
                <w:spacing w:val="4"/>
                <w:kern w:val="24"/>
                <w:sz w:val="24"/>
              </w:rPr>
            </w:pPr>
            <w:r>
              <w:rPr>
                <w:rFonts w:hint="eastAsia"/>
                <w:spacing w:val="4"/>
                <w:kern w:val="24"/>
                <w:sz w:val="24"/>
              </w:rPr>
              <w:t>项目施工期工艺流程见下图。</w:t>
            </w:r>
          </w:p>
          <w:p w14:paraId="6115ABD8">
            <w:pPr>
              <w:pStyle w:val="189"/>
              <w:ind w:left="0" w:firstLine="0" w:firstLineChars="0"/>
              <w:rPr>
                <w:lang w:val="zh-CN"/>
              </w:rPr>
            </w:pPr>
            <w:r>
              <w:drawing>
                <wp:inline distT="0" distB="0" distL="0" distR="0">
                  <wp:extent cx="4460875" cy="14738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5"/>
                          <a:stretch>
                            <a:fillRect/>
                          </a:stretch>
                        </pic:blipFill>
                        <pic:spPr>
                          <a:xfrm>
                            <a:off x="0" y="0"/>
                            <a:ext cx="4489747" cy="1483789"/>
                          </a:xfrm>
                          <a:prstGeom prst="rect">
                            <a:avLst/>
                          </a:prstGeom>
                        </pic:spPr>
                      </pic:pic>
                    </a:graphicData>
                  </a:graphic>
                </wp:inline>
              </w:drawing>
            </w:r>
          </w:p>
          <w:p w14:paraId="176E7030">
            <w:pPr>
              <w:pStyle w:val="190"/>
              <w:ind w:firstLine="0"/>
              <w:jc w:val="center"/>
              <w:rPr>
                <w:rFonts w:eastAsia="黑体"/>
                <w:sz w:val="24"/>
                <w:szCs w:val="22"/>
                <w:lang w:val="en-US"/>
              </w:rPr>
            </w:pPr>
            <w:r>
              <w:rPr>
                <w:rFonts w:eastAsia="黑体"/>
                <w:sz w:val="24"/>
                <w:szCs w:val="22"/>
                <w:lang w:val="en-US"/>
              </w:rPr>
              <w:t>图4-1新建输电线路施工工艺流程及产污节点</w:t>
            </w:r>
          </w:p>
          <w:p w14:paraId="642EC099">
            <w:pPr>
              <w:snapToGrid w:val="0"/>
              <w:spacing w:line="360" w:lineRule="auto"/>
              <w:rPr>
                <w:b/>
                <w:bCs/>
                <w:sz w:val="24"/>
              </w:rPr>
            </w:pPr>
            <w:r>
              <w:rPr>
                <w:b/>
                <w:bCs/>
                <w:sz w:val="24"/>
              </w:rPr>
              <w:t>2、施工期主要环境影响识别</w:t>
            </w:r>
          </w:p>
          <w:p w14:paraId="709FAB76">
            <w:pPr>
              <w:pStyle w:val="189"/>
              <w:ind w:left="0" w:right="0" w:firstLine="480"/>
              <w:jc w:val="both"/>
              <w:rPr>
                <w:spacing w:val="-6"/>
                <w:sz w:val="24"/>
              </w:rPr>
            </w:pPr>
            <w:r>
              <w:rPr>
                <w:sz w:val="24"/>
              </w:rPr>
              <w:t>根据本项目建设特点及项目所在区域环境特征，本项目施工期产生的环境影响见表</w:t>
            </w:r>
            <w:r>
              <w:rPr>
                <w:sz w:val="24"/>
                <w:szCs w:val="24"/>
              </w:rPr>
              <w:t>4-1</w:t>
            </w:r>
            <w:r>
              <w:rPr>
                <w:spacing w:val="-6"/>
                <w:sz w:val="24"/>
              </w:rPr>
              <w:t>。</w:t>
            </w:r>
          </w:p>
          <w:p w14:paraId="3881C4B4">
            <w:pPr>
              <w:jc w:val="center"/>
              <w:rPr>
                <w:rFonts w:eastAsia="黑体"/>
                <w:sz w:val="24"/>
              </w:rPr>
            </w:pPr>
            <w:bookmarkStart w:id="61" w:name="_Ref219519080"/>
            <w:bookmarkStart w:id="62" w:name="_Ref193190798"/>
            <w:r>
              <w:rPr>
                <w:rFonts w:eastAsia="黑体"/>
                <w:sz w:val="24"/>
              </w:rPr>
              <w:t>表</w:t>
            </w:r>
            <w:bookmarkEnd w:id="61"/>
            <w:bookmarkEnd w:id="62"/>
            <w:r>
              <w:rPr>
                <w:rFonts w:eastAsia="黑体"/>
                <w:sz w:val="24"/>
              </w:rPr>
              <w:t>4-1本项目施工期主要环境影响识别</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3"/>
              <w:gridCol w:w="4350"/>
            </w:tblGrid>
            <w:tr w14:paraId="4186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463" w:type="pct"/>
                  <w:vAlign w:val="center"/>
                </w:tcPr>
                <w:p w14:paraId="65640A86">
                  <w:pPr>
                    <w:jc w:val="center"/>
                  </w:pPr>
                  <w:r>
                    <w:t>环境识别</w:t>
                  </w:r>
                </w:p>
              </w:tc>
              <w:tc>
                <w:tcPr>
                  <w:tcW w:w="2537" w:type="pct"/>
                  <w:vAlign w:val="center"/>
                </w:tcPr>
                <w:p w14:paraId="4AD3FC63">
                  <w:pPr>
                    <w:jc w:val="center"/>
                  </w:pPr>
                  <w:r>
                    <w:rPr>
                      <w:spacing w:val="-6"/>
                    </w:rPr>
                    <w:t>新建输电线路</w:t>
                  </w:r>
                </w:p>
              </w:tc>
            </w:tr>
            <w:tr w14:paraId="0091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463" w:type="pct"/>
                  <w:vAlign w:val="center"/>
                </w:tcPr>
                <w:p w14:paraId="566BF71A">
                  <w:pPr>
                    <w:jc w:val="center"/>
                  </w:pPr>
                  <w:r>
                    <w:t>声环境</w:t>
                  </w:r>
                </w:p>
              </w:tc>
              <w:tc>
                <w:tcPr>
                  <w:tcW w:w="2537" w:type="pct"/>
                  <w:vAlign w:val="center"/>
                </w:tcPr>
                <w:p w14:paraId="45AFB3CE">
                  <w:pPr>
                    <w:jc w:val="center"/>
                  </w:pPr>
                  <w:r>
                    <w:t>施工噪声</w:t>
                  </w:r>
                </w:p>
              </w:tc>
            </w:tr>
            <w:tr w14:paraId="53DB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463" w:type="pct"/>
                  <w:vAlign w:val="center"/>
                </w:tcPr>
                <w:p w14:paraId="708797A2">
                  <w:pPr>
                    <w:jc w:val="center"/>
                  </w:pPr>
                  <w:r>
                    <w:t>大气环境</w:t>
                  </w:r>
                </w:p>
              </w:tc>
              <w:tc>
                <w:tcPr>
                  <w:tcW w:w="2537" w:type="pct"/>
                  <w:vAlign w:val="center"/>
                </w:tcPr>
                <w:p w14:paraId="1A629AD9">
                  <w:pPr>
                    <w:jc w:val="center"/>
                  </w:pPr>
                  <w:r>
                    <w:t>施工扬尘</w:t>
                  </w:r>
                </w:p>
              </w:tc>
            </w:tr>
            <w:tr w14:paraId="210A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463" w:type="pct"/>
                  <w:vAlign w:val="center"/>
                </w:tcPr>
                <w:p w14:paraId="1BB07654">
                  <w:pPr>
                    <w:jc w:val="center"/>
                  </w:pPr>
                  <w:r>
                    <w:t>水环境</w:t>
                  </w:r>
                </w:p>
              </w:tc>
              <w:tc>
                <w:tcPr>
                  <w:tcW w:w="2537" w:type="pct"/>
                  <w:vAlign w:val="center"/>
                </w:tcPr>
                <w:p w14:paraId="44D45692">
                  <w:pPr>
                    <w:jc w:val="center"/>
                  </w:pPr>
                  <w:r>
                    <w:t>生活污水、生产废水</w:t>
                  </w:r>
                </w:p>
              </w:tc>
            </w:tr>
            <w:tr w14:paraId="1D49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63" w:type="pct"/>
                  <w:vAlign w:val="center"/>
                </w:tcPr>
                <w:p w14:paraId="18F0A6A4">
                  <w:pPr>
                    <w:jc w:val="center"/>
                  </w:pPr>
                  <w:r>
                    <w:t>生态环境</w:t>
                  </w:r>
                </w:p>
              </w:tc>
              <w:tc>
                <w:tcPr>
                  <w:tcW w:w="2537" w:type="pct"/>
                  <w:vAlign w:val="center"/>
                </w:tcPr>
                <w:p w14:paraId="1DF6B9F8">
                  <w:pPr>
                    <w:jc w:val="center"/>
                  </w:pPr>
                  <w:r>
                    <w:t>植被破坏、水土流失、野生动植物</w:t>
                  </w:r>
                </w:p>
              </w:tc>
            </w:tr>
            <w:tr w14:paraId="17A4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463" w:type="pct"/>
                  <w:vAlign w:val="center"/>
                </w:tcPr>
                <w:p w14:paraId="1AFAB2F1">
                  <w:pPr>
                    <w:jc w:val="center"/>
                  </w:pPr>
                  <w:r>
                    <w:t>固体废物</w:t>
                  </w:r>
                </w:p>
              </w:tc>
              <w:tc>
                <w:tcPr>
                  <w:tcW w:w="2537" w:type="pct"/>
                  <w:vAlign w:val="center"/>
                </w:tcPr>
                <w:p w14:paraId="4EBBD9F2">
                  <w:pPr>
                    <w:jc w:val="center"/>
                  </w:pPr>
                  <w:r>
                    <w:t>弃渣、建筑垃圾、生活垃圾</w:t>
                  </w:r>
                </w:p>
              </w:tc>
            </w:tr>
          </w:tbl>
          <w:p w14:paraId="2DE7C8F3">
            <w:pPr>
              <w:spacing w:line="360" w:lineRule="auto"/>
              <w:ind w:firstLine="480" w:firstLineChars="200"/>
              <w:rPr>
                <w:sz w:val="24"/>
              </w:rPr>
            </w:pPr>
          </w:p>
          <w:p w14:paraId="626F339F">
            <w:pPr>
              <w:pStyle w:val="189"/>
              <w:ind w:left="0" w:firstLine="570" w:firstLineChars="0"/>
              <w:jc w:val="both"/>
              <w:rPr>
                <w:sz w:val="24"/>
              </w:rPr>
            </w:pPr>
            <w:r>
              <w:rPr>
                <w:sz w:val="24"/>
              </w:rPr>
              <w:t>本项目线路新建塔段施工工序主要为材料运输、基础施工、杆塔组立、放紧线、附件安装等。在施工过程中产生的环境影响有水土流失、施工噪声、施工扬尘、生活污水、固体废物等，其主要环境影响有：</w:t>
            </w:r>
          </w:p>
          <w:p w14:paraId="5F1C44A2">
            <w:pPr>
              <w:spacing w:line="360" w:lineRule="auto"/>
              <w:ind w:firstLine="480" w:firstLineChars="200"/>
              <w:rPr>
                <w:sz w:val="24"/>
              </w:rPr>
            </w:pPr>
            <w:r>
              <w:rPr>
                <w:sz w:val="24"/>
              </w:rPr>
              <w:t>1）生态影响：塔基开挖，施工临时设施设置（塔基施工临时占地、牵张场、</w:t>
            </w:r>
            <w:r>
              <w:rPr>
                <w:rFonts w:hint="eastAsia"/>
                <w:sz w:val="24"/>
              </w:rPr>
              <w:t>临时施工</w:t>
            </w:r>
            <w:r>
              <w:rPr>
                <w:sz w:val="24"/>
              </w:rPr>
              <w:t>便道），材料堆放造成局部植被破坏和土地扰动，易引起水土流失。</w:t>
            </w:r>
          </w:p>
          <w:p w14:paraId="5A81EDF1">
            <w:pPr>
              <w:spacing w:line="360" w:lineRule="auto"/>
              <w:ind w:firstLine="480"/>
              <w:rPr>
                <w:sz w:val="24"/>
              </w:rPr>
            </w:pPr>
            <w:r>
              <w:rPr>
                <w:sz w:val="24"/>
              </w:rPr>
              <w:t>2）废水：平均每天配置施工人员约50人（沿线路分散分布），生活污水产生量约4.8t/d。</w:t>
            </w:r>
            <w:r>
              <w:rPr>
                <w:rFonts w:eastAsia="新宋体"/>
                <w:sz w:val="24"/>
              </w:rPr>
              <w:t>施工期输电线路塔基施工产生废水主要来自塔基混凝土拌和，产生量约0.52m</w:t>
            </w:r>
            <w:r>
              <w:rPr>
                <w:rFonts w:eastAsia="新宋体"/>
                <w:sz w:val="24"/>
                <w:vertAlign w:val="superscript"/>
              </w:rPr>
              <w:t>3</w:t>
            </w:r>
            <w:r>
              <w:rPr>
                <w:rFonts w:eastAsia="新宋体"/>
                <w:sz w:val="24"/>
              </w:rPr>
              <w:t>/基，本项目输电线路共新建塔基23基，</w:t>
            </w:r>
            <w:r>
              <w:rPr>
                <w:sz w:val="24"/>
              </w:rPr>
              <w:t>整个施工期塔基施工废水产生量为11.96m</w:t>
            </w:r>
            <w:r>
              <w:rPr>
                <w:sz w:val="24"/>
                <w:vertAlign w:val="superscript"/>
              </w:rPr>
              <w:t>3</w:t>
            </w:r>
            <w:r>
              <w:rPr>
                <w:sz w:val="24"/>
              </w:rPr>
              <w:t>。</w:t>
            </w:r>
          </w:p>
          <w:p w14:paraId="45921064">
            <w:pPr>
              <w:pStyle w:val="190"/>
              <w:ind w:firstLine="570"/>
              <w:rPr>
                <w:sz w:val="24"/>
              </w:rPr>
            </w:pPr>
            <w:r>
              <w:rPr>
                <w:sz w:val="24"/>
              </w:rPr>
              <w:t>3）固体废物：主要为施工人员产生的生活垃圾及工程</w:t>
            </w:r>
            <w:r>
              <w:rPr>
                <w:rFonts w:hint="eastAsia"/>
                <w:sz w:val="24"/>
              </w:rPr>
              <w:t>建设工程</w:t>
            </w:r>
            <w:r>
              <w:rPr>
                <w:sz w:val="24"/>
              </w:rPr>
              <w:t>产生的建筑垃圾。平均每天配置施工人员约</w:t>
            </w:r>
            <w:r>
              <w:rPr>
                <w:sz w:val="24"/>
                <w:lang w:val="en-US"/>
              </w:rPr>
              <w:t>50</w:t>
            </w:r>
            <w:r>
              <w:rPr>
                <w:sz w:val="24"/>
              </w:rPr>
              <w:t>人（沿线路分散分布），生活垃圾产生量约2</w:t>
            </w:r>
            <w:r>
              <w:rPr>
                <w:sz w:val="24"/>
                <w:lang w:val="en-US"/>
              </w:rPr>
              <w:t>5</w:t>
            </w:r>
            <w:r>
              <w:rPr>
                <w:sz w:val="24"/>
              </w:rPr>
              <w:t>kg/d。建筑垃圾主要为废砖块、混凝土等建材。</w:t>
            </w:r>
          </w:p>
          <w:p w14:paraId="0F8B9E01">
            <w:pPr>
              <w:pStyle w:val="190"/>
              <w:ind w:firstLine="570"/>
              <w:rPr>
                <w:sz w:val="24"/>
              </w:rPr>
            </w:pPr>
            <w:r>
              <w:rPr>
                <w:sz w:val="24"/>
              </w:rPr>
              <w:t>本项目施工期造成的环境影响是短暂的、可恢复的。</w:t>
            </w:r>
          </w:p>
          <w:p w14:paraId="7A393F63">
            <w:pPr>
              <w:snapToGrid w:val="0"/>
              <w:spacing w:line="360" w:lineRule="auto"/>
              <w:rPr>
                <w:kern w:val="0"/>
                <w:sz w:val="24"/>
              </w:rPr>
            </w:pPr>
            <w:r>
              <w:rPr>
                <w:b/>
                <w:sz w:val="24"/>
              </w:rPr>
              <w:t>二、</w:t>
            </w:r>
            <w:r>
              <w:rPr>
                <w:b/>
                <w:bCs/>
                <w:sz w:val="24"/>
              </w:rPr>
              <w:t>施工期噪声影响分析</w:t>
            </w:r>
          </w:p>
          <w:p w14:paraId="0141AD8F">
            <w:pPr>
              <w:pStyle w:val="26"/>
              <w:spacing w:line="360" w:lineRule="auto"/>
              <w:rPr>
                <w:rFonts w:ascii="Times New Roman" w:hAnsi="Times New Roman"/>
                <w:b/>
                <w:sz w:val="24"/>
                <w:szCs w:val="24"/>
              </w:rPr>
            </w:pPr>
            <w:r>
              <w:rPr>
                <w:rFonts w:ascii="Times New Roman" w:hAnsi="Times New Roman"/>
                <w:b/>
                <w:sz w:val="24"/>
                <w:szCs w:val="24"/>
              </w:rPr>
              <w:t>（1）噪声源强</w:t>
            </w:r>
          </w:p>
          <w:p w14:paraId="12231390">
            <w:pPr>
              <w:autoSpaceDE w:val="0"/>
              <w:autoSpaceDN w:val="0"/>
              <w:adjustRightInd w:val="0"/>
              <w:spacing w:line="360" w:lineRule="auto"/>
              <w:ind w:firstLine="480" w:firstLineChars="200"/>
              <w:rPr>
                <w:sz w:val="24"/>
              </w:rPr>
            </w:pPr>
            <w:r>
              <w:rPr>
                <w:rFonts w:hint="eastAsia"/>
                <w:sz w:val="24"/>
              </w:rPr>
              <w:t>施工期噪声主要为施工设备噪声，大多为不连续性噪声，噪声源强在 90～ 100dB（A）之间，产噪设备均置于室外。</w:t>
            </w:r>
          </w:p>
          <w:p w14:paraId="431E14D9">
            <w:pPr>
              <w:autoSpaceDE w:val="0"/>
              <w:autoSpaceDN w:val="0"/>
              <w:adjustRightInd w:val="0"/>
              <w:spacing w:line="360" w:lineRule="auto"/>
              <w:ind w:firstLine="480" w:firstLineChars="200"/>
              <w:rPr>
                <w:sz w:val="24"/>
              </w:rPr>
            </w:pPr>
            <w:r>
              <w:rPr>
                <w:rFonts w:hint="eastAsia"/>
                <w:sz w:val="24"/>
              </w:rPr>
              <w:t>根据《环境影响评价技术导则 声环境》（HJ2.4-2021），预测过程仅考虑声波几何发散引起的衰减，不考虑空气吸收衰减、地面效应及其他多方面效应引起的衰减。利用点声源的几何发散衰减公式预测施工机械噪声不同距离处的噪声值，公式如下：</w:t>
            </w:r>
          </w:p>
          <w:p w14:paraId="0B61B8DE">
            <w:pPr>
              <w:autoSpaceDE w:val="0"/>
              <w:autoSpaceDN w:val="0"/>
              <w:adjustRightInd w:val="0"/>
              <w:spacing w:line="360" w:lineRule="auto"/>
              <w:ind w:firstLine="480" w:firstLineChars="200"/>
              <w:rPr>
                <w:sz w:val="24"/>
              </w:rPr>
            </w:pPr>
            <m:oMathPara>
              <m:oMath>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w:rPr>
                        <w:rFonts w:ascii="Cambria Math" w:hAnsi="Cambria Math"/>
                        <w:sz w:val="24"/>
                      </w:rPr>
                      <m:t>A</m:t>
                    </m:r>
                    <m:ctrlPr>
                      <w:rPr>
                        <w:rFonts w:ascii="Cambria Math" w:hAnsi="Cambria Math"/>
                        <w:i/>
                        <w:sz w:val="24"/>
                      </w:rPr>
                    </m:ctrlPr>
                  </m:sub>
                </m:sSub>
                <m:d>
                  <m:dPr>
                    <m:ctrlPr>
                      <w:rPr>
                        <w:rFonts w:ascii="Cambria Math" w:hAnsi="Cambria Math"/>
                        <w:i/>
                        <w:sz w:val="24"/>
                      </w:rPr>
                    </m:ctrlPr>
                  </m:dPr>
                  <m:e>
                    <m:r>
                      <m:rPr/>
                      <w:rPr>
                        <w:rFonts w:hint="eastAsia" w:ascii="Cambria Math" w:hAnsi="Cambria Math"/>
                        <w:sz w:val="24"/>
                      </w:rPr>
                      <m:t>r</m:t>
                    </m:r>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w:rPr>
                        <w:rFonts w:ascii="Cambria Math" w:hAnsi="Cambria Math"/>
                        <w:sz w:val="24"/>
                      </w:rPr>
                      <m:t>A</m:t>
                    </m:r>
                    <m:ctrlPr>
                      <w:rPr>
                        <w:rFonts w:ascii="Cambria Math" w:hAnsi="Cambria Math"/>
                        <w:i/>
                        <w:sz w:val="24"/>
                      </w:rPr>
                    </m:ctrlPr>
                  </m:sub>
                </m:sSub>
                <m:d>
                  <m:dPr>
                    <m:ctrlPr>
                      <w:rPr>
                        <w:rFonts w:ascii="Cambria Math" w:hAnsi="Cambria Math"/>
                        <w:i/>
                        <w:sz w:val="24"/>
                      </w:rPr>
                    </m:ctrlPr>
                  </m:dPr>
                  <m:e>
                    <m:sSub>
                      <m:sSubPr>
                        <m:ctrlPr>
                          <w:rPr>
                            <w:rFonts w:ascii="Cambria Math" w:hAnsi="Cambria Math"/>
                            <w:i/>
                            <w:sz w:val="24"/>
                          </w:rPr>
                        </m:ctrlPr>
                      </m:sSubPr>
                      <m:e>
                        <m:r>
                          <m:rPr/>
                          <w:rPr>
                            <w:rFonts w:hint="eastAsia" w:ascii="Cambria Math" w:hAnsi="Cambria Math"/>
                            <w:sz w:val="24"/>
                          </w:rPr>
                          <m:t>r</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r>
                  <m:rPr/>
                  <w:rPr>
                    <w:rFonts w:ascii="Cambria Math" w:hAnsi="Cambria Math"/>
                    <w:sz w:val="24"/>
                  </w:rPr>
                  <m:t>−</m:t>
                </m:r>
                <m:sSub>
                  <m:sSubPr>
                    <m:ctrlPr>
                      <w:rPr>
                        <w:rFonts w:ascii="Cambria Math" w:hAnsi="Cambria Math"/>
                        <w:i/>
                        <w:sz w:val="24"/>
                      </w:rPr>
                    </m:ctrlPr>
                  </m:sSubPr>
                  <m:e>
                    <m:r>
                      <m:rPr/>
                      <w:rPr>
                        <w:rFonts w:ascii="Cambria Math" w:hAnsi="Cambria Math"/>
                        <w:sz w:val="24"/>
                      </w:rPr>
                      <m:t>A</m:t>
                    </m:r>
                    <m:ctrlPr>
                      <w:rPr>
                        <w:rFonts w:ascii="Cambria Math" w:hAnsi="Cambria Math"/>
                        <w:i/>
                        <w:sz w:val="24"/>
                      </w:rPr>
                    </m:ctrlPr>
                  </m:e>
                  <m:sub>
                    <m:r>
                      <m:rPr/>
                      <w:rPr>
                        <w:rFonts w:ascii="Cambria Math" w:hAnsi="Cambria Math"/>
                        <w:sz w:val="24"/>
                      </w:rPr>
                      <m:t>div</m:t>
                    </m:r>
                    <m:ctrlPr>
                      <w:rPr>
                        <w:rFonts w:ascii="Cambria Math" w:hAnsi="Cambria Math"/>
                        <w:i/>
                        <w:sz w:val="24"/>
                      </w:rPr>
                    </m:ctrlPr>
                  </m:sub>
                </m:sSub>
              </m:oMath>
            </m:oMathPara>
          </w:p>
          <w:p w14:paraId="619D995A">
            <w:pPr>
              <w:pStyle w:val="2"/>
            </w:pPr>
            <m:oMathPara>
              <m:oMath>
                <m:sSub>
                  <m:sSubPr>
                    <m:ctrlPr>
                      <w:rPr>
                        <w:rFonts w:ascii="Cambria Math" w:hAnsi="Cambria Math"/>
                        <w:i/>
                        <w:kern w:val="2"/>
                        <w:sz w:val="24"/>
                        <w:szCs w:val="21"/>
                      </w:rPr>
                    </m:ctrlPr>
                  </m:sSubPr>
                  <m:e>
                    <m:r>
                      <m:rPr/>
                      <w:rPr>
                        <w:rFonts w:ascii="Cambria Math" w:hAnsi="Cambria Math"/>
                        <w:sz w:val="24"/>
                      </w:rPr>
                      <m:t>A</m:t>
                    </m:r>
                    <m:ctrlPr>
                      <w:rPr>
                        <w:rFonts w:ascii="Cambria Math" w:hAnsi="Cambria Math"/>
                        <w:i/>
                        <w:kern w:val="2"/>
                        <w:sz w:val="24"/>
                        <w:szCs w:val="21"/>
                      </w:rPr>
                    </m:ctrlPr>
                  </m:e>
                  <m:sub>
                    <m:r>
                      <m:rPr/>
                      <w:rPr>
                        <w:rFonts w:ascii="Cambria Math" w:hAnsi="Cambria Math"/>
                        <w:sz w:val="24"/>
                      </w:rPr>
                      <m:t>div</m:t>
                    </m:r>
                    <m:ctrlPr>
                      <w:rPr>
                        <w:rFonts w:ascii="Cambria Math" w:hAnsi="Cambria Math"/>
                        <w:i/>
                        <w:kern w:val="2"/>
                        <w:sz w:val="24"/>
                        <w:szCs w:val="21"/>
                      </w:rPr>
                    </m:ctrlPr>
                  </m:sub>
                </m:sSub>
                <m:r>
                  <m:rPr/>
                  <w:rPr>
                    <w:rFonts w:ascii="Cambria Math" w:hAnsi="Cambria Math"/>
                    <w:kern w:val="2"/>
                    <w:sz w:val="24"/>
                    <w:szCs w:val="21"/>
                  </w:rPr>
                  <m:t>=20</m:t>
                </m:r>
                <m:r>
                  <m:rPr>
                    <m:sty m:val="p"/>
                  </m:rPr>
                  <w:rPr>
                    <w:rFonts w:ascii="Cambria Math" w:hAnsi="Cambria Math"/>
                    <w:kern w:val="2"/>
                    <w:sz w:val="24"/>
                    <w:szCs w:val="21"/>
                  </w:rPr>
                  <m:t>lg⁡</m:t>
                </m:r>
                <m:r>
                  <m:rPr/>
                  <w:rPr>
                    <w:rFonts w:ascii="Cambria Math" w:hAnsi="Cambria Math"/>
                    <w:kern w:val="2"/>
                    <w:sz w:val="24"/>
                    <w:szCs w:val="21"/>
                  </w:rPr>
                  <m:t>(r/</m:t>
                </m:r>
                <m:sSub>
                  <m:sSubPr>
                    <m:ctrlPr>
                      <w:rPr>
                        <w:rFonts w:ascii="Cambria Math" w:hAnsi="Cambria Math"/>
                        <w:i/>
                        <w:kern w:val="2"/>
                        <w:sz w:val="24"/>
                        <w:szCs w:val="21"/>
                      </w:rPr>
                    </m:ctrlPr>
                  </m:sSubPr>
                  <m:e>
                    <m:r>
                      <m:rPr/>
                      <w:rPr>
                        <w:rFonts w:ascii="Cambria Math" w:hAnsi="Cambria Math"/>
                        <w:kern w:val="2"/>
                        <w:sz w:val="24"/>
                        <w:szCs w:val="21"/>
                      </w:rPr>
                      <m:t>r</m:t>
                    </m:r>
                    <m:ctrlPr>
                      <w:rPr>
                        <w:rFonts w:ascii="Cambria Math" w:hAnsi="Cambria Math"/>
                        <w:i/>
                        <w:kern w:val="2"/>
                        <w:sz w:val="24"/>
                        <w:szCs w:val="21"/>
                      </w:rPr>
                    </m:ctrlPr>
                  </m:e>
                  <m:sub>
                    <m:r>
                      <m:rPr/>
                      <w:rPr>
                        <w:rFonts w:ascii="Cambria Math" w:hAnsi="Cambria Math"/>
                        <w:kern w:val="2"/>
                        <w:sz w:val="24"/>
                        <w:szCs w:val="21"/>
                      </w:rPr>
                      <m:t>0</m:t>
                    </m:r>
                    <m:ctrlPr>
                      <w:rPr>
                        <w:rFonts w:ascii="Cambria Math" w:hAnsi="Cambria Math"/>
                        <w:i/>
                        <w:kern w:val="2"/>
                        <w:sz w:val="24"/>
                        <w:szCs w:val="21"/>
                      </w:rPr>
                    </m:ctrlPr>
                  </m:sub>
                </m:sSub>
                <m:r>
                  <m:rPr/>
                  <w:rPr>
                    <w:rFonts w:ascii="Cambria Math" w:hAnsi="Cambria Math"/>
                    <w:kern w:val="2"/>
                    <w:sz w:val="24"/>
                    <w:szCs w:val="21"/>
                  </w:rPr>
                  <m:t>)</m:t>
                </m:r>
              </m:oMath>
            </m:oMathPara>
          </w:p>
          <w:p w14:paraId="46787605">
            <w:pPr>
              <w:autoSpaceDE w:val="0"/>
              <w:autoSpaceDN w:val="0"/>
              <w:adjustRightInd w:val="0"/>
              <w:spacing w:line="360" w:lineRule="auto"/>
              <w:ind w:firstLine="480" w:firstLineChars="200"/>
              <w:rPr>
                <w:sz w:val="24"/>
              </w:rPr>
            </w:pPr>
            <w:r>
              <w:rPr>
                <w:rFonts w:hint="eastAsia"/>
                <w:sz w:val="24"/>
              </w:rPr>
              <w:t>式中：</w:t>
            </w:r>
          </w:p>
          <w:p w14:paraId="24A81931">
            <w:pPr>
              <w:autoSpaceDE w:val="0"/>
              <w:autoSpaceDN w:val="0"/>
              <w:adjustRightInd w:val="0"/>
              <w:spacing w:line="360" w:lineRule="auto"/>
              <w:ind w:firstLine="960" w:firstLineChars="400"/>
              <w:rPr>
                <w:sz w:val="24"/>
              </w:rPr>
            </w:pPr>
            <m:oMath>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w:rPr>
                      <w:rFonts w:ascii="Cambria Math" w:hAnsi="Cambria Math"/>
                      <w:sz w:val="24"/>
                    </w:rPr>
                    <m:t>A</m:t>
                  </m:r>
                  <m:ctrlPr>
                    <w:rPr>
                      <w:rFonts w:ascii="Cambria Math" w:hAnsi="Cambria Math"/>
                      <w:i/>
                      <w:sz w:val="24"/>
                    </w:rPr>
                  </m:ctrlPr>
                </m:sub>
              </m:sSub>
              <m:d>
                <m:dPr>
                  <m:ctrlPr>
                    <w:rPr>
                      <w:rFonts w:ascii="Cambria Math" w:hAnsi="Cambria Math"/>
                      <w:i/>
                      <w:sz w:val="24"/>
                    </w:rPr>
                  </m:ctrlPr>
                </m:dPr>
                <m:e>
                  <m:r>
                    <m:rPr/>
                    <w:rPr>
                      <w:rFonts w:hint="eastAsia" w:ascii="Cambria Math" w:hAnsi="Cambria Math"/>
                      <w:sz w:val="24"/>
                    </w:rPr>
                    <m:t>r</m:t>
                  </m:r>
                  <m:ctrlPr>
                    <w:rPr>
                      <w:rFonts w:ascii="Cambria Math" w:hAnsi="Cambria Math"/>
                      <w:i/>
                      <w:sz w:val="24"/>
                    </w:rPr>
                  </m:ctrlPr>
                </m:e>
              </m:d>
            </m:oMath>
            <w:r>
              <w:rPr>
                <w:rFonts w:hint="eastAsia"/>
                <w:sz w:val="24"/>
              </w:rPr>
              <w:t>——距声源r 处的A 声级，dB（A）；</w:t>
            </w:r>
          </w:p>
          <w:p w14:paraId="5FDB40B8">
            <w:pPr>
              <w:autoSpaceDE w:val="0"/>
              <w:autoSpaceDN w:val="0"/>
              <w:adjustRightInd w:val="0"/>
              <w:spacing w:line="360" w:lineRule="auto"/>
              <w:ind w:firstLine="960" w:firstLineChars="400"/>
              <w:rPr>
                <w:sz w:val="24"/>
              </w:rPr>
            </w:pPr>
            <m:oMath>
              <m:sSub>
                <m:sSubPr>
                  <m:ctrlPr>
                    <w:rPr>
                      <w:rFonts w:ascii="Cambria Math" w:hAnsi="Cambria Math"/>
                      <w:i/>
                      <w:sz w:val="24"/>
                    </w:rPr>
                  </m:ctrlPr>
                </m:sSubPr>
                <m:e>
                  <m:r>
                    <m:rPr/>
                    <w:rPr>
                      <w:rFonts w:ascii="Cambria Math" w:hAnsi="Cambria Math"/>
                      <w:sz w:val="24"/>
                    </w:rPr>
                    <m:t>L</m:t>
                  </m:r>
                  <m:ctrlPr>
                    <w:rPr>
                      <w:rFonts w:ascii="Cambria Math" w:hAnsi="Cambria Math"/>
                      <w:i/>
                      <w:sz w:val="24"/>
                    </w:rPr>
                  </m:ctrlPr>
                </m:e>
                <m:sub>
                  <m:r>
                    <m:rPr/>
                    <w:rPr>
                      <w:rFonts w:ascii="Cambria Math" w:hAnsi="Cambria Math"/>
                      <w:sz w:val="24"/>
                    </w:rPr>
                    <m:t>A</m:t>
                  </m:r>
                  <m:ctrlPr>
                    <w:rPr>
                      <w:rFonts w:ascii="Cambria Math" w:hAnsi="Cambria Math"/>
                      <w:i/>
                      <w:sz w:val="24"/>
                    </w:rPr>
                  </m:ctrlPr>
                </m:sub>
              </m:sSub>
              <m:d>
                <m:dPr>
                  <m:ctrlPr>
                    <w:rPr>
                      <w:rFonts w:ascii="Cambria Math" w:hAnsi="Cambria Math"/>
                      <w:i/>
                      <w:sz w:val="24"/>
                    </w:rPr>
                  </m:ctrlPr>
                </m:dPr>
                <m:e>
                  <m:sSub>
                    <m:sSubPr>
                      <m:ctrlPr>
                        <w:rPr>
                          <w:rFonts w:ascii="Cambria Math" w:hAnsi="Cambria Math"/>
                          <w:i/>
                          <w:sz w:val="24"/>
                        </w:rPr>
                      </m:ctrlPr>
                    </m:sSubPr>
                    <m:e>
                      <m:r>
                        <m:rPr/>
                        <w:rPr>
                          <w:rFonts w:hint="eastAsia" w:ascii="Cambria Math" w:hAnsi="Cambria Math"/>
                          <w:sz w:val="24"/>
                        </w:rPr>
                        <m:t>r</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ctrlPr>
                    <w:rPr>
                      <w:rFonts w:ascii="Cambria Math" w:hAnsi="Cambria Math"/>
                      <w:i/>
                      <w:sz w:val="24"/>
                    </w:rPr>
                  </m:ctrlPr>
                </m:e>
              </m:d>
            </m:oMath>
            <w:r>
              <w:rPr>
                <w:rFonts w:hint="eastAsia"/>
                <w:sz w:val="24"/>
              </w:rPr>
              <w:t>——参考位置r0 处的A 声级，dB（A）；</w:t>
            </w:r>
          </w:p>
          <w:p w14:paraId="794EBD77">
            <w:pPr>
              <w:autoSpaceDE w:val="0"/>
              <w:autoSpaceDN w:val="0"/>
              <w:adjustRightInd w:val="0"/>
              <w:spacing w:line="360" w:lineRule="auto"/>
              <w:ind w:firstLine="960" w:firstLineChars="400"/>
              <w:rPr>
                <w:sz w:val="24"/>
              </w:rPr>
            </w:pPr>
            <m:oMath>
              <m:sSub>
                <m:sSubPr>
                  <m:ctrlPr>
                    <w:rPr>
                      <w:rFonts w:ascii="Cambria Math" w:hAnsi="Cambria Math"/>
                      <w:i/>
                      <w:sz w:val="24"/>
                    </w:rPr>
                  </m:ctrlPr>
                </m:sSubPr>
                <m:e>
                  <m:r>
                    <m:rPr/>
                    <w:rPr>
                      <w:rFonts w:ascii="Cambria Math" w:hAnsi="Cambria Math"/>
                      <w:sz w:val="24"/>
                    </w:rPr>
                    <m:t>A</m:t>
                  </m:r>
                  <m:ctrlPr>
                    <w:rPr>
                      <w:rFonts w:ascii="Cambria Math" w:hAnsi="Cambria Math"/>
                      <w:i/>
                      <w:sz w:val="24"/>
                    </w:rPr>
                  </m:ctrlPr>
                </m:e>
                <m:sub>
                  <m:r>
                    <m:rPr/>
                    <w:rPr>
                      <w:rFonts w:ascii="Cambria Math" w:hAnsi="Cambria Math"/>
                      <w:sz w:val="24"/>
                    </w:rPr>
                    <m:t>div</m:t>
                  </m:r>
                  <m:ctrlPr>
                    <w:rPr>
                      <w:rFonts w:ascii="Cambria Math" w:hAnsi="Cambria Math"/>
                      <w:i/>
                      <w:sz w:val="24"/>
                    </w:rPr>
                  </m:ctrlPr>
                </m:sub>
              </m:sSub>
            </m:oMath>
            <w:r>
              <w:rPr>
                <w:rFonts w:hint="eastAsia"/>
                <w:sz w:val="24"/>
              </w:rPr>
              <w:t xml:space="preserve"> ——几何发散引起的衰减，dB；</w:t>
            </w:r>
          </w:p>
          <w:p w14:paraId="5CC76A47">
            <w:pPr>
              <w:autoSpaceDE w:val="0"/>
              <w:autoSpaceDN w:val="0"/>
              <w:adjustRightInd w:val="0"/>
              <w:spacing w:line="360" w:lineRule="auto"/>
              <w:ind w:firstLine="960" w:firstLineChars="400"/>
              <w:rPr>
                <w:sz w:val="24"/>
              </w:rPr>
            </w:pPr>
            <m:oMath>
              <m:r>
                <m:rPr/>
                <w:rPr>
                  <w:rFonts w:ascii="Cambria Math" w:hAnsi="Cambria Math"/>
                  <w:sz w:val="24"/>
                </w:rPr>
                <m:t>r</m:t>
              </m:r>
            </m:oMath>
            <w:r>
              <w:rPr>
                <w:rFonts w:hint="eastAsia"/>
                <w:sz w:val="24"/>
              </w:rPr>
              <w:t xml:space="preserve"> ——预测点距声源的距离；</w:t>
            </w:r>
          </w:p>
          <w:p w14:paraId="0DAAA4F6">
            <w:pPr>
              <w:autoSpaceDE w:val="0"/>
              <w:autoSpaceDN w:val="0"/>
              <w:adjustRightInd w:val="0"/>
              <w:spacing w:line="360" w:lineRule="auto"/>
              <w:ind w:firstLine="960" w:firstLineChars="400"/>
              <w:rPr>
                <w:sz w:val="24"/>
              </w:rPr>
            </w:pPr>
            <m:oMath>
              <m:sSub>
                <m:sSubPr>
                  <m:ctrlPr>
                    <w:rPr>
                      <w:rFonts w:ascii="Cambria Math" w:hAnsi="Cambria Math"/>
                      <w:i/>
                      <w:sz w:val="24"/>
                    </w:rPr>
                  </m:ctrlPr>
                </m:sSubPr>
                <m:e>
                  <m:r>
                    <m:rPr/>
                    <w:rPr>
                      <w:rFonts w:ascii="Cambria Math" w:hAnsi="Cambria Math"/>
                      <w:sz w:val="24"/>
                    </w:rPr>
                    <m:t>r</m:t>
                  </m:r>
                  <m:ctrlPr>
                    <w:rPr>
                      <w:rFonts w:ascii="Cambria Math" w:hAnsi="Cambria Math"/>
                      <w:i/>
                      <w:sz w:val="24"/>
                    </w:rPr>
                  </m:ctrlPr>
                </m:e>
                <m:sub>
                  <m:r>
                    <m:rPr/>
                    <w:rPr>
                      <w:rFonts w:ascii="Cambria Math" w:hAnsi="Cambria Math"/>
                      <w:sz w:val="24"/>
                    </w:rPr>
                    <m:t>0</m:t>
                  </m:r>
                  <m:ctrlPr>
                    <w:rPr>
                      <w:rFonts w:ascii="Cambria Math" w:hAnsi="Cambria Math"/>
                      <w:i/>
                      <w:sz w:val="24"/>
                    </w:rPr>
                  </m:ctrlPr>
                </m:sub>
              </m:sSub>
            </m:oMath>
            <w:r>
              <w:rPr>
                <w:rFonts w:hint="eastAsia"/>
                <w:sz w:val="24"/>
              </w:rPr>
              <w:t xml:space="preserve"> ——参考位置距声源的距离。</w:t>
            </w:r>
          </w:p>
          <w:p w14:paraId="6BEED96F">
            <w:pPr>
              <w:autoSpaceDE w:val="0"/>
              <w:autoSpaceDN w:val="0"/>
              <w:adjustRightInd w:val="0"/>
              <w:spacing w:line="360" w:lineRule="auto"/>
              <w:ind w:firstLine="480" w:firstLineChars="200"/>
              <w:rPr>
                <w:sz w:val="24"/>
              </w:rPr>
            </w:pPr>
            <w:r>
              <w:rPr>
                <w:rFonts w:hint="eastAsia"/>
                <w:sz w:val="24"/>
              </w:rPr>
              <w:t>预测结果见下表。</w:t>
            </w:r>
          </w:p>
          <w:p w14:paraId="4778C733">
            <w:pPr>
              <w:jc w:val="center"/>
              <w:rPr>
                <w:rFonts w:eastAsia="黑体"/>
                <w:sz w:val="24"/>
              </w:rPr>
            </w:pPr>
            <w:r>
              <w:rPr>
                <w:rFonts w:eastAsia="黑体"/>
                <w:sz w:val="24"/>
              </w:rPr>
              <w:t>表4-2</w:t>
            </w:r>
            <w:r>
              <w:rPr>
                <w:rFonts w:hint="eastAsia" w:eastAsia="黑体"/>
                <w:sz w:val="24"/>
              </w:rPr>
              <w:t xml:space="preserve">施工设备噪声对不同距离接受点的影响值 </w:t>
            </w:r>
            <w:r>
              <w:rPr>
                <w:rFonts w:eastAsia="黑体"/>
                <w:sz w:val="24"/>
              </w:rPr>
              <w:t xml:space="preserve">  </w:t>
            </w:r>
            <w:r>
              <w:rPr>
                <w:rFonts w:hint="eastAsia" w:eastAsia="黑体"/>
                <w:sz w:val="24"/>
              </w:rPr>
              <w:t>单位：dB（A）</w:t>
            </w:r>
          </w:p>
          <w:p w14:paraId="73642A97">
            <w:pPr>
              <w:kinsoku w:val="0"/>
              <w:overflowPunct w:val="0"/>
              <w:autoSpaceDE w:val="0"/>
              <w:autoSpaceDN w:val="0"/>
              <w:adjustRightInd w:val="0"/>
              <w:jc w:val="left"/>
              <w:rPr>
                <w:kern w:val="0"/>
                <w:sz w:val="6"/>
                <w:szCs w:val="6"/>
              </w:rPr>
            </w:pPr>
          </w:p>
          <w:tbl>
            <w:tblPr>
              <w:tblStyle w:val="45"/>
              <w:tblW w:w="8505" w:type="dxa"/>
              <w:tblInd w:w="29" w:type="dxa"/>
              <w:tblLayout w:type="fixed"/>
              <w:tblCellMar>
                <w:top w:w="0" w:type="dxa"/>
                <w:left w:w="0" w:type="dxa"/>
                <w:bottom w:w="0" w:type="dxa"/>
                <w:right w:w="0" w:type="dxa"/>
              </w:tblCellMar>
            </w:tblPr>
            <w:tblGrid>
              <w:gridCol w:w="425"/>
              <w:gridCol w:w="993"/>
              <w:gridCol w:w="850"/>
              <w:gridCol w:w="709"/>
              <w:gridCol w:w="709"/>
              <w:gridCol w:w="708"/>
              <w:gridCol w:w="709"/>
              <w:gridCol w:w="567"/>
              <w:gridCol w:w="567"/>
              <w:gridCol w:w="709"/>
              <w:gridCol w:w="850"/>
              <w:gridCol w:w="709"/>
            </w:tblGrid>
            <w:tr w14:paraId="4CEB4FF0">
              <w:tblPrEx>
                <w:tblCellMar>
                  <w:top w:w="0" w:type="dxa"/>
                  <w:left w:w="0" w:type="dxa"/>
                  <w:bottom w:w="0" w:type="dxa"/>
                  <w:right w:w="0" w:type="dxa"/>
                </w:tblCellMar>
              </w:tblPrEx>
              <w:trPr>
                <w:trHeight w:val="335" w:hRule="atLeast"/>
              </w:trPr>
              <w:tc>
                <w:tcPr>
                  <w:tcW w:w="425" w:type="dxa"/>
                  <w:vMerge w:val="restart"/>
                  <w:tcBorders>
                    <w:top w:val="single" w:color="000000" w:sz="4" w:space="0"/>
                    <w:left w:val="single" w:color="000000" w:sz="4" w:space="0"/>
                    <w:bottom w:val="single" w:color="000000" w:sz="4" w:space="0"/>
                    <w:right w:val="single" w:color="000000" w:sz="4" w:space="0"/>
                  </w:tcBorders>
                  <w:vAlign w:val="center"/>
                </w:tcPr>
                <w:p w14:paraId="64C2DC50">
                  <w:pPr>
                    <w:jc w:val="center"/>
                  </w:pPr>
                  <w:r>
                    <w:t>序号</w:t>
                  </w:r>
                </w:p>
              </w:tc>
              <w:tc>
                <w:tcPr>
                  <w:tcW w:w="993" w:type="dxa"/>
                  <w:vMerge w:val="restart"/>
                  <w:tcBorders>
                    <w:top w:val="single" w:color="000000" w:sz="4" w:space="0"/>
                    <w:left w:val="single" w:color="000000" w:sz="4" w:space="0"/>
                    <w:bottom w:val="single" w:color="000000" w:sz="4" w:space="0"/>
                    <w:right w:val="single" w:color="000000" w:sz="4" w:space="0"/>
                  </w:tcBorders>
                  <w:vAlign w:val="center"/>
                </w:tcPr>
                <w:p w14:paraId="228AD3D6">
                  <w:pPr>
                    <w:jc w:val="center"/>
                  </w:pPr>
                  <w:r>
                    <w:t>机械名称</w:t>
                  </w:r>
                </w:p>
              </w:tc>
              <w:tc>
                <w:tcPr>
                  <w:tcW w:w="850" w:type="dxa"/>
                  <w:vMerge w:val="restart"/>
                  <w:tcBorders>
                    <w:top w:val="single" w:color="000000" w:sz="4" w:space="0"/>
                    <w:left w:val="single" w:color="000000" w:sz="4" w:space="0"/>
                    <w:bottom w:val="single" w:color="000000" w:sz="4" w:space="0"/>
                    <w:right w:val="single" w:color="000000" w:sz="4" w:space="0"/>
                  </w:tcBorders>
                  <w:vAlign w:val="center"/>
                </w:tcPr>
                <w:p w14:paraId="42ED8C5D">
                  <w:pPr>
                    <w:jc w:val="center"/>
                  </w:pPr>
                  <w:r>
                    <w:t>噪声源强</w:t>
                  </w:r>
                </w:p>
              </w:tc>
              <w:tc>
                <w:tcPr>
                  <w:tcW w:w="6237" w:type="dxa"/>
                  <w:gridSpan w:val="9"/>
                  <w:tcBorders>
                    <w:top w:val="single" w:color="000000" w:sz="4" w:space="0"/>
                    <w:left w:val="single" w:color="000000" w:sz="4" w:space="0"/>
                    <w:bottom w:val="single" w:color="000000" w:sz="4" w:space="0"/>
                    <w:right w:val="single" w:color="000000" w:sz="4" w:space="0"/>
                  </w:tcBorders>
                  <w:vAlign w:val="center"/>
                </w:tcPr>
                <w:p w14:paraId="2E2E9A89">
                  <w:pPr>
                    <w:jc w:val="center"/>
                  </w:pPr>
                  <w:r>
                    <w:t>不同距离处的噪声预测[dB(A)]</w:t>
                  </w:r>
                </w:p>
              </w:tc>
            </w:tr>
            <w:tr w14:paraId="6F316606">
              <w:tblPrEx>
                <w:tblCellMar>
                  <w:top w:w="0" w:type="dxa"/>
                  <w:left w:w="0" w:type="dxa"/>
                  <w:bottom w:w="0" w:type="dxa"/>
                  <w:right w:w="0" w:type="dxa"/>
                </w:tblCellMar>
              </w:tblPrEx>
              <w:trPr>
                <w:trHeight w:val="335" w:hRule="atLeast"/>
              </w:trPr>
              <w:tc>
                <w:tcPr>
                  <w:tcW w:w="425" w:type="dxa"/>
                  <w:vMerge w:val="continue"/>
                  <w:tcBorders>
                    <w:top w:val="nil"/>
                    <w:left w:val="single" w:color="000000" w:sz="4" w:space="0"/>
                    <w:bottom w:val="single" w:color="000000" w:sz="4" w:space="0"/>
                    <w:right w:val="single" w:color="000000" w:sz="4" w:space="0"/>
                  </w:tcBorders>
                  <w:vAlign w:val="center"/>
                </w:tcPr>
                <w:p w14:paraId="7A667FAD">
                  <w:pPr>
                    <w:jc w:val="center"/>
                  </w:pPr>
                </w:p>
              </w:tc>
              <w:tc>
                <w:tcPr>
                  <w:tcW w:w="993" w:type="dxa"/>
                  <w:vMerge w:val="continue"/>
                  <w:tcBorders>
                    <w:top w:val="nil"/>
                    <w:left w:val="single" w:color="000000" w:sz="4" w:space="0"/>
                    <w:bottom w:val="single" w:color="000000" w:sz="4" w:space="0"/>
                    <w:right w:val="single" w:color="000000" w:sz="4" w:space="0"/>
                  </w:tcBorders>
                  <w:vAlign w:val="center"/>
                </w:tcPr>
                <w:p w14:paraId="493D19B7">
                  <w:pPr>
                    <w:jc w:val="center"/>
                  </w:pPr>
                </w:p>
              </w:tc>
              <w:tc>
                <w:tcPr>
                  <w:tcW w:w="850" w:type="dxa"/>
                  <w:vMerge w:val="continue"/>
                  <w:tcBorders>
                    <w:top w:val="nil"/>
                    <w:left w:val="single" w:color="000000" w:sz="4" w:space="0"/>
                    <w:bottom w:val="single" w:color="000000" w:sz="4" w:space="0"/>
                    <w:right w:val="single" w:color="000000" w:sz="4" w:space="0"/>
                  </w:tcBorders>
                  <w:vAlign w:val="center"/>
                </w:tcPr>
                <w:p w14:paraId="481063B6">
                  <w:pPr>
                    <w:jc w:val="center"/>
                  </w:pPr>
                </w:p>
              </w:tc>
              <w:tc>
                <w:tcPr>
                  <w:tcW w:w="709" w:type="dxa"/>
                  <w:tcBorders>
                    <w:top w:val="single" w:color="000000" w:sz="4" w:space="0"/>
                    <w:left w:val="single" w:color="000000" w:sz="4" w:space="0"/>
                    <w:bottom w:val="single" w:color="000000" w:sz="4" w:space="0"/>
                    <w:right w:val="single" w:color="000000" w:sz="4" w:space="0"/>
                  </w:tcBorders>
                  <w:vAlign w:val="center"/>
                </w:tcPr>
                <w:p w14:paraId="37CE1BFA">
                  <w:pPr>
                    <w:jc w:val="center"/>
                  </w:pPr>
                  <w:r>
                    <w:t>10m</w:t>
                  </w:r>
                </w:p>
              </w:tc>
              <w:tc>
                <w:tcPr>
                  <w:tcW w:w="709" w:type="dxa"/>
                  <w:tcBorders>
                    <w:top w:val="single" w:color="000000" w:sz="4" w:space="0"/>
                    <w:left w:val="single" w:color="000000" w:sz="4" w:space="0"/>
                    <w:bottom w:val="single" w:color="000000" w:sz="4" w:space="0"/>
                    <w:right w:val="single" w:color="000000" w:sz="4" w:space="0"/>
                  </w:tcBorders>
                  <w:vAlign w:val="center"/>
                </w:tcPr>
                <w:p w14:paraId="79141E02">
                  <w:pPr>
                    <w:jc w:val="center"/>
                  </w:pPr>
                  <w:r>
                    <w:t>20m</w:t>
                  </w:r>
                </w:p>
              </w:tc>
              <w:tc>
                <w:tcPr>
                  <w:tcW w:w="708" w:type="dxa"/>
                  <w:tcBorders>
                    <w:top w:val="single" w:color="000000" w:sz="4" w:space="0"/>
                    <w:left w:val="single" w:color="000000" w:sz="4" w:space="0"/>
                    <w:bottom w:val="single" w:color="000000" w:sz="4" w:space="0"/>
                    <w:right w:val="single" w:color="000000" w:sz="4" w:space="0"/>
                  </w:tcBorders>
                  <w:vAlign w:val="center"/>
                </w:tcPr>
                <w:p w14:paraId="13D02AEA">
                  <w:pPr>
                    <w:jc w:val="center"/>
                  </w:pPr>
                  <w:r>
                    <w:t>30m</w:t>
                  </w:r>
                </w:p>
              </w:tc>
              <w:tc>
                <w:tcPr>
                  <w:tcW w:w="709" w:type="dxa"/>
                  <w:tcBorders>
                    <w:top w:val="single" w:color="000000" w:sz="4" w:space="0"/>
                    <w:left w:val="single" w:color="000000" w:sz="4" w:space="0"/>
                    <w:bottom w:val="single" w:color="000000" w:sz="4" w:space="0"/>
                    <w:right w:val="single" w:color="000000" w:sz="4" w:space="0"/>
                  </w:tcBorders>
                  <w:vAlign w:val="center"/>
                </w:tcPr>
                <w:p w14:paraId="340B13F9">
                  <w:pPr>
                    <w:jc w:val="center"/>
                  </w:pPr>
                  <w:r>
                    <w:t>40m</w:t>
                  </w:r>
                </w:p>
              </w:tc>
              <w:tc>
                <w:tcPr>
                  <w:tcW w:w="567" w:type="dxa"/>
                  <w:tcBorders>
                    <w:top w:val="single" w:color="000000" w:sz="4" w:space="0"/>
                    <w:left w:val="single" w:color="000000" w:sz="4" w:space="0"/>
                    <w:bottom w:val="single" w:color="000000" w:sz="4" w:space="0"/>
                    <w:right w:val="single" w:color="000000" w:sz="4" w:space="0"/>
                  </w:tcBorders>
                  <w:vAlign w:val="center"/>
                </w:tcPr>
                <w:p w14:paraId="2809FD71">
                  <w:pPr>
                    <w:jc w:val="center"/>
                  </w:pPr>
                  <w:r>
                    <w:t>50m</w:t>
                  </w:r>
                </w:p>
              </w:tc>
              <w:tc>
                <w:tcPr>
                  <w:tcW w:w="567" w:type="dxa"/>
                  <w:tcBorders>
                    <w:top w:val="single" w:color="000000" w:sz="4" w:space="0"/>
                    <w:left w:val="single" w:color="000000" w:sz="4" w:space="0"/>
                    <w:bottom w:val="single" w:color="000000" w:sz="4" w:space="0"/>
                    <w:right w:val="single" w:color="000000" w:sz="4" w:space="0"/>
                  </w:tcBorders>
                  <w:vAlign w:val="center"/>
                </w:tcPr>
                <w:p w14:paraId="224CA48E">
                  <w:pPr>
                    <w:jc w:val="center"/>
                  </w:pPr>
                  <w:r>
                    <w:t>70m</w:t>
                  </w:r>
                </w:p>
              </w:tc>
              <w:tc>
                <w:tcPr>
                  <w:tcW w:w="709" w:type="dxa"/>
                  <w:tcBorders>
                    <w:top w:val="single" w:color="000000" w:sz="4" w:space="0"/>
                    <w:left w:val="single" w:color="000000" w:sz="4" w:space="0"/>
                    <w:bottom w:val="single" w:color="000000" w:sz="4" w:space="0"/>
                    <w:right w:val="single" w:color="000000" w:sz="4" w:space="0"/>
                  </w:tcBorders>
                  <w:vAlign w:val="center"/>
                </w:tcPr>
                <w:p w14:paraId="7151A084">
                  <w:pPr>
                    <w:jc w:val="center"/>
                  </w:pPr>
                  <w:r>
                    <w:t>90m</w:t>
                  </w:r>
                </w:p>
              </w:tc>
              <w:tc>
                <w:tcPr>
                  <w:tcW w:w="850" w:type="dxa"/>
                  <w:tcBorders>
                    <w:top w:val="single" w:color="000000" w:sz="4" w:space="0"/>
                    <w:left w:val="single" w:color="000000" w:sz="4" w:space="0"/>
                    <w:bottom w:val="single" w:color="000000" w:sz="4" w:space="0"/>
                    <w:right w:val="single" w:color="000000" w:sz="4" w:space="0"/>
                  </w:tcBorders>
                  <w:vAlign w:val="center"/>
                </w:tcPr>
                <w:p w14:paraId="6387EC59">
                  <w:pPr>
                    <w:jc w:val="center"/>
                  </w:pPr>
                  <w:r>
                    <w:t>100m</w:t>
                  </w:r>
                </w:p>
              </w:tc>
              <w:tc>
                <w:tcPr>
                  <w:tcW w:w="709" w:type="dxa"/>
                  <w:tcBorders>
                    <w:top w:val="single" w:color="000000" w:sz="4" w:space="0"/>
                    <w:left w:val="single" w:color="000000" w:sz="4" w:space="0"/>
                    <w:bottom w:val="single" w:color="000000" w:sz="4" w:space="0"/>
                    <w:right w:val="single" w:color="000000" w:sz="4" w:space="0"/>
                  </w:tcBorders>
                  <w:vAlign w:val="center"/>
                </w:tcPr>
                <w:p w14:paraId="70831108">
                  <w:pPr>
                    <w:jc w:val="center"/>
                  </w:pPr>
                  <w:r>
                    <w:t>110m</w:t>
                  </w:r>
                </w:p>
              </w:tc>
            </w:tr>
            <w:tr w14:paraId="4B52FC7C">
              <w:tblPrEx>
                <w:tblCellMar>
                  <w:top w:w="0" w:type="dxa"/>
                  <w:left w:w="0" w:type="dxa"/>
                  <w:bottom w:w="0" w:type="dxa"/>
                  <w:right w:w="0" w:type="dxa"/>
                </w:tblCellMar>
              </w:tblPrEx>
              <w:trPr>
                <w:trHeight w:val="335" w:hRule="atLeast"/>
              </w:trPr>
              <w:tc>
                <w:tcPr>
                  <w:tcW w:w="425" w:type="dxa"/>
                  <w:tcBorders>
                    <w:top w:val="single" w:color="000000" w:sz="4" w:space="0"/>
                    <w:left w:val="single" w:color="000000" w:sz="4" w:space="0"/>
                    <w:bottom w:val="single" w:color="000000" w:sz="4" w:space="0"/>
                    <w:right w:val="single" w:color="000000" w:sz="4" w:space="0"/>
                  </w:tcBorders>
                  <w:vAlign w:val="center"/>
                </w:tcPr>
                <w:p w14:paraId="5523F9C7">
                  <w:pPr>
                    <w:jc w:val="center"/>
                  </w:pPr>
                  <w:r>
                    <w:t>1</w:t>
                  </w:r>
                </w:p>
              </w:tc>
              <w:tc>
                <w:tcPr>
                  <w:tcW w:w="993" w:type="dxa"/>
                  <w:tcBorders>
                    <w:top w:val="single" w:color="000000" w:sz="4" w:space="0"/>
                    <w:left w:val="single" w:color="000000" w:sz="4" w:space="0"/>
                    <w:bottom w:val="single" w:color="000000" w:sz="4" w:space="0"/>
                    <w:right w:val="single" w:color="000000" w:sz="4" w:space="0"/>
                  </w:tcBorders>
                  <w:vAlign w:val="center"/>
                </w:tcPr>
                <w:p w14:paraId="60321C09">
                  <w:pPr>
                    <w:jc w:val="center"/>
                  </w:pPr>
                  <w:r>
                    <w:t>牵张机</w:t>
                  </w:r>
                </w:p>
              </w:tc>
              <w:tc>
                <w:tcPr>
                  <w:tcW w:w="850" w:type="dxa"/>
                  <w:tcBorders>
                    <w:top w:val="single" w:color="000000" w:sz="4" w:space="0"/>
                    <w:left w:val="single" w:color="000000" w:sz="4" w:space="0"/>
                    <w:bottom w:val="single" w:color="000000" w:sz="4" w:space="0"/>
                    <w:right w:val="single" w:color="000000" w:sz="4" w:space="0"/>
                  </w:tcBorders>
                  <w:vAlign w:val="center"/>
                </w:tcPr>
                <w:p w14:paraId="7D6A6FD0">
                  <w:pPr>
                    <w:jc w:val="center"/>
                  </w:pPr>
                  <w:r>
                    <w:t>80</w:t>
                  </w:r>
                </w:p>
              </w:tc>
              <w:tc>
                <w:tcPr>
                  <w:tcW w:w="709" w:type="dxa"/>
                  <w:tcBorders>
                    <w:top w:val="single" w:color="000000" w:sz="4" w:space="0"/>
                    <w:left w:val="single" w:color="000000" w:sz="4" w:space="0"/>
                    <w:bottom w:val="single" w:color="000000" w:sz="4" w:space="0"/>
                    <w:right w:val="single" w:color="000000" w:sz="4" w:space="0"/>
                  </w:tcBorders>
                  <w:vAlign w:val="center"/>
                </w:tcPr>
                <w:p w14:paraId="77508A00">
                  <w:pPr>
                    <w:jc w:val="center"/>
                  </w:pPr>
                  <w:r>
                    <w:t>74</w:t>
                  </w:r>
                </w:p>
              </w:tc>
              <w:tc>
                <w:tcPr>
                  <w:tcW w:w="709" w:type="dxa"/>
                  <w:tcBorders>
                    <w:top w:val="single" w:color="000000" w:sz="4" w:space="0"/>
                    <w:left w:val="single" w:color="000000" w:sz="4" w:space="0"/>
                    <w:bottom w:val="single" w:color="000000" w:sz="4" w:space="0"/>
                    <w:right w:val="single" w:color="000000" w:sz="4" w:space="0"/>
                  </w:tcBorders>
                  <w:vAlign w:val="center"/>
                </w:tcPr>
                <w:p w14:paraId="67CB238D">
                  <w:pPr>
                    <w:jc w:val="center"/>
                  </w:pPr>
                  <w:r>
                    <w:t>68</w:t>
                  </w:r>
                </w:p>
              </w:tc>
              <w:tc>
                <w:tcPr>
                  <w:tcW w:w="708" w:type="dxa"/>
                  <w:tcBorders>
                    <w:top w:val="single" w:color="000000" w:sz="4" w:space="0"/>
                    <w:left w:val="single" w:color="000000" w:sz="4" w:space="0"/>
                    <w:bottom w:val="single" w:color="000000" w:sz="4" w:space="0"/>
                    <w:right w:val="single" w:color="000000" w:sz="4" w:space="0"/>
                  </w:tcBorders>
                  <w:vAlign w:val="center"/>
                </w:tcPr>
                <w:p w14:paraId="771FB44E">
                  <w:pPr>
                    <w:jc w:val="center"/>
                  </w:pPr>
                  <w:r>
                    <w:t>64</w:t>
                  </w:r>
                </w:p>
              </w:tc>
              <w:tc>
                <w:tcPr>
                  <w:tcW w:w="709" w:type="dxa"/>
                  <w:tcBorders>
                    <w:top w:val="single" w:color="000000" w:sz="4" w:space="0"/>
                    <w:left w:val="single" w:color="000000" w:sz="4" w:space="0"/>
                    <w:bottom w:val="single" w:color="000000" w:sz="4" w:space="0"/>
                    <w:right w:val="single" w:color="000000" w:sz="4" w:space="0"/>
                  </w:tcBorders>
                  <w:vAlign w:val="center"/>
                </w:tcPr>
                <w:p w14:paraId="16551D9C">
                  <w:pPr>
                    <w:jc w:val="center"/>
                  </w:pPr>
                  <w:r>
                    <w:t>62</w:t>
                  </w:r>
                </w:p>
              </w:tc>
              <w:tc>
                <w:tcPr>
                  <w:tcW w:w="567" w:type="dxa"/>
                  <w:tcBorders>
                    <w:top w:val="single" w:color="000000" w:sz="4" w:space="0"/>
                    <w:left w:val="single" w:color="000000" w:sz="4" w:space="0"/>
                    <w:bottom w:val="single" w:color="000000" w:sz="4" w:space="0"/>
                    <w:right w:val="single" w:color="000000" w:sz="4" w:space="0"/>
                  </w:tcBorders>
                  <w:vAlign w:val="center"/>
                </w:tcPr>
                <w:p w14:paraId="5A5D9428">
                  <w:pPr>
                    <w:jc w:val="center"/>
                  </w:pPr>
                  <w:r>
                    <w:t>60</w:t>
                  </w:r>
                </w:p>
              </w:tc>
              <w:tc>
                <w:tcPr>
                  <w:tcW w:w="567" w:type="dxa"/>
                  <w:tcBorders>
                    <w:top w:val="single" w:color="000000" w:sz="4" w:space="0"/>
                    <w:left w:val="single" w:color="000000" w:sz="4" w:space="0"/>
                    <w:bottom w:val="single" w:color="000000" w:sz="4" w:space="0"/>
                    <w:right w:val="single" w:color="000000" w:sz="4" w:space="0"/>
                  </w:tcBorders>
                  <w:vAlign w:val="center"/>
                </w:tcPr>
                <w:p w14:paraId="53099BFF">
                  <w:pPr>
                    <w:jc w:val="center"/>
                  </w:pPr>
                  <w:r>
                    <w:t>57</w:t>
                  </w:r>
                </w:p>
              </w:tc>
              <w:tc>
                <w:tcPr>
                  <w:tcW w:w="709" w:type="dxa"/>
                  <w:tcBorders>
                    <w:top w:val="single" w:color="000000" w:sz="4" w:space="0"/>
                    <w:left w:val="single" w:color="000000" w:sz="4" w:space="0"/>
                    <w:bottom w:val="single" w:color="000000" w:sz="4" w:space="0"/>
                    <w:right w:val="single" w:color="000000" w:sz="4" w:space="0"/>
                  </w:tcBorders>
                  <w:vAlign w:val="center"/>
                </w:tcPr>
                <w:p w14:paraId="32B25AD5">
                  <w:pPr>
                    <w:jc w:val="center"/>
                  </w:pPr>
                  <w:r>
                    <w:t>55</w:t>
                  </w:r>
                </w:p>
              </w:tc>
              <w:tc>
                <w:tcPr>
                  <w:tcW w:w="850" w:type="dxa"/>
                  <w:tcBorders>
                    <w:top w:val="single" w:color="000000" w:sz="4" w:space="0"/>
                    <w:left w:val="single" w:color="000000" w:sz="4" w:space="0"/>
                    <w:bottom w:val="single" w:color="000000" w:sz="4" w:space="0"/>
                    <w:right w:val="single" w:color="000000" w:sz="4" w:space="0"/>
                  </w:tcBorders>
                  <w:vAlign w:val="center"/>
                </w:tcPr>
                <w:p w14:paraId="7F536502">
                  <w:pPr>
                    <w:jc w:val="center"/>
                  </w:pPr>
                  <w:r>
                    <w:t>54</w:t>
                  </w:r>
                </w:p>
              </w:tc>
              <w:tc>
                <w:tcPr>
                  <w:tcW w:w="709" w:type="dxa"/>
                  <w:tcBorders>
                    <w:top w:val="single" w:color="000000" w:sz="4" w:space="0"/>
                    <w:left w:val="single" w:color="000000" w:sz="4" w:space="0"/>
                    <w:bottom w:val="single" w:color="000000" w:sz="4" w:space="0"/>
                    <w:right w:val="single" w:color="000000" w:sz="4" w:space="0"/>
                  </w:tcBorders>
                  <w:vAlign w:val="center"/>
                </w:tcPr>
                <w:p w14:paraId="3D56F071">
                  <w:pPr>
                    <w:jc w:val="center"/>
                  </w:pPr>
                  <w:r>
                    <w:t>53</w:t>
                  </w:r>
                </w:p>
              </w:tc>
            </w:tr>
            <w:tr w14:paraId="3557C83F">
              <w:tblPrEx>
                <w:tblCellMar>
                  <w:top w:w="0" w:type="dxa"/>
                  <w:left w:w="0" w:type="dxa"/>
                  <w:bottom w:w="0" w:type="dxa"/>
                  <w:right w:w="0" w:type="dxa"/>
                </w:tblCellMar>
              </w:tblPrEx>
              <w:trPr>
                <w:trHeight w:val="335" w:hRule="atLeast"/>
              </w:trPr>
              <w:tc>
                <w:tcPr>
                  <w:tcW w:w="425" w:type="dxa"/>
                  <w:tcBorders>
                    <w:top w:val="single" w:color="000000" w:sz="4" w:space="0"/>
                    <w:left w:val="single" w:color="000000" w:sz="4" w:space="0"/>
                    <w:bottom w:val="single" w:color="000000" w:sz="4" w:space="0"/>
                    <w:right w:val="single" w:color="000000" w:sz="4" w:space="0"/>
                  </w:tcBorders>
                  <w:vAlign w:val="center"/>
                </w:tcPr>
                <w:p w14:paraId="49AD0E4B">
                  <w:pPr>
                    <w:jc w:val="center"/>
                  </w:pPr>
                  <w:r>
                    <w:t>2</w:t>
                  </w:r>
                </w:p>
              </w:tc>
              <w:tc>
                <w:tcPr>
                  <w:tcW w:w="993" w:type="dxa"/>
                  <w:tcBorders>
                    <w:top w:val="single" w:color="000000" w:sz="4" w:space="0"/>
                    <w:left w:val="single" w:color="000000" w:sz="4" w:space="0"/>
                    <w:bottom w:val="single" w:color="000000" w:sz="4" w:space="0"/>
                    <w:right w:val="single" w:color="000000" w:sz="4" w:space="0"/>
                  </w:tcBorders>
                  <w:vAlign w:val="center"/>
                </w:tcPr>
                <w:p w14:paraId="0F0A26A5">
                  <w:pPr>
                    <w:jc w:val="center"/>
                  </w:pPr>
                  <w:r>
                    <w:t>振捣机</w:t>
                  </w:r>
                </w:p>
              </w:tc>
              <w:tc>
                <w:tcPr>
                  <w:tcW w:w="850" w:type="dxa"/>
                  <w:tcBorders>
                    <w:top w:val="single" w:color="000000" w:sz="4" w:space="0"/>
                    <w:left w:val="single" w:color="000000" w:sz="4" w:space="0"/>
                    <w:bottom w:val="single" w:color="000000" w:sz="4" w:space="0"/>
                    <w:right w:val="single" w:color="000000" w:sz="4" w:space="0"/>
                  </w:tcBorders>
                  <w:vAlign w:val="center"/>
                </w:tcPr>
                <w:p w14:paraId="137941CA">
                  <w:pPr>
                    <w:jc w:val="center"/>
                  </w:pPr>
                  <w:r>
                    <w:t>86</w:t>
                  </w:r>
                </w:p>
              </w:tc>
              <w:tc>
                <w:tcPr>
                  <w:tcW w:w="709" w:type="dxa"/>
                  <w:tcBorders>
                    <w:top w:val="single" w:color="000000" w:sz="4" w:space="0"/>
                    <w:left w:val="single" w:color="000000" w:sz="4" w:space="0"/>
                    <w:bottom w:val="single" w:color="000000" w:sz="4" w:space="0"/>
                    <w:right w:val="single" w:color="000000" w:sz="4" w:space="0"/>
                  </w:tcBorders>
                  <w:vAlign w:val="center"/>
                </w:tcPr>
                <w:p w14:paraId="2DDD9E8D">
                  <w:pPr>
                    <w:jc w:val="center"/>
                  </w:pPr>
                  <w:r>
                    <w:t>80</w:t>
                  </w:r>
                </w:p>
              </w:tc>
              <w:tc>
                <w:tcPr>
                  <w:tcW w:w="709" w:type="dxa"/>
                  <w:tcBorders>
                    <w:top w:val="single" w:color="000000" w:sz="4" w:space="0"/>
                    <w:left w:val="single" w:color="000000" w:sz="4" w:space="0"/>
                    <w:bottom w:val="single" w:color="000000" w:sz="4" w:space="0"/>
                    <w:right w:val="single" w:color="000000" w:sz="4" w:space="0"/>
                  </w:tcBorders>
                  <w:vAlign w:val="center"/>
                </w:tcPr>
                <w:p w14:paraId="2A185B98">
                  <w:pPr>
                    <w:jc w:val="center"/>
                  </w:pPr>
                  <w:r>
                    <w:t>74</w:t>
                  </w:r>
                </w:p>
              </w:tc>
              <w:tc>
                <w:tcPr>
                  <w:tcW w:w="708" w:type="dxa"/>
                  <w:tcBorders>
                    <w:top w:val="single" w:color="000000" w:sz="4" w:space="0"/>
                    <w:left w:val="single" w:color="000000" w:sz="4" w:space="0"/>
                    <w:bottom w:val="single" w:color="000000" w:sz="4" w:space="0"/>
                    <w:right w:val="single" w:color="000000" w:sz="4" w:space="0"/>
                  </w:tcBorders>
                  <w:vAlign w:val="center"/>
                </w:tcPr>
                <w:p w14:paraId="037E9DEE">
                  <w:pPr>
                    <w:jc w:val="center"/>
                  </w:pPr>
                  <w:r>
                    <w:t>70</w:t>
                  </w:r>
                </w:p>
              </w:tc>
              <w:tc>
                <w:tcPr>
                  <w:tcW w:w="709" w:type="dxa"/>
                  <w:tcBorders>
                    <w:top w:val="single" w:color="000000" w:sz="4" w:space="0"/>
                    <w:left w:val="single" w:color="000000" w:sz="4" w:space="0"/>
                    <w:bottom w:val="single" w:color="000000" w:sz="4" w:space="0"/>
                    <w:right w:val="single" w:color="000000" w:sz="4" w:space="0"/>
                  </w:tcBorders>
                  <w:vAlign w:val="center"/>
                </w:tcPr>
                <w:p w14:paraId="2B7D606B">
                  <w:pPr>
                    <w:jc w:val="center"/>
                  </w:pPr>
                  <w:r>
                    <w:t>68</w:t>
                  </w:r>
                </w:p>
              </w:tc>
              <w:tc>
                <w:tcPr>
                  <w:tcW w:w="567" w:type="dxa"/>
                  <w:tcBorders>
                    <w:top w:val="single" w:color="000000" w:sz="4" w:space="0"/>
                    <w:left w:val="single" w:color="000000" w:sz="4" w:space="0"/>
                    <w:bottom w:val="single" w:color="000000" w:sz="4" w:space="0"/>
                    <w:right w:val="single" w:color="000000" w:sz="4" w:space="0"/>
                  </w:tcBorders>
                  <w:vAlign w:val="center"/>
                </w:tcPr>
                <w:p w14:paraId="03E8C21D">
                  <w:pPr>
                    <w:jc w:val="center"/>
                  </w:pPr>
                  <w:r>
                    <w:t>66</w:t>
                  </w:r>
                </w:p>
              </w:tc>
              <w:tc>
                <w:tcPr>
                  <w:tcW w:w="567" w:type="dxa"/>
                  <w:tcBorders>
                    <w:top w:val="single" w:color="000000" w:sz="4" w:space="0"/>
                    <w:left w:val="single" w:color="000000" w:sz="4" w:space="0"/>
                    <w:bottom w:val="single" w:color="000000" w:sz="4" w:space="0"/>
                    <w:right w:val="single" w:color="000000" w:sz="4" w:space="0"/>
                  </w:tcBorders>
                  <w:vAlign w:val="center"/>
                </w:tcPr>
                <w:p w14:paraId="136B92D4">
                  <w:pPr>
                    <w:jc w:val="center"/>
                  </w:pPr>
                  <w:r>
                    <w:t>63</w:t>
                  </w:r>
                </w:p>
              </w:tc>
              <w:tc>
                <w:tcPr>
                  <w:tcW w:w="709" w:type="dxa"/>
                  <w:tcBorders>
                    <w:top w:val="single" w:color="000000" w:sz="4" w:space="0"/>
                    <w:left w:val="single" w:color="000000" w:sz="4" w:space="0"/>
                    <w:bottom w:val="single" w:color="000000" w:sz="4" w:space="0"/>
                    <w:right w:val="single" w:color="000000" w:sz="4" w:space="0"/>
                  </w:tcBorders>
                  <w:vAlign w:val="center"/>
                </w:tcPr>
                <w:p w14:paraId="20EC7CA6">
                  <w:pPr>
                    <w:jc w:val="center"/>
                  </w:pPr>
                  <w:r>
                    <w:t>61</w:t>
                  </w:r>
                </w:p>
              </w:tc>
              <w:tc>
                <w:tcPr>
                  <w:tcW w:w="850" w:type="dxa"/>
                  <w:tcBorders>
                    <w:top w:val="single" w:color="000000" w:sz="4" w:space="0"/>
                    <w:left w:val="single" w:color="000000" w:sz="4" w:space="0"/>
                    <w:bottom w:val="single" w:color="000000" w:sz="4" w:space="0"/>
                    <w:right w:val="single" w:color="000000" w:sz="4" w:space="0"/>
                  </w:tcBorders>
                  <w:vAlign w:val="center"/>
                </w:tcPr>
                <w:p w14:paraId="2B76B789">
                  <w:pPr>
                    <w:jc w:val="center"/>
                  </w:pPr>
                  <w:r>
                    <w:t>60</w:t>
                  </w:r>
                </w:p>
              </w:tc>
              <w:tc>
                <w:tcPr>
                  <w:tcW w:w="709" w:type="dxa"/>
                  <w:tcBorders>
                    <w:top w:val="single" w:color="000000" w:sz="4" w:space="0"/>
                    <w:left w:val="single" w:color="000000" w:sz="4" w:space="0"/>
                    <w:bottom w:val="single" w:color="000000" w:sz="4" w:space="0"/>
                    <w:right w:val="single" w:color="000000" w:sz="4" w:space="0"/>
                  </w:tcBorders>
                  <w:vAlign w:val="center"/>
                </w:tcPr>
                <w:p w14:paraId="046BC456">
                  <w:pPr>
                    <w:jc w:val="center"/>
                  </w:pPr>
                  <w:r>
                    <w:t>59</w:t>
                  </w:r>
                </w:p>
              </w:tc>
            </w:tr>
            <w:tr w14:paraId="0D9B80D8">
              <w:tblPrEx>
                <w:tblCellMar>
                  <w:top w:w="0" w:type="dxa"/>
                  <w:left w:w="0" w:type="dxa"/>
                  <w:bottom w:w="0" w:type="dxa"/>
                  <w:right w:w="0" w:type="dxa"/>
                </w:tblCellMar>
              </w:tblPrEx>
              <w:trPr>
                <w:trHeight w:val="335" w:hRule="atLeast"/>
              </w:trPr>
              <w:tc>
                <w:tcPr>
                  <w:tcW w:w="425" w:type="dxa"/>
                  <w:tcBorders>
                    <w:top w:val="single" w:color="000000" w:sz="4" w:space="0"/>
                    <w:left w:val="single" w:color="000000" w:sz="4" w:space="0"/>
                    <w:bottom w:val="single" w:color="000000" w:sz="4" w:space="0"/>
                    <w:right w:val="single" w:color="000000" w:sz="4" w:space="0"/>
                  </w:tcBorders>
                  <w:vAlign w:val="center"/>
                </w:tcPr>
                <w:p w14:paraId="03A9EACA">
                  <w:pPr>
                    <w:jc w:val="center"/>
                  </w:pPr>
                  <w:r>
                    <w:t>3</w:t>
                  </w:r>
                </w:p>
              </w:tc>
              <w:tc>
                <w:tcPr>
                  <w:tcW w:w="993" w:type="dxa"/>
                  <w:tcBorders>
                    <w:top w:val="single" w:color="000000" w:sz="4" w:space="0"/>
                    <w:left w:val="single" w:color="000000" w:sz="4" w:space="0"/>
                    <w:bottom w:val="single" w:color="000000" w:sz="4" w:space="0"/>
                    <w:right w:val="single" w:color="000000" w:sz="4" w:space="0"/>
                  </w:tcBorders>
                  <w:vAlign w:val="center"/>
                </w:tcPr>
                <w:p w14:paraId="28A0E8F4">
                  <w:pPr>
                    <w:jc w:val="center"/>
                  </w:pPr>
                  <w:r>
                    <w:t>吊装机械</w:t>
                  </w:r>
                </w:p>
              </w:tc>
              <w:tc>
                <w:tcPr>
                  <w:tcW w:w="850" w:type="dxa"/>
                  <w:tcBorders>
                    <w:top w:val="single" w:color="000000" w:sz="4" w:space="0"/>
                    <w:left w:val="single" w:color="000000" w:sz="4" w:space="0"/>
                    <w:bottom w:val="single" w:color="000000" w:sz="4" w:space="0"/>
                    <w:right w:val="single" w:color="000000" w:sz="4" w:space="0"/>
                  </w:tcBorders>
                  <w:vAlign w:val="center"/>
                </w:tcPr>
                <w:p w14:paraId="40159A81">
                  <w:pPr>
                    <w:jc w:val="center"/>
                  </w:pPr>
                  <w:r>
                    <w:t>80</w:t>
                  </w:r>
                </w:p>
              </w:tc>
              <w:tc>
                <w:tcPr>
                  <w:tcW w:w="709" w:type="dxa"/>
                  <w:tcBorders>
                    <w:top w:val="single" w:color="000000" w:sz="4" w:space="0"/>
                    <w:left w:val="single" w:color="000000" w:sz="4" w:space="0"/>
                    <w:bottom w:val="single" w:color="000000" w:sz="4" w:space="0"/>
                    <w:right w:val="single" w:color="000000" w:sz="4" w:space="0"/>
                  </w:tcBorders>
                  <w:vAlign w:val="center"/>
                </w:tcPr>
                <w:p w14:paraId="17D513BE">
                  <w:pPr>
                    <w:jc w:val="center"/>
                  </w:pPr>
                  <w:r>
                    <w:t>74</w:t>
                  </w:r>
                </w:p>
              </w:tc>
              <w:tc>
                <w:tcPr>
                  <w:tcW w:w="709" w:type="dxa"/>
                  <w:tcBorders>
                    <w:top w:val="single" w:color="000000" w:sz="4" w:space="0"/>
                    <w:left w:val="single" w:color="000000" w:sz="4" w:space="0"/>
                    <w:bottom w:val="single" w:color="000000" w:sz="4" w:space="0"/>
                    <w:right w:val="single" w:color="000000" w:sz="4" w:space="0"/>
                  </w:tcBorders>
                  <w:vAlign w:val="center"/>
                </w:tcPr>
                <w:p w14:paraId="6463216F">
                  <w:pPr>
                    <w:jc w:val="center"/>
                  </w:pPr>
                  <w:r>
                    <w:t>68</w:t>
                  </w:r>
                </w:p>
              </w:tc>
              <w:tc>
                <w:tcPr>
                  <w:tcW w:w="708" w:type="dxa"/>
                  <w:tcBorders>
                    <w:top w:val="single" w:color="000000" w:sz="4" w:space="0"/>
                    <w:left w:val="single" w:color="000000" w:sz="4" w:space="0"/>
                    <w:bottom w:val="single" w:color="000000" w:sz="4" w:space="0"/>
                    <w:right w:val="single" w:color="000000" w:sz="4" w:space="0"/>
                  </w:tcBorders>
                  <w:vAlign w:val="center"/>
                </w:tcPr>
                <w:p w14:paraId="4A068F1E">
                  <w:pPr>
                    <w:jc w:val="center"/>
                  </w:pPr>
                  <w:r>
                    <w:t>64</w:t>
                  </w:r>
                </w:p>
              </w:tc>
              <w:tc>
                <w:tcPr>
                  <w:tcW w:w="709" w:type="dxa"/>
                  <w:tcBorders>
                    <w:top w:val="single" w:color="000000" w:sz="4" w:space="0"/>
                    <w:left w:val="single" w:color="000000" w:sz="4" w:space="0"/>
                    <w:bottom w:val="single" w:color="000000" w:sz="4" w:space="0"/>
                    <w:right w:val="single" w:color="000000" w:sz="4" w:space="0"/>
                  </w:tcBorders>
                  <w:vAlign w:val="center"/>
                </w:tcPr>
                <w:p w14:paraId="78AD4C09">
                  <w:pPr>
                    <w:jc w:val="center"/>
                  </w:pPr>
                  <w:r>
                    <w:t>62</w:t>
                  </w:r>
                </w:p>
              </w:tc>
              <w:tc>
                <w:tcPr>
                  <w:tcW w:w="567" w:type="dxa"/>
                  <w:tcBorders>
                    <w:top w:val="single" w:color="000000" w:sz="4" w:space="0"/>
                    <w:left w:val="single" w:color="000000" w:sz="4" w:space="0"/>
                    <w:bottom w:val="single" w:color="000000" w:sz="4" w:space="0"/>
                    <w:right w:val="single" w:color="000000" w:sz="4" w:space="0"/>
                  </w:tcBorders>
                  <w:vAlign w:val="center"/>
                </w:tcPr>
                <w:p w14:paraId="2B4AE2D1">
                  <w:pPr>
                    <w:jc w:val="center"/>
                  </w:pPr>
                  <w:r>
                    <w:t>60</w:t>
                  </w:r>
                </w:p>
              </w:tc>
              <w:tc>
                <w:tcPr>
                  <w:tcW w:w="567" w:type="dxa"/>
                  <w:tcBorders>
                    <w:top w:val="single" w:color="000000" w:sz="4" w:space="0"/>
                    <w:left w:val="single" w:color="000000" w:sz="4" w:space="0"/>
                    <w:bottom w:val="single" w:color="000000" w:sz="4" w:space="0"/>
                    <w:right w:val="single" w:color="000000" w:sz="4" w:space="0"/>
                  </w:tcBorders>
                  <w:vAlign w:val="center"/>
                </w:tcPr>
                <w:p w14:paraId="72EC34FA">
                  <w:pPr>
                    <w:jc w:val="center"/>
                  </w:pPr>
                  <w:r>
                    <w:t>57</w:t>
                  </w:r>
                </w:p>
              </w:tc>
              <w:tc>
                <w:tcPr>
                  <w:tcW w:w="709" w:type="dxa"/>
                  <w:tcBorders>
                    <w:top w:val="single" w:color="000000" w:sz="4" w:space="0"/>
                    <w:left w:val="single" w:color="000000" w:sz="4" w:space="0"/>
                    <w:bottom w:val="single" w:color="000000" w:sz="4" w:space="0"/>
                    <w:right w:val="single" w:color="000000" w:sz="4" w:space="0"/>
                  </w:tcBorders>
                  <w:vAlign w:val="center"/>
                </w:tcPr>
                <w:p w14:paraId="6AB95ED7">
                  <w:pPr>
                    <w:jc w:val="center"/>
                  </w:pPr>
                  <w:r>
                    <w:t>55</w:t>
                  </w:r>
                </w:p>
              </w:tc>
              <w:tc>
                <w:tcPr>
                  <w:tcW w:w="850" w:type="dxa"/>
                  <w:tcBorders>
                    <w:top w:val="single" w:color="000000" w:sz="4" w:space="0"/>
                    <w:left w:val="single" w:color="000000" w:sz="4" w:space="0"/>
                    <w:bottom w:val="single" w:color="000000" w:sz="4" w:space="0"/>
                    <w:right w:val="single" w:color="000000" w:sz="4" w:space="0"/>
                  </w:tcBorders>
                  <w:vAlign w:val="center"/>
                </w:tcPr>
                <w:p w14:paraId="64786067">
                  <w:pPr>
                    <w:jc w:val="center"/>
                  </w:pPr>
                  <w:r>
                    <w:t>54</w:t>
                  </w:r>
                </w:p>
              </w:tc>
              <w:tc>
                <w:tcPr>
                  <w:tcW w:w="709" w:type="dxa"/>
                  <w:tcBorders>
                    <w:top w:val="single" w:color="000000" w:sz="4" w:space="0"/>
                    <w:left w:val="single" w:color="000000" w:sz="4" w:space="0"/>
                    <w:bottom w:val="single" w:color="000000" w:sz="4" w:space="0"/>
                    <w:right w:val="single" w:color="000000" w:sz="4" w:space="0"/>
                  </w:tcBorders>
                  <w:vAlign w:val="center"/>
                </w:tcPr>
                <w:p w14:paraId="79174ABF">
                  <w:pPr>
                    <w:jc w:val="center"/>
                  </w:pPr>
                  <w:r>
                    <w:t>53</w:t>
                  </w:r>
                </w:p>
              </w:tc>
            </w:tr>
            <w:tr w14:paraId="2900A250">
              <w:tblPrEx>
                <w:tblCellMar>
                  <w:top w:w="0" w:type="dxa"/>
                  <w:left w:w="0" w:type="dxa"/>
                  <w:bottom w:w="0" w:type="dxa"/>
                  <w:right w:w="0" w:type="dxa"/>
                </w:tblCellMar>
              </w:tblPrEx>
              <w:trPr>
                <w:trHeight w:val="335" w:hRule="atLeast"/>
              </w:trPr>
              <w:tc>
                <w:tcPr>
                  <w:tcW w:w="425" w:type="dxa"/>
                  <w:tcBorders>
                    <w:top w:val="single" w:color="000000" w:sz="4" w:space="0"/>
                    <w:left w:val="single" w:color="000000" w:sz="4" w:space="0"/>
                    <w:bottom w:val="single" w:color="000000" w:sz="4" w:space="0"/>
                    <w:right w:val="single" w:color="000000" w:sz="4" w:space="0"/>
                  </w:tcBorders>
                  <w:vAlign w:val="center"/>
                </w:tcPr>
                <w:p w14:paraId="21AA90E6">
                  <w:pPr>
                    <w:jc w:val="center"/>
                  </w:pPr>
                  <w:r>
                    <w:t>4</w:t>
                  </w:r>
                </w:p>
              </w:tc>
              <w:tc>
                <w:tcPr>
                  <w:tcW w:w="993" w:type="dxa"/>
                  <w:tcBorders>
                    <w:top w:val="single" w:color="000000" w:sz="4" w:space="0"/>
                    <w:left w:val="single" w:color="000000" w:sz="4" w:space="0"/>
                    <w:bottom w:val="single" w:color="000000" w:sz="4" w:space="0"/>
                    <w:right w:val="single" w:color="000000" w:sz="4" w:space="0"/>
                  </w:tcBorders>
                  <w:vAlign w:val="center"/>
                </w:tcPr>
                <w:p w14:paraId="27858466">
                  <w:pPr>
                    <w:jc w:val="center"/>
                  </w:pPr>
                  <w:r>
                    <w:t>自卸卡车</w:t>
                  </w:r>
                </w:p>
              </w:tc>
              <w:tc>
                <w:tcPr>
                  <w:tcW w:w="850" w:type="dxa"/>
                  <w:tcBorders>
                    <w:top w:val="single" w:color="000000" w:sz="4" w:space="0"/>
                    <w:left w:val="single" w:color="000000" w:sz="4" w:space="0"/>
                    <w:bottom w:val="single" w:color="000000" w:sz="4" w:space="0"/>
                    <w:right w:val="single" w:color="000000" w:sz="4" w:space="0"/>
                  </w:tcBorders>
                  <w:vAlign w:val="center"/>
                </w:tcPr>
                <w:p w14:paraId="4835036A">
                  <w:pPr>
                    <w:jc w:val="center"/>
                  </w:pPr>
                  <w:r>
                    <w:t>82</w:t>
                  </w:r>
                </w:p>
              </w:tc>
              <w:tc>
                <w:tcPr>
                  <w:tcW w:w="709" w:type="dxa"/>
                  <w:tcBorders>
                    <w:top w:val="single" w:color="000000" w:sz="4" w:space="0"/>
                    <w:left w:val="single" w:color="000000" w:sz="4" w:space="0"/>
                    <w:bottom w:val="single" w:color="000000" w:sz="4" w:space="0"/>
                    <w:right w:val="single" w:color="000000" w:sz="4" w:space="0"/>
                  </w:tcBorders>
                  <w:vAlign w:val="center"/>
                </w:tcPr>
                <w:p w14:paraId="34D0C27D">
                  <w:pPr>
                    <w:jc w:val="center"/>
                  </w:pPr>
                  <w:r>
                    <w:t>76</w:t>
                  </w:r>
                </w:p>
              </w:tc>
              <w:tc>
                <w:tcPr>
                  <w:tcW w:w="709" w:type="dxa"/>
                  <w:tcBorders>
                    <w:top w:val="single" w:color="000000" w:sz="4" w:space="0"/>
                    <w:left w:val="single" w:color="000000" w:sz="4" w:space="0"/>
                    <w:bottom w:val="single" w:color="000000" w:sz="4" w:space="0"/>
                    <w:right w:val="single" w:color="000000" w:sz="4" w:space="0"/>
                  </w:tcBorders>
                  <w:vAlign w:val="center"/>
                </w:tcPr>
                <w:p w14:paraId="47C20C1A">
                  <w:pPr>
                    <w:jc w:val="center"/>
                  </w:pPr>
                  <w:r>
                    <w:t>70</w:t>
                  </w:r>
                </w:p>
              </w:tc>
              <w:tc>
                <w:tcPr>
                  <w:tcW w:w="708" w:type="dxa"/>
                  <w:tcBorders>
                    <w:top w:val="single" w:color="000000" w:sz="4" w:space="0"/>
                    <w:left w:val="single" w:color="000000" w:sz="4" w:space="0"/>
                    <w:bottom w:val="single" w:color="000000" w:sz="4" w:space="0"/>
                    <w:right w:val="single" w:color="000000" w:sz="4" w:space="0"/>
                  </w:tcBorders>
                  <w:vAlign w:val="center"/>
                </w:tcPr>
                <w:p w14:paraId="7A57215A">
                  <w:pPr>
                    <w:jc w:val="center"/>
                  </w:pPr>
                  <w:r>
                    <w:t>66</w:t>
                  </w:r>
                </w:p>
              </w:tc>
              <w:tc>
                <w:tcPr>
                  <w:tcW w:w="709" w:type="dxa"/>
                  <w:tcBorders>
                    <w:top w:val="single" w:color="000000" w:sz="4" w:space="0"/>
                    <w:left w:val="single" w:color="000000" w:sz="4" w:space="0"/>
                    <w:bottom w:val="single" w:color="000000" w:sz="4" w:space="0"/>
                    <w:right w:val="single" w:color="000000" w:sz="4" w:space="0"/>
                  </w:tcBorders>
                  <w:vAlign w:val="center"/>
                </w:tcPr>
                <w:p w14:paraId="7BA766B6">
                  <w:pPr>
                    <w:jc w:val="center"/>
                  </w:pPr>
                  <w:r>
                    <w:t>64</w:t>
                  </w:r>
                </w:p>
              </w:tc>
              <w:tc>
                <w:tcPr>
                  <w:tcW w:w="567" w:type="dxa"/>
                  <w:tcBorders>
                    <w:top w:val="single" w:color="000000" w:sz="4" w:space="0"/>
                    <w:left w:val="single" w:color="000000" w:sz="4" w:space="0"/>
                    <w:bottom w:val="single" w:color="000000" w:sz="4" w:space="0"/>
                    <w:right w:val="single" w:color="000000" w:sz="4" w:space="0"/>
                  </w:tcBorders>
                  <w:vAlign w:val="center"/>
                </w:tcPr>
                <w:p w14:paraId="601C5F68">
                  <w:pPr>
                    <w:jc w:val="center"/>
                  </w:pPr>
                  <w:r>
                    <w:t>62</w:t>
                  </w:r>
                </w:p>
              </w:tc>
              <w:tc>
                <w:tcPr>
                  <w:tcW w:w="567" w:type="dxa"/>
                  <w:tcBorders>
                    <w:top w:val="single" w:color="000000" w:sz="4" w:space="0"/>
                    <w:left w:val="single" w:color="000000" w:sz="4" w:space="0"/>
                    <w:bottom w:val="single" w:color="000000" w:sz="4" w:space="0"/>
                    <w:right w:val="single" w:color="000000" w:sz="4" w:space="0"/>
                  </w:tcBorders>
                  <w:vAlign w:val="center"/>
                </w:tcPr>
                <w:p w14:paraId="3B850C65">
                  <w:pPr>
                    <w:jc w:val="center"/>
                  </w:pPr>
                  <w:r>
                    <w:t>59</w:t>
                  </w:r>
                </w:p>
              </w:tc>
              <w:tc>
                <w:tcPr>
                  <w:tcW w:w="709" w:type="dxa"/>
                  <w:tcBorders>
                    <w:top w:val="single" w:color="000000" w:sz="4" w:space="0"/>
                    <w:left w:val="single" w:color="000000" w:sz="4" w:space="0"/>
                    <w:bottom w:val="single" w:color="000000" w:sz="4" w:space="0"/>
                    <w:right w:val="single" w:color="000000" w:sz="4" w:space="0"/>
                  </w:tcBorders>
                  <w:vAlign w:val="center"/>
                </w:tcPr>
                <w:p w14:paraId="7A3962F1">
                  <w:pPr>
                    <w:jc w:val="center"/>
                  </w:pPr>
                  <w:r>
                    <w:t>57</w:t>
                  </w:r>
                </w:p>
              </w:tc>
              <w:tc>
                <w:tcPr>
                  <w:tcW w:w="850" w:type="dxa"/>
                  <w:tcBorders>
                    <w:top w:val="single" w:color="000000" w:sz="4" w:space="0"/>
                    <w:left w:val="single" w:color="000000" w:sz="4" w:space="0"/>
                    <w:bottom w:val="single" w:color="000000" w:sz="4" w:space="0"/>
                    <w:right w:val="single" w:color="000000" w:sz="4" w:space="0"/>
                  </w:tcBorders>
                  <w:vAlign w:val="center"/>
                </w:tcPr>
                <w:p w14:paraId="0695B91B">
                  <w:pPr>
                    <w:jc w:val="center"/>
                  </w:pPr>
                  <w:r>
                    <w:t>56</w:t>
                  </w:r>
                </w:p>
              </w:tc>
              <w:tc>
                <w:tcPr>
                  <w:tcW w:w="709" w:type="dxa"/>
                  <w:tcBorders>
                    <w:top w:val="single" w:color="000000" w:sz="4" w:space="0"/>
                    <w:left w:val="single" w:color="000000" w:sz="4" w:space="0"/>
                    <w:bottom w:val="single" w:color="000000" w:sz="4" w:space="0"/>
                    <w:right w:val="single" w:color="000000" w:sz="4" w:space="0"/>
                  </w:tcBorders>
                  <w:vAlign w:val="center"/>
                </w:tcPr>
                <w:p w14:paraId="38EAF688">
                  <w:pPr>
                    <w:jc w:val="center"/>
                  </w:pPr>
                  <w:r>
                    <w:t>55</w:t>
                  </w:r>
                </w:p>
              </w:tc>
            </w:tr>
            <w:tr w14:paraId="2A7A8DB0">
              <w:tblPrEx>
                <w:tblCellMar>
                  <w:top w:w="0" w:type="dxa"/>
                  <w:left w:w="0" w:type="dxa"/>
                  <w:bottom w:w="0" w:type="dxa"/>
                  <w:right w:w="0" w:type="dxa"/>
                </w:tblCellMar>
              </w:tblPrEx>
              <w:trPr>
                <w:trHeight w:val="335" w:hRule="atLeast"/>
              </w:trPr>
              <w:tc>
                <w:tcPr>
                  <w:tcW w:w="425" w:type="dxa"/>
                  <w:tcBorders>
                    <w:top w:val="single" w:color="000000" w:sz="4" w:space="0"/>
                    <w:left w:val="single" w:color="000000" w:sz="4" w:space="0"/>
                    <w:bottom w:val="single" w:color="000000" w:sz="4" w:space="0"/>
                    <w:right w:val="single" w:color="000000" w:sz="4" w:space="0"/>
                  </w:tcBorders>
                  <w:vAlign w:val="center"/>
                </w:tcPr>
                <w:p w14:paraId="185FA7EA">
                  <w:pPr>
                    <w:jc w:val="center"/>
                  </w:pPr>
                  <w:r>
                    <w:t>5</w:t>
                  </w:r>
                </w:p>
              </w:tc>
              <w:tc>
                <w:tcPr>
                  <w:tcW w:w="993" w:type="dxa"/>
                  <w:tcBorders>
                    <w:top w:val="single" w:color="000000" w:sz="4" w:space="0"/>
                    <w:left w:val="single" w:color="000000" w:sz="4" w:space="0"/>
                    <w:bottom w:val="single" w:color="000000" w:sz="4" w:space="0"/>
                    <w:right w:val="single" w:color="000000" w:sz="4" w:space="0"/>
                  </w:tcBorders>
                  <w:vAlign w:val="center"/>
                </w:tcPr>
                <w:p w14:paraId="28B96F1C">
                  <w:pPr>
                    <w:jc w:val="center"/>
                  </w:pPr>
                  <w:r>
                    <w:rPr>
                      <w:rFonts w:hint="eastAsia"/>
                    </w:rPr>
                    <w:t>电焊机</w:t>
                  </w:r>
                </w:p>
              </w:tc>
              <w:tc>
                <w:tcPr>
                  <w:tcW w:w="850" w:type="dxa"/>
                  <w:tcBorders>
                    <w:top w:val="single" w:color="000000" w:sz="4" w:space="0"/>
                    <w:left w:val="single" w:color="000000" w:sz="4" w:space="0"/>
                    <w:bottom w:val="single" w:color="000000" w:sz="4" w:space="0"/>
                    <w:right w:val="single" w:color="000000" w:sz="4" w:space="0"/>
                  </w:tcBorders>
                  <w:vAlign w:val="center"/>
                </w:tcPr>
                <w:p w14:paraId="6CE85A5D">
                  <w:pPr>
                    <w:jc w:val="center"/>
                  </w:pPr>
                  <w:r>
                    <w:t>95</w:t>
                  </w:r>
                </w:p>
              </w:tc>
              <w:tc>
                <w:tcPr>
                  <w:tcW w:w="709" w:type="dxa"/>
                  <w:tcBorders>
                    <w:top w:val="single" w:color="000000" w:sz="4" w:space="0"/>
                    <w:left w:val="single" w:color="000000" w:sz="4" w:space="0"/>
                    <w:bottom w:val="single" w:color="000000" w:sz="4" w:space="0"/>
                    <w:right w:val="single" w:color="000000" w:sz="4" w:space="0"/>
                  </w:tcBorders>
                  <w:vAlign w:val="center"/>
                </w:tcPr>
                <w:p w14:paraId="28DF8FC8">
                  <w:pPr>
                    <w:jc w:val="center"/>
                  </w:pPr>
                  <w:r>
                    <w:t>89</w:t>
                  </w:r>
                </w:p>
              </w:tc>
              <w:tc>
                <w:tcPr>
                  <w:tcW w:w="709" w:type="dxa"/>
                  <w:tcBorders>
                    <w:top w:val="single" w:color="000000" w:sz="4" w:space="0"/>
                    <w:left w:val="single" w:color="000000" w:sz="4" w:space="0"/>
                    <w:bottom w:val="single" w:color="000000" w:sz="4" w:space="0"/>
                    <w:right w:val="single" w:color="000000" w:sz="4" w:space="0"/>
                  </w:tcBorders>
                  <w:vAlign w:val="center"/>
                </w:tcPr>
                <w:p w14:paraId="239BB803">
                  <w:pPr>
                    <w:jc w:val="center"/>
                  </w:pPr>
                  <w:r>
                    <w:t>83</w:t>
                  </w:r>
                </w:p>
              </w:tc>
              <w:tc>
                <w:tcPr>
                  <w:tcW w:w="708" w:type="dxa"/>
                  <w:tcBorders>
                    <w:top w:val="single" w:color="000000" w:sz="4" w:space="0"/>
                    <w:left w:val="single" w:color="000000" w:sz="4" w:space="0"/>
                    <w:bottom w:val="single" w:color="000000" w:sz="4" w:space="0"/>
                    <w:right w:val="single" w:color="000000" w:sz="4" w:space="0"/>
                  </w:tcBorders>
                  <w:vAlign w:val="center"/>
                </w:tcPr>
                <w:p w14:paraId="27EF0217">
                  <w:pPr>
                    <w:jc w:val="center"/>
                  </w:pPr>
                  <w:r>
                    <w:t>79</w:t>
                  </w:r>
                </w:p>
              </w:tc>
              <w:tc>
                <w:tcPr>
                  <w:tcW w:w="709" w:type="dxa"/>
                  <w:tcBorders>
                    <w:top w:val="single" w:color="000000" w:sz="4" w:space="0"/>
                    <w:left w:val="single" w:color="000000" w:sz="4" w:space="0"/>
                    <w:bottom w:val="single" w:color="000000" w:sz="4" w:space="0"/>
                    <w:right w:val="single" w:color="000000" w:sz="4" w:space="0"/>
                  </w:tcBorders>
                  <w:vAlign w:val="center"/>
                </w:tcPr>
                <w:p w14:paraId="172FEC46">
                  <w:pPr>
                    <w:jc w:val="center"/>
                  </w:pPr>
                  <w:r>
                    <w:t>77</w:t>
                  </w:r>
                </w:p>
              </w:tc>
              <w:tc>
                <w:tcPr>
                  <w:tcW w:w="567" w:type="dxa"/>
                  <w:tcBorders>
                    <w:top w:val="single" w:color="000000" w:sz="4" w:space="0"/>
                    <w:left w:val="single" w:color="000000" w:sz="4" w:space="0"/>
                    <w:bottom w:val="single" w:color="000000" w:sz="4" w:space="0"/>
                    <w:right w:val="single" w:color="000000" w:sz="4" w:space="0"/>
                  </w:tcBorders>
                  <w:vAlign w:val="center"/>
                </w:tcPr>
                <w:p w14:paraId="2487EA96">
                  <w:pPr>
                    <w:jc w:val="center"/>
                  </w:pPr>
                  <w:r>
                    <w:t>75</w:t>
                  </w:r>
                </w:p>
              </w:tc>
              <w:tc>
                <w:tcPr>
                  <w:tcW w:w="567" w:type="dxa"/>
                  <w:tcBorders>
                    <w:top w:val="single" w:color="000000" w:sz="4" w:space="0"/>
                    <w:left w:val="single" w:color="000000" w:sz="4" w:space="0"/>
                    <w:bottom w:val="single" w:color="000000" w:sz="4" w:space="0"/>
                    <w:right w:val="single" w:color="000000" w:sz="4" w:space="0"/>
                  </w:tcBorders>
                  <w:vAlign w:val="center"/>
                </w:tcPr>
                <w:p w14:paraId="0D3F35F7">
                  <w:pPr>
                    <w:jc w:val="center"/>
                  </w:pPr>
                  <w:r>
                    <w:t>72</w:t>
                  </w:r>
                </w:p>
              </w:tc>
              <w:tc>
                <w:tcPr>
                  <w:tcW w:w="709" w:type="dxa"/>
                  <w:tcBorders>
                    <w:top w:val="single" w:color="000000" w:sz="4" w:space="0"/>
                    <w:left w:val="single" w:color="000000" w:sz="4" w:space="0"/>
                    <w:bottom w:val="single" w:color="000000" w:sz="4" w:space="0"/>
                    <w:right w:val="single" w:color="000000" w:sz="4" w:space="0"/>
                  </w:tcBorders>
                  <w:vAlign w:val="center"/>
                </w:tcPr>
                <w:p w14:paraId="4D06046B">
                  <w:pPr>
                    <w:jc w:val="center"/>
                  </w:pPr>
                  <w:r>
                    <w:t>70</w:t>
                  </w:r>
                </w:p>
              </w:tc>
              <w:tc>
                <w:tcPr>
                  <w:tcW w:w="850" w:type="dxa"/>
                  <w:tcBorders>
                    <w:top w:val="single" w:color="000000" w:sz="4" w:space="0"/>
                    <w:left w:val="single" w:color="000000" w:sz="4" w:space="0"/>
                    <w:bottom w:val="single" w:color="000000" w:sz="4" w:space="0"/>
                    <w:right w:val="single" w:color="000000" w:sz="4" w:space="0"/>
                  </w:tcBorders>
                  <w:vAlign w:val="center"/>
                </w:tcPr>
                <w:p w14:paraId="7AE465D8">
                  <w:pPr>
                    <w:jc w:val="center"/>
                  </w:pPr>
                  <w:r>
                    <w:t>69</w:t>
                  </w:r>
                </w:p>
              </w:tc>
              <w:tc>
                <w:tcPr>
                  <w:tcW w:w="709" w:type="dxa"/>
                  <w:tcBorders>
                    <w:top w:val="single" w:color="000000" w:sz="4" w:space="0"/>
                    <w:left w:val="single" w:color="000000" w:sz="4" w:space="0"/>
                    <w:bottom w:val="single" w:color="000000" w:sz="4" w:space="0"/>
                    <w:right w:val="single" w:color="000000" w:sz="4" w:space="0"/>
                  </w:tcBorders>
                  <w:vAlign w:val="center"/>
                </w:tcPr>
                <w:p w14:paraId="2723FBAB">
                  <w:pPr>
                    <w:jc w:val="center"/>
                  </w:pPr>
                  <w:r>
                    <w:t>68</w:t>
                  </w:r>
                </w:p>
              </w:tc>
            </w:tr>
            <w:tr w14:paraId="113ED07F">
              <w:tblPrEx>
                <w:tblCellMar>
                  <w:top w:w="0" w:type="dxa"/>
                  <w:left w:w="0" w:type="dxa"/>
                  <w:bottom w:w="0" w:type="dxa"/>
                  <w:right w:w="0" w:type="dxa"/>
                </w:tblCellMar>
              </w:tblPrEx>
              <w:trPr>
                <w:trHeight w:val="335" w:hRule="atLeast"/>
              </w:trPr>
              <w:tc>
                <w:tcPr>
                  <w:tcW w:w="1418" w:type="dxa"/>
                  <w:gridSpan w:val="2"/>
                  <w:tcBorders>
                    <w:top w:val="single" w:color="000000" w:sz="4" w:space="0"/>
                    <w:left w:val="single" w:color="000000" w:sz="4" w:space="0"/>
                    <w:bottom w:val="single" w:color="000000" w:sz="4" w:space="0"/>
                    <w:right w:val="single" w:color="000000" w:sz="4" w:space="0"/>
                  </w:tcBorders>
                  <w:vAlign w:val="center"/>
                </w:tcPr>
                <w:p w14:paraId="3A9A661D">
                  <w:pPr>
                    <w:jc w:val="center"/>
                  </w:pPr>
                  <w:r>
                    <w:t>多声源叠加值</w:t>
                  </w:r>
                </w:p>
              </w:tc>
              <w:tc>
                <w:tcPr>
                  <w:tcW w:w="850" w:type="dxa"/>
                  <w:tcBorders>
                    <w:top w:val="single" w:color="000000" w:sz="4" w:space="0"/>
                    <w:left w:val="single" w:color="000000" w:sz="4" w:space="0"/>
                    <w:bottom w:val="single" w:color="000000" w:sz="4" w:space="0"/>
                    <w:right w:val="single" w:color="000000" w:sz="4" w:space="0"/>
                  </w:tcBorders>
                  <w:vAlign w:val="center"/>
                </w:tcPr>
                <w:p w14:paraId="504C43D2">
                  <w:pPr>
                    <w:jc w:val="center"/>
                  </w:pPr>
                  <w:r>
                    <w:t>96</w:t>
                  </w:r>
                </w:p>
              </w:tc>
              <w:tc>
                <w:tcPr>
                  <w:tcW w:w="709" w:type="dxa"/>
                  <w:tcBorders>
                    <w:top w:val="single" w:color="000000" w:sz="4" w:space="0"/>
                    <w:left w:val="single" w:color="000000" w:sz="4" w:space="0"/>
                    <w:bottom w:val="single" w:color="000000" w:sz="4" w:space="0"/>
                    <w:right w:val="single" w:color="000000" w:sz="4" w:space="0"/>
                  </w:tcBorders>
                  <w:vAlign w:val="center"/>
                </w:tcPr>
                <w:p w14:paraId="18D2AE9A">
                  <w:pPr>
                    <w:jc w:val="center"/>
                  </w:pPr>
                  <w:r>
                    <w:t>90</w:t>
                  </w:r>
                </w:p>
              </w:tc>
              <w:tc>
                <w:tcPr>
                  <w:tcW w:w="709" w:type="dxa"/>
                  <w:tcBorders>
                    <w:top w:val="single" w:color="000000" w:sz="4" w:space="0"/>
                    <w:left w:val="single" w:color="000000" w:sz="4" w:space="0"/>
                    <w:bottom w:val="single" w:color="000000" w:sz="4" w:space="0"/>
                    <w:right w:val="single" w:color="000000" w:sz="4" w:space="0"/>
                  </w:tcBorders>
                  <w:vAlign w:val="center"/>
                </w:tcPr>
                <w:p w14:paraId="6580FF38">
                  <w:pPr>
                    <w:jc w:val="center"/>
                  </w:pPr>
                  <w:r>
                    <w:t>84</w:t>
                  </w:r>
                </w:p>
              </w:tc>
              <w:tc>
                <w:tcPr>
                  <w:tcW w:w="708" w:type="dxa"/>
                  <w:tcBorders>
                    <w:top w:val="single" w:color="000000" w:sz="4" w:space="0"/>
                    <w:left w:val="single" w:color="000000" w:sz="4" w:space="0"/>
                    <w:bottom w:val="single" w:color="000000" w:sz="4" w:space="0"/>
                    <w:right w:val="single" w:color="000000" w:sz="4" w:space="0"/>
                  </w:tcBorders>
                  <w:vAlign w:val="center"/>
                </w:tcPr>
                <w:p w14:paraId="20CBE6CE">
                  <w:pPr>
                    <w:jc w:val="center"/>
                  </w:pPr>
                  <w:r>
                    <w:t>80</w:t>
                  </w:r>
                </w:p>
              </w:tc>
              <w:tc>
                <w:tcPr>
                  <w:tcW w:w="709" w:type="dxa"/>
                  <w:tcBorders>
                    <w:top w:val="single" w:color="000000" w:sz="4" w:space="0"/>
                    <w:left w:val="single" w:color="000000" w:sz="4" w:space="0"/>
                    <w:bottom w:val="single" w:color="000000" w:sz="4" w:space="0"/>
                    <w:right w:val="single" w:color="000000" w:sz="4" w:space="0"/>
                  </w:tcBorders>
                  <w:vAlign w:val="center"/>
                </w:tcPr>
                <w:p w14:paraId="4962300C">
                  <w:pPr>
                    <w:jc w:val="center"/>
                  </w:pPr>
                  <w:r>
                    <w:t>78</w:t>
                  </w:r>
                </w:p>
              </w:tc>
              <w:tc>
                <w:tcPr>
                  <w:tcW w:w="567" w:type="dxa"/>
                  <w:tcBorders>
                    <w:top w:val="single" w:color="000000" w:sz="4" w:space="0"/>
                    <w:left w:val="single" w:color="000000" w:sz="4" w:space="0"/>
                    <w:bottom w:val="single" w:color="000000" w:sz="4" w:space="0"/>
                    <w:right w:val="single" w:color="000000" w:sz="4" w:space="0"/>
                  </w:tcBorders>
                  <w:vAlign w:val="center"/>
                </w:tcPr>
                <w:p w14:paraId="56DA1393">
                  <w:pPr>
                    <w:jc w:val="center"/>
                  </w:pPr>
                  <w:r>
                    <w:t>76</w:t>
                  </w:r>
                </w:p>
              </w:tc>
              <w:tc>
                <w:tcPr>
                  <w:tcW w:w="567" w:type="dxa"/>
                  <w:tcBorders>
                    <w:top w:val="single" w:color="000000" w:sz="4" w:space="0"/>
                    <w:left w:val="single" w:color="000000" w:sz="4" w:space="0"/>
                    <w:bottom w:val="single" w:color="000000" w:sz="4" w:space="0"/>
                    <w:right w:val="single" w:color="000000" w:sz="4" w:space="0"/>
                  </w:tcBorders>
                  <w:vAlign w:val="center"/>
                </w:tcPr>
                <w:p w14:paraId="072DD8BB">
                  <w:pPr>
                    <w:jc w:val="center"/>
                  </w:pPr>
                  <w:r>
                    <w:t>73</w:t>
                  </w:r>
                </w:p>
              </w:tc>
              <w:tc>
                <w:tcPr>
                  <w:tcW w:w="709" w:type="dxa"/>
                  <w:tcBorders>
                    <w:top w:val="single" w:color="000000" w:sz="4" w:space="0"/>
                    <w:left w:val="single" w:color="000000" w:sz="4" w:space="0"/>
                    <w:bottom w:val="single" w:color="000000" w:sz="4" w:space="0"/>
                    <w:right w:val="single" w:color="000000" w:sz="4" w:space="0"/>
                  </w:tcBorders>
                  <w:vAlign w:val="center"/>
                </w:tcPr>
                <w:p w14:paraId="04E027BF">
                  <w:pPr>
                    <w:jc w:val="center"/>
                  </w:pPr>
                  <w:r>
                    <w:t>71</w:t>
                  </w:r>
                </w:p>
              </w:tc>
              <w:tc>
                <w:tcPr>
                  <w:tcW w:w="850" w:type="dxa"/>
                  <w:tcBorders>
                    <w:top w:val="single" w:color="000000" w:sz="4" w:space="0"/>
                    <w:left w:val="single" w:color="000000" w:sz="4" w:space="0"/>
                    <w:bottom w:val="single" w:color="000000" w:sz="4" w:space="0"/>
                    <w:right w:val="single" w:color="000000" w:sz="4" w:space="0"/>
                  </w:tcBorders>
                  <w:vAlign w:val="center"/>
                </w:tcPr>
                <w:p w14:paraId="26618B80">
                  <w:pPr>
                    <w:jc w:val="center"/>
                  </w:pPr>
                  <w:r>
                    <w:t>70</w:t>
                  </w:r>
                </w:p>
              </w:tc>
              <w:tc>
                <w:tcPr>
                  <w:tcW w:w="709" w:type="dxa"/>
                  <w:tcBorders>
                    <w:top w:val="single" w:color="000000" w:sz="4" w:space="0"/>
                    <w:left w:val="single" w:color="000000" w:sz="4" w:space="0"/>
                    <w:bottom w:val="single" w:color="000000" w:sz="4" w:space="0"/>
                    <w:right w:val="single" w:color="000000" w:sz="4" w:space="0"/>
                  </w:tcBorders>
                  <w:vAlign w:val="center"/>
                </w:tcPr>
                <w:p w14:paraId="0731816C">
                  <w:pPr>
                    <w:jc w:val="center"/>
                  </w:pPr>
                  <w:r>
                    <w:t>69</w:t>
                  </w:r>
                </w:p>
              </w:tc>
            </w:tr>
          </w:tbl>
          <w:p w14:paraId="452EC2CA">
            <w:pPr>
              <w:autoSpaceDE w:val="0"/>
              <w:autoSpaceDN w:val="0"/>
              <w:adjustRightInd w:val="0"/>
              <w:spacing w:line="360" w:lineRule="auto"/>
              <w:ind w:firstLine="480" w:firstLineChars="200"/>
              <w:rPr>
                <w:sz w:val="24"/>
              </w:rPr>
            </w:pPr>
            <w:r>
              <w:rPr>
                <w:rFonts w:hint="eastAsia"/>
                <w:sz w:val="24"/>
              </w:rPr>
              <w:t>从上表可以看出，各种施工机械满负荷运行时，声源噪声强度较大，对建设项目周围环境有一定影响。但随着距离的增加，噪声衰减量增大，在距离施工机械100m时，施工噪声昼间可达《建筑施工噪声排放标准》（GB12523-20</w:t>
            </w:r>
            <w:r>
              <w:rPr>
                <w:sz w:val="24"/>
              </w:rPr>
              <w:t>25</w:t>
            </w:r>
            <w:r>
              <w:rPr>
                <w:rFonts w:hint="eastAsia"/>
                <w:sz w:val="24"/>
              </w:rPr>
              <w:t>），项目夜间不施工。</w:t>
            </w:r>
          </w:p>
          <w:p w14:paraId="2394BC97">
            <w:pPr>
              <w:pStyle w:val="26"/>
              <w:spacing w:line="360" w:lineRule="auto"/>
              <w:rPr>
                <w:rFonts w:ascii="Times New Roman" w:hAnsi="Times New Roman"/>
                <w:b/>
                <w:sz w:val="24"/>
                <w:szCs w:val="24"/>
              </w:rPr>
            </w:pPr>
            <w:r>
              <w:rPr>
                <w:rFonts w:ascii="Times New Roman" w:hAnsi="Times New Roman"/>
                <w:b/>
                <w:sz w:val="24"/>
                <w:szCs w:val="24"/>
              </w:rPr>
              <w:t>（2）噪声影响分析</w:t>
            </w:r>
          </w:p>
          <w:p w14:paraId="67322B5B">
            <w:pPr>
              <w:pStyle w:val="26"/>
              <w:spacing w:line="360" w:lineRule="auto"/>
              <w:ind w:firstLine="480"/>
              <w:rPr>
                <w:rFonts w:ascii="Times New Roman" w:hAnsi="Times New Roman"/>
                <w:sz w:val="24"/>
              </w:rPr>
            </w:pPr>
            <w:r>
              <w:rPr>
                <w:rFonts w:hint="eastAsia" w:ascii="Times New Roman" w:hAnsi="Times New Roman"/>
                <w:sz w:val="24"/>
              </w:rPr>
              <w:t>架空输电线路主要施工活动包括建筑材料运输、杆塔基础施工、杆塔组立及导线架设等几个方面。根据输电线路塔基施工特点，各施工点施工量小，施工时间短，单塔累计施工时间一般在1个月以内，在靠近施工点时，一般采用人抬马驮相结合方式进行材料运输，线路塔基距离居民住房较远，本评价建议在施工过程中应注意文明施工、合理安排施工时间，在设备选型时选用符合国家标准的低噪声施工设备，避免施工作业对居民日常生活产生较大的影响。</w:t>
            </w:r>
          </w:p>
          <w:p w14:paraId="0AB61E60">
            <w:pPr>
              <w:pStyle w:val="26"/>
              <w:spacing w:line="360" w:lineRule="auto"/>
              <w:ind w:firstLine="480"/>
              <w:rPr>
                <w:rFonts w:ascii="Times New Roman" w:hAnsi="Times New Roman"/>
                <w:sz w:val="24"/>
              </w:rPr>
            </w:pPr>
            <w:r>
              <w:rPr>
                <w:rFonts w:hint="eastAsia" w:ascii="Times New Roman" w:hAnsi="Times New Roman"/>
                <w:sz w:val="24"/>
              </w:rPr>
              <w:t>本项目输电线路共设置</w:t>
            </w:r>
            <w:r>
              <w:rPr>
                <w:rFonts w:ascii="Times New Roman" w:hAnsi="Times New Roman"/>
                <w:sz w:val="24"/>
              </w:rPr>
              <w:t>6</w:t>
            </w:r>
            <w:r>
              <w:rPr>
                <w:rFonts w:hint="eastAsia" w:ascii="Times New Roman" w:hAnsi="Times New Roman"/>
                <w:sz w:val="24"/>
              </w:rPr>
              <w:t>个牵张场，塔基共</w:t>
            </w:r>
            <w:r>
              <w:rPr>
                <w:rFonts w:ascii="Times New Roman" w:hAnsi="Times New Roman"/>
                <w:sz w:val="24"/>
              </w:rPr>
              <w:t>23</w:t>
            </w:r>
            <w:r>
              <w:rPr>
                <w:rFonts w:hint="eastAsia" w:ascii="Times New Roman" w:hAnsi="Times New Roman"/>
                <w:sz w:val="24"/>
              </w:rPr>
              <w:t>基。本项目塔基与最近居民点（S</w:t>
            </w:r>
            <w:r>
              <w:rPr>
                <w:rFonts w:ascii="Times New Roman" w:hAnsi="Times New Roman"/>
                <w:sz w:val="24"/>
              </w:rPr>
              <w:t>204</w:t>
            </w:r>
            <w:r>
              <w:rPr>
                <w:rFonts w:hint="eastAsia" w:ascii="Times New Roman" w:hAnsi="Times New Roman"/>
                <w:sz w:val="24"/>
              </w:rPr>
              <w:t>省道散户）相距</w:t>
            </w:r>
            <w:r>
              <w:rPr>
                <w:rFonts w:ascii="Times New Roman" w:hAnsi="Times New Roman"/>
                <w:sz w:val="24"/>
              </w:rPr>
              <w:t>100</w:t>
            </w:r>
            <w:r>
              <w:rPr>
                <w:rFonts w:hint="eastAsia" w:ascii="Times New Roman" w:hAnsi="Times New Roman"/>
                <w:sz w:val="24"/>
              </w:rPr>
              <w:t>m，牵张场与最近居民点相距超过3</w:t>
            </w:r>
            <w:r>
              <w:rPr>
                <w:rFonts w:ascii="Times New Roman" w:hAnsi="Times New Roman"/>
                <w:sz w:val="24"/>
              </w:rPr>
              <w:t>00</w:t>
            </w:r>
            <w:r>
              <w:rPr>
                <w:rFonts w:hint="eastAsia" w:ascii="Times New Roman" w:hAnsi="Times New Roman"/>
                <w:sz w:val="24"/>
              </w:rPr>
              <w:t>m。输电线路在施工期的场地平整、电缆沟开挖、挖土填方、土建、钢结构及导线架设、设备安装调试等几个阶段中，主要噪声源有汽车、施工机械设备，施工设备运行时在居民点处会产生的最不利噪声叠加值为70dB(A)。</w:t>
            </w:r>
          </w:p>
          <w:p w14:paraId="1292509E">
            <w:pPr>
              <w:pStyle w:val="26"/>
              <w:spacing w:line="360" w:lineRule="auto"/>
              <w:ind w:firstLine="480"/>
              <w:rPr>
                <w:rFonts w:ascii="Times New Roman" w:hAnsi="Times New Roman"/>
                <w:sz w:val="24"/>
              </w:rPr>
            </w:pPr>
            <w:r>
              <w:rPr>
                <w:rFonts w:hint="eastAsia" w:ascii="Times New Roman" w:hAnsi="Times New Roman"/>
                <w:sz w:val="24"/>
              </w:rPr>
              <w:t>综上所述，由于工程量少，且施工期短，施工噪声对其影响是暂时的，待施工结束，其影响也随之结束。</w:t>
            </w:r>
            <w:r>
              <w:rPr>
                <w:rFonts w:ascii="Times New Roman" w:hAnsi="Times New Roman"/>
                <w:sz w:val="24"/>
              </w:rPr>
              <w:t>。</w:t>
            </w:r>
          </w:p>
          <w:p w14:paraId="122B83C2">
            <w:pPr>
              <w:pStyle w:val="26"/>
              <w:spacing w:line="360" w:lineRule="auto"/>
              <w:rPr>
                <w:rFonts w:ascii="Times New Roman" w:hAnsi="Times New Roman"/>
                <w:b/>
                <w:sz w:val="24"/>
                <w:szCs w:val="24"/>
              </w:rPr>
            </w:pPr>
            <w:r>
              <w:rPr>
                <w:rFonts w:ascii="Times New Roman" w:hAnsi="Times New Roman"/>
                <w:b/>
                <w:sz w:val="24"/>
                <w:szCs w:val="24"/>
              </w:rPr>
              <w:t>三、施工期大气环境影响</w:t>
            </w:r>
          </w:p>
          <w:p w14:paraId="2A6A7275">
            <w:pPr>
              <w:autoSpaceDE w:val="0"/>
              <w:autoSpaceDN w:val="0"/>
              <w:spacing w:line="360" w:lineRule="auto"/>
              <w:jc w:val="left"/>
              <w:rPr>
                <w:b/>
                <w:bCs/>
                <w:sz w:val="24"/>
              </w:rPr>
            </w:pPr>
            <w:r>
              <w:rPr>
                <w:b/>
                <w:bCs/>
                <w:sz w:val="24"/>
              </w:rPr>
              <w:t>（1）施工废气源强</w:t>
            </w:r>
          </w:p>
          <w:p w14:paraId="50B5C932">
            <w:pPr>
              <w:spacing w:line="360" w:lineRule="auto"/>
              <w:ind w:firstLine="480" w:firstLineChars="200"/>
              <w:rPr>
                <w:sz w:val="24"/>
              </w:rPr>
            </w:pPr>
            <w:r>
              <w:rPr>
                <w:sz w:val="24"/>
              </w:rPr>
              <w:t>施工粉尘主要来源于输电线路架设施工土石方开挖、设备安装、建设材料堆放、弃土场扬尘、运输车辆等造成的扬尘，影响因子为TSP和PM</w:t>
            </w:r>
            <w:r>
              <w:rPr>
                <w:sz w:val="24"/>
                <w:vertAlign w:val="subscript"/>
              </w:rPr>
              <w:t>10</w:t>
            </w:r>
            <w:r>
              <w:rPr>
                <w:sz w:val="24"/>
              </w:rPr>
              <w:t>，呈无组织排放；扬尘产生量取决于施工强度、地面扬尘量和气象条件等因素，一般情况下风速大于2.5m/s时易产生扬尘，影响区域主要集中在施工区域周围100m范围内，影响程度下风向大于上风向。变电站施工时采取扬尘防护措施，且项目所处区域平均风速为2.4m/s，当地平均风速相对较小，因此产生的地面扬尘量小。</w:t>
            </w:r>
            <w:r>
              <w:rPr>
                <w:sz w:val="24"/>
                <w:szCs w:val="32"/>
              </w:rPr>
              <w:t>易产生扬尘的钻孔、铣刨、切割、开挖、现场搅拌等施工作业时采取喷淋、喷雾等湿法降尘措施；遇到干旱和大风天气时增加洒水降尘次数等。</w:t>
            </w:r>
          </w:p>
          <w:p w14:paraId="68F46312">
            <w:pPr>
              <w:spacing w:line="360" w:lineRule="auto"/>
              <w:ind w:firstLine="480" w:firstLineChars="200"/>
              <w:rPr>
                <w:sz w:val="24"/>
              </w:rPr>
            </w:pPr>
            <w:r>
              <w:rPr>
                <w:sz w:val="24"/>
              </w:rPr>
              <w:t>输电线路施工扬尘主要来源于线路塔基土石方开挖、杆塔架设；线路塔基施工扬尘影响主要集中在塔基施工区。塔基施工除特殊地质区域外均采用人工进行开挖，施工强度小，因此产生的地面扬尘量小。</w:t>
            </w:r>
          </w:p>
          <w:p w14:paraId="02899690">
            <w:pPr>
              <w:spacing w:line="360" w:lineRule="auto"/>
              <w:ind w:firstLine="480" w:firstLineChars="200"/>
              <w:rPr>
                <w:sz w:val="24"/>
              </w:rPr>
            </w:pPr>
            <w:r>
              <w:rPr>
                <w:sz w:val="24"/>
              </w:rPr>
              <w:t>机械燃油烟气主要由变电站间隔扩建、输电线路运输车辆和施工机械产生，产生量较小，所含污染物主要为CO、NO</w:t>
            </w:r>
            <w:r>
              <w:rPr>
                <w:sz w:val="24"/>
                <w:vertAlign w:val="subscript"/>
              </w:rPr>
              <w:t>2</w:t>
            </w:r>
            <w:r>
              <w:rPr>
                <w:sz w:val="24"/>
              </w:rPr>
              <w:t>、HC等，呈无组织排放。</w:t>
            </w:r>
          </w:p>
          <w:p w14:paraId="7361D0CD">
            <w:pPr>
              <w:spacing w:line="360" w:lineRule="auto"/>
              <w:rPr>
                <w:b/>
                <w:bCs/>
                <w:sz w:val="24"/>
              </w:rPr>
            </w:pPr>
            <w:r>
              <w:rPr>
                <w:b/>
                <w:bCs/>
                <w:sz w:val="24"/>
              </w:rPr>
              <w:t>（2）施工废气影响分析</w:t>
            </w:r>
          </w:p>
          <w:p w14:paraId="0A94350D">
            <w:pPr>
              <w:pStyle w:val="15"/>
              <w:ind w:left="0" w:firstLine="528" w:firstLineChars="200"/>
              <w:rPr>
                <w:rFonts w:ascii="Times New Roman" w:hAnsi="Times New Roman" w:cs="Times New Roman"/>
                <w:sz w:val="24"/>
              </w:rPr>
            </w:pPr>
            <w:r>
              <w:rPr>
                <w:rFonts w:ascii="Times New Roman" w:hAnsi="Times New Roman" w:cs="Times New Roman"/>
                <w:sz w:val="24"/>
              </w:rPr>
              <w:t>根据对类似施工现场及周边颗粒物监测，空气中的颗粒物监测情况见表4-2，距施工场地不同距离处空气中的颗粒物浓度变化见图4-2。</w:t>
            </w:r>
          </w:p>
          <w:p w14:paraId="72C3DF67">
            <w:pPr>
              <w:jc w:val="center"/>
              <w:rPr>
                <w:rFonts w:eastAsia="黑体"/>
                <w:sz w:val="24"/>
                <w:szCs w:val="20"/>
              </w:rPr>
            </w:pPr>
            <w:r>
              <w:rPr>
                <w:rFonts w:eastAsia="黑体"/>
                <w:sz w:val="24"/>
                <w:szCs w:val="20"/>
              </w:rPr>
              <w:t>表4-2施工</w:t>
            </w:r>
            <w:r>
              <w:rPr>
                <w:rFonts w:hint="eastAsia" w:eastAsia="黑体"/>
                <w:sz w:val="24"/>
                <w:szCs w:val="20"/>
              </w:rPr>
              <w:t>现场</w:t>
            </w:r>
            <w:r>
              <w:rPr>
                <w:rFonts w:eastAsia="黑体"/>
                <w:sz w:val="24"/>
                <w:szCs w:val="20"/>
              </w:rPr>
              <w:t>空气中颗粒物日均浓度监测值</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3"/>
              <w:gridCol w:w="2143"/>
              <w:gridCol w:w="2143"/>
            </w:tblGrid>
            <w:tr w14:paraId="2F39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vAlign w:val="center"/>
                </w:tcPr>
                <w:p w14:paraId="5F5E6EA6">
                  <w:pPr>
                    <w:jc w:val="center"/>
                  </w:pPr>
                  <w:r>
                    <w:t>监测项目</w:t>
                  </w:r>
                </w:p>
              </w:tc>
              <w:tc>
                <w:tcPr>
                  <w:tcW w:w="1250" w:type="pct"/>
                  <w:vAlign w:val="center"/>
                </w:tcPr>
                <w:p w14:paraId="44C7B670">
                  <w:pPr>
                    <w:adjustRightInd w:val="0"/>
                    <w:snapToGrid w:val="0"/>
                    <w:jc w:val="center"/>
                  </w:pPr>
                  <w:r>
                    <w:t>监测点位置</w:t>
                  </w:r>
                </w:p>
              </w:tc>
              <w:tc>
                <w:tcPr>
                  <w:tcW w:w="1250" w:type="pct"/>
                  <w:vAlign w:val="center"/>
                </w:tcPr>
                <w:p w14:paraId="3CAEC240">
                  <w:pPr>
                    <w:adjustRightInd w:val="0"/>
                    <w:snapToGrid w:val="0"/>
                    <w:jc w:val="center"/>
                  </w:pPr>
                  <w:r>
                    <w:t>场地不洒水</w:t>
                  </w:r>
                </w:p>
              </w:tc>
              <w:tc>
                <w:tcPr>
                  <w:tcW w:w="1250" w:type="pct"/>
                  <w:vAlign w:val="center"/>
                </w:tcPr>
                <w:p w14:paraId="175EE9BE">
                  <w:pPr>
                    <w:adjustRightInd w:val="0"/>
                    <w:snapToGrid w:val="0"/>
                    <w:jc w:val="center"/>
                  </w:pPr>
                  <w:r>
                    <w:t>场地洒水</w:t>
                  </w:r>
                </w:p>
              </w:tc>
            </w:tr>
            <w:tr w14:paraId="6298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vMerge w:val="restart"/>
                  <w:vAlign w:val="center"/>
                </w:tcPr>
                <w:p w14:paraId="5B20AAE6">
                  <w:pPr>
                    <w:adjustRightInd w:val="0"/>
                    <w:snapToGrid w:val="0"/>
                    <w:jc w:val="center"/>
                  </w:pPr>
                  <w:r>
                    <w:t>距场地不同距离处颗粒物的浓度值(mg/m</w:t>
                  </w:r>
                  <w:r>
                    <w:rPr>
                      <w:vertAlign w:val="superscript"/>
                    </w:rPr>
                    <w:t>3</w:t>
                  </w:r>
                  <w:r>
                    <w:t>)</w:t>
                  </w:r>
                </w:p>
              </w:tc>
              <w:tc>
                <w:tcPr>
                  <w:tcW w:w="1250" w:type="pct"/>
                  <w:vAlign w:val="center"/>
                </w:tcPr>
                <w:p w14:paraId="0F492767">
                  <w:pPr>
                    <w:adjustRightInd w:val="0"/>
                    <w:snapToGrid w:val="0"/>
                    <w:jc w:val="center"/>
                  </w:pPr>
                  <w:r>
                    <w:t>10m</w:t>
                  </w:r>
                </w:p>
              </w:tc>
              <w:tc>
                <w:tcPr>
                  <w:tcW w:w="1250" w:type="pct"/>
                  <w:vAlign w:val="center"/>
                </w:tcPr>
                <w:p w14:paraId="047958D6">
                  <w:pPr>
                    <w:adjustRightInd w:val="0"/>
                    <w:snapToGrid w:val="0"/>
                    <w:jc w:val="center"/>
                  </w:pPr>
                  <w:r>
                    <w:t>1.75</w:t>
                  </w:r>
                </w:p>
              </w:tc>
              <w:tc>
                <w:tcPr>
                  <w:tcW w:w="1250" w:type="pct"/>
                  <w:vAlign w:val="center"/>
                </w:tcPr>
                <w:p w14:paraId="3E51C8FB">
                  <w:pPr>
                    <w:adjustRightInd w:val="0"/>
                    <w:snapToGrid w:val="0"/>
                    <w:jc w:val="center"/>
                  </w:pPr>
                  <w:r>
                    <w:t>0.437</w:t>
                  </w:r>
                </w:p>
              </w:tc>
            </w:tr>
            <w:tr w14:paraId="18CF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4" w:type="dxa"/>
                  <w:vMerge w:val="continue"/>
                  <w:vAlign w:val="center"/>
                </w:tcPr>
                <w:p w14:paraId="02AB66AE">
                  <w:pPr>
                    <w:widowControl/>
                    <w:jc w:val="center"/>
                  </w:pPr>
                </w:p>
              </w:tc>
              <w:tc>
                <w:tcPr>
                  <w:tcW w:w="1250" w:type="pct"/>
                  <w:vAlign w:val="center"/>
                </w:tcPr>
                <w:p w14:paraId="048EDD88">
                  <w:pPr>
                    <w:adjustRightInd w:val="0"/>
                    <w:snapToGrid w:val="0"/>
                    <w:jc w:val="center"/>
                  </w:pPr>
                  <w:r>
                    <w:t>20m</w:t>
                  </w:r>
                </w:p>
              </w:tc>
              <w:tc>
                <w:tcPr>
                  <w:tcW w:w="1250" w:type="pct"/>
                  <w:vAlign w:val="center"/>
                </w:tcPr>
                <w:p w14:paraId="77D56659">
                  <w:pPr>
                    <w:adjustRightInd w:val="0"/>
                    <w:snapToGrid w:val="0"/>
                    <w:jc w:val="center"/>
                  </w:pPr>
                  <w:r>
                    <w:t>1.30</w:t>
                  </w:r>
                </w:p>
              </w:tc>
              <w:tc>
                <w:tcPr>
                  <w:tcW w:w="1250" w:type="pct"/>
                  <w:vAlign w:val="center"/>
                </w:tcPr>
                <w:p w14:paraId="50C46127">
                  <w:pPr>
                    <w:adjustRightInd w:val="0"/>
                    <w:snapToGrid w:val="0"/>
                    <w:jc w:val="center"/>
                  </w:pPr>
                  <w:r>
                    <w:t>0.350</w:t>
                  </w:r>
                </w:p>
              </w:tc>
            </w:tr>
            <w:tr w14:paraId="19C4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4" w:type="dxa"/>
                  <w:vMerge w:val="continue"/>
                  <w:vAlign w:val="center"/>
                </w:tcPr>
                <w:p w14:paraId="7D52E2E9">
                  <w:pPr>
                    <w:widowControl/>
                    <w:jc w:val="center"/>
                  </w:pPr>
                </w:p>
              </w:tc>
              <w:tc>
                <w:tcPr>
                  <w:tcW w:w="1250" w:type="pct"/>
                  <w:vAlign w:val="center"/>
                </w:tcPr>
                <w:p w14:paraId="6FD80332">
                  <w:pPr>
                    <w:adjustRightInd w:val="0"/>
                    <w:snapToGrid w:val="0"/>
                    <w:jc w:val="center"/>
                  </w:pPr>
                  <w:r>
                    <w:t>30m</w:t>
                  </w:r>
                </w:p>
              </w:tc>
              <w:tc>
                <w:tcPr>
                  <w:tcW w:w="1250" w:type="pct"/>
                  <w:vAlign w:val="center"/>
                </w:tcPr>
                <w:p w14:paraId="4CFF8D6C">
                  <w:pPr>
                    <w:adjustRightInd w:val="0"/>
                    <w:snapToGrid w:val="0"/>
                    <w:jc w:val="center"/>
                  </w:pPr>
                  <w:r>
                    <w:t>0.78</w:t>
                  </w:r>
                </w:p>
              </w:tc>
              <w:tc>
                <w:tcPr>
                  <w:tcW w:w="1250" w:type="pct"/>
                  <w:vAlign w:val="center"/>
                </w:tcPr>
                <w:p w14:paraId="02E1569C">
                  <w:pPr>
                    <w:adjustRightInd w:val="0"/>
                    <w:snapToGrid w:val="0"/>
                    <w:jc w:val="center"/>
                  </w:pPr>
                  <w:r>
                    <w:t>0.310</w:t>
                  </w:r>
                </w:p>
              </w:tc>
            </w:tr>
            <w:tr w14:paraId="221A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4" w:type="dxa"/>
                  <w:vMerge w:val="continue"/>
                  <w:vAlign w:val="center"/>
                </w:tcPr>
                <w:p w14:paraId="1903CAD7">
                  <w:pPr>
                    <w:widowControl/>
                    <w:jc w:val="center"/>
                  </w:pPr>
                </w:p>
              </w:tc>
              <w:tc>
                <w:tcPr>
                  <w:tcW w:w="1250" w:type="pct"/>
                  <w:vAlign w:val="center"/>
                </w:tcPr>
                <w:p w14:paraId="41894C88">
                  <w:pPr>
                    <w:adjustRightInd w:val="0"/>
                    <w:snapToGrid w:val="0"/>
                    <w:jc w:val="center"/>
                  </w:pPr>
                  <w:r>
                    <w:t>40m</w:t>
                  </w:r>
                </w:p>
              </w:tc>
              <w:tc>
                <w:tcPr>
                  <w:tcW w:w="1250" w:type="pct"/>
                  <w:vAlign w:val="center"/>
                </w:tcPr>
                <w:p w14:paraId="4B49E09C">
                  <w:pPr>
                    <w:adjustRightInd w:val="0"/>
                    <w:snapToGrid w:val="0"/>
                    <w:jc w:val="center"/>
                  </w:pPr>
                  <w:r>
                    <w:t>0.365</w:t>
                  </w:r>
                </w:p>
              </w:tc>
              <w:tc>
                <w:tcPr>
                  <w:tcW w:w="1250" w:type="pct"/>
                  <w:vAlign w:val="center"/>
                </w:tcPr>
                <w:p w14:paraId="6C3AAD64">
                  <w:pPr>
                    <w:adjustRightInd w:val="0"/>
                    <w:snapToGrid w:val="0"/>
                    <w:jc w:val="center"/>
                  </w:pPr>
                  <w:r>
                    <w:t>0.265</w:t>
                  </w:r>
                </w:p>
              </w:tc>
            </w:tr>
            <w:tr w14:paraId="1764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4" w:type="dxa"/>
                  <w:vMerge w:val="continue"/>
                  <w:vAlign w:val="center"/>
                </w:tcPr>
                <w:p w14:paraId="77F7D153">
                  <w:pPr>
                    <w:widowControl/>
                    <w:jc w:val="center"/>
                  </w:pPr>
                </w:p>
              </w:tc>
              <w:tc>
                <w:tcPr>
                  <w:tcW w:w="1250" w:type="pct"/>
                  <w:vAlign w:val="center"/>
                </w:tcPr>
                <w:p w14:paraId="79264AFE">
                  <w:pPr>
                    <w:adjustRightInd w:val="0"/>
                    <w:snapToGrid w:val="0"/>
                    <w:jc w:val="center"/>
                  </w:pPr>
                  <w:r>
                    <w:t>50m</w:t>
                  </w:r>
                </w:p>
              </w:tc>
              <w:tc>
                <w:tcPr>
                  <w:tcW w:w="1250" w:type="pct"/>
                  <w:vAlign w:val="center"/>
                </w:tcPr>
                <w:p w14:paraId="4D17FD91">
                  <w:pPr>
                    <w:adjustRightInd w:val="0"/>
                    <w:snapToGrid w:val="0"/>
                    <w:jc w:val="center"/>
                  </w:pPr>
                  <w:r>
                    <w:t>0.345</w:t>
                  </w:r>
                </w:p>
              </w:tc>
              <w:tc>
                <w:tcPr>
                  <w:tcW w:w="1250" w:type="pct"/>
                  <w:vAlign w:val="center"/>
                </w:tcPr>
                <w:p w14:paraId="2C6770EE">
                  <w:pPr>
                    <w:adjustRightInd w:val="0"/>
                    <w:snapToGrid w:val="0"/>
                    <w:jc w:val="center"/>
                  </w:pPr>
                  <w:r>
                    <w:t>0.250</w:t>
                  </w:r>
                </w:p>
              </w:tc>
            </w:tr>
            <w:tr w14:paraId="37DF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4" w:type="dxa"/>
                  <w:vMerge w:val="continue"/>
                  <w:vAlign w:val="center"/>
                </w:tcPr>
                <w:p w14:paraId="76070FE1">
                  <w:pPr>
                    <w:widowControl/>
                    <w:jc w:val="center"/>
                  </w:pPr>
                </w:p>
              </w:tc>
              <w:tc>
                <w:tcPr>
                  <w:tcW w:w="1250" w:type="pct"/>
                  <w:vAlign w:val="center"/>
                </w:tcPr>
                <w:p w14:paraId="07F92D1E">
                  <w:pPr>
                    <w:adjustRightInd w:val="0"/>
                    <w:snapToGrid w:val="0"/>
                    <w:jc w:val="center"/>
                  </w:pPr>
                  <w:r>
                    <w:t>100m</w:t>
                  </w:r>
                </w:p>
              </w:tc>
              <w:tc>
                <w:tcPr>
                  <w:tcW w:w="1250" w:type="pct"/>
                  <w:vAlign w:val="center"/>
                </w:tcPr>
                <w:p w14:paraId="7D448D78">
                  <w:pPr>
                    <w:adjustRightInd w:val="0"/>
                    <w:snapToGrid w:val="0"/>
                    <w:jc w:val="center"/>
                  </w:pPr>
                  <w:r>
                    <w:t>0.330</w:t>
                  </w:r>
                </w:p>
              </w:tc>
              <w:tc>
                <w:tcPr>
                  <w:tcW w:w="1250" w:type="pct"/>
                  <w:vAlign w:val="center"/>
                </w:tcPr>
                <w:p w14:paraId="49F42FED">
                  <w:pPr>
                    <w:adjustRightInd w:val="0"/>
                    <w:snapToGrid w:val="0"/>
                    <w:jc w:val="center"/>
                  </w:pPr>
                  <w:r>
                    <w:t>0.238</w:t>
                  </w:r>
                </w:p>
              </w:tc>
            </w:tr>
          </w:tbl>
          <w:p w14:paraId="11E579E6">
            <w:pPr>
              <w:pStyle w:val="44"/>
              <w:tabs>
                <w:tab w:val="left" w:pos="7335"/>
              </w:tabs>
              <w:ind w:left="0" w:leftChars="0" w:firstLine="0" w:firstLineChars="0"/>
              <w:jc w:val="center"/>
            </w:pPr>
          </w:p>
          <w:p w14:paraId="2B821A30">
            <w:pPr>
              <w:pStyle w:val="44"/>
              <w:tabs>
                <w:tab w:val="left" w:pos="7335"/>
              </w:tabs>
              <w:ind w:left="0" w:leftChars="0" w:firstLine="0" w:firstLineChars="0"/>
              <w:jc w:val="center"/>
            </w:pPr>
            <w:r>
              <w:drawing>
                <wp:inline distT="0" distB="0" distL="0" distR="0">
                  <wp:extent cx="4267200" cy="2228850"/>
                  <wp:effectExtent l="0" t="0" r="0" b="0"/>
                  <wp:docPr id="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267200" cy="2228850"/>
                          </a:xfrm>
                          <a:prstGeom prst="rect">
                            <a:avLst/>
                          </a:prstGeom>
                          <a:noFill/>
                          <a:ln>
                            <a:noFill/>
                          </a:ln>
                          <a:effectLst/>
                        </pic:spPr>
                      </pic:pic>
                    </a:graphicData>
                  </a:graphic>
                </wp:inline>
              </w:drawing>
            </w:r>
          </w:p>
          <w:p w14:paraId="39336EAB">
            <w:pPr>
              <w:spacing w:line="360" w:lineRule="auto"/>
              <w:jc w:val="center"/>
              <w:rPr>
                <w:rFonts w:eastAsia="黑体"/>
                <w:sz w:val="24"/>
              </w:rPr>
            </w:pPr>
            <w:r>
              <w:rPr>
                <w:rFonts w:eastAsia="黑体"/>
                <w:sz w:val="24"/>
              </w:rPr>
              <w:t>图4-2距施工场地不同距离处空气中的颗粒物浓度变化见图</w:t>
            </w:r>
          </w:p>
          <w:p w14:paraId="052957B0">
            <w:pPr>
              <w:spacing w:line="360" w:lineRule="auto"/>
              <w:ind w:firstLine="480" w:firstLineChars="200"/>
              <w:rPr>
                <w:sz w:val="24"/>
              </w:rPr>
            </w:pPr>
            <w:r>
              <w:rPr>
                <w:sz w:val="24"/>
              </w:rPr>
              <w:t>由监测数据可知，施工场地周边地区颗粒物浓度值在40m范围内呈明显下降趋势，40m范围以外，颗粒物浓度变化基本稳定。洒水后场地40m处的颗粒物日均浓度为0.265mg/m</w:t>
            </w:r>
            <w:r>
              <w:rPr>
                <w:sz w:val="24"/>
                <w:vertAlign w:val="superscript"/>
              </w:rPr>
              <w:t>3</w:t>
            </w:r>
            <w:r>
              <w:rPr>
                <w:sz w:val="24"/>
              </w:rPr>
              <w:t>，满足《环境空气质量标准》（GB3095-2026）中的二级标准</w:t>
            </w:r>
            <w:r>
              <w:rPr>
                <w:rFonts w:hint="eastAsia"/>
                <w:sz w:val="24"/>
              </w:rPr>
              <w:t>过渡限值</w:t>
            </w:r>
            <w:r>
              <w:rPr>
                <w:sz w:val="24"/>
              </w:rPr>
              <w:t>。因此，施工期间可以通过采取洒水降尘（非雨天洒水降尘3~5次），避免大风天气进行土石方开挖等措施可以有效降低施工扬尘对工程建设对环境空气的影响。</w:t>
            </w:r>
          </w:p>
          <w:p w14:paraId="1E15ABF1">
            <w:pPr>
              <w:spacing w:line="360" w:lineRule="auto"/>
              <w:ind w:firstLine="480" w:firstLineChars="200"/>
            </w:pPr>
            <w:r>
              <w:rPr>
                <w:sz w:val="24"/>
              </w:rPr>
              <w:t>机械燃油烟气主要由运输车辆和施工机械产生，产生量较小，所含污染物主要为CO、NO</w:t>
            </w:r>
            <w:r>
              <w:rPr>
                <w:sz w:val="24"/>
                <w:vertAlign w:val="subscript"/>
              </w:rPr>
              <w:t>2</w:t>
            </w:r>
            <w:r>
              <w:rPr>
                <w:sz w:val="24"/>
              </w:rPr>
              <w:t>、HC等，呈无组织排放。经风力扩散、稀释、消除后，对环境影响很小。</w:t>
            </w:r>
          </w:p>
          <w:p w14:paraId="40720E73">
            <w:pPr>
              <w:pStyle w:val="26"/>
              <w:spacing w:line="360" w:lineRule="auto"/>
              <w:rPr>
                <w:rFonts w:ascii="Times New Roman" w:hAnsi="Times New Roman"/>
                <w:b/>
                <w:sz w:val="24"/>
                <w:szCs w:val="24"/>
              </w:rPr>
            </w:pPr>
            <w:r>
              <w:rPr>
                <w:rFonts w:ascii="Times New Roman" w:hAnsi="Times New Roman"/>
                <w:b/>
                <w:sz w:val="24"/>
                <w:szCs w:val="24"/>
              </w:rPr>
              <w:t>四、施工废污水影响分析</w:t>
            </w:r>
          </w:p>
          <w:p w14:paraId="72A119B5">
            <w:pPr>
              <w:spacing w:line="360" w:lineRule="auto"/>
              <w:ind w:right="-105" w:rightChars="-50"/>
              <w:rPr>
                <w:b/>
                <w:sz w:val="24"/>
              </w:rPr>
            </w:pPr>
            <w:r>
              <w:rPr>
                <w:b/>
                <w:sz w:val="22"/>
              </w:rPr>
              <w:t>（1）</w:t>
            </w:r>
            <w:r>
              <w:rPr>
                <w:b/>
                <w:sz w:val="24"/>
              </w:rPr>
              <w:t>施工废水源强</w:t>
            </w:r>
          </w:p>
          <w:p w14:paraId="00B89624">
            <w:pPr>
              <w:spacing w:line="360" w:lineRule="auto"/>
              <w:ind w:firstLine="480" w:firstLineChars="200"/>
              <w:rPr>
                <w:sz w:val="24"/>
              </w:rPr>
            </w:pPr>
            <w:r>
              <w:rPr>
                <w:sz w:val="24"/>
              </w:rPr>
              <w:t>本项目废水主要来源于输电线路架设施工废水。输电线路施工人员沿线分散，依托周围居民生活设施，</w:t>
            </w:r>
            <w:r>
              <w:rPr>
                <w:rFonts w:hint="eastAsia"/>
                <w:sz w:val="24"/>
              </w:rPr>
              <w:t>不产生生活污水</w:t>
            </w:r>
            <w:r>
              <w:rPr>
                <w:sz w:val="24"/>
              </w:rPr>
              <w:t>。</w:t>
            </w:r>
          </w:p>
          <w:p w14:paraId="44648518">
            <w:pPr>
              <w:spacing w:line="360" w:lineRule="auto"/>
              <w:ind w:firstLine="480" w:firstLineChars="200"/>
              <w:rPr>
                <w:sz w:val="24"/>
              </w:rPr>
            </w:pPr>
            <w:r>
              <w:rPr>
                <w:sz w:val="24"/>
              </w:rPr>
              <w:t>建筑施工废水主要来源于混凝土搅拌、养护及施工工具清洗等，本项目输电线路塔基施工比较分散，施工用水大多较困难；施工废水主要来源于塔基混凝土拌合，根据同类型项目，</w:t>
            </w:r>
            <w:r>
              <w:rPr>
                <w:rFonts w:eastAsia="新宋体"/>
                <w:sz w:val="24"/>
              </w:rPr>
              <w:t>施工期输电线路塔基施工产生废水量约0.52m</w:t>
            </w:r>
            <w:r>
              <w:rPr>
                <w:rFonts w:eastAsia="新宋体"/>
                <w:sz w:val="24"/>
                <w:vertAlign w:val="superscript"/>
              </w:rPr>
              <w:t>3</w:t>
            </w:r>
            <w:r>
              <w:rPr>
                <w:rFonts w:eastAsia="新宋体"/>
                <w:sz w:val="24"/>
              </w:rPr>
              <w:t>/基，本项目输电线路共新建塔基23基，</w:t>
            </w:r>
            <w:r>
              <w:rPr>
                <w:sz w:val="24"/>
              </w:rPr>
              <w:t>整个施工期塔基施工废水产生量为11.96m</w:t>
            </w:r>
            <w:r>
              <w:rPr>
                <w:sz w:val="24"/>
                <w:vertAlign w:val="superscript"/>
              </w:rPr>
              <w:t>3</w:t>
            </w:r>
            <w:r>
              <w:rPr>
                <w:sz w:val="24"/>
              </w:rPr>
              <w:t>。</w:t>
            </w:r>
            <w:r>
              <w:rPr>
                <w:rFonts w:eastAsia="新宋体"/>
                <w:sz w:val="24"/>
              </w:rPr>
              <w:t>输电线路每个塔基产生建筑施工废水量较少，就近回用于塔基施工作业和洒水降尘，不外排。</w:t>
            </w:r>
          </w:p>
          <w:p w14:paraId="5F52D564">
            <w:pPr>
              <w:pStyle w:val="26"/>
              <w:spacing w:line="360" w:lineRule="auto"/>
              <w:rPr>
                <w:rFonts w:ascii="Times New Roman" w:hAnsi="Times New Roman"/>
                <w:b/>
                <w:sz w:val="24"/>
                <w:szCs w:val="24"/>
              </w:rPr>
            </w:pPr>
            <w:r>
              <w:rPr>
                <w:rFonts w:ascii="Times New Roman" w:hAnsi="Times New Roman"/>
                <w:b/>
                <w:sz w:val="24"/>
                <w:szCs w:val="24"/>
              </w:rPr>
              <w:t>（2）施工废水影响分析</w:t>
            </w:r>
          </w:p>
          <w:p w14:paraId="549868FA">
            <w:pPr>
              <w:spacing w:line="360" w:lineRule="auto"/>
              <w:ind w:firstLine="480" w:firstLineChars="200"/>
              <w:rPr>
                <w:sz w:val="24"/>
              </w:rPr>
            </w:pPr>
            <w:r>
              <w:rPr>
                <w:rFonts w:hint="eastAsia"/>
                <w:sz w:val="24"/>
              </w:rPr>
              <w:t>输电线路施工期废水主要来自施工过程中混凝土搅拌及养护产生少量的施工废水及施工人员产生的生活污水。施工时每个施工点人数较少，主要租用当地的居民房，生活污水依托居民房现有卫生设施处理，不外排。施工废水产生量很少，设置简易收集系统如沉沙池等，沉淀后就近回用于塔基施工作业和洒水降尘等。</w:t>
            </w:r>
          </w:p>
          <w:p w14:paraId="7AFE07E6">
            <w:pPr>
              <w:pStyle w:val="189"/>
              <w:ind w:left="0" w:firstLine="0" w:firstLineChars="0"/>
              <w:jc w:val="both"/>
              <w:rPr>
                <w:b/>
                <w:sz w:val="24"/>
              </w:rPr>
            </w:pPr>
            <w:r>
              <w:rPr>
                <w:b/>
                <w:sz w:val="24"/>
              </w:rPr>
              <w:t>五、施工固体废物影响分析</w:t>
            </w:r>
          </w:p>
          <w:p w14:paraId="7E820D18">
            <w:pPr>
              <w:spacing w:line="360" w:lineRule="auto"/>
              <w:ind w:firstLine="480" w:firstLineChars="200"/>
              <w:rPr>
                <w:kern w:val="0"/>
                <w:sz w:val="24"/>
              </w:rPr>
            </w:pPr>
            <w:r>
              <w:rPr>
                <w:kern w:val="0"/>
                <w:sz w:val="24"/>
              </w:rPr>
              <w:t>施工期产生的固体废弃物主要为建设过程中产生的建筑垃圾、施工弃土、生活垃圾等。根据土石方平衡分析，</w:t>
            </w:r>
            <w:r>
              <w:rPr>
                <w:sz w:val="24"/>
                <w:szCs w:val="22"/>
              </w:rPr>
              <w:t>本项目无永久弃渣产生。</w:t>
            </w:r>
          </w:p>
          <w:p w14:paraId="5E3D4C60">
            <w:pPr>
              <w:spacing w:line="360" w:lineRule="auto"/>
              <w:ind w:firstLine="480" w:firstLineChars="200"/>
              <w:rPr>
                <w:sz w:val="24"/>
              </w:rPr>
            </w:pPr>
            <w:r>
              <w:rPr>
                <w:kern w:val="0"/>
                <w:sz w:val="24"/>
              </w:rPr>
              <w:t>生活垃圾：生活垃圾产生量按0.5kg/（人·d）计</w:t>
            </w:r>
            <w:r>
              <w:rPr>
                <w:rFonts w:hint="eastAsia"/>
                <w:kern w:val="0"/>
                <w:sz w:val="24"/>
              </w:rPr>
              <w:t>，</w:t>
            </w:r>
            <w:r>
              <w:rPr>
                <w:sz w:val="24"/>
              </w:rPr>
              <w:t>输电线路施工期平均每天配置人员约50人，</w:t>
            </w:r>
            <w:r>
              <w:rPr>
                <w:kern w:val="0"/>
                <w:sz w:val="24"/>
              </w:rPr>
              <w:t>则生活垃圾排放量约25kg/d，整个施工期共产生生活垃圾7.46t。</w:t>
            </w:r>
            <w:r>
              <w:rPr>
                <w:sz w:val="24"/>
              </w:rPr>
              <w:t>输电线路施工人员生活垃圾集中收集后，送</w:t>
            </w:r>
            <w:r>
              <w:rPr>
                <w:rFonts w:hint="eastAsia"/>
                <w:sz w:val="24"/>
              </w:rPr>
              <w:t>营上镇</w:t>
            </w:r>
            <w:r>
              <w:rPr>
                <w:sz w:val="24"/>
              </w:rPr>
              <w:t>生活垃圾</w:t>
            </w:r>
            <w:r>
              <w:rPr>
                <w:rFonts w:hint="eastAsia"/>
                <w:sz w:val="24"/>
              </w:rPr>
              <w:t>填埋场</w:t>
            </w:r>
            <w:r>
              <w:rPr>
                <w:sz w:val="24"/>
              </w:rPr>
              <w:t>处置</w:t>
            </w:r>
            <w:r>
              <w:rPr>
                <w:kern w:val="0"/>
                <w:sz w:val="24"/>
              </w:rPr>
              <w:t>。</w:t>
            </w:r>
          </w:p>
          <w:p w14:paraId="70A7E60C">
            <w:pPr>
              <w:spacing w:line="360" w:lineRule="auto"/>
              <w:ind w:firstLine="504" w:firstLineChars="200"/>
              <w:rPr>
                <w:kern w:val="0"/>
                <w:sz w:val="24"/>
                <w:lang w:bidi="ar"/>
              </w:rPr>
            </w:pPr>
            <w:r>
              <w:rPr>
                <w:w w:val="105"/>
                <w:kern w:val="0"/>
                <w:sz w:val="24"/>
              </w:rPr>
              <w:t>建筑垃圾：</w:t>
            </w:r>
            <w:r>
              <w:rPr>
                <w:rFonts w:hint="eastAsia"/>
                <w:w w:val="105"/>
                <w:kern w:val="0"/>
                <w:sz w:val="24"/>
              </w:rPr>
              <w:t>根据《建筑垃圾污染控制技术规范》（HJ1462-2026），本项目</w:t>
            </w:r>
            <w:r>
              <w:rPr>
                <w:kern w:val="0"/>
                <w:sz w:val="24"/>
              </w:rPr>
              <w:t>建筑垃圾</w:t>
            </w:r>
            <w:r>
              <w:rPr>
                <w:rFonts w:hint="eastAsia"/>
                <w:kern w:val="0"/>
                <w:sz w:val="24"/>
              </w:rPr>
              <w:t>属于工程垃圾，</w:t>
            </w:r>
            <w:r>
              <w:rPr>
                <w:kern w:val="0"/>
                <w:sz w:val="24"/>
              </w:rPr>
              <w:t>主要来自施工作业，包括混凝土、砂石、废砖块、废包装材料等，类比同类工程，</w:t>
            </w:r>
            <w:r>
              <w:rPr>
                <w:kern w:val="0"/>
                <w:sz w:val="24"/>
                <w:lang w:bidi="ar"/>
              </w:rPr>
              <w:t>铁塔及塔基施工中建筑垃圾产生量约17.0kg/基，项目输电线路共设铁塔23基，施工期共产生建筑垃圾约0.391t。上述建筑垃圾中</w:t>
            </w:r>
            <w:r>
              <w:rPr>
                <w:rFonts w:hint="eastAsia"/>
                <w:kern w:val="0"/>
                <w:sz w:val="24"/>
                <w:lang w:bidi="ar"/>
              </w:rPr>
              <w:t>混凝土</w:t>
            </w:r>
            <w:r>
              <w:rPr>
                <w:kern w:val="0"/>
                <w:sz w:val="24"/>
                <w:lang w:bidi="ar"/>
              </w:rPr>
              <w:t>、砂石、废砖块等不可回用的</w:t>
            </w:r>
            <w:r>
              <w:rPr>
                <w:rFonts w:hint="eastAsia"/>
                <w:kern w:val="0"/>
                <w:sz w:val="24"/>
                <w:lang w:bidi="ar"/>
              </w:rPr>
              <w:t>委托专门的机构进行处置</w:t>
            </w:r>
            <w:r>
              <w:rPr>
                <w:kern w:val="0"/>
                <w:sz w:val="24"/>
                <w:lang w:bidi="ar"/>
              </w:rPr>
              <w:t>，废弃导线、包装材料等可回收利用的进行回</w:t>
            </w:r>
            <w:r>
              <w:rPr>
                <w:rFonts w:hint="eastAsia"/>
                <w:kern w:val="0"/>
                <w:sz w:val="24"/>
                <w:lang w:bidi="ar"/>
              </w:rPr>
              <w:t>收利</w:t>
            </w:r>
            <w:r>
              <w:rPr>
                <w:kern w:val="0"/>
                <w:sz w:val="24"/>
                <w:lang w:bidi="ar"/>
              </w:rPr>
              <w:t>用。</w:t>
            </w:r>
          </w:p>
          <w:p w14:paraId="74315F21">
            <w:pPr>
              <w:pStyle w:val="26"/>
              <w:spacing w:line="360" w:lineRule="auto"/>
              <w:rPr>
                <w:rFonts w:ascii="Times New Roman" w:hAnsi="Times New Roman"/>
                <w:b/>
                <w:sz w:val="24"/>
                <w:szCs w:val="24"/>
              </w:rPr>
            </w:pPr>
            <w:r>
              <w:rPr>
                <w:rFonts w:ascii="Times New Roman" w:hAnsi="Times New Roman"/>
                <w:b/>
                <w:sz w:val="24"/>
                <w:szCs w:val="24"/>
              </w:rPr>
              <w:t>六、对陆生生态的影响分析</w:t>
            </w:r>
          </w:p>
          <w:p w14:paraId="251B7019">
            <w:pPr>
              <w:adjustRightInd w:val="0"/>
              <w:snapToGrid w:val="0"/>
              <w:spacing w:line="360" w:lineRule="auto"/>
              <w:textAlignment w:val="baseline"/>
              <w:rPr>
                <w:b/>
                <w:kern w:val="0"/>
                <w:sz w:val="24"/>
              </w:rPr>
            </w:pPr>
            <w:r>
              <w:rPr>
                <w:b/>
                <w:kern w:val="0"/>
                <w:sz w:val="24"/>
              </w:rPr>
              <w:t>1、对植被的影响分析</w:t>
            </w:r>
          </w:p>
          <w:p w14:paraId="28A83358">
            <w:pPr>
              <w:pStyle w:val="43"/>
              <w:spacing w:after="0" w:line="360" w:lineRule="auto"/>
              <w:ind w:firstLine="480" w:firstLineChars="200"/>
              <w:rPr>
                <w:sz w:val="24"/>
              </w:rPr>
            </w:pPr>
            <w:r>
              <w:rPr>
                <w:rFonts w:hint="eastAsia"/>
                <w:sz w:val="24"/>
              </w:rPr>
              <w:t>项目占地包括永久占地和临时占地，将导致陆生植物分布面积的减少，永久占地处植被主要为暖温性针叶林（0</w:t>
            </w:r>
            <w:r>
              <w:rPr>
                <w:sz w:val="24"/>
              </w:rPr>
              <w:t>.081</w:t>
            </w:r>
            <w:r>
              <w:rPr>
                <w:rFonts w:hint="eastAsia"/>
                <w:sz w:val="24"/>
              </w:rPr>
              <w:t>hm</w:t>
            </w:r>
            <w:r>
              <w:rPr>
                <w:sz w:val="24"/>
                <w:vertAlign w:val="superscript"/>
              </w:rPr>
              <w:t>2</w:t>
            </w:r>
            <w:r>
              <w:rPr>
                <w:rFonts w:hint="eastAsia"/>
                <w:sz w:val="24"/>
              </w:rPr>
              <w:t>）和暖性石灰岩灌丛（0</w:t>
            </w:r>
            <w:r>
              <w:rPr>
                <w:sz w:val="24"/>
              </w:rPr>
              <w:t>.029</w:t>
            </w:r>
            <w:r>
              <w:rPr>
                <w:rFonts w:hint="eastAsia"/>
                <w:sz w:val="24"/>
              </w:rPr>
              <w:t>hm</w:t>
            </w:r>
            <w:r>
              <w:rPr>
                <w:sz w:val="24"/>
                <w:vertAlign w:val="superscript"/>
              </w:rPr>
              <w:t>2</w:t>
            </w:r>
            <w:r>
              <w:rPr>
                <w:rFonts w:hint="eastAsia"/>
                <w:sz w:val="24"/>
              </w:rPr>
              <w:t>），占用的暖温性针叶林较少，对植被的影响不大。临时占地施工结束后进行生态恢复，对植被的破坏是短暂的，并随施工期的结束而逐步恢复。施工过程中如基础开挖、建筑材料堆放等将对评价区内的植物资源产生影响。本工程占用的植被均为区域植被中常见的种类和优势种，它们在评价区分布广、资源丰富，且本工程砍伐量相对较少，故对植物资源的影响只是一些数量上的减少，不会对它们的生存和繁衍造成威胁，也不会降低区域植物物种的多样性</w:t>
            </w:r>
            <w:r>
              <w:rPr>
                <w:sz w:val="24"/>
              </w:rPr>
              <w:t>。</w:t>
            </w:r>
          </w:p>
          <w:p w14:paraId="459C8119">
            <w:pPr>
              <w:pStyle w:val="26"/>
              <w:spacing w:line="360" w:lineRule="auto"/>
              <w:ind w:firstLine="480" w:firstLineChars="200"/>
              <w:rPr>
                <w:rFonts w:ascii="Times New Roman" w:hAnsi="Times New Roman"/>
                <w:kern w:val="2"/>
                <w:sz w:val="24"/>
                <w:szCs w:val="22"/>
              </w:rPr>
            </w:pPr>
            <w:r>
              <w:rPr>
                <w:rFonts w:ascii="Times New Roman" w:hAnsi="Times New Roman"/>
                <w:kern w:val="2"/>
                <w:sz w:val="24"/>
                <w:szCs w:val="22"/>
              </w:rPr>
              <w:t>本项目线路新建段所经区域包括</w:t>
            </w:r>
            <w:r>
              <w:rPr>
                <w:rFonts w:hint="eastAsia" w:ascii="Times New Roman" w:hAnsi="Times New Roman"/>
                <w:kern w:val="2"/>
                <w:sz w:val="24"/>
                <w:szCs w:val="24"/>
              </w:rPr>
              <w:t>暖温性针叶林、暖性石灰岩灌丛、暖温性稀树灌木草丛和栽培植被</w:t>
            </w:r>
            <w:r>
              <w:rPr>
                <w:rFonts w:ascii="Times New Roman" w:hAnsi="Times New Roman"/>
                <w:kern w:val="2"/>
                <w:sz w:val="24"/>
                <w:szCs w:val="22"/>
              </w:rPr>
              <w:t>，线路对植被的影响方式主要表现在两个方面，塔基永久占地改变原土地利用性质，原有植被将遭到破坏；二是塔基周边由于施工活动将对地表植被产生干扰，如放线将导致植被践踏，灌木和乔木等物种枝条被折断、叶片脱落等</w:t>
            </w:r>
            <w:r>
              <w:rPr>
                <w:rFonts w:ascii="Times New Roman" w:hAnsi="Times New Roman"/>
                <w:bCs/>
                <w:kern w:val="2"/>
                <w:sz w:val="24"/>
                <w:szCs w:val="22"/>
              </w:rPr>
              <w:t>。本项目线路所经区域均为栽培植被，线路施工只涉及架线安装，无土建施工，线路对植被的影响方式主要表现为</w:t>
            </w:r>
            <w:r>
              <w:rPr>
                <w:rFonts w:ascii="Times New Roman" w:hAnsi="Times New Roman"/>
                <w:kern w:val="2"/>
                <w:sz w:val="24"/>
                <w:szCs w:val="22"/>
              </w:rPr>
              <w:t>放线将导致部分农作物被踩踏或占压。</w:t>
            </w:r>
          </w:p>
          <w:p w14:paraId="20118270">
            <w:pPr>
              <w:pStyle w:val="26"/>
              <w:spacing w:line="360" w:lineRule="auto"/>
              <w:ind w:firstLine="480" w:firstLineChars="200"/>
              <w:rPr>
                <w:rFonts w:ascii="Times New Roman" w:hAnsi="Times New Roman"/>
                <w:kern w:val="2"/>
                <w:sz w:val="24"/>
                <w:szCs w:val="24"/>
              </w:rPr>
            </w:pPr>
            <w:r>
              <w:rPr>
                <w:rFonts w:ascii="Times New Roman" w:hAnsi="Times New Roman"/>
                <w:kern w:val="2"/>
                <w:sz w:val="24"/>
                <w:szCs w:val="24"/>
              </w:rPr>
              <w:t>1）对</w:t>
            </w:r>
            <w:r>
              <w:rPr>
                <w:rFonts w:hint="eastAsia" w:ascii="Times New Roman" w:hAnsi="Times New Roman"/>
                <w:kern w:val="2"/>
                <w:sz w:val="24"/>
                <w:szCs w:val="24"/>
              </w:rPr>
              <w:t>暖温性针叶林</w:t>
            </w:r>
            <w:r>
              <w:rPr>
                <w:rFonts w:ascii="Times New Roman" w:hAnsi="Times New Roman"/>
                <w:kern w:val="2"/>
                <w:sz w:val="24"/>
                <w:szCs w:val="24"/>
              </w:rPr>
              <w:t>的影响</w:t>
            </w:r>
          </w:p>
          <w:p w14:paraId="5AC5BACF">
            <w:pPr>
              <w:tabs>
                <w:tab w:val="left" w:pos="3364"/>
              </w:tabs>
              <w:spacing w:line="360" w:lineRule="auto"/>
              <w:ind w:firstLine="480" w:firstLineChars="200"/>
              <w:rPr>
                <w:sz w:val="24"/>
              </w:rPr>
            </w:pPr>
            <w:r>
              <w:rPr>
                <w:sz w:val="24"/>
              </w:rPr>
              <w:t>评价区植被群落次生性较强，现有植被主要是经人为干扰破坏后形成的人工植被和次生林，多为针叶林、灌木林</w:t>
            </w:r>
            <w:r>
              <w:rPr>
                <w:rFonts w:hint="eastAsia"/>
                <w:sz w:val="24"/>
              </w:rPr>
              <w:t>、草地和</w:t>
            </w:r>
            <w:r>
              <w:rPr>
                <w:sz w:val="24"/>
              </w:rPr>
              <w:t>农作物等。线路路径选择时已尽量避让林木密集区，塔基尽量选择在林木较稀疏地带，在保证线路技术安全的前提下，通过提升导线架设高度和增大档距，减少位于林木区铁塔数量，减少对林木的削枝和砍伐。在采取上述措施的基础上，仅对无法避让位于塔基处的树木进行砍伐。全线占用林地面积约0.2141hm</w:t>
            </w:r>
            <w:r>
              <w:rPr>
                <w:sz w:val="24"/>
                <w:vertAlign w:val="superscript"/>
              </w:rPr>
              <w:t>2</w:t>
            </w:r>
            <w:r>
              <w:rPr>
                <w:sz w:val="24"/>
              </w:rPr>
              <w:t>，但占地</w:t>
            </w:r>
            <w:r>
              <w:rPr>
                <w:kern w:val="0"/>
                <w:sz w:val="24"/>
              </w:rPr>
              <w:t>呈点状分散布置，不会造成</w:t>
            </w:r>
            <w:r>
              <w:rPr>
                <w:sz w:val="24"/>
              </w:rPr>
              <w:t>大面积林地植被破坏。线路全线按照高跨设计，平均铁塔呼称高度约35m，线路全部采用跨树设计，跨树高度按树木自然生长高度确定。由于耐张塔高度较低，因此，为减少其周围树木砍伐量，在林木密集地区尽量不设置耐张塔，尽可能</w:t>
            </w:r>
            <w:r>
              <w:rPr>
                <w:rFonts w:hint="eastAsia"/>
                <w:sz w:val="24"/>
              </w:rPr>
              <w:t>地</w:t>
            </w:r>
            <w:r>
              <w:rPr>
                <w:sz w:val="24"/>
              </w:rPr>
              <w:t>借助山势跨越树木。</w:t>
            </w:r>
            <w:r>
              <w:rPr>
                <w:spacing w:val="-4"/>
                <w:sz w:val="24"/>
              </w:rPr>
              <w:t>主要为</w:t>
            </w:r>
            <w:r>
              <w:rPr>
                <w:sz w:val="24"/>
              </w:rPr>
              <w:t>云南松、</w:t>
            </w:r>
            <w:r>
              <w:rPr>
                <w:rFonts w:hint="eastAsia"/>
                <w:sz w:val="24"/>
              </w:rPr>
              <w:t>华山松</w:t>
            </w:r>
            <w:r>
              <w:rPr>
                <w:spacing w:val="-4"/>
                <w:sz w:val="24"/>
              </w:rPr>
              <w:t>等当地常见树种</w:t>
            </w:r>
            <w:r>
              <w:rPr>
                <w:sz w:val="24"/>
              </w:rPr>
              <w:t>，在项目所在区域广泛分布。施工临时占地时间短，施工前采取表土剥离措施，施工结束后采取植被恢复措施，能有效降低生态影响程度。综上，本工程建设对区域植被类型、植被面积、植物种类、数量影响较小。</w:t>
            </w:r>
          </w:p>
          <w:p w14:paraId="6E9C72E9">
            <w:pPr>
              <w:spacing w:line="360" w:lineRule="auto"/>
              <w:ind w:firstLine="480" w:firstLineChars="200"/>
              <w:rPr>
                <w:sz w:val="24"/>
              </w:rPr>
            </w:pPr>
            <w:r>
              <w:rPr>
                <w:sz w:val="24"/>
              </w:rPr>
              <w:t>2）对</w:t>
            </w:r>
            <w:r>
              <w:rPr>
                <w:rFonts w:hint="eastAsia"/>
                <w:sz w:val="24"/>
              </w:rPr>
              <w:t>暖性石灰岩灌丛和次生性草丛</w:t>
            </w:r>
            <w:r>
              <w:rPr>
                <w:sz w:val="24"/>
              </w:rPr>
              <w:t>的影响</w:t>
            </w:r>
          </w:p>
          <w:p w14:paraId="02F13B13">
            <w:pPr>
              <w:tabs>
                <w:tab w:val="left" w:pos="6977"/>
              </w:tabs>
              <w:spacing w:line="360" w:lineRule="auto"/>
              <w:ind w:firstLine="480" w:firstLineChars="200"/>
              <w:rPr>
                <w:sz w:val="24"/>
              </w:rPr>
            </w:pPr>
            <w:r>
              <w:rPr>
                <w:sz w:val="24"/>
              </w:rPr>
              <w:t>本项目区域</w:t>
            </w:r>
            <w:r>
              <w:rPr>
                <w:rFonts w:hint="eastAsia"/>
                <w:sz w:val="24"/>
              </w:rPr>
              <w:t>灌丛和草地</w:t>
            </w:r>
            <w:r>
              <w:rPr>
                <w:sz w:val="24"/>
              </w:rPr>
              <w:t>呈小斑块状分散分布，全线占用</w:t>
            </w:r>
            <w:r>
              <w:rPr>
                <w:rFonts w:hint="eastAsia"/>
                <w:sz w:val="24"/>
              </w:rPr>
              <w:t>暖性石灰岩灌丛</w:t>
            </w:r>
            <w:r>
              <w:rPr>
                <w:sz w:val="24"/>
              </w:rPr>
              <w:t>面积约0.1956hm</w:t>
            </w:r>
            <w:r>
              <w:rPr>
                <w:sz w:val="24"/>
                <w:vertAlign w:val="superscript"/>
              </w:rPr>
              <w:t>2</w:t>
            </w:r>
            <w:r>
              <w:rPr>
                <w:sz w:val="24"/>
              </w:rPr>
              <w:t>，</w:t>
            </w:r>
            <w:r>
              <w:rPr>
                <w:rFonts w:hint="eastAsia"/>
                <w:sz w:val="24"/>
              </w:rPr>
              <w:t>占用暖温性稀树灌木草丛面积约</w:t>
            </w:r>
            <w:r>
              <w:rPr>
                <w:sz w:val="24"/>
              </w:rPr>
              <w:t>0.1472hm</w:t>
            </w:r>
            <w:r>
              <w:rPr>
                <w:sz w:val="24"/>
                <w:vertAlign w:val="superscript"/>
              </w:rPr>
              <w:t>2</w:t>
            </w:r>
            <w:r>
              <w:rPr>
                <w:rFonts w:hint="eastAsia"/>
                <w:sz w:val="24"/>
              </w:rPr>
              <w:t>，</w:t>
            </w:r>
            <w:r>
              <w:rPr>
                <w:kern w:val="0"/>
                <w:sz w:val="24"/>
              </w:rPr>
              <w:t>塔基呈点状分散布置，不会连续占用</w:t>
            </w:r>
            <w:r>
              <w:rPr>
                <w:rFonts w:hint="eastAsia"/>
                <w:kern w:val="0"/>
                <w:sz w:val="24"/>
              </w:rPr>
              <w:t>灌丛和</w:t>
            </w:r>
            <w:r>
              <w:rPr>
                <w:kern w:val="0"/>
                <w:sz w:val="24"/>
              </w:rPr>
              <w:t>草地，也不会造成大面积</w:t>
            </w:r>
            <w:r>
              <w:rPr>
                <w:rFonts w:hint="eastAsia"/>
                <w:kern w:val="0"/>
                <w:sz w:val="24"/>
              </w:rPr>
              <w:t>灌草</w:t>
            </w:r>
            <w:r>
              <w:rPr>
                <w:kern w:val="0"/>
                <w:sz w:val="24"/>
              </w:rPr>
              <w:t>植被破坏。被占压的</w:t>
            </w:r>
            <w:r>
              <w:rPr>
                <w:rFonts w:hint="eastAsia"/>
                <w:kern w:val="0"/>
                <w:sz w:val="24"/>
              </w:rPr>
              <w:t>暖性石灰岩灌丛和</w:t>
            </w:r>
            <w:r>
              <w:rPr>
                <w:kern w:val="0"/>
                <w:sz w:val="24"/>
              </w:rPr>
              <w:t>草丛植物主要为</w:t>
            </w:r>
            <w:r>
              <w:rPr>
                <w:rFonts w:hint="eastAsia"/>
                <w:kern w:val="0"/>
                <w:sz w:val="24"/>
              </w:rPr>
              <w:t>火棘、西南栒子、白茅、西南委陵菜</w:t>
            </w:r>
            <w:r>
              <w:rPr>
                <w:kern w:val="0"/>
                <w:sz w:val="24"/>
              </w:rPr>
              <w:t>等，均为当地常见物种。施工期间对临时占地区域进行表土剥离和集中堆放，施工结束后用于表土回铺，临时占地区域和塔基永久占地下方的</w:t>
            </w:r>
            <w:r>
              <w:rPr>
                <w:rFonts w:hint="eastAsia"/>
                <w:kern w:val="0"/>
                <w:sz w:val="24"/>
              </w:rPr>
              <w:t>灌草</w:t>
            </w:r>
            <w:r>
              <w:rPr>
                <w:kern w:val="0"/>
                <w:sz w:val="24"/>
              </w:rPr>
              <w:t>植被在人工恢复和自然恢复下能逐步恢复其原有功能，因此，项目建设对</w:t>
            </w:r>
            <w:r>
              <w:rPr>
                <w:rFonts w:hint="eastAsia"/>
                <w:kern w:val="0"/>
                <w:sz w:val="24"/>
              </w:rPr>
              <w:t>暖性石灰岩灌丛和暖温性稀树灌木草丛</w:t>
            </w:r>
            <w:r>
              <w:rPr>
                <w:kern w:val="0"/>
                <w:sz w:val="24"/>
              </w:rPr>
              <w:t>植被的影响轻微。</w:t>
            </w:r>
          </w:p>
          <w:p w14:paraId="7B740710">
            <w:pPr>
              <w:pStyle w:val="97"/>
              <w:spacing w:line="360" w:lineRule="auto"/>
              <w:ind w:left="0" w:leftChars="0" w:right="0" w:rightChars="0" w:firstLineChars="0"/>
              <w:rPr>
                <w:rFonts w:ascii="Times New Roman"/>
                <w:sz w:val="24"/>
              </w:rPr>
            </w:pPr>
            <w:r>
              <w:rPr>
                <w:rFonts w:ascii="Times New Roman"/>
                <w:sz w:val="24"/>
              </w:rPr>
              <w:t>3）对栽培植被的影响</w:t>
            </w:r>
          </w:p>
          <w:p w14:paraId="2D3FF5BD">
            <w:pPr>
              <w:widowControl/>
              <w:spacing w:line="360" w:lineRule="auto"/>
              <w:ind w:firstLine="480" w:firstLineChars="200"/>
              <w:rPr>
                <w:kern w:val="0"/>
                <w:sz w:val="24"/>
              </w:rPr>
            </w:pPr>
            <w:r>
              <w:rPr>
                <w:sz w:val="24"/>
              </w:rPr>
              <w:t>本项目区域为农村环境，栽培植被广泛分布，主要有作物和经济林木。本项目塔基已尽量避让耕地，最大程度降低对栽培植被的破坏。本线路共占用</w:t>
            </w:r>
            <w:r>
              <w:rPr>
                <w:rFonts w:hint="eastAsia"/>
                <w:sz w:val="24"/>
              </w:rPr>
              <w:t>农业用地</w:t>
            </w:r>
            <w:r>
              <w:rPr>
                <w:sz w:val="24"/>
              </w:rPr>
              <w:t>面积约0.1267hm</w:t>
            </w:r>
            <w:r>
              <w:rPr>
                <w:sz w:val="24"/>
                <w:vertAlign w:val="superscript"/>
              </w:rPr>
              <w:t>2</w:t>
            </w:r>
            <w:r>
              <w:rPr>
                <w:sz w:val="24"/>
              </w:rPr>
              <w:t>，占地面积较小且分散，对作物和经济林木的破坏范围和程度有限。施工结束后对临时占用的耕地进行复耕，逐步恢复其原有功能</w:t>
            </w:r>
            <w:r>
              <w:rPr>
                <w:kern w:val="0"/>
                <w:sz w:val="24"/>
              </w:rPr>
              <w:t>。</w:t>
            </w:r>
            <w:r>
              <w:rPr>
                <w:sz w:val="24"/>
              </w:rPr>
              <w:t>因此，本项目建设不会对当地作物和经济林木面积和产量造成明显影响</w:t>
            </w:r>
            <w:r>
              <w:rPr>
                <w:kern w:val="0"/>
                <w:sz w:val="24"/>
              </w:rPr>
              <w:t>，对栽培植被影响较小。</w:t>
            </w:r>
          </w:p>
          <w:p w14:paraId="09C3270F">
            <w:pPr>
              <w:spacing w:line="360" w:lineRule="auto"/>
              <w:ind w:firstLine="480" w:firstLineChars="200"/>
              <w:rPr>
                <w:sz w:val="24"/>
              </w:rPr>
            </w:pPr>
            <w:r>
              <w:rPr>
                <w:sz w:val="24"/>
              </w:rPr>
              <w:t>综上所述，本项目线路施工点分散，各施工点占地面积小，施工期破坏面积很小，造成的植被生物损失量很小，同时，线路塔基尽量选择在植被覆盖度较低的位置，避让林木生长较为密集的区域，本项目建设对植被影响很小。</w:t>
            </w:r>
          </w:p>
          <w:p w14:paraId="1EBE244C">
            <w:pPr>
              <w:adjustRightInd w:val="0"/>
              <w:snapToGrid w:val="0"/>
              <w:spacing w:line="360" w:lineRule="auto"/>
              <w:textAlignment w:val="baseline"/>
              <w:rPr>
                <w:b/>
                <w:kern w:val="0"/>
                <w:sz w:val="24"/>
              </w:rPr>
            </w:pPr>
            <w:r>
              <w:rPr>
                <w:b/>
                <w:kern w:val="0"/>
                <w:sz w:val="24"/>
              </w:rPr>
              <w:t>2、对植物的影响分析</w:t>
            </w:r>
          </w:p>
          <w:p w14:paraId="7F8333C6">
            <w:pPr>
              <w:adjustRightInd w:val="0"/>
              <w:snapToGrid w:val="0"/>
              <w:spacing w:line="360" w:lineRule="auto"/>
              <w:ind w:firstLine="480" w:firstLineChars="200"/>
              <w:textAlignment w:val="baseline"/>
              <w:rPr>
                <w:sz w:val="24"/>
              </w:rPr>
            </w:pPr>
            <w:r>
              <w:rPr>
                <w:sz w:val="24"/>
              </w:rPr>
              <w:t>项目评价</w:t>
            </w:r>
            <w:r>
              <w:rPr>
                <w:rFonts w:hint="eastAsia"/>
                <w:sz w:val="24"/>
              </w:rPr>
              <w:t>区</w:t>
            </w:r>
            <w:r>
              <w:rPr>
                <w:sz w:val="24"/>
              </w:rPr>
              <w:t>内均为当地常见树种，主要以</w:t>
            </w:r>
            <w:r>
              <w:rPr>
                <w:rFonts w:hint="eastAsia"/>
                <w:sz w:val="24"/>
              </w:rPr>
              <w:t>云南松</w:t>
            </w:r>
            <w:r>
              <w:rPr>
                <w:sz w:val="24"/>
              </w:rPr>
              <w:t>、</w:t>
            </w:r>
            <w:r>
              <w:rPr>
                <w:rFonts w:hint="eastAsia"/>
                <w:sz w:val="24"/>
              </w:rPr>
              <w:t>华山松</w:t>
            </w:r>
            <w:r>
              <w:rPr>
                <w:sz w:val="24"/>
              </w:rPr>
              <w:t>、</w:t>
            </w:r>
            <w:r>
              <w:rPr>
                <w:rFonts w:hint="eastAsia"/>
                <w:sz w:val="24"/>
              </w:rPr>
              <w:t>小叶栒子、火棘</w:t>
            </w:r>
            <w:r>
              <w:rPr>
                <w:sz w:val="24"/>
              </w:rPr>
              <w:t>、</w:t>
            </w:r>
            <w:r>
              <w:rPr>
                <w:rFonts w:hint="eastAsia"/>
                <w:sz w:val="24"/>
              </w:rPr>
              <w:t>白茅</w:t>
            </w:r>
            <w:r>
              <w:rPr>
                <w:sz w:val="24"/>
              </w:rPr>
              <w:t>等为主，未发现国家和云南省重点保护的野生植物，也没有发现特有种存在。工程</w:t>
            </w:r>
            <w:r>
              <w:rPr>
                <w:rFonts w:hint="eastAsia"/>
                <w:sz w:val="24"/>
              </w:rPr>
              <w:t>建设</w:t>
            </w:r>
            <w:r>
              <w:rPr>
                <w:sz w:val="24"/>
              </w:rPr>
              <w:t>对这些植物中的部分种类及其个体会产生一定的影响，使评价区的植物个体有所减少。此外，</w:t>
            </w:r>
            <w:r>
              <w:rPr>
                <w:rFonts w:hint="eastAsia"/>
                <w:sz w:val="24"/>
              </w:rPr>
              <w:t>塔基</w:t>
            </w:r>
            <w:r>
              <w:rPr>
                <w:sz w:val="24"/>
              </w:rPr>
              <w:t>为点状结构，不会形成明显的生态阻隔，不会对植物种子的散布造成影响，因</w:t>
            </w:r>
            <w:r>
              <w:rPr>
                <w:rFonts w:hint="eastAsia"/>
                <w:sz w:val="24"/>
              </w:rPr>
              <w:t>此，输电线路</w:t>
            </w:r>
            <w:r>
              <w:rPr>
                <w:sz w:val="24"/>
              </w:rPr>
              <w:t>在营运期间不会影响沿线植物的繁殖，</w:t>
            </w:r>
            <w:r>
              <w:rPr>
                <w:rFonts w:hint="eastAsia"/>
                <w:sz w:val="24"/>
              </w:rPr>
              <w:t>也</w:t>
            </w:r>
            <w:r>
              <w:rPr>
                <w:sz w:val="24"/>
              </w:rPr>
              <w:t>不会从根本上改变某种植物的遗传结构、空间分布格局和种群更新。</w:t>
            </w:r>
          </w:p>
          <w:p w14:paraId="67662DA9">
            <w:pPr>
              <w:spacing w:line="360" w:lineRule="auto"/>
              <w:rPr>
                <w:b/>
                <w:kern w:val="0"/>
                <w:sz w:val="24"/>
              </w:rPr>
            </w:pPr>
            <w:r>
              <w:rPr>
                <w:b/>
                <w:kern w:val="0"/>
                <w:sz w:val="24"/>
              </w:rPr>
              <w:t>3、对动物的影响</w:t>
            </w:r>
          </w:p>
          <w:p w14:paraId="0CD595D2">
            <w:pPr>
              <w:adjustRightInd w:val="0"/>
              <w:snapToGrid w:val="0"/>
              <w:spacing w:line="360" w:lineRule="auto"/>
              <w:ind w:firstLine="480" w:firstLineChars="200"/>
              <w:textAlignment w:val="baseline"/>
              <w:rPr>
                <w:sz w:val="24"/>
              </w:rPr>
            </w:pPr>
            <w:r>
              <w:rPr>
                <w:rFonts w:hint="eastAsia"/>
                <w:sz w:val="24"/>
              </w:rPr>
              <w:t>施工期间，迁徙能力强的兽类、鸟类通过迁移来避免工程施工的影响，项目周边适宜生境丰富，兽类、鸟类受其影响后可自主寻找替代生境。施工作业结束后，迁移出项目区的动物中的一部分会返回原来的栖息地，大部分会在项目区周围的邻近区域重新分布，因此，只要规范好施工人员个人行为，施工期间对兽类和鸟类的影响不大。</w:t>
            </w:r>
          </w:p>
          <w:p w14:paraId="5BEEC03E">
            <w:pPr>
              <w:adjustRightInd w:val="0"/>
              <w:snapToGrid w:val="0"/>
              <w:spacing w:line="360" w:lineRule="auto"/>
              <w:ind w:firstLine="480" w:firstLineChars="200"/>
              <w:textAlignment w:val="baseline"/>
              <w:rPr>
                <w:sz w:val="24"/>
              </w:rPr>
            </w:pPr>
            <w:r>
              <w:rPr>
                <w:rFonts w:hint="eastAsia"/>
                <w:sz w:val="24"/>
              </w:rPr>
              <w:t>输变电项目仅在塔基附近造成小范围的片状改变，没有显著改变爬行类在该区域的大生境条件。爬行动物活动能力较强，活动范围较大，在施工噪声、振动、人为活动等因素刺激下，能迅速做出规避反应，因此项目建设对爬行类动物影响较小，施工活动结束后，随着自然生态环境的恢复和重建，项目建设对爬行类动物的影响逐步消失</w:t>
            </w:r>
            <w:r>
              <w:rPr>
                <w:sz w:val="24"/>
              </w:rPr>
              <w:t>。</w:t>
            </w:r>
          </w:p>
          <w:p w14:paraId="62C48F5D">
            <w:pPr>
              <w:spacing w:line="360" w:lineRule="auto"/>
              <w:rPr>
                <w:b/>
                <w:kern w:val="0"/>
                <w:sz w:val="24"/>
              </w:rPr>
            </w:pPr>
            <w:r>
              <w:rPr>
                <w:b/>
                <w:kern w:val="0"/>
                <w:sz w:val="24"/>
              </w:rPr>
              <w:t>4、对</w:t>
            </w:r>
            <w:r>
              <w:rPr>
                <w:rFonts w:hint="eastAsia"/>
                <w:b/>
                <w:kern w:val="0"/>
                <w:sz w:val="24"/>
              </w:rPr>
              <w:t>永久基本农田</w:t>
            </w:r>
            <w:r>
              <w:rPr>
                <w:b/>
                <w:kern w:val="0"/>
                <w:sz w:val="24"/>
              </w:rPr>
              <w:t>的影响</w:t>
            </w:r>
          </w:p>
          <w:p w14:paraId="4C8B2A88">
            <w:pPr>
              <w:adjustRightInd w:val="0"/>
              <w:snapToGrid w:val="0"/>
              <w:spacing w:line="360" w:lineRule="auto"/>
              <w:ind w:firstLine="480" w:firstLineChars="200"/>
              <w:textAlignment w:val="baseline"/>
              <w:rPr>
                <w:sz w:val="24"/>
              </w:rPr>
            </w:pPr>
            <w:r>
              <w:rPr>
                <w:rFonts w:hint="eastAsia"/>
                <w:sz w:val="24"/>
              </w:rPr>
              <w:t>本项目塔基占地区及临时工程占地已全部避让永久基本农田，1</w:t>
            </w:r>
            <w:r>
              <w:rPr>
                <w:sz w:val="24"/>
              </w:rPr>
              <w:t>10</w:t>
            </w:r>
            <w:r>
              <w:rPr>
                <w:rFonts w:hint="eastAsia"/>
                <w:sz w:val="24"/>
              </w:rPr>
              <w:t>k</w:t>
            </w:r>
            <w:r>
              <w:rPr>
                <w:sz w:val="24"/>
              </w:rPr>
              <w:t>V</w:t>
            </w:r>
            <w:r>
              <w:rPr>
                <w:rFonts w:hint="eastAsia"/>
                <w:sz w:val="24"/>
              </w:rPr>
              <w:t>送出线路仅跨越永久基本农田，跨越部分将使用飞艇放线，不会在永久基本农田范围内新增跨越场等占地，因此本项目的建设对永久基本农田影响不大</w:t>
            </w:r>
            <w:r>
              <w:rPr>
                <w:sz w:val="24"/>
              </w:rPr>
              <w:t>。</w:t>
            </w:r>
          </w:p>
          <w:p w14:paraId="7151F1EC">
            <w:pPr>
              <w:adjustRightInd w:val="0"/>
              <w:snapToGrid w:val="0"/>
              <w:spacing w:line="360" w:lineRule="auto"/>
              <w:textAlignment w:val="baseline"/>
              <w:rPr>
                <w:b/>
                <w:bCs/>
                <w:kern w:val="0"/>
                <w:sz w:val="24"/>
              </w:rPr>
            </w:pPr>
            <w:r>
              <w:rPr>
                <w:b/>
                <w:bCs/>
                <w:spacing w:val="-2"/>
                <w:sz w:val="24"/>
              </w:rPr>
              <w:t>5、</w:t>
            </w:r>
            <w:r>
              <w:rPr>
                <w:b/>
                <w:bCs/>
                <w:kern w:val="0"/>
                <w:sz w:val="24"/>
              </w:rPr>
              <w:t>水土流失的影响</w:t>
            </w:r>
          </w:p>
          <w:p w14:paraId="6FBADE0C">
            <w:pPr>
              <w:adjustRightInd w:val="0"/>
              <w:snapToGrid w:val="0"/>
              <w:spacing w:line="360" w:lineRule="auto"/>
              <w:ind w:firstLine="480" w:firstLineChars="200"/>
              <w:textAlignment w:val="baseline"/>
              <w:rPr>
                <w:kern w:val="0"/>
                <w:sz w:val="24"/>
              </w:rPr>
            </w:pPr>
            <w:r>
              <w:rPr>
                <w:sz w:val="24"/>
              </w:rPr>
              <w:t>根据本项目水土保持方案报告书，</w:t>
            </w:r>
            <w:r>
              <w:rPr>
                <w:kern w:val="0"/>
                <w:sz w:val="24"/>
              </w:rPr>
              <w:t>本项目建设过程中扰动原地貌、损坏土地面积为0.6836hm</w:t>
            </w:r>
            <w:r>
              <w:rPr>
                <w:kern w:val="0"/>
                <w:sz w:val="24"/>
                <w:vertAlign w:val="superscript"/>
              </w:rPr>
              <w:t>2</w:t>
            </w:r>
            <w:r>
              <w:rPr>
                <w:kern w:val="0"/>
                <w:sz w:val="24"/>
              </w:rPr>
              <w:t>，</w:t>
            </w:r>
            <w:r>
              <w:rPr>
                <w:sz w:val="24"/>
              </w:rPr>
              <w:t>经统计，南冲风电场110kV送出线路工程可能造成的</w:t>
            </w:r>
            <w:r>
              <w:rPr>
                <w:kern w:val="0"/>
                <w:sz w:val="24"/>
              </w:rPr>
              <w:t>水土流失面积0.75hm</w:t>
            </w:r>
            <w:r>
              <w:rPr>
                <w:kern w:val="0"/>
                <w:sz w:val="24"/>
                <w:vertAlign w:val="superscript"/>
              </w:rPr>
              <w:t>2</w:t>
            </w:r>
            <w:r>
              <w:rPr>
                <w:kern w:val="0"/>
                <w:sz w:val="24"/>
              </w:rPr>
              <w:t>，建设期水土流失预测总量为88.78t，新增水土流失量73.60t。新增水土流失中，输电线路区可能产生的水土流失最大，占总流失量的99.93%，其中线路中塔基施工场地水土流失最严重。</w:t>
            </w:r>
            <w:r>
              <w:rPr>
                <w:sz w:val="24"/>
              </w:rPr>
              <w:t>水土流失将对工程所在区域的水土资源及生态环境带来不利影响，其可</w:t>
            </w:r>
            <w:r>
              <w:rPr>
                <w:kern w:val="0"/>
                <w:sz w:val="24"/>
              </w:rPr>
              <w:t>能产生的危害有以下几个方面：</w:t>
            </w:r>
          </w:p>
          <w:p w14:paraId="6EE5612D">
            <w:pPr>
              <w:adjustRightInd w:val="0"/>
              <w:snapToGrid w:val="0"/>
              <w:spacing w:line="360" w:lineRule="auto"/>
              <w:ind w:firstLine="480" w:firstLineChars="200"/>
              <w:textAlignment w:val="baseline"/>
              <w:rPr>
                <w:kern w:val="0"/>
                <w:sz w:val="24"/>
              </w:rPr>
            </w:pPr>
            <w:r>
              <w:rPr>
                <w:kern w:val="0"/>
                <w:sz w:val="24"/>
              </w:rPr>
              <w:t>①影响塔基稳定，阻碍线路输送</w:t>
            </w:r>
          </w:p>
          <w:p w14:paraId="70CDEE0F">
            <w:pPr>
              <w:adjustRightInd w:val="0"/>
              <w:snapToGrid w:val="0"/>
              <w:spacing w:line="360" w:lineRule="auto"/>
              <w:ind w:firstLine="480" w:firstLineChars="200"/>
              <w:textAlignment w:val="baseline"/>
              <w:rPr>
                <w:kern w:val="0"/>
                <w:sz w:val="24"/>
              </w:rPr>
            </w:pPr>
            <w:r>
              <w:rPr>
                <w:kern w:val="0"/>
                <w:sz w:val="24"/>
              </w:rPr>
              <w:t>本工程输电线路建设跨距长、点分散，有些地段需要高开挖，不良地段和陡坡地带施工产生的水土流失会影响杆塔基础稳定，从而影响到线路的输送。</w:t>
            </w:r>
          </w:p>
          <w:p w14:paraId="2732B940">
            <w:pPr>
              <w:adjustRightInd w:val="0"/>
              <w:snapToGrid w:val="0"/>
              <w:spacing w:line="360" w:lineRule="auto"/>
              <w:ind w:firstLine="480" w:firstLineChars="200"/>
              <w:textAlignment w:val="baseline"/>
              <w:rPr>
                <w:kern w:val="0"/>
                <w:sz w:val="24"/>
              </w:rPr>
            </w:pPr>
            <w:r>
              <w:rPr>
                <w:kern w:val="0"/>
                <w:sz w:val="24"/>
              </w:rPr>
              <w:t>②破坏土地资源</w:t>
            </w:r>
          </w:p>
          <w:p w14:paraId="5FF99335">
            <w:pPr>
              <w:adjustRightInd w:val="0"/>
              <w:snapToGrid w:val="0"/>
              <w:spacing w:line="360" w:lineRule="auto"/>
              <w:ind w:firstLine="480" w:firstLineChars="200"/>
              <w:textAlignment w:val="baseline"/>
              <w:rPr>
                <w:kern w:val="0"/>
                <w:sz w:val="24"/>
              </w:rPr>
            </w:pPr>
            <w:r>
              <w:rPr>
                <w:kern w:val="0"/>
                <w:sz w:val="24"/>
              </w:rPr>
              <w:t>工程施工将使工程临时占</w:t>
            </w:r>
            <w:r>
              <w:rPr>
                <w:rFonts w:hint="eastAsia"/>
                <w:kern w:val="0"/>
                <w:sz w:val="24"/>
              </w:rPr>
              <w:t>用</w:t>
            </w:r>
            <w:r>
              <w:rPr>
                <w:kern w:val="0"/>
                <w:sz w:val="24"/>
              </w:rPr>
              <w:t>地区的土地遭到破坏，使土壤有机质流失，肥力下降，从而使立地条件恶化，使农业减产或弃耕。</w:t>
            </w:r>
          </w:p>
          <w:p w14:paraId="0491329F">
            <w:pPr>
              <w:adjustRightInd w:val="0"/>
              <w:snapToGrid w:val="0"/>
              <w:spacing w:line="360" w:lineRule="auto"/>
              <w:ind w:firstLine="480" w:firstLineChars="200"/>
              <w:textAlignment w:val="baseline"/>
              <w:rPr>
                <w:kern w:val="0"/>
                <w:sz w:val="24"/>
              </w:rPr>
            </w:pPr>
            <w:r>
              <w:rPr>
                <w:kern w:val="0"/>
                <w:sz w:val="24"/>
              </w:rPr>
              <w:t>③对工程自身安全的影响，项目施工期间，在开挖区会形成较大的开挖面积较多的松散堆积物，如遇暴雨，地面将会形成高含沙水流。</w:t>
            </w:r>
          </w:p>
          <w:p w14:paraId="514FB37C">
            <w:pPr>
              <w:adjustRightInd w:val="0"/>
              <w:snapToGrid w:val="0"/>
              <w:spacing w:line="360" w:lineRule="auto"/>
              <w:ind w:firstLine="480" w:firstLineChars="200"/>
              <w:textAlignment w:val="baseline"/>
              <w:rPr>
                <w:kern w:val="0"/>
                <w:sz w:val="24"/>
              </w:rPr>
            </w:pPr>
            <w:r>
              <w:rPr>
                <w:kern w:val="0"/>
                <w:sz w:val="24"/>
              </w:rPr>
              <w:t>④周边环境影响</w:t>
            </w:r>
          </w:p>
          <w:p w14:paraId="79A57EF3">
            <w:pPr>
              <w:adjustRightInd w:val="0"/>
              <w:snapToGrid w:val="0"/>
              <w:spacing w:line="360" w:lineRule="auto"/>
              <w:ind w:firstLine="480" w:firstLineChars="200"/>
              <w:textAlignment w:val="baseline"/>
              <w:rPr>
                <w:kern w:val="0"/>
                <w:sz w:val="24"/>
              </w:rPr>
            </w:pPr>
            <w:r>
              <w:rPr>
                <w:kern w:val="0"/>
                <w:sz w:val="24"/>
              </w:rPr>
              <w:t>本项目进站道路与现有乡村道路相连，项目区周边多为林地，地表破坏，造成地表裸露，雨水冲刷易形成大量泥沙，对周边环境造成影响。</w:t>
            </w:r>
          </w:p>
          <w:p w14:paraId="53BA7236">
            <w:pPr>
              <w:adjustRightInd w:val="0"/>
              <w:snapToGrid w:val="0"/>
              <w:spacing w:line="360" w:lineRule="auto"/>
              <w:textAlignment w:val="baseline"/>
              <w:rPr>
                <w:sz w:val="24"/>
              </w:rPr>
            </w:pPr>
            <w:r>
              <w:rPr>
                <w:rFonts w:hint="eastAsia"/>
                <w:b/>
                <w:bCs/>
                <w:sz w:val="24"/>
              </w:rPr>
              <w:t>七</w:t>
            </w:r>
            <w:r>
              <w:rPr>
                <w:b/>
                <w:bCs/>
                <w:sz w:val="24"/>
              </w:rPr>
              <w:t>、环境风险分析</w:t>
            </w:r>
          </w:p>
          <w:p w14:paraId="32BC6041">
            <w:pPr>
              <w:spacing w:line="360" w:lineRule="auto"/>
              <w:ind w:firstLine="480" w:firstLineChars="200"/>
              <w:rPr>
                <w:sz w:val="24"/>
              </w:rPr>
            </w:pPr>
            <w:r>
              <w:rPr>
                <w:sz w:val="24"/>
              </w:rPr>
              <w:t>结合项目特点，根据《建设项目环境风险评价技术导则》（HJ169-2018），本项目施工期风险源主要为燃油机械使用的汽柴油，属于易燃物质，施工期间不设油库，施工机械和车辆用油依托周边加油站，施工现场存储量不大，危险物质Q值小于1，所以项目风险潜势为Ⅰ，评价工作等级为简单分析。</w:t>
            </w:r>
          </w:p>
          <w:p w14:paraId="7FC560E5">
            <w:pPr>
              <w:spacing w:line="360" w:lineRule="auto"/>
              <w:ind w:firstLine="480" w:firstLineChars="200"/>
              <w:rPr>
                <w:sz w:val="24"/>
              </w:rPr>
            </w:pPr>
            <w:r>
              <w:rPr>
                <w:sz w:val="24"/>
              </w:rPr>
              <w:t>根据现场调查，项目施工期间加强燃油机械维修保养；在暂存的汽柴油区设置严禁烟火等禁火标识；燃油机械加油时进行巡查工作；制定了严格健全的安全管理制度和相关人员的培训制度，规范汽柴油运输、使用和储存的过程。</w:t>
            </w:r>
          </w:p>
          <w:p w14:paraId="522335BD">
            <w:pPr>
              <w:spacing w:line="360" w:lineRule="auto"/>
              <w:ind w:firstLine="480" w:firstLineChars="200"/>
              <w:rPr>
                <w:bCs/>
              </w:rPr>
            </w:pPr>
            <w:r>
              <w:rPr>
                <w:sz w:val="24"/>
              </w:rPr>
              <w:t>综上所述，本工程不涉及</w:t>
            </w:r>
            <w:r>
              <w:rPr>
                <w:rFonts w:hint="eastAsia"/>
                <w:sz w:val="24"/>
              </w:rPr>
              <w:t>生态保护红线、</w:t>
            </w:r>
            <w:r>
              <w:rPr>
                <w:sz w:val="24"/>
              </w:rPr>
              <w:t>自然保护区、风景名胜区、饮用水源地</w:t>
            </w:r>
            <w:r>
              <w:rPr>
                <w:rFonts w:hint="eastAsia"/>
                <w:sz w:val="24"/>
              </w:rPr>
              <w:t>、国家级公益林中的有林地</w:t>
            </w:r>
            <w:r>
              <w:rPr>
                <w:sz w:val="24"/>
              </w:rPr>
              <w:t>等环境敏感区。建设内容主要为输电线路架设工程，主要施工工序为基础施工、铁塔组立和架线施工等。施工过程中除了燃油外不使用其他有毒、易燃或易爆物质，施工期间未出现风险问题，本工程环境风险是可控的。</w:t>
            </w:r>
          </w:p>
        </w:tc>
      </w:tr>
      <w:tr w14:paraId="04DFF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298" w:type="pct"/>
            <w:tcMar>
              <w:left w:w="28" w:type="dxa"/>
              <w:right w:w="28" w:type="dxa"/>
            </w:tcMar>
            <w:vAlign w:val="center"/>
          </w:tcPr>
          <w:p w14:paraId="1E3FC3B5">
            <w:pPr>
              <w:pStyle w:val="39"/>
              <w:adjustRightInd w:val="0"/>
              <w:snapToGrid w:val="0"/>
              <w:spacing w:before="0" w:beforeAutospacing="0" w:after="0" w:afterAutospacing="0"/>
              <w:jc w:val="center"/>
              <w:rPr>
                <w:rFonts w:ascii="Times New Roman" w:hAnsi="Times New Roman"/>
                <w:bCs/>
                <w:kern w:val="2"/>
                <w:sz w:val="21"/>
              </w:rPr>
            </w:pPr>
            <w:r>
              <w:rPr>
                <w:rFonts w:ascii="Times New Roman" w:hAnsi="Times New Roman"/>
                <w:bCs/>
                <w:spacing w:val="10"/>
                <w:kern w:val="2"/>
                <w:sz w:val="21"/>
              </w:rPr>
              <w:t>运营期生态环境影响分析</w:t>
            </w:r>
          </w:p>
        </w:tc>
        <w:tc>
          <w:tcPr>
            <w:tcW w:w="4702" w:type="pct"/>
          </w:tcPr>
          <w:p w14:paraId="0F43B03A">
            <w:pPr>
              <w:keepNext/>
              <w:spacing w:before="120" w:line="360" w:lineRule="auto"/>
              <w:rPr>
                <w:b/>
                <w:bCs/>
                <w:sz w:val="24"/>
                <w:szCs w:val="32"/>
              </w:rPr>
            </w:pPr>
            <w:r>
              <w:rPr>
                <w:b/>
                <w:bCs/>
                <w:sz w:val="24"/>
                <w:szCs w:val="32"/>
              </w:rPr>
              <w:t>一、运营期环境影响分析</w:t>
            </w:r>
          </w:p>
          <w:p w14:paraId="32CC60C3">
            <w:pPr>
              <w:pStyle w:val="189"/>
              <w:keepNext/>
              <w:ind w:left="0" w:right="0" w:firstLine="480"/>
              <w:jc w:val="both"/>
              <w:rPr>
                <w:sz w:val="24"/>
                <w:szCs w:val="22"/>
              </w:rPr>
            </w:pPr>
            <w:r>
              <w:rPr>
                <w:sz w:val="24"/>
                <w:szCs w:val="22"/>
              </w:rPr>
              <w:t>本工程运营期产生的环境影响见表4-3，主要环境影响是工频电场、工频磁场和噪声等。本项目电磁环境影响分析详见电磁环境影响专项评价</w:t>
            </w:r>
            <w:r>
              <w:rPr>
                <w:rFonts w:hint="eastAsia"/>
                <w:sz w:val="24"/>
                <w:szCs w:val="22"/>
              </w:rPr>
              <w:t>报告</w:t>
            </w:r>
            <w:r>
              <w:rPr>
                <w:sz w:val="24"/>
                <w:szCs w:val="22"/>
              </w:rPr>
              <w:t>，此处仅列出分析结果。</w:t>
            </w:r>
          </w:p>
          <w:p w14:paraId="65A8DB73">
            <w:pPr>
              <w:jc w:val="center"/>
              <w:rPr>
                <w:rFonts w:eastAsia="黑体"/>
                <w:sz w:val="24"/>
              </w:rPr>
            </w:pPr>
            <w:bookmarkStart w:id="63" w:name="_Ref172778901"/>
            <w:r>
              <w:rPr>
                <w:rFonts w:eastAsia="黑体"/>
                <w:sz w:val="24"/>
              </w:rPr>
              <w:t>表</w:t>
            </w:r>
            <w:bookmarkEnd w:id="63"/>
            <w:r>
              <w:rPr>
                <w:rFonts w:eastAsia="黑体"/>
                <w:sz w:val="24"/>
              </w:rPr>
              <w:t>4-3本项目运行期主要环境影响识别</w:t>
            </w:r>
          </w:p>
          <w:tbl>
            <w:tblPr>
              <w:tblStyle w:val="45"/>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3"/>
              <w:gridCol w:w="4980"/>
            </w:tblGrid>
            <w:tr w14:paraId="0EE1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19F7B6FA">
                  <w:pPr>
                    <w:ind w:left="-85" w:right="-85"/>
                    <w:jc w:val="center"/>
                  </w:pPr>
                  <w:r>
                    <w:t>环境识别</w:t>
                  </w:r>
                </w:p>
              </w:tc>
              <w:tc>
                <w:tcPr>
                  <w:tcW w:w="4980" w:type="dxa"/>
                  <w:vAlign w:val="center"/>
                </w:tcPr>
                <w:p w14:paraId="7F12CA23">
                  <w:pPr>
                    <w:ind w:left="-85" w:right="-85"/>
                    <w:jc w:val="center"/>
                  </w:pPr>
                  <w:r>
                    <w:t>线路</w:t>
                  </w:r>
                </w:p>
              </w:tc>
            </w:tr>
            <w:tr w14:paraId="5D5A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016B632C">
                  <w:pPr>
                    <w:ind w:left="-85" w:right="-85"/>
                    <w:jc w:val="center"/>
                  </w:pPr>
                  <w:r>
                    <w:t>电磁环境</w:t>
                  </w:r>
                </w:p>
              </w:tc>
              <w:tc>
                <w:tcPr>
                  <w:tcW w:w="4980" w:type="dxa"/>
                  <w:vAlign w:val="center"/>
                </w:tcPr>
                <w:p w14:paraId="11FACB6A">
                  <w:pPr>
                    <w:ind w:left="-85" w:right="-85"/>
                    <w:jc w:val="center"/>
                  </w:pPr>
                  <w:r>
                    <w:t>工频电场、工频磁场</w:t>
                  </w:r>
                </w:p>
              </w:tc>
            </w:tr>
            <w:tr w14:paraId="6CC5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6BDE9BC6">
                  <w:pPr>
                    <w:ind w:left="-85" w:right="-85"/>
                    <w:jc w:val="center"/>
                  </w:pPr>
                  <w:r>
                    <w:t>声环境</w:t>
                  </w:r>
                </w:p>
              </w:tc>
              <w:tc>
                <w:tcPr>
                  <w:tcW w:w="4980" w:type="dxa"/>
                  <w:vAlign w:val="center"/>
                </w:tcPr>
                <w:p w14:paraId="7DC43F82">
                  <w:pPr>
                    <w:ind w:left="-85" w:right="-85"/>
                    <w:jc w:val="center"/>
                  </w:pPr>
                  <w:r>
                    <w:t>噪声</w:t>
                  </w:r>
                </w:p>
              </w:tc>
            </w:tr>
            <w:tr w14:paraId="064D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688E2D42">
                  <w:pPr>
                    <w:ind w:left="-85" w:right="-85"/>
                    <w:jc w:val="center"/>
                  </w:pPr>
                  <w:r>
                    <w:t>生态环境</w:t>
                  </w:r>
                </w:p>
              </w:tc>
              <w:tc>
                <w:tcPr>
                  <w:tcW w:w="4980" w:type="dxa"/>
                  <w:vAlign w:val="center"/>
                </w:tcPr>
                <w:p w14:paraId="774DFF74">
                  <w:pPr>
                    <w:ind w:left="-85" w:right="-85"/>
                    <w:jc w:val="center"/>
                  </w:pPr>
                  <w:r>
                    <w:t>动植物影响</w:t>
                  </w:r>
                </w:p>
              </w:tc>
            </w:tr>
            <w:tr w14:paraId="5919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780DAB49">
                  <w:pPr>
                    <w:ind w:left="-85" w:right="-85"/>
                    <w:jc w:val="center"/>
                  </w:pPr>
                  <w:r>
                    <w:t>水环境</w:t>
                  </w:r>
                </w:p>
              </w:tc>
              <w:tc>
                <w:tcPr>
                  <w:tcW w:w="4980" w:type="dxa"/>
                  <w:vAlign w:val="center"/>
                </w:tcPr>
                <w:p w14:paraId="6D0AF9AE">
                  <w:pPr>
                    <w:ind w:left="-85" w:right="-85"/>
                    <w:jc w:val="center"/>
                  </w:pPr>
                  <w:r>
                    <w:t>无</w:t>
                  </w:r>
                </w:p>
              </w:tc>
            </w:tr>
            <w:tr w14:paraId="79EC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440EB6C5">
                  <w:pPr>
                    <w:ind w:left="-85" w:right="-85"/>
                    <w:jc w:val="center"/>
                  </w:pPr>
                  <w:r>
                    <w:t>大气环境</w:t>
                  </w:r>
                </w:p>
              </w:tc>
              <w:tc>
                <w:tcPr>
                  <w:tcW w:w="4980" w:type="dxa"/>
                  <w:vAlign w:val="center"/>
                </w:tcPr>
                <w:p w14:paraId="57FC022B">
                  <w:pPr>
                    <w:ind w:left="-85" w:right="-85"/>
                    <w:jc w:val="center"/>
                  </w:pPr>
                  <w:r>
                    <w:t>无</w:t>
                  </w:r>
                </w:p>
              </w:tc>
            </w:tr>
            <w:tr w14:paraId="6110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23" w:type="dxa"/>
                  <w:vAlign w:val="center"/>
                </w:tcPr>
                <w:p w14:paraId="72A802DA">
                  <w:pPr>
                    <w:ind w:left="-85" w:right="-85"/>
                    <w:jc w:val="center"/>
                  </w:pPr>
                  <w:r>
                    <w:t>固体废物</w:t>
                  </w:r>
                </w:p>
              </w:tc>
              <w:tc>
                <w:tcPr>
                  <w:tcW w:w="4980" w:type="dxa"/>
                  <w:vAlign w:val="center"/>
                </w:tcPr>
                <w:p w14:paraId="4AEF800C">
                  <w:pPr>
                    <w:ind w:left="-85" w:right="-85"/>
                    <w:jc w:val="center"/>
                  </w:pPr>
                  <w:r>
                    <w:t>运维产生少量废弃的导线、螺丝钉等</w:t>
                  </w:r>
                </w:p>
              </w:tc>
            </w:tr>
          </w:tbl>
          <w:p w14:paraId="50CD9019">
            <w:pPr>
              <w:keepNext/>
              <w:spacing w:line="360" w:lineRule="auto"/>
              <w:jc w:val="left"/>
              <w:rPr>
                <w:b/>
                <w:bCs/>
                <w:sz w:val="24"/>
                <w:szCs w:val="32"/>
              </w:rPr>
            </w:pPr>
            <w:r>
              <w:rPr>
                <w:b/>
                <w:bCs/>
                <w:sz w:val="24"/>
                <w:szCs w:val="32"/>
              </w:rPr>
              <w:t>二、电磁环境影响分析</w:t>
            </w:r>
          </w:p>
          <w:p w14:paraId="791DFD99">
            <w:pPr>
              <w:pStyle w:val="195"/>
              <w:keepNext/>
              <w:spacing w:before="0" w:line="360" w:lineRule="auto"/>
              <w:ind w:firstLine="480" w:firstLineChars="200"/>
              <w:rPr>
                <w:rFonts w:eastAsia="宋体"/>
                <w:bCs/>
                <w:sz w:val="24"/>
              </w:rPr>
            </w:pPr>
            <w:r>
              <w:rPr>
                <w:rFonts w:ascii="宋体" w:hAnsi="宋体" w:eastAsia="宋体"/>
                <w:sz w:val="24"/>
              </w:rPr>
              <w:t>根据《环境影响评价技术导则输变电》</w:t>
            </w:r>
            <w:r>
              <w:rPr>
                <w:rFonts w:eastAsia="宋体"/>
                <w:sz w:val="24"/>
              </w:rPr>
              <w:t>（HJ24-2020）</w:t>
            </w:r>
            <w:r>
              <w:rPr>
                <w:rFonts w:ascii="宋体" w:hAnsi="宋体" w:eastAsia="宋体"/>
                <w:sz w:val="24"/>
              </w:rPr>
              <w:t>，报告表应设电磁环境影响专项评价。</w:t>
            </w:r>
            <w:r>
              <w:rPr>
                <w:rFonts w:eastAsia="宋体"/>
                <w:b/>
                <w:sz w:val="24"/>
              </w:rPr>
              <w:t>电磁环境影响预测分析内容详见《南冲风电场110kV送出线路工程电磁环境影响专题评价报告》</w:t>
            </w:r>
            <w:r>
              <w:rPr>
                <w:rFonts w:eastAsia="宋体"/>
                <w:bCs/>
                <w:sz w:val="24"/>
              </w:rPr>
              <w:t>。</w:t>
            </w:r>
          </w:p>
          <w:p w14:paraId="43F8115B">
            <w:pPr>
              <w:keepNext/>
              <w:spacing w:line="360" w:lineRule="auto"/>
              <w:ind w:firstLine="480" w:firstLineChars="200"/>
              <w:rPr>
                <w:sz w:val="24"/>
              </w:rPr>
            </w:pPr>
            <w:r>
              <w:rPr>
                <w:sz w:val="24"/>
              </w:rPr>
              <w:t>根据《环境影响评价技术导则输变电工程》（HJ 24-2020），本项目线路电磁环境影响采用模式预测法进行预测分析。预测模式采用《环境影响评价技术导则输变电工程》（HJ24-2020）中附录C、D推荐的模式，详见电磁环境影响专项评价</w:t>
            </w:r>
            <w:r>
              <w:rPr>
                <w:rFonts w:hint="eastAsia"/>
                <w:sz w:val="24"/>
              </w:rPr>
              <w:t>报告</w:t>
            </w:r>
            <w:r>
              <w:rPr>
                <w:sz w:val="24"/>
              </w:rPr>
              <w:t>。本工程线路预测结果如下：</w:t>
            </w:r>
          </w:p>
          <w:p w14:paraId="2BCD4052">
            <w:pPr>
              <w:keepNext/>
              <w:spacing w:line="360" w:lineRule="auto"/>
              <w:rPr>
                <w:sz w:val="24"/>
              </w:rPr>
            </w:pPr>
            <w:r>
              <w:rPr>
                <w:b/>
                <w:bCs/>
                <w:sz w:val="24"/>
              </w:rPr>
              <w:t>1、项目输电线路电磁环境影响分析</w:t>
            </w:r>
          </w:p>
          <w:p w14:paraId="1240FCF9">
            <w:pPr>
              <w:keepNext/>
              <w:spacing w:line="360" w:lineRule="auto"/>
              <w:ind w:firstLine="480" w:firstLineChars="200"/>
              <w:rPr>
                <w:sz w:val="24"/>
              </w:rPr>
            </w:pPr>
            <w:r>
              <w:rPr>
                <w:bCs/>
                <w:sz w:val="24"/>
              </w:rPr>
              <w:t>（1）电</w:t>
            </w:r>
            <w:r>
              <w:rPr>
                <w:sz w:val="24"/>
              </w:rPr>
              <w:t>场强度</w:t>
            </w:r>
          </w:p>
          <w:p w14:paraId="623598EC">
            <w:pPr>
              <w:keepNext/>
              <w:spacing w:line="360" w:lineRule="auto"/>
              <w:ind w:firstLine="480" w:firstLineChars="200"/>
              <w:rPr>
                <w:sz w:val="24"/>
              </w:rPr>
            </w:pPr>
            <w:r>
              <w:rPr>
                <w:sz w:val="24"/>
              </w:rPr>
              <w:t>根据模式预测，110kV单回输电线路在最不利塔型（1B1Y6-Z2）线下，距地1.5m高处，非居民区及其附近导线最低允许高度为6m时，工频电场强度最大值为</w:t>
            </w:r>
            <w:bookmarkStart w:id="64" w:name="_Hlk230400344"/>
            <w:r>
              <w:rPr>
                <w:sz w:val="24"/>
              </w:rPr>
              <w:t>2.614kV/m（2613.955V/m）</w:t>
            </w:r>
            <w:bookmarkEnd w:id="64"/>
            <w:r>
              <w:rPr>
                <w:rFonts w:hint="eastAsia"/>
                <w:sz w:val="24"/>
                <w:lang w:bidi="ar"/>
              </w:rPr>
              <w:t>，</w:t>
            </w:r>
            <w:r>
              <w:rPr>
                <w:sz w:val="24"/>
              </w:rPr>
              <w:t>满足非居民区评价标准限值10kV/m的要求；</w:t>
            </w:r>
          </w:p>
          <w:p w14:paraId="3D3885FA">
            <w:pPr>
              <w:keepNext/>
              <w:spacing w:line="360" w:lineRule="auto"/>
              <w:ind w:firstLine="480" w:firstLineChars="200"/>
              <w:rPr>
                <w:sz w:val="24"/>
              </w:rPr>
            </w:pPr>
            <w:r>
              <w:rPr>
                <w:sz w:val="24"/>
              </w:rPr>
              <w:t>通过居民区及其附近导线高度为7m时，线下距地1.5m高处工频电场强度最大值为</w:t>
            </w:r>
            <w:bookmarkStart w:id="65" w:name="_Hlk230400359"/>
            <w:r>
              <w:rPr>
                <w:sz w:val="24"/>
              </w:rPr>
              <w:t>2.041kV/m（2041.2397V/m）</w:t>
            </w:r>
            <w:bookmarkEnd w:id="65"/>
            <w:r>
              <w:rPr>
                <w:sz w:val="24"/>
              </w:rPr>
              <w:t>，可以满足居民区评价标准限值4kV/m的要求。</w:t>
            </w:r>
          </w:p>
          <w:p w14:paraId="3C78A568">
            <w:pPr>
              <w:keepNext/>
              <w:spacing w:line="360" w:lineRule="auto"/>
              <w:ind w:firstLine="480" w:firstLineChars="200"/>
              <w:rPr>
                <w:sz w:val="24"/>
              </w:rPr>
            </w:pPr>
            <w:r>
              <w:rPr>
                <w:sz w:val="24"/>
              </w:rPr>
              <w:t>（2）磁感应强度</w:t>
            </w:r>
          </w:p>
          <w:p w14:paraId="7B6E5B99">
            <w:pPr>
              <w:keepNext/>
              <w:spacing w:line="360" w:lineRule="auto"/>
              <w:ind w:firstLine="480" w:firstLineChars="200"/>
              <w:rPr>
                <w:sz w:val="24"/>
              </w:rPr>
            </w:pPr>
            <w:r>
              <w:rPr>
                <w:sz w:val="24"/>
              </w:rPr>
              <w:t>根据模式预测，110kV单回输电线路通过非居民区及其附近导线最低允许高度为6m，在最不利塔型段（1B1Y6-Z2）线下距地面1.5m高处最大工频磁感应强度为48.29μT；通过居民区及其附近导线高度为7</w:t>
            </w:r>
            <w:r>
              <w:rPr>
                <w:rFonts w:hint="eastAsia"/>
                <w:sz w:val="24"/>
              </w:rPr>
              <w:t>m</w:t>
            </w:r>
            <w:r>
              <w:rPr>
                <w:sz w:val="24"/>
              </w:rPr>
              <w:t>时，线下距地1.5m高处最大工频磁感应强度38.96μT</w:t>
            </w:r>
            <w:r>
              <w:rPr>
                <w:rFonts w:hint="eastAsia"/>
                <w:sz w:val="24"/>
              </w:rPr>
              <w:t>，均</w:t>
            </w:r>
            <w:r>
              <w:rPr>
                <w:sz w:val="24"/>
              </w:rPr>
              <w:t>满足《电磁环境控制限值》（GB8702-2014）中评价标准100μT的限值要求。</w:t>
            </w:r>
          </w:p>
          <w:p w14:paraId="2CDC2DC5">
            <w:pPr>
              <w:keepNext/>
              <w:spacing w:line="360" w:lineRule="auto"/>
              <w:ind w:firstLine="480" w:firstLineChars="200"/>
              <w:rPr>
                <w:sz w:val="24"/>
              </w:rPr>
            </w:pPr>
            <w:r>
              <w:rPr>
                <w:sz w:val="24"/>
              </w:rPr>
              <w:t>由以上预测结果可以看出，本工程110kV输电线路导线按（《110kV~750kV架空输电线路设计规范》（GBS0545-2010）规定要求进行架设，其电磁环境均满足《电磁环境控制限值》（GB8702-2014）中评价标准工频电场强度≤4kV/m、工频磁感应强度≤100 T的限值要求。</w:t>
            </w:r>
          </w:p>
          <w:p w14:paraId="23074C1F">
            <w:pPr>
              <w:keepNext/>
              <w:spacing w:line="360" w:lineRule="auto"/>
              <w:rPr>
                <w:sz w:val="24"/>
              </w:rPr>
            </w:pPr>
            <w:r>
              <w:rPr>
                <w:b/>
                <w:bCs/>
                <w:sz w:val="24"/>
              </w:rPr>
              <w:t>2、项目输电线路交叉跨越处电磁环境影响分析</w:t>
            </w:r>
          </w:p>
          <w:p w14:paraId="6A001375">
            <w:pPr>
              <w:pStyle w:val="195"/>
              <w:keepNext/>
              <w:spacing w:before="0" w:line="360" w:lineRule="auto"/>
              <w:ind w:firstLine="480" w:firstLineChars="200"/>
              <w:rPr>
                <w:rFonts w:eastAsia="宋体"/>
                <w:bCs/>
                <w:sz w:val="24"/>
                <w:highlight w:val="yellow"/>
              </w:rPr>
            </w:pPr>
            <w:r>
              <w:rPr>
                <w:rFonts w:hint="eastAsia" w:eastAsia="宋体"/>
                <w:sz w:val="24"/>
              </w:rPr>
              <w:t>根据《云南省电力设施保护条例》、《电力设施保护条例》、《电力设施保护条例实施细则》，110kV架空线路电力线路保护区为：导线边线向外侧水平延伸10m并垂直于地面所形成的两平行面内；杆塔外缘向周围延伸10m所形成的区域、拉线基础外缘向周围延伸3m所形成的区域。架空电力线路一般不得跨越房屋。本项目电力线路保护区内无居民住宅等永久性建筑物分布，满足上述条例及实施细则的要求。本项目全线交叉跨越情况见表3-3；本项目输电线路未跨（钻）越110kV及以上输电线路，因此线路对交叉跨越物的影响较小。</w:t>
            </w:r>
          </w:p>
          <w:p w14:paraId="1FF75350">
            <w:pPr>
              <w:keepNext/>
              <w:spacing w:line="360" w:lineRule="auto"/>
              <w:rPr>
                <w:b/>
                <w:bCs/>
                <w:sz w:val="24"/>
                <w:highlight w:val="yellow"/>
              </w:rPr>
            </w:pPr>
            <w:r>
              <w:rPr>
                <w:b/>
                <w:bCs/>
                <w:sz w:val="24"/>
              </w:rPr>
              <w:t>3、敏感点电磁环境影响分析</w:t>
            </w:r>
          </w:p>
          <w:p w14:paraId="6E43D570">
            <w:pPr>
              <w:pStyle w:val="195"/>
              <w:spacing w:before="0" w:line="360" w:lineRule="auto"/>
              <w:ind w:firstLine="480" w:firstLineChars="200"/>
              <w:rPr>
                <w:rFonts w:eastAsia="宋体"/>
                <w:bCs/>
                <w:sz w:val="24"/>
              </w:rPr>
            </w:pPr>
            <w:r>
              <w:rPr>
                <w:rFonts w:eastAsia="宋体"/>
                <w:bCs/>
                <w:sz w:val="24"/>
              </w:rPr>
              <w:t>根据预测结果：项目输电线路对居民敏感点的工频电场强度值为</w:t>
            </w:r>
            <w:r>
              <w:rPr>
                <w:rFonts w:hint="eastAsia" w:eastAsia="宋体"/>
                <w:bCs/>
                <w:sz w:val="24"/>
              </w:rPr>
              <w:t>5</w:t>
            </w:r>
            <w:r>
              <w:rPr>
                <w:rFonts w:eastAsia="宋体"/>
                <w:bCs/>
                <w:sz w:val="24"/>
              </w:rPr>
              <w:t>8.8001 V/m ~64.4257V/m，工频磁感应强度值为1.8688μT~1.9147μT；本项目输电线路附近环境保护目标的电磁环境影响均满足《电磁环境控制限值》（GB8702-2014）中公众暴露控制限值4000V/m和100μT的限值要求。</w:t>
            </w:r>
          </w:p>
          <w:p w14:paraId="3B601E6D">
            <w:pPr>
              <w:keepNext/>
              <w:spacing w:line="360" w:lineRule="auto"/>
              <w:rPr>
                <w:b/>
                <w:bCs/>
                <w:sz w:val="24"/>
              </w:rPr>
            </w:pPr>
            <w:r>
              <w:rPr>
                <w:b/>
                <w:bCs/>
                <w:sz w:val="24"/>
                <w:lang w:bidi="ar"/>
              </w:rPr>
              <w:t>4、电磁环境达标控制要求</w:t>
            </w:r>
          </w:p>
          <w:p w14:paraId="6F68FDCB">
            <w:pPr>
              <w:pStyle w:val="195"/>
              <w:spacing w:before="0" w:line="360" w:lineRule="auto"/>
              <w:ind w:firstLine="480" w:firstLineChars="200"/>
              <w:rPr>
                <w:rFonts w:eastAsia="宋体"/>
                <w:bCs/>
                <w:sz w:val="24"/>
              </w:rPr>
            </w:pPr>
            <w:r>
              <w:rPr>
                <w:rFonts w:eastAsia="宋体"/>
                <w:bCs/>
                <w:sz w:val="24"/>
              </w:rPr>
              <w:t>本项目线路新建单回</w:t>
            </w:r>
            <w:r>
              <w:rPr>
                <w:rFonts w:hint="eastAsia" w:eastAsia="宋体"/>
                <w:bCs/>
                <w:sz w:val="24"/>
              </w:rPr>
              <w:t>水平</w:t>
            </w:r>
            <w:r>
              <w:rPr>
                <w:rFonts w:eastAsia="宋体"/>
                <w:bCs/>
                <w:sz w:val="24"/>
              </w:rPr>
              <w:t>排列塔段采用拟选塔中最不利塔型，按电力设计规程要求（在非居民区导线对地高度6m，居民区导线对地高度7m）实施</w:t>
            </w:r>
            <w:r>
              <w:rPr>
                <w:rFonts w:hint="eastAsia" w:eastAsia="宋体"/>
                <w:bCs/>
                <w:sz w:val="24"/>
              </w:rPr>
              <w:t>，预测不超标，无控制要求</w:t>
            </w:r>
            <w:r>
              <w:rPr>
                <w:rFonts w:eastAsia="宋体"/>
                <w:bCs/>
                <w:sz w:val="24"/>
              </w:rPr>
              <w:t>。按上述措施落实后，本项目线路投运后产生的电场强度、磁感应强度满足《电磁环境控制限值》（GB8702-2014）中相应评价标准要求。</w:t>
            </w:r>
          </w:p>
          <w:p w14:paraId="404F3B5C">
            <w:pPr>
              <w:keepNext/>
              <w:spacing w:line="360" w:lineRule="auto"/>
              <w:rPr>
                <w:b/>
                <w:bCs/>
                <w:sz w:val="24"/>
              </w:rPr>
            </w:pPr>
            <w:r>
              <w:rPr>
                <w:b/>
                <w:bCs/>
                <w:sz w:val="24"/>
                <w:szCs w:val="32"/>
              </w:rPr>
              <w:t>三、</w:t>
            </w:r>
            <w:r>
              <w:rPr>
                <w:b/>
                <w:bCs/>
                <w:sz w:val="24"/>
              </w:rPr>
              <w:t>声环境影响分析</w:t>
            </w:r>
          </w:p>
          <w:p w14:paraId="264194FC">
            <w:pPr>
              <w:pStyle w:val="189"/>
              <w:keepNext/>
              <w:ind w:left="0" w:right="0" w:firstLine="480"/>
              <w:jc w:val="left"/>
              <w:rPr>
                <w:kern w:val="2"/>
                <w:sz w:val="24"/>
              </w:rPr>
            </w:pPr>
            <w:r>
              <w:rPr>
                <w:rFonts w:hint="eastAsia"/>
                <w:kern w:val="2"/>
                <w:sz w:val="24"/>
              </w:rPr>
              <w:t>110kV 输电线路噪声主要是由导线的电晕发放电过程所产生的声音。因此，输电线路噪声与气象条件和电力负载有着十分密切的关系,当空气湿度和电力负载较大时，发出声音也就越大，反之声音越小，一般在500kV 以上的电压等级较为明显。本项目输电线路噪声环境影响采用类比验证法进行预测评价。</w:t>
            </w:r>
          </w:p>
          <w:p w14:paraId="34CB0A85">
            <w:pPr>
              <w:pStyle w:val="189"/>
              <w:keepNext/>
              <w:ind w:left="0" w:right="0" w:firstLine="480"/>
              <w:jc w:val="left"/>
              <w:rPr>
                <w:kern w:val="2"/>
                <w:sz w:val="24"/>
              </w:rPr>
            </w:pPr>
            <w:r>
              <w:rPr>
                <w:rFonts w:hint="eastAsia"/>
                <w:kern w:val="2"/>
                <w:sz w:val="24"/>
              </w:rPr>
              <w:t>（1）类比条件分析</w:t>
            </w:r>
          </w:p>
          <w:p w14:paraId="6A48C8C4">
            <w:pPr>
              <w:pStyle w:val="189"/>
              <w:keepNext/>
              <w:ind w:left="0" w:right="0" w:firstLine="480"/>
              <w:jc w:val="left"/>
              <w:rPr>
                <w:kern w:val="2"/>
                <w:sz w:val="24"/>
              </w:rPr>
            </w:pPr>
            <w:r>
              <w:rPr>
                <w:rFonts w:hint="eastAsia"/>
                <w:kern w:val="2"/>
                <w:sz w:val="24"/>
              </w:rPr>
              <w:t>为预测本工程架空线路投运后的噪声水平，采用《110kV清中东线038#~039#电磁及声环境现状监测》中噪声监测断面监测值进行类比验证。相关参数的比较见下表。</w:t>
            </w:r>
          </w:p>
          <w:p w14:paraId="2F8DA9BE">
            <w:pPr>
              <w:keepNext/>
              <w:jc w:val="center"/>
              <w:rPr>
                <w:sz w:val="24"/>
              </w:rPr>
            </w:pPr>
            <w:r>
              <w:rPr>
                <w:rFonts w:eastAsia="黑体"/>
                <w:sz w:val="24"/>
              </w:rPr>
              <w:t>表4-4</w:t>
            </w:r>
            <w:r>
              <w:rPr>
                <w:rFonts w:hint="eastAsia" w:eastAsia="黑体"/>
                <w:sz w:val="24"/>
              </w:rPr>
              <w:t>本项目线路</w:t>
            </w:r>
            <w:r>
              <w:rPr>
                <w:rFonts w:eastAsia="黑体"/>
                <w:sz w:val="24"/>
              </w:rPr>
              <w:t>和类比线路相关参数</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3366"/>
              <w:gridCol w:w="2850"/>
            </w:tblGrid>
            <w:tr w14:paraId="3560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577" w:type="dxa"/>
                  <w:vAlign w:val="center"/>
                </w:tcPr>
                <w:p w14:paraId="68B5B1CB">
                  <w:pPr>
                    <w:adjustRightInd w:val="0"/>
                    <w:snapToGrid w:val="0"/>
                    <w:ind w:left="-105" w:leftChars="-50" w:right="-84"/>
                    <w:jc w:val="center"/>
                    <w:rPr>
                      <w:b/>
                    </w:rPr>
                  </w:pPr>
                  <w:r>
                    <w:t>项目</w:t>
                  </w:r>
                </w:p>
              </w:tc>
              <w:tc>
                <w:tcPr>
                  <w:tcW w:w="3366" w:type="dxa"/>
                  <w:vAlign w:val="center"/>
                </w:tcPr>
                <w:p w14:paraId="1D72956F">
                  <w:pPr>
                    <w:adjustRightInd w:val="0"/>
                    <w:snapToGrid w:val="0"/>
                    <w:ind w:left="-105" w:leftChars="-50" w:right="-105" w:rightChars="-50"/>
                    <w:jc w:val="center"/>
                    <w:rPr>
                      <w:spacing w:val="-10"/>
                    </w:rPr>
                  </w:pPr>
                  <w:r>
                    <w:rPr>
                      <w:rFonts w:hint="eastAsia"/>
                    </w:rPr>
                    <w:t>本项目新建输电线路</w:t>
                  </w:r>
                </w:p>
              </w:tc>
              <w:tc>
                <w:tcPr>
                  <w:tcW w:w="2850" w:type="dxa"/>
                  <w:vAlign w:val="center"/>
                </w:tcPr>
                <w:p w14:paraId="4FDB9140">
                  <w:pPr>
                    <w:adjustRightInd w:val="0"/>
                    <w:snapToGrid w:val="0"/>
                    <w:ind w:left="-105" w:leftChars="-50" w:right="-105" w:rightChars="-50"/>
                    <w:jc w:val="center"/>
                    <w:rPr>
                      <w:spacing w:val="-10"/>
                    </w:rPr>
                  </w:pPr>
                  <w:r>
                    <w:rPr>
                      <w:spacing w:val="-10"/>
                    </w:rPr>
                    <w:t>类比线路（</w:t>
                  </w:r>
                  <w:r>
                    <w:rPr>
                      <w:rFonts w:hint="eastAsia"/>
                    </w:rPr>
                    <w:t>110kV清中东线</w:t>
                  </w:r>
                  <w:r>
                    <w:rPr>
                      <w:spacing w:val="-10"/>
                    </w:rPr>
                    <w:t>）</w:t>
                  </w:r>
                </w:p>
              </w:tc>
            </w:tr>
            <w:tr w14:paraId="181F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77" w:type="dxa"/>
                  <w:vAlign w:val="center"/>
                </w:tcPr>
                <w:p w14:paraId="42E5303C">
                  <w:pPr>
                    <w:adjustRightInd w:val="0"/>
                    <w:snapToGrid w:val="0"/>
                    <w:ind w:left="-105" w:leftChars="-50" w:right="-84"/>
                    <w:jc w:val="center"/>
                  </w:pPr>
                  <w:r>
                    <w:t>电压等级</w:t>
                  </w:r>
                </w:p>
              </w:tc>
              <w:tc>
                <w:tcPr>
                  <w:tcW w:w="3366" w:type="dxa"/>
                  <w:vAlign w:val="center"/>
                </w:tcPr>
                <w:p w14:paraId="6D784D2E">
                  <w:pPr>
                    <w:adjustRightInd w:val="0"/>
                    <w:snapToGrid w:val="0"/>
                    <w:ind w:left="-105" w:leftChars="-50" w:right="-105" w:rightChars="-50"/>
                    <w:jc w:val="center"/>
                  </w:pPr>
                  <w:r>
                    <w:t>110kV</w:t>
                  </w:r>
                </w:p>
              </w:tc>
              <w:tc>
                <w:tcPr>
                  <w:tcW w:w="2850" w:type="dxa"/>
                  <w:vAlign w:val="center"/>
                </w:tcPr>
                <w:p w14:paraId="3B35C051">
                  <w:pPr>
                    <w:adjustRightInd w:val="0"/>
                    <w:snapToGrid w:val="0"/>
                    <w:ind w:left="-105" w:leftChars="-50" w:right="-105" w:rightChars="-50"/>
                    <w:jc w:val="center"/>
                  </w:pPr>
                  <w:r>
                    <w:t>110kV</w:t>
                  </w:r>
                </w:p>
              </w:tc>
            </w:tr>
            <w:tr w14:paraId="4675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577" w:type="dxa"/>
                  <w:vAlign w:val="center"/>
                </w:tcPr>
                <w:p w14:paraId="14E628CB">
                  <w:pPr>
                    <w:adjustRightInd w:val="0"/>
                    <w:snapToGrid w:val="0"/>
                    <w:ind w:left="-105" w:leftChars="-50" w:right="-84"/>
                    <w:jc w:val="center"/>
                  </w:pPr>
                  <w:r>
                    <w:t>架线方式</w:t>
                  </w:r>
                </w:p>
              </w:tc>
              <w:tc>
                <w:tcPr>
                  <w:tcW w:w="3366" w:type="dxa"/>
                  <w:vAlign w:val="center"/>
                </w:tcPr>
                <w:p w14:paraId="5CB7A114">
                  <w:pPr>
                    <w:adjustRightInd w:val="0"/>
                    <w:snapToGrid w:val="0"/>
                    <w:ind w:left="-105" w:leftChars="-50" w:right="-105" w:rightChars="-50"/>
                    <w:jc w:val="center"/>
                  </w:pPr>
                  <w:r>
                    <w:t>单回</w:t>
                  </w:r>
                </w:p>
              </w:tc>
              <w:tc>
                <w:tcPr>
                  <w:tcW w:w="2850" w:type="dxa"/>
                  <w:vAlign w:val="center"/>
                </w:tcPr>
                <w:p w14:paraId="0BAB51FD">
                  <w:pPr>
                    <w:adjustRightInd w:val="0"/>
                    <w:snapToGrid w:val="0"/>
                    <w:ind w:left="-105" w:leftChars="-50" w:right="-105" w:rightChars="-50"/>
                    <w:jc w:val="center"/>
                  </w:pPr>
                  <w:r>
                    <w:t>单回</w:t>
                  </w:r>
                </w:p>
              </w:tc>
            </w:tr>
            <w:tr w14:paraId="7088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577" w:type="dxa"/>
                  <w:vAlign w:val="center"/>
                </w:tcPr>
                <w:p w14:paraId="54161863">
                  <w:pPr>
                    <w:adjustRightInd w:val="0"/>
                    <w:snapToGrid w:val="0"/>
                    <w:ind w:left="-105" w:leftChars="-50" w:right="-84"/>
                    <w:jc w:val="center"/>
                  </w:pPr>
                  <w:r>
                    <w:rPr>
                      <w:rFonts w:hint="eastAsia"/>
                    </w:rPr>
                    <w:t>呼高</w:t>
                  </w:r>
                  <w:r>
                    <w:t>(m)</w:t>
                  </w:r>
                </w:p>
              </w:tc>
              <w:tc>
                <w:tcPr>
                  <w:tcW w:w="3366" w:type="dxa"/>
                  <w:vAlign w:val="center"/>
                </w:tcPr>
                <w:p w14:paraId="6EB282DA">
                  <w:pPr>
                    <w:adjustRightInd w:val="0"/>
                    <w:snapToGrid w:val="0"/>
                    <w:ind w:left="-84" w:right="-105" w:rightChars="-50"/>
                    <w:jc w:val="center"/>
                  </w:pPr>
                  <w:r>
                    <w:t>30~42</w:t>
                  </w:r>
                </w:p>
              </w:tc>
              <w:tc>
                <w:tcPr>
                  <w:tcW w:w="2850" w:type="dxa"/>
                  <w:vAlign w:val="center"/>
                </w:tcPr>
                <w:p w14:paraId="5152CCD2">
                  <w:pPr>
                    <w:adjustRightInd w:val="0"/>
                    <w:snapToGrid w:val="0"/>
                    <w:ind w:left="-105" w:leftChars="-50" w:right="-105" w:rightChars="-50"/>
                    <w:jc w:val="center"/>
                  </w:pPr>
                  <w:r>
                    <w:t>40</w:t>
                  </w:r>
                </w:p>
              </w:tc>
            </w:tr>
            <w:tr w14:paraId="5697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577" w:type="dxa"/>
                  <w:vAlign w:val="center"/>
                </w:tcPr>
                <w:p w14:paraId="09B4FFDC">
                  <w:pPr>
                    <w:adjustRightInd w:val="0"/>
                    <w:snapToGrid w:val="0"/>
                    <w:ind w:left="-105" w:leftChars="-50" w:right="-84"/>
                    <w:jc w:val="center"/>
                  </w:pPr>
                  <w:r>
                    <w:t>气候条件</w:t>
                  </w:r>
                </w:p>
              </w:tc>
              <w:tc>
                <w:tcPr>
                  <w:tcW w:w="3366" w:type="dxa"/>
                  <w:vAlign w:val="center"/>
                </w:tcPr>
                <w:p w14:paraId="7FC858E2">
                  <w:pPr>
                    <w:adjustRightInd w:val="0"/>
                    <w:snapToGrid w:val="0"/>
                    <w:ind w:left="-84" w:right="-105" w:rightChars="-50"/>
                    <w:jc w:val="center"/>
                  </w:pPr>
                  <w:r>
                    <w:t>亚热带季风气候</w:t>
                  </w:r>
                </w:p>
              </w:tc>
              <w:tc>
                <w:tcPr>
                  <w:tcW w:w="2850" w:type="dxa"/>
                  <w:vAlign w:val="center"/>
                </w:tcPr>
                <w:p w14:paraId="4406DE9F">
                  <w:pPr>
                    <w:adjustRightInd w:val="0"/>
                    <w:snapToGrid w:val="0"/>
                    <w:ind w:left="-105" w:leftChars="-50" w:right="-105" w:rightChars="-50"/>
                    <w:jc w:val="center"/>
                  </w:pPr>
                  <w:r>
                    <w:t>亚热带季风气候区</w:t>
                  </w:r>
                </w:p>
              </w:tc>
            </w:tr>
            <w:tr w14:paraId="45AE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577" w:type="dxa"/>
                  <w:vAlign w:val="center"/>
                </w:tcPr>
                <w:p w14:paraId="062A0FBA">
                  <w:pPr>
                    <w:adjustRightInd w:val="0"/>
                    <w:snapToGrid w:val="0"/>
                    <w:ind w:left="-105" w:leftChars="-50" w:right="-84"/>
                    <w:jc w:val="center"/>
                  </w:pPr>
                  <w:r>
                    <w:t>项目地点</w:t>
                  </w:r>
                </w:p>
              </w:tc>
              <w:tc>
                <w:tcPr>
                  <w:tcW w:w="3366" w:type="dxa"/>
                  <w:vAlign w:val="center"/>
                </w:tcPr>
                <w:p w14:paraId="16A9F56A">
                  <w:pPr>
                    <w:adjustRightInd w:val="0"/>
                    <w:snapToGrid w:val="0"/>
                    <w:ind w:left="-84" w:right="-105" w:rightChars="-50"/>
                    <w:jc w:val="center"/>
                  </w:pPr>
                  <w:r>
                    <w:t>富源县</w:t>
                  </w:r>
                </w:p>
              </w:tc>
              <w:tc>
                <w:tcPr>
                  <w:tcW w:w="2850" w:type="dxa"/>
                  <w:vAlign w:val="center"/>
                </w:tcPr>
                <w:p w14:paraId="1138A8BF">
                  <w:pPr>
                    <w:adjustRightInd w:val="0"/>
                    <w:snapToGrid w:val="0"/>
                    <w:ind w:left="-105" w:leftChars="-50" w:right="-105" w:rightChars="-50"/>
                    <w:jc w:val="center"/>
                  </w:pPr>
                  <w:r>
                    <w:rPr>
                      <w:rFonts w:hint="eastAsia"/>
                    </w:rPr>
                    <w:t>寻甸县</w:t>
                  </w:r>
                </w:p>
              </w:tc>
            </w:tr>
            <w:tr w14:paraId="7F94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577" w:type="dxa"/>
                  <w:vAlign w:val="center"/>
                </w:tcPr>
                <w:p w14:paraId="4BEF2CD2">
                  <w:pPr>
                    <w:ind w:left="-84" w:right="-84"/>
                    <w:jc w:val="center"/>
                  </w:pPr>
                  <w:r>
                    <w:t>背景状况</w:t>
                  </w:r>
                </w:p>
              </w:tc>
              <w:tc>
                <w:tcPr>
                  <w:tcW w:w="3366" w:type="dxa"/>
                  <w:vAlign w:val="center"/>
                </w:tcPr>
                <w:p w14:paraId="31974E94">
                  <w:pPr>
                    <w:ind w:left="-105" w:leftChars="-50" w:right="-105" w:rightChars="-50"/>
                    <w:jc w:val="center"/>
                  </w:pPr>
                  <w:r>
                    <w:t>附近无其他噪声源</w:t>
                  </w:r>
                </w:p>
              </w:tc>
              <w:tc>
                <w:tcPr>
                  <w:tcW w:w="2850" w:type="dxa"/>
                  <w:vAlign w:val="center"/>
                </w:tcPr>
                <w:p w14:paraId="14AE58E3">
                  <w:pPr>
                    <w:ind w:left="-105" w:leftChars="-50" w:right="-105" w:rightChars="-50"/>
                    <w:jc w:val="center"/>
                  </w:pPr>
                  <w:r>
                    <w:t>附近无其他噪声源</w:t>
                  </w:r>
                </w:p>
              </w:tc>
            </w:tr>
          </w:tbl>
          <w:p w14:paraId="08286B77">
            <w:pPr>
              <w:pStyle w:val="189"/>
              <w:keepNext/>
              <w:ind w:left="0" w:right="0" w:firstLine="480"/>
              <w:jc w:val="both"/>
              <w:rPr>
                <w:bCs/>
                <w:sz w:val="24"/>
                <w:lang w:val="zh-CN"/>
              </w:rPr>
            </w:pPr>
            <w:r>
              <w:rPr>
                <w:rFonts w:hint="eastAsia"/>
                <w:sz w:val="24"/>
              </w:rPr>
              <w:t>由上表可知，类比线路与本工程输电线路的电压等级、架线型式、背景状况一致。本次所选类比线路架设高度与本工程输电线路存在一定差异，即类比线路架设高度为实际架设高度，环评阶段线路高度为《110kV～750kV 架空输电线路设计规范》（GB50545-2010）中规定的导线对地最低理论高度，高于类比线路实际架设高度。因此类比对象的选择合理，可以通过类比对象的监测结果对本工程新建输电线路投运后产生的声环境影响进行类比预</w:t>
            </w:r>
            <w:r>
              <w:rPr>
                <w:bCs/>
                <w:sz w:val="24"/>
                <w:lang w:val="zh-CN"/>
              </w:rPr>
              <w:t>。</w:t>
            </w:r>
          </w:p>
          <w:p w14:paraId="3C759374">
            <w:pPr>
              <w:pStyle w:val="189"/>
              <w:keepNext/>
              <w:ind w:left="0" w:right="0" w:firstLine="480"/>
              <w:jc w:val="both"/>
              <w:rPr>
                <w:sz w:val="24"/>
                <w:lang w:val="zh-CN"/>
              </w:rPr>
            </w:pPr>
            <w:r>
              <w:rPr>
                <w:rFonts w:hint="eastAsia"/>
                <w:sz w:val="24"/>
                <w:lang w:val="zh-CN"/>
              </w:rPr>
              <w:t>3）监测项目</w:t>
            </w:r>
          </w:p>
          <w:p w14:paraId="05A6AFDF">
            <w:pPr>
              <w:pStyle w:val="189"/>
              <w:keepNext/>
              <w:ind w:left="0" w:right="0" w:firstLine="480"/>
              <w:jc w:val="both"/>
              <w:rPr>
                <w:sz w:val="24"/>
                <w:lang w:val="zh-CN"/>
              </w:rPr>
            </w:pPr>
            <w:r>
              <w:rPr>
                <w:rFonts w:hint="eastAsia"/>
                <w:sz w:val="24"/>
                <w:lang w:val="zh-CN"/>
              </w:rPr>
              <w:t>离地 1.2m 处的连续等效 A 声级。</w:t>
            </w:r>
          </w:p>
          <w:p w14:paraId="66B5B29C">
            <w:pPr>
              <w:pStyle w:val="189"/>
              <w:keepNext/>
              <w:ind w:left="0" w:right="0" w:firstLine="480"/>
              <w:jc w:val="both"/>
              <w:rPr>
                <w:sz w:val="24"/>
                <w:lang w:val="zh-CN"/>
              </w:rPr>
            </w:pPr>
            <w:r>
              <w:rPr>
                <w:rFonts w:hint="eastAsia"/>
                <w:sz w:val="24"/>
                <w:lang w:val="zh-CN"/>
              </w:rPr>
              <w:t>4）监测布点、监测频次、监测时间及运行工况</w:t>
            </w:r>
          </w:p>
          <w:p w14:paraId="71E96560">
            <w:pPr>
              <w:pStyle w:val="189"/>
              <w:keepNext/>
              <w:ind w:left="0" w:right="0" w:firstLine="480"/>
              <w:jc w:val="both"/>
              <w:rPr>
                <w:sz w:val="24"/>
                <w:lang w:val="zh-CN"/>
              </w:rPr>
            </w:pPr>
            <w:r>
              <w:rPr>
                <w:rFonts w:hint="eastAsia"/>
                <w:sz w:val="24"/>
                <w:lang w:val="zh-CN"/>
              </w:rPr>
              <w:t>监测布点：以弧垂最低位置处边相导线处对地投影点为起点，测点间距为5m，测至评价范围处。</w:t>
            </w:r>
          </w:p>
          <w:p w14:paraId="0C9B2021">
            <w:pPr>
              <w:pStyle w:val="189"/>
              <w:keepNext/>
              <w:ind w:left="0" w:right="0" w:firstLine="480"/>
              <w:jc w:val="both"/>
              <w:rPr>
                <w:sz w:val="24"/>
                <w:lang w:val="zh-CN"/>
              </w:rPr>
            </w:pPr>
            <w:r>
              <w:rPr>
                <w:rFonts w:hint="eastAsia"/>
                <w:sz w:val="24"/>
                <w:lang w:val="zh-CN"/>
              </w:rPr>
              <w:t>监测时间及频次：2023.1.14~1.15，昼间、夜间各一次。</w:t>
            </w:r>
          </w:p>
          <w:p w14:paraId="21E30E16">
            <w:pPr>
              <w:pStyle w:val="189"/>
              <w:keepNext/>
              <w:ind w:left="0" w:right="0" w:firstLine="480"/>
              <w:jc w:val="both"/>
              <w:rPr>
                <w:sz w:val="24"/>
                <w:lang w:val="zh-CN"/>
              </w:rPr>
            </w:pPr>
            <w:r>
              <w:rPr>
                <w:rFonts w:hint="eastAsia"/>
                <w:sz w:val="24"/>
                <w:lang w:val="zh-CN"/>
              </w:rPr>
              <w:t>监测环境：晴，温度 2.2~13.5℃，风速 1.8~3.0m/s。</w:t>
            </w:r>
          </w:p>
          <w:p w14:paraId="5D2C63FC">
            <w:pPr>
              <w:pStyle w:val="189"/>
              <w:keepNext/>
              <w:ind w:left="0" w:right="0" w:firstLine="480"/>
              <w:jc w:val="both"/>
              <w:rPr>
                <w:sz w:val="24"/>
                <w:lang w:val="zh-CN"/>
              </w:rPr>
            </w:pPr>
            <w:r>
              <w:rPr>
                <w:rFonts w:hint="eastAsia"/>
                <w:sz w:val="24"/>
                <w:lang w:val="zh-CN"/>
              </w:rPr>
              <w:t xml:space="preserve">运行工况：电压 111.64~124.21kV，电流 80.42~82.96A。 </w:t>
            </w:r>
          </w:p>
          <w:p w14:paraId="1EA01F5C">
            <w:pPr>
              <w:pStyle w:val="189"/>
              <w:keepNext/>
              <w:ind w:left="0" w:right="0" w:firstLine="480"/>
              <w:jc w:val="both"/>
              <w:rPr>
                <w:sz w:val="24"/>
                <w:lang w:val="zh-CN"/>
              </w:rPr>
            </w:pPr>
            <w:r>
              <w:rPr>
                <w:rFonts w:hint="eastAsia"/>
                <w:sz w:val="24"/>
                <w:lang w:val="zh-CN"/>
              </w:rPr>
              <w:t>5）监测单位</w:t>
            </w:r>
          </w:p>
          <w:p w14:paraId="7FDFDD31">
            <w:pPr>
              <w:pStyle w:val="189"/>
              <w:keepNext/>
              <w:ind w:left="0" w:right="0" w:firstLine="480"/>
              <w:jc w:val="both"/>
              <w:rPr>
                <w:sz w:val="24"/>
                <w:lang w:val="zh-CN"/>
              </w:rPr>
            </w:pPr>
            <w:r>
              <w:rPr>
                <w:rFonts w:hint="eastAsia"/>
                <w:sz w:val="24"/>
                <w:lang w:val="zh-CN"/>
              </w:rPr>
              <w:t>监测单位：武汉中电工程检测有限公司。</w:t>
            </w:r>
          </w:p>
          <w:p w14:paraId="4A3599A9">
            <w:pPr>
              <w:pStyle w:val="189"/>
              <w:keepNext/>
              <w:ind w:left="0" w:right="0" w:firstLine="480"/>
              <w:jc w:val="both"/>
              <w:rPr>
                <w:sz w:val="24"/>
                <w:lang w:val="zh-CN"/>
              </w:rPr>
            </w:pPr>
            <w:r>
              <w:rPr>
                <w:rFonts w:hint="eastAsia"/>
                <w:sz w:val="24"/>
                <w:lang w:val="zh-CN"/>
              </w:rPr>
              <w:t>6）监测方法</w:t>
            </w:r>
          </w:p>
          <w:p w14:paraId="0554C1CA">
            <w:pPr>
              <w:pStyle w:val="189"/>
              <w:keepNext/>
              <w:ind w:left="0" w:right="0" w:firstLine="480"/>
              <w:jc w:val="both"/>
              <w:rPr>
                <w:sz w:val="24"/>
                <w:lang w:val="zh-CN"/>
              </w:rPr>
            </w:pPr>
            <w:r>
              <w:rPr>
                <w:rFonts w:hint="eastAsia"/>
                <w:sz w:val="24"/>
                <w:lang w:val="zh-CN"/>
              </w:rPr>
              <w:t>按《声环境质量标准》（GB3096-2008）的监测方法进行监测。</w:t>
            </w:r>
          </w:p>
          <w:p w14:paraId="1F9B0A3F">
            <w:pPr>
              <w:pStyle w:val="189"/>
              <w:keepNext/>
              <w:ind w:left="0" w:right="0" w:firstLine="480"/>
              <w:jc w:val="both"/>
              <w:rPr>
                <w:sz w:val="24"/>
                <w:lang w:val="zh-CN"/>
              </w:rPr>
            </w:pPr>
            <w:r>
              <w:rPr>
                <w:rFonts w:hint="eastAsia"/>
                <w:sz w:val="24"/>
                <w:lang w:val="zh-CN"/>
              </w:rPr>
              <w:t>7）类比监测结果</w:t>
            </w:r>
          </w:p>
          <w:p w14:paraId="7AB13B28">
            <w:pPr>
              <w:pStyle w:val="189"/>
              <w:keepNext/>
              <w:ind w:left="0" w:right="0" w:firstLine="480"/>
              <w:jc w:val="both"/>
              <w:rPr>
                <w:sz w:val="24"/>
                <w:lang w:val="zh-CN"/>
              </w:rPr>
            </w:pPr>
            <w:r>
              <w:rPr>
                <w:rFonts w:hint="eastAsia"/>
                <w:sz w:val="24"/>
                <w:lang w:val="zh-CN"/>
              </w:rPr>
              <w:t>类比线路噪声监测结果见下表。</w:t>
            </w:r>
          </w:p>
          <w:p w14:paraId="1542CE2E">
            <w:pPr>
              <w:pStyle w:val="17"/>
              <w:keepNext/>
              <w:spacing w:before="0" w:after="0"/>
              <w:ind w:left="-84" w:right="-84" w:firstLine="480"/>
              <w:jc w:val="center"/>
              <w:rPr>
                <w:rFonts w:ascii="Times New Roman" w:hAnsi="Times New Roman"/>
                <w:kern w:val="2"/>
                <w:sz w:val="24"/>
                <w:szCs w:val="24"/>
              </w:rPr>
            </w:pPr>
            <w:r>
              <w:rPr>
                <w:rFonts w:ascii="Times New Roman" w:hAnsi="Times New Roman"/>
                <w:kern w:val="2"/>
                <w:sz w:val="24"/>
                <w:szCs w:val="24"/>
              </w:rPr>
              <w:t>表4-5类比线路噪声监测结果（单位:dB（A））</w:t>
            </w:r>
          </w:p>
          <w:tbl>
            <w:tblPr>
              <w:tblStyle w:val="27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9"/>
              <w:gridCol w:w="4252"/>
              <w:gridCol w:w="992"/>
              <w:gridCol w:w="1028"/>
            </w:tblGrid>
            <w:tr w14:paraId="2037D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261" w:type="dxa"/>
                  <w:gridSpan w:val="2"/>
                  <w:vMerge w:val="restart"/>
                  <w:vAlign w:val="center"/>
                </w:tcPr>
                <w:p w14:paraId="1084AD24">
                  <w:pPr>
                    <w:autoSpaceDE w:val="0"/>
                    <w:autoSpaceDN w:val="0"/>
                    <w:jc w:val="center"/>
                    <w:rPr>
                      <w:lang w:eastAsia="en-US"/>
                    </w:rPr>
                  </w:pPr>
                  <w:r>
                    <w:rPr>
                      <w:lang w:eastAsia="en-US"/>
                    </w:rPr>
                    <w:t>监测点位</w:t>
                  </w:r>
                </w:p>
              </w:tc>
              <w:tc>
                <w:tcPr>
                  <w:tcW w:w="2020" w:type="dxa"/>
                  <w:gridSpan w:val="2"/>
                  <w:vAlign w:val="center"/>
                </w:tcPr>
                <w:p w14:paraId="4CF2F899">
                  <w:pPr>
                    <w:autoSpaceDE w:val="0"/>
                    <w:autoSpaceDN w:val="0"/>
                    <w:jc w:val="center"/>
                    <w:rPr>
                      <w:lang w:eastAsia="en-US"/>
                    </w:rPr>
                  </w:pPr>
                  <w:r>
                    <w:rPr>
                      <w:lang w:eastAsia="en-US"/>
                    </w:rPr>
                    <w:t>监测结果 dB（A）</w:t>
                  </w:r>
                </w:p>
              </w:tc>
            </w:tr>
            <w:tr w14:paraId="55BA6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261" w:type="dxa"/>
                  <w:gridSpan w:val="2"/>
                  <w:vMerge w:val="continue"/>
                  <w:tcBorders>
                    <w:top w:val="nil"/>
                  </w:tcBorders>
                  <w:vAlign w:val="center"/>
                </w:tcPr>
                <w:p w14:paraId="19B6ED17">
                  <w:pPr>
                    <w:autoSpaceDE w:val="0"/>
                    <w:autoSpaceDN w:val="0"/>
                    <w:jc w:val="center"/>
                    <w:rPr>
                      <w:lang w:eastAsia="en-US"/>
                    </w:rPr>
                  </w:pPr>
                </w:p>
              </w:tc>
              <w:tc>
                <w:tcPr>
                  <w:tcW w:w="992" w:type="dxa"/>
                  <w:vAlign w:val="center"/>
                </w:tcPr>
                <w:p w14:paraId="19B25670">
                  <w:pPr>
                    <w:autoSpaceDE w:val="0"/>
                    <w:autoSpaceDN w:val="0"/>
                    <w:jc w:val="center"/>
                    <w:rPr>
                      <w:lang w:eastAsia="en-US"/>
                    </w:rPr>
                  </w:pPr>
                  <w:r>
                    <w:rPr>
                      <w:lang w:eastAsia="en-US"/>
                    </w:rPr>
                    <w:t>昼间</w:t>
                  </w:r>
                </w:p>
              </w:tc>
              <w:tc>
                <w:tcPr>
                  <w:tcW w:w="1028" w:type="dxa"/>
                  <w:vAlign w:val="center"/>
                </w:tcPr>
                <w:p w14:paraId="69AABA50">
                  <w:pPr>
                    <w:autoSpaceDE w:val="0"/>
                    <w:autoSpaceDN w:val="0"/>
                    <w:jc w:val="center"/>
                    <w:rPr>
                      <w:lang w:eastAsia="en-US"/>
                    </w:rPr>
                  </w:pPr>
                  <w:r>
                    <w:rPr>
                      <w:lang w:eastAsia="en-US"/>
                    </w:rPr>
                    <w:t>夜间</w:t>
                  </w:r>
                </w:p>
              </w:tc>
            </w:tr>
            <w:tr w14:paraId="23216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restart"/>
                  <w:vAlign w:val="center"/>
                </w:tcPr>
                <w:p w14:paraId="3749AA97">
                  <w:pPr>
                    <w:autoSpaceDE w:val="0"/>
                    <w:autoSpaceDN w:val="0"/>
                    <w:jc w:val="center"/>
                    <w:rPr>
                      <w:lang w:eastAsia="zh-CN"/>
                    </w:rPr>
                  </w:pPr>
                  <w:r>
                    <w:rPr>
                      <w:lang w:eastAsia="zh-CN"/>
                    </w:rPr>
                    <w:t>110kV 清中东线线路噪声断面</w:t>
                  </w:r>
                </w:p>
              </w:tc>
              <w:tc>
                <w:tcPr>
                  <w:tcW w:w="4252" w:type="dxa"/>
                  <w:vAlign w:val="center"/>
                </w:tcPr>
                <w:p w14:paraId="202222D9">
                  <w:pPr>
                    <w:autoSpaceDE w:val="0"/>
                    <w:autoSpaceDN w:val="0"/>
                    <w:jc w:val="center"/>
                    <w:rPr>
                      <w:lang w:eastAsia="zh-CN"/>
                    </w:rPr>
                  </w:pPr>
                  <w:r>
                    <w:rPr>
                      <w:lang w:eastAsia="zh-CN"/>
                    </w:rPr>
                    <w:t>与线路中心投影距离 0m</w:t>
                  </w:r>
                </w:p>
              </w:tc>
              <w:tc>
                <w:tcPr>
                  <w:tcW w:w="992" w:type="dxa"/>
                  <w:vAlign w:val="center"/>
                </w:tcPr>
                <w:p w14:paraId="589F96F4">
                  <w:pPr>
                    <w:autoSpaceDE w:val="0"/>
                    <w:autoSpaceDN w:val="0"/>
                    <w:jc w:val="center"/>
                    <w:rPr>
                      <w:lang w:eastAsia="en-US"/>
                    </w:rPr>
                  </w:pPr>
                  <w:r>
                    <w:rPr>
                      <w:lang w:eastAsia="en-US"/>
                    </w:rPr>
                    <w:t>41.2</w:t>
                  </w:r>
                </w:p>
              </w:tc>
              <w:tc>
                <w:tcPr>
                  <w:tcW w:w="1028" w:type="dxa"/>
                  <w:vAlign w:val="center"/>
                </w:tcPr>
                <w:p w14:paraId="7D6EEA59">
                  <w:pPr>
                    <w:autoSpaceDE w:val="0"/>
                    <w:autoSpaceDN w:val="0"/>
                    <w:jc w:val="center"/>
                    <w:rPr>
                      <w:lang w:eastAsia="en-US"/>
                    </w:rPr>
                  </w:pPr>
                  <w:r>
                    <w:rPr>
                      <w:lang w:eastAsia="en-US"/>
                    </w:rPr>
                    <w:t>38.6</w:t>
                  </w:r>
                </w:p>
              </w:tc>
            </w:tr>
            <w:tr w14:paraId="601A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2009" w:type="dxa"/>
                  <w:vMerge w:val="continue"/>
                  <w:tcBorders>
                    <w:top w:val="nil"/>
                  </w:tcBorders>
                  <w:vAlign w:val="center"/>
                </w:tcPr>
                <w:p w14:paraId="53313BCA">
                  <w:pPr>
                    <w:autoSpaceDE w:val="0"/>
                    <w:autoSpaceDN w:val="0"/>
                    <w:jc w:val="center"/>
                    <w:rPr>
                      <w:lang w:eastAsia="en-US"/>
                    </w:rPr>
                  </w:pPr>
                </w:p>
              </w:tc>
              <w:tc>
                <w:tcPr>
                  <w:tcW w:w="4252" w:type="dxa"/>
                  <w:vAlign w:val="center"/>
                </w:tcPr>
                <w:p w14:paraId="22CF92F2">
                  <w:pPr>
                    <w:autoSpaceDE w:val="0"/>
                    <w:autoSpaceDN w:val="0"/>
                    <w:jc w:val="center"/>
                    <w:rPr>
                      <w:lang w:eastAsia="zh-CN"/>
                    </w:rPr>
                  </w:pPr>
                  <w:r>
                    <w:rPr>
                      <w:lang w:eastAsia="zh-CN"/>
                    </w:rPr>
                    <w:t>与线路中心投影距离 2.5m（边导线下）</w:t>
                  </w:r>
                </w:p>
              </w:tc>
              <w:tc>
                <w:tcPr>
                  <w:tcW w:w="992" w:type="dxa"/>
                  <w:vAlign w:val="center"/>
                </w:tcPr>
                <w:p w14:paraId="10450A3C">
                  <w:pPr>
                    <w:autoSpaceDE w:val="0"/>
                    <w:autoSpaceDN w:val="0"/>
                    <w:jc w:val="center"/>
                    <w:rPr>
                      <w:lang w:eastAsia="en-US"/>
                    </w:rPr>
                  </w:pPr>
                  <w:r>
                    <w:rPr>
                      <w:lang w:eastAsia="en-US"/>
                    </w:rPr>
                    <w:t>41.0</w:t>
                  </w:r>
                </w:p>
              </w:tc>
              <w:tc>
                <w:tcPr>
                  <w:tcW w:w="1028" w:type="dxa"/>
                  <w:vAlign w:val="center"/>
                </w:tcPr>
                <w:p w14:paraId="43A65BBD">
                  <w:pPr>
                    <w:autoSpaceDE w:val="0"/>
                    <w:autoSpaceDN w:val="0"/>
                    <w:jc w:val="center"/>
                    <w:rPr>
                      <w:lang w:eastAsia="en-US"/>
                    </w:rPr>
                  </w:pPr>
                  <w:r>
                    <w:rPr>
                      <w:lang w:eastAsia="en-US"/>
                    </w:rPr>
                    <w:t>38.5</w:t>
                  </w:r>
                </w:p>
              </w:tc>
            </w:tr>
            <w:tr w14:paraId="388A2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6B355A7A">
                  <w:pPr>
                    <w:autoSpaceDE w:val="0"/>
                    <w:autoSpaceDN w:val="0"/>
                    <w:jc w:val="center"/>
                    <w:rPr>
                      <w:lang w:eastAsia="en-US"/>
                    </w:rPr>
                  </w:pPr>
                </w:p>
              </w:tc>
              <w:tc>
                <w:tcPr>
                  <w:tcW w:w="4252" w:type="dxa"/>
                  <w:vAlign w:val="center"/>
                </w:tcPr>
                <w:p w14:paraId="78DCF2E0">
                  <w:pPr>
                    <w:autoSpaceDE w:val="0"/>
                    <w:autoSpaceDN w:val="0"/>
                    <w:jc w:val="center"/>
                    <w:rPr>
                      <w:lang w:eastAsia="en-US"/>
                    </w:rPr>
                  </w:pPr>
                  <w:r>
                    <w:rPr>
                      <w:lang w:eastAsia="en-US"/>
                    </w:rPr>
                    <w:t>边导线外 5m</w:t>
                  </w:r>
                </w:p>
              </w:tc>
              <w:tc>
                <w:tcPr>
                  <w:tcW w:w="992" w:type="dxa"/>
                  <w:vAlign w:val="center"/>
                </w:tcPr>
                <w:p w14:paraId="4F5E859E">
                  <w:pPr>
                    <w:autoSpaceDE w:val="0"/>
                    <w:autoSpaceDN w:val="0"/>
                    <w:jc w:val="center"/>
                    <w:rPr>
                      <w:lang w:eastAsia="en-US"/>
                    </w:rPr>
                  </w:pPr>
                  <w:r>
                    <w:rPr>
                      <w:lang w:eastAsia="en-US"/>
                    </w:rPr>
                    <w:t>41.1</w:t>
                  </w:r>
                </w:p>
              </w:tc>
              <w:tc>
                <w:tcPr>
                  <w:tcW w:w="1028" w:type="dxa"/>
                  <w:vAlign w:val="center"/>
                </w:tcPr>
                <w:p w14:paraId="7838DD2E">
                  <w:pPr>
                    <w:autoSpaceDE w:val="0"/>
                    <w:autoSpaceDN w:val="0"/>
                    <w:jc w:val="center"/>
                    <w:rPr>
                      <w:lang w:eastAsia="en-US"/>
                    </w:rPr>
                  </w:pPr>
                  <w:r>
                    <w:rPr>
                      <w:lang w:eastAsia="en-US"/>
                    </w:rPr>
                    <w:t>38.5</w:t>
                  </w:r>
                </w:p>
              </w:tc>
            </w:tr>
            <w:tr w14:paraId="481C4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26C5AA8E">
                  <w:pPr>
                    <w:autoSpaceDE w:val="0"/>
                    <w:autoSpaceDN w:val="0"/>
                    <w:jc w:val="center"/>
                    <w:rPr>
                      <w:lang w:eastAsia="en-US"/>
                    </w:rPr>
                  </w:pPr>
                </w:p>
              </w:tc>
              <w:tc>
                <w:tcPr>
                  <w:tcW w:w="4252" w:type="dxa"/>
                  <w:vAlign w:val="center"/>
                </w:tcPr>
                <w:p w14:paraId="082CCA2E">
                  <w:pPr>
                    <w:autoSpaceDE w:val="0"/>
                    <w:autoSpaceDN w:val="0"/>
                    <w:jc w:val="center"/>
                    <w:rPr>
                      <w:lang w:eastAsia="en-US"/>
                    </w:rPr>
                  </w:pPr>
                  <w:r>
                    <w:rPr>
                      <w:lang w:eastAsia="en-US"/>
                    </w:rPr>
                    <w:t>边导线外 10m</w:t>
                  </w:r>
                </w:p>
              </w:tc>
              <w:tc>
                <w:tcPr>
                  <w:tcW w:w="992" w:type="dxa"/>
                  <w:vAlign w:val="center"/>
                </w:tcPr>
                <w:p w14:paraId="3954E9DA">
                  <w:pPr>
                    <w:autoSpaceDE w:val="0"/>
                    <w:autoSpaceDN w:val="0"/>
                    <w:jc w:val="center"/>
                    <w:rPr>
                      <w:lang w:eastAsia="en-US"/>
                    </w:rPr>
                  </w:pPr>
                  <w:r>
                    <w:rPr>
                      <w:lang w:eastAsia="en-US"/>
                    </w:rPr>
                    <w:t>40.8</w:t>
                  </w:r>
                </w:p>
              </w:tc>
              <w:tc>
                <w:tcPr>
                  <w:tcW w:w="1028" w:type="dxa"/>
                  <w:vAlign w:val="center"/>
                </w:tcPr>
                <w:p w14:paraId="099C314E">
                  <w:pPr>
                    <w:autoSpaceDE w:val="0"/>
                    <w:autoSpaceDN w:val="0"/>
                    <w:jc w:val="center"/>
                    <w:rPr>
                      <w:lang w:eastAsia="en-US"/>
                    </w:rPr>
                  </w:pPr>
                  <w:r>
                    <w:rPr>
                      <w:lang w:eastAsia="en-US"/>
                    </w:rPr>
                    <w:t>38.4</w:t>
                  </w:r>
                </w:p>
              </w:tc>
            </w:tr>
            <w:tr w14:paraId="120AA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7EDF5255">
                  <w:pPr>
                    <w:autoSpaceDE w:val="0"/>
                    <w:autoSpaceDN w:val="0"/>
                    <w:jc w:val="center"/>
                    <w:rPr>
                      <w:lang w:eastAsia="en-US"/>
                    </w:rPr>
                  </w:pPr>
                </w:p>
              </w:tc>
              <w:tc>
                <w:tcPr>
                  <w:tcW w:w="4252" w:type="dxa"/>
                  <w:vAlign w:val="center"/>
                </w:tcPr>
                <w:p w14:paraId="58667971">
                  <w:pPr>
                    <w:autoSpaceDE w:val="0"/>
                    <w:autoSpaceDN w:val="0"/>
                    <w:jc w:val="center"/>
                    <w:rPr>
                      <w:lang w:eastAsia="en-US"/>
                    </w:rPr>
                  </w:pPr>
                  <w:r>
                    <w:rPr>
                      <w:lang w:eastAsia="en-US"/>
                    </w:rPr>
                    <w:t>边导线外 15m</w:t>
                  </w:r>
                </w:p>
              </w:tc>
              <w:tc>
                <w:tcPr>
                  <w:tcW w:w="992" w:type="dxa"/>
                  <w:vAlign w:val="center"/>
                </w:tcPr>
                <w:p w14:paraId="6E4DD9E9">
                  <w:pPr>
                    <w:autoSpaceDE w:val="0"/>
                    <w:autoSpaceDN w:val="0"/>
                    <w:jc w:val="center"/>
                    <w:rPr>
                      <w:lang w:eastAsia="en-US"/>
                    </w:rPr>
                  </w:pPr>
                  <w:r>
                    <w:rPr>
                      <w:lang w:eastAsia="en-US"/>
                    </w:rPr>
                    <w:t>40.8</w:t>
                  </w:r>
                </w:p>
              </w:tc>
              <w:tc>
                <w:tcPr>
                  <w:tcW w:w="1028" w:type="dxa"/>
                  <w:vAlign w:val="center"/>
                </w:tcPr>
                <w:p w14:paraId="3BADB522">
                  <w:pPr>
                    <w:autoSpaceDE w:val="0"/>
                    <w:autoSpaceDN w:val="0"/>
                    <w:jc w:val="center"/>
                    <w:rPr>
                      <w:lang w:eastAsia="en-US"/>
                    </w:rPr>
                  </w:pPr>
                  <w:r>
                    <w:rPr>
                      <w:lang w:eastAsia="en-US"/>
                    </w:rPr>
                    <w:t>38.4</w:t>
                  </w:r>
                </w:p>
              </w:tc>
            </w:tr>
            <w:tr w14:paraId="02D0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3E753CE3">
                  <w:pPr>
                    <w:autoSpaceDE w:val="0"/>
                    <w:autoSpaceDN w:val="0"/>
                    <w:jc w:val="center"/>
                    <w:rPr>
                      <w:lang w:eastAsia="en-US"/>
                    </w:rPr>
                  </w:pPr>
                </w:p>
              </w:tc>
              <w:tc>
                <w:tcPr>
                  <w:tcW w:w="4252" w:type="dxa"/>
                  <w:vAlign w:val="center"/>
                </w:tcPr>
                <w:p w14:paraId="32ADB5D8">
                  <w:pPr>
                    <w:autoSpaceDE w:val="0"/>
                    <w:autoSpaceDN w:val="0"/>
                    <w:jc w:val="center"/>
                    <w:rPr>
                      <w:lang w:eastAsia="en-US"/>
                    </w:rPr>
                  </w:pPr>
                  <w:r>
                    <w:rPr>
                      <w:lang w:eastAsia="en-US"/>
                    </w:rPr>
                    <w:t>边导线外 20m</w:t>
                  </w:r>
                </w:p>
              </w:tc>
              <w:tc>
                <w:tcPr>
                  <w:tcW w:w="992" w:type="dxa"/>
                  <w:vAlign w:val="center"/>
                </w:tcPr>
                <w:p w14:paraId="4D25F017">
                  <w:pPr>
                    <w:autoSpaceDE w:val="0"/>
                    <w:autoSpaceDN w:val="0"/>
                    <w:jc w:val="center"/>
                    <w:rPr>
                      <w:lang w:eastAsia="en-US"/>
                    </w:rPr>
                  </w:pPr>
                  <w:r>
                    <w:rPr>
                      <w:lang w:eastAsia="en-US"/>
                    </w:rPr>
                    <w:t>41.0</w:t>
                  </w:r>
                </w:p>
              </w:tc>
              <w:tc>
                <w:tcPr>
                  <w:tcW w:w="1028" w:type="dxa"/>
                  <w:vAlign w:val="center"/>
                </w:tcPr>
                <w:p w14:paraId="43788D47">
                  <w:pPr>
                    <w:autoSpaceDE w:val="0"/>
                    <w:autoSpaceDN w:val="0"/>
                    <w:jc w:val="center"/>
                    <w:rPr>
                      <w:lang w:eastAsia="en-US"/>
                    </w:rPr>
                  </w:pPr>
                  <w:r>
                    <w:rPr>
                      <w:lang w:eastAsia="en-US"/>
                    </w:rPr>
                    <w:t>38.6</w:t>
                  </w:r>
                </w:p>
              </w:tc>
            </w:tr>
            <w:tr w14:paraId="626BA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1D234935">
                  <w:pPr>
                    <w:autoSpaceDE w:val="0"/>
                    <w:autoSpaceDN w:val="0"/>
                    <w:jc w:val="center"/>
                    <w:rPr>
                      <w:lang w:eastAsia="en-US"/>
                    </w:rPr>
                  </w:pPr>
                </w:p>
              </w:tc>
              <w:tc>
                <w:tcPr>
                  <w:tcW w:w="4252" w:type="dxa"/>
                  <w:vAlign w:val="center"/>
                </w:tcPr>
                <w:p w14:paraId="6DBC26CF">
                  <w:pPr>
                    <w:autoSpaceDE w:val="0"/>
                    <w:autoSpaceDN w:val="0"/>
                    <w:jc w:val="center"/>
                    <w:rPr>
                      <w:lang w:eastAsia="en-US"/>
                    </w:rPr>
                  </w:pPr>
                  <w:r>
                    <w:rPr>
                      <w:lang w:eastAsia="en-US"/>
                    </w:rPr>
                    <w:t>边导线外 25m</w:t>
                  </w:r>
                </w:p>
              </w:tc>
              <w:tc>
                <w:tcPr>
                  <w:tcW w:w="992" w:type="dxa"/>
                  <w:vAlign w:val="center"/>
                </w:tcPr>
                <w:p w14:paraId="6629B8A6">
                  <w:pPr>
                    <w:autoSpaceDE w:val="0"/>
                    <w:autoSpaceDN w:val="0"/>
                    <w:jc w:val="center"/>
                    <w:rPr>
                      <w:lang w:eastAsia="en-US"/>
                    </w:rPr>
                  </w:pPr>
                  <w:r>
                    <w:rPr>
                      <w:lang w:eastAsia="en-US"/>
                    </w:rPr>
                    <w:t>40.9</w:t>
                  </w:r>
                </w:p>
              </w:tc>
              <w:tc>
                <w:tcPr>
                  <w:tcW w:w="1028" w:type="dxa"/>
                  <w:vAlign w:val="center"/>
                </w:tcPr>
                <w:p w14:paraId="699DB668">
                  <w:pPr>
                    <w:autoSpaceDE w:val="0"/>
                    <w:autoSpaceDN w:val="0"/>
                    <w:jc w:val="center"/>
                    <w:rPr>
                      <w:lang w:eastAsia="en-US"/>
                    </w:rPr>
                  </w:pPr>
                  <w:r>
                    <w:rPr>
                      <w:lang w:eastAsia="en-US"/>
                    </w:rPr>
                    <w:t>38.5</w:t>
                  </w:r>
                </w:p>
              </w:tc>
            </w:tr>
            <w:tr w14:paraId="1F6B8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009" w:type="dxa"/>
                  <w:vMerge w:val="continue"/>
                  <w:tcBorders>
                    <w:top w:val="nil"/>
                  </w:tcBorders>
                  <w:vAlign w:val="center"/>
                </w:tcPr>
                <w:p w14:paraId="572CD001">
                  <w:pPr>
                    <w:autoSpaceDE w:val="0"/>
                    <w:autoSpaceDN w:val="0"/>
                    <w:jc w:val="center"/>
                    <w:rPr>
                      <w:lang w:eastAsia="en-US"/>
                    </w:rPr>
                  </w:pPr>
                </w:p>
              </w:tc>
              <w:tc>
                <w:tcPr>
                  <w:tcW w:w="4252" w:type="dxa"/>
                  <w:vAlign w:val="center"/>
                </w:tcPr>
                <w:p w14:paraId="6D34A076">
                  <w:pPr>
                    <w:autoSpaceDE w:val="0"/>
                    <w:autoSpaceDN w:val="0"/>
                    <w:jc w:val="center"/>
                    <w:rPr>
                      <w:lang w:eastAsia="en-US"/>
                    </w:rPr>
                  </w:pPr>
                  <w:r>
                    <w:rPr>
                      <w:lang w:eastAsia="en-US"/>
                    </w:rPr>
                    <w:t>边导线外 30m</w:t>
                  </w:r>
                </w:p>
              </w:tc>
              <w:tc>
                <w:tcPr>
                  <w:tcW w:w="992" w:type="dxa"/>
                  <w:vAlign w:val="center"/>
                </w:tcPr>
                <w:p w14:paraId="16FCB080">
                  <w:pPr>
                    <w:autoSpaceDE w:val="0"/>
                    <w:autoSpaceDN w:val="0"/>
                    <w:jc w:val="center"/>
                    <w:rPr>
                      <w:lang w:eastAsia="en-US"/>
                    </w:rPr>
                  </w:pPr>
                  <w:r>
                    <w:rPr>
                      <w:lang w:eastAsia="en-US"/>
                    </w:rPr>
                    <w:t>40.9</w:t>
                  </w:r>
                </w:p>
              </w:tc>
              <w:tc>
                <w:tcPr>
                  <w:tcW w:w="1028" w:type="dxa"/>
                  <w:vAlign w:val="center"/>
                </w:tcPr>
                <w:p w14:paraId="770BEC0C">
                  <w:pPr>
                    <w:autoSpaceDE w:val="0"/>
                    <w:autoSpaceDN w:val="0"/>
                    <w:jc w:val="center"/>
                    <w:rPr>
                      <w:lang w:eastAsia="en-US"/>
                    </w:rPr>
                  </w:pPr>
                  <w:r>
                    <w:rPr>
                      <w:lang w:eastAsia="en-US"/>
                    </w:rPr>
                    <w:t>38.5</w:t>
                  </w:r>
                </w:p>
              </w:tc>
            </w:tr>
            <w:tr w14:paraId="3BEFE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009" w:type="dxa"/>
                  <w:vAlign w:val="center"/>
                </w:tcPr>
                <w:p w14:paraId="2A446BCA">
                  <w:pPr>
                    <w:autoSpaceDE w:val="0"/>
                    <w:autoSpaceDN w:val="0"/>
                    <w:jc w:val="center"/>
                    <w:rPr>
                      <w:lang w:eastAsia="zh-CN"/>
                    </w:rPr>
                  </w:pPr>
                  <w:r>
                    <w:rPr>
                      <w:lang w:eastAsia="zh-CN"/>
                    </w:rPr>
                    <w:t>寻甸县金所街道金所村潘所村组</w:t>
                  </w:r>
                </w:p>
              </w:tc>
              <w:tc>
                <w:tcPr>
                  <w:tcW w:w="4252" w:type="dxa"/>
                  <w:vAlign w:val="center"/>
                </w:tcPr>
                <w:p w14:paraId="650E4509">
                  <w:pPr>
                    <w:autoSpaceDE w:val="0"/>
                    <w:autoSpaceDN w:val="0"/>
                    <w:jc w:val="center"/>
                    <w:rPr>
                      <w:lang w:eastAsia="zh-CN"/>
                    </w:rPr>
                  </w:pPr>
                  <w:r>
                    <w:rPr>
                      <w:lang w:eastAsia="zh-CN"/>
                    </w:rPr>
                    <w:t>陈彦锦家西侧</w:t>
                  </w:r>
                </w:p>
              </w:tc>
              <w:tc>
                <w:tcPr>
                  <w:tcW w:w="992" w:type="dxa"/>
                  <w:vAlign w:val="center"/>
                </w:tcPr>
                <w:p w14:paraId="6B68C45F">
                  <w:pPr>
                    <w:autoSpaceDE w:val="0"/>
                    <w:autoSpaceDN w:val="0"/>
                    <w:jc w:val="center"/>
                    <w:rPr>
                      <w:lang w:eastAsia="zh-CN"/>
                    </w:rPr>
                  </w:pPr>
                  <w:r>
                    <w:rPr>
                      <w:lang w:eastAsia="zh-CN"/>
                    </w:rPr>
                    <w:t>48.6</w:t>
                  </w:r>
                </w:p>
              </w:tc>
              <w:tc>
                <w:tcPr>
                  <w:tcW w:w="1028" w:type="dxa"/>
                  <w:vAlign w:val="center"/>
                </w:tcPr>
                <w:p w14:paraId="648420EC">
                  <w:pPr>
                    <w:autoSpaceDE w:val="0"/>
                    <w:autoSpaceDN w:val="0"/>
                    <w:jc w:val="center"/>
                    <w:rPr>
                      <w:lang w:eastAsia="zh-CN"/>
                    </w:rPr>
                  </w:pPr>
                  <w:r>
                    <w:rPr>
                      <w:lang w:eastAsia="zh-CN"/>
                    </w:rPr>
                    <w:t>42.3</w:t>
                  </w:r>
                </w:p>
              </w:tc>
            </w:tr>
          </w:tbl>
          <w:p w14:paraId="480AE4D6">
            <w:pPr>
              <w:keepNext/>
              <w:spacing w:line="360" w:lineRule="auto"/>
              <w:ind w:firstLine="480" w:firstLineChars="200"/>
              <w:rPr>
                <w:sz w:val="24"/>
              </w:rPr>
            </w:pPr>
            <w:r>
              <w:rPr>
                <w:rFonts w:hint="eastAsia"/>
                <w:sz w:val="24"/>
              </w:rPr>
              <w:t>8）输电线路声环境影响评价</w:t>
            </w:r>
          </w:p>
          <w:p w14:paraId="5AFBC80E">
            <w:pPr>
              <w:keepNext/>
              <w:spacing w:line="360" w:lineRule="auto"/>
              <w:ind w:firstLine="480" w:firstLineChars="200"/>
              <w:rPr>
                <w:sz w:val="24"/>
              </w:rPr>
            </w:pPr>
            <w:r>
              <w:rPr>
                <w:rFonts w:hint="eastAsia"/>
                <w:sz w:val="24"/>
              </w:rPr>
              <w:t>由类比监测结果可知，正常运行状态下 110kV 单回输电线路下的噪声水平昼间为 40.8~41.2dB（A），夜间为 38.4~38.6dB（A），均满足《声环境质量标准》（GB3096-2008）中 1 类标准（昼间：55dB（A），夜间：45dB（A））要求，且噪声随距离变化的趋势不明显，说明输电线路的运行噪声对周围环境噪声的贡献很小。类比线路声环境保护目标处噪声监测值昼间 48.6dB（A）、夜间 42.3dB（A），高于线路下方。</w:t>
            </w:r>
          </w:p>
          <w:p w14:paraId="5E643C03">
            <w:pPr>
              <w:keepNext/>
              <w:spacing w:line="360" w:lineRule="auto"/>
              <w:ind w:firstLine="480" w:firstLineChars="200"/>
              <w:rPr>
                <w:sz w:val="24"/>
              </w:rPr>
            </w:pPr>
            <w:r>
              <w:rPr>
                <w:rFonts w:hint="eastAsia"/>
                <w:sz w:val="24"/>
              </w:rPr>
              <w:t>因此可以预测：本工程 110kV 输电线路建成投运后，线路声环境评价区的声环境水平基本维持现状，对声环境保护目标的影响很小，且满足《声环境质量标准》（GB3096-2008）1类标准限值要求</w:t>
            </w:r>
            <w:r>
              <w:rPr>
                <w:sz w:val="24"/>
              </w:rPr>
              <w:t>。</w:t>
            </w:r>
          </w:p>
          <w:p w14:paraId="52B780EC">
            <w:pPr>
              <w:pStyle w:val="189"/>
              <w:keepNext/>
              <w:ind w:left="0" w:firstLine="0" w:firstLineChars="0"/>
              <w:jc w:val="both"/>
              <w:rPr>
                <w:b/>
                <w:kern w:val="2"/>
                <w:sz w:val="24"/>
              </w:rPr>
            </w:pPr>
            <w:r>
              <w:rPr>
                <w:b/>
                <w:kern w:val="2"/>
                <w:sz w:val="24"/>
              </w:rPr>
              <w:t>四、地表水环境影响</w:t>
            </w:r>
          </w:p>
          <w:p w14:paraId="0F2AD6AA">
            <w:pPr>
              <w:keepNext/>
              <w:spacing w:line="348" w:lineRule="auto"/>
              <w:ind w:firstLine="482"/>
              <w:rPr>
                <w:sz w:val="24"/>
              </w:rPr>
            </w:pPr>
            <w:r>
              <w:rPr>
                <w:sz w:val="24"/>
              </w:rPr>
              <w:t>线路投运后，无废污水产生。</w:t>
            </w:r>
          </w:p>
          <w:p w14:paraId="7979F07A">
            <w:pPr>
              <w:pStyle w:val="189"/>
              <w:keepNext/>
              <w:ind w:left="0" w:firstLine="0" w:firstLineChars="0"/>
              <w:jc w:val="both"/>
              <w:rPr>
                <w:b/>
                <w:kern w:val="2"/>
                <w:sz w:val="24"/>
              </w:rPr>
            </w:pPr>
            <w:r>
              <w:rPr>
                <w:b/>
                <w:kern w:val="2"/>
                <w:sz w:val="24"/>
              </w:rPr>
              <w:t>五、大气环境影响</w:t>
            </w:r>
          </w:p>
          <w:p w14:paraId="560B656A">
            <w:pPr>
              <w:spacing w:line="360" w:lineRule="auto"/>
              <w:ind w:firstLine="480" w:firstLineChars="200"/>
              <w:rPr>
                <w:sz w:val="24"/>
              </w:rPr>
            </w:pPr>
            <w:r>
              <w:rPr>
                <w:sz w:val="24"/>
              </w:rPr>
              <w:t>拟建项目输电线路在运营后无废气产生，不会对沿线大气环境产生影响。</w:t>
            </w:r>
          </w:p>
          <w:p w14:paraId="0E3E7F55">
            <w:pPr>
              <w:pStyle w:val="189"/>
              <w:keepNext/>
              <w:ind w:left="0" w:right="0" w:firstLine="0" w:firstLineChars="0"/>
              <w:jc w:val="both"/>
              <w:rPr>
                <w:b/>
                <w:kern w:val="2"/>
                <w:sz w:val="24"/>
              </w:rPr>
            </w:pPr>
            <w:r>
              <w:rPr>
                <w:b/>
                <w:kern w:val="2"/>
                <w:sz w:val="24"/>
              </w:rPr>
              <w:t>六、固体废物</w:t>
            </w:r>
          </w:p>
          <w:p w14:paraId="4FFD6283">
            <w:pPr>
              <w:spacing w:line="360" w:lineRule="auto"/>
              <w:ind w:firstLine="480"/>
              <w:rPr>
                <w:rFonts w:eastAsia="Times New Roman"/>
                <w:sz w:val="24"/>
                <w:lang w:val="zh-CN"/>
              </w:rPr>
            </w:pPr>
            <w:r>
              <w:rPr>
                <w:rFonts w:eastAsia="Times New Roman"/>
                <w:sz w:val="24"/>
                <w:lang w:val="zh-CN"/>
              </w:rPr>
              <w:t>本项目输电线路运行期间，将定期进行设备维修和更换，会产生一定量的废旧设备、材料等，这些废弃物主要是废弃的导线、螺丝钉等铁质材料，集中收集后回收利用，不会对评价范围内环境造成影响。</w:t>
            </w:r>
          </w:p>
          <w:p w14:paraId="46B91701">
            <w:pPr>
              <w:pStyle w:val="189"/>
              <w:keepNext/>
              <w:ind w:left="0" w:firstLine="0" w:firstLineChars="0"/>
              <w:jc w:val="both"/>
              <w:rPr>
                <w:b/>
                <w:kern w:val="2"/>
                <w:sz w:val="24"/>
              </w:rPr>
            </w:pPr>
            <w:r>
              <w:rPr>
                <w:b/>
                <w:kern w:val="2"/>
                <w:sz w:val="24"/>
              </w:rPr>
              <w:t>七、生态环境影响</w:t>
            </w:r>
          </w:p>
          <w:p w14:paraId="45B44BEB">
            <w:pPr>
              <w:keepNext/>
              <w:spacing w:line="360" w:lineRule="auto"/>
              <w:ind w:firstLine="482" w:firstLineChars="200"/>
              <w:rPr>
                <w:b/>
                <w:sz w:val="24"/>
              </w:rPr>
            </w:pPr>
            <w:r>
              <w:rPr>
                <w:b/>
                <w:sz w:val="24"/>
              </w:rPr>
              <w:t>（1）对植被植物的影响</w:t>
            </w:r>
          </w:p>
          <w:p w14:paraId="30D145F2">
            <w:pPr>
              <w:keepNext/>
              <w:spacing w:line="360" w:lineRule="auto"/>
              <w:ind w:firstLine="480" w:firstLineChars="200"/>
              <w:rPr>
                <w:sz w:val="24"/>
              </w:rPr>
            </w:pPr>
            <w:r>
              <w:rPr>
                <w:sz w:val="24"/>
              </w:rPr>
              <w:t>本项目线路运行期不进行林木砍伐，仅按相关规定对导线下方与树木垂直距离小于4.5m的零星林木进行削枝，以保证线路安全运行，但总体削枝量小，不会对植物种类和数量产生明显影响。本项目运行期对植被的影响主要是线路维护人员踩踏植被和线路电磁环境影响。线路维护人员可能在运行维护过程中对植被造成一定踩踏和引入外来植物。通常线路维护检查1个月左右进行1次，运行及维护人员的数量和负重有限，对植被的破坏强度小，不会带来明显的持续不利影响。通过禁止维护人员引入外来物种，可避免人为引入外来物种对本土植物造成威胁。</w:t>
            </w:r>
          </w:p>
          <w:p w14:paraId="67752B01">
            <w:pPr>
              <w:keepNext/>
              <w:spacing w:line="360" w:lineRule="auto"/>
              <w:ind w:firstLine="482" w:firstLineChars="200"/>
              <w:rPr>
                <w:b/>
                <w:sz w:val="24"/>
              </w:rPr>
            </w:pPr>
            <w:r>
              <w:rPr>
                <w:b/>
                <w:sz w:val="24"/>
              </w:rPr>
              <w:t>（2）对动物资源的影响</w:t>
            </w:r>
          </w:p>
          <w:p w14:paraId="14FFBA41">
            <w:pPr>
              <w:adjustRightInd w:val="0"/>
              <w:snapToGrid w:val="0"/>
              <w:spacing w:line="360" w:lineRule="auto"/>
              <w:ind w:firstLine="480" w:firstLineChars="200"/>
              <w:textAlignment w:val="baseline"/>
              <w:rPr>
                <w:sz w:val="24"/>
              </w:rPr>
            </w:pPr>
            <w:r>
              <w:rPr>
                <w:sz w:val="24"/>
              </w:rPr>
              <w:t>本项目线路定期维护和检查的人员会对线路及周边区域的动物造成惊扰，但这种干扰强度很低，时间很短，对动物活动影响极为有限。本项目线路杆塔分散分布，塔基占地不会明显减少兽类的生境面积，线路杆塔档距大，不会阻断兽类活动通道，对兽类种群交流影响小。评价区内的野生鸟类活动范围大、行动敏捷，且飞行高度一般高于线路架设高度，在飞行时碰撞杆塔的几率不大；从区域内已投运的线路运行情况来看，线路建成后并未对鸟类的飞行和生活习性造成影响。运营期对鸟类的影响主要是在不良气候条件下，飞行碰撞输电线的风险，</w:t>
            </w:r>
            <w:r>
              <w:rPr>
                <w:rFonts w:hint="eastAsia"/>
                <w:sz w:val="24"/>
              </w:rPr>
              <w:t>经调查，</w:t>
            </w:r>
            <w:r>
              <w:rPr>
                <w:sz w:val="24"/>
              </w:rPr>
              <w:t>项目评价区</w:t>
            </w:r>
            <w:r>
              <w:rPr>
                <w:rFonts w:hint="eastAsia"/>
                <w:sz w:val="24"/>
              </w:rPr>
              <w:t>内无国家及省级保护鸟类</w:t>
            </w:r>
            <w:r>
              <w:rPr>
                <w:sz w:val="24"/>
              </w:rPr>
              <w:t>，</w:t>
            </w:r>
            <w:r>
              <w:rPr>
                <w:rFonts w:hint="eastAsia"/>
                <w:sz w:val="24"/>
              </w:rPr>
              <w:t>本项目也不涉及鸟类迁徙通道，评价区内鸟类</w:t>
            </w:r>
            <w:r>
              <w:rPr>
                <w:sz w:val="24"/>
              </w:rPr>
              <w:t>飞行高度较高，发生碰撞的可能性较小。</w:t>
            </w:r>
          </w:p>
          <w:p w14:paraId="319910E1">
            <w:pPr>
              <w:pStyle w:val="189"/>
              <w:keepNext/>
              <w:ind w:left="0" w:firstLine="0" w:firstLineChars="0"/>
              <w:jc w:val="both"/>
              <w:rPr>
                <w:b/>
                <w:kern w:val="2"/>
                <w:sz w:val="24"/>
              </w:rPr>
            </w:pPr>
            <w:r>
              <w:rPr>
                <w:b/>
                <w:kern w:val="2"/>
                <w:sz w:val="24"/>
              </w:rPr>
              <w:t>八、社会环境影响</w:t>
            </w:r>
          </w:p>
          <w:p w14:paraId="420510D1">
            <w:pPr>
              <w:pStyle w:val="9"/>
              <w:keepLines w:val="0"/>
              <w:spacing w:before="0" w:after="0" w:line="360" w:lineRule="auto"/>
              <w:ind w:firstLine="480" w:firstLineChars="200"/>
              <w:rPr>
                <w:rFonts w:ascii="Times New Roman" w:hAnsi="Times New Roman"/>
                <w:b w:val="0"/>
                <w:bCs w:val="0"/>
                <w:kern w:val="0"/>
              </w:rPr>
            </w:pPr>
            <w:r>
              <w:rPr>
                <w:rFonts w:ascii="Times New Roman" w:hAnsi="Times New Roman"/>
                <w:b w:val="0"/>
                <w:bCs w:val="0"/>
                <w:kern w:val="0"/>
              </w:rPr>
              <w:t>本项目线路交叉跨越公路时，导线对地及交叉跨越距离按照《110kV~750kV架空输电线路设计规范》（GB50545-2010）进行考虑，满足运输净距要求，不影响其现有功能。</w:t>
            </w:r>
          </w:p>
          <w:p w14:paraId="206ACC16">
            <w:pPr>
              <w:pStyle w:val="189"/>
              <w:keepNext/>
              <w:ind w:left="0" w:firstLine="0" w:firstLineChars="0"/>
              <w:jc w:val="both"/>
              <w:rPr>
                <w:b/>
                <w:kern w:val="2"/>
                <w:sz w:val="24"/>
              </w:rPr>
            </w:pPr>
            <w:r>
              <w:rPr>
                <w:b/>
                <w:kern w:val="2"/>
                <w:sz w:val="24"/>
              </w:rPr>
              <w:t>九、环境风险分析</w:t>
            </w:r>
          </w:p>
          <w:p w14:paraId="3C2421EA">
            <w:pPr>
              <w:keepNext/>
              <w:tabs>
                <w:tab w:val="left" w:pos="270"/>
              </w:tabs>
              <w:spacing w:line="360" w:lineRule="auto"/>
              <w:ind w:firstLine="480" w:firstLineChars="200"/>
              <w:rPr>
                <w:kern w:val="0"/>
                <w:sz w:val="24"/>
              </w:rPr>
            </w:pPr>
            <w:r>
              <w:rPr>
                <w:kern w:val="0"/>
                <w:sz w:val="24"/>
              </w:rPr>
              <w:t>根据《建设项目环境风险评价技术导则》（HJ 169-2018），项目输电线路存在的环境风险主要为：线路设备运行过程中受损，引发线路短路放电可能造成的火灾，及引发新的环境灾害。</w:t>
            </w:r>
          </w:p>
          <w:p w14:paraId="5135D125">
            <w:pPr>
              <w:keepNext/>
              <w:tabs>
                <w:tab w:val="left" w:pos="270"/>
              </w:tabs>
              <w:spacing w:line="360" w:lineRule="auto"/>
              <w:ind w:firstLine="480" w:firstLineChars="200"/>
              <w:rPr>
                <w:kern w:val="0"/>
                <w:sz w:val="24"/>
              </w:rPr>
            </w:pPr>
            <w:r>
              <w:rPr>
                <w:kern w:val="0"/>
                <w:sz w:val="24"/>
              </w:rPr>
              <w:t>输电线路若出现超设计标准大风时，会引起导线风偏摆动过大而与树木及山体坡面接触引起短路放电，可能造成火灾，引发新的环境灾害。</w:t>
            </w:r>
          </w:p>
          <w:p w14:paraId="18A548B1">
            <w:pPr>
              <w:keepNext/>
              <w:tabs>
                <w:tab w:val="left" w:pos="270"/>
              </w:tabs>
              <w:spacing w:line="360" w:lineRule="auto"/>
              <w:ind w:firstLine="480" w:firstLineChars="200"/>
              <w:rPr>
                <w:kern w:val="0"/>
                <w:sz w:val="24"/>
              </w:rPr>
            </w:pPr>
            <w:r>
              <w:rPr>
                <w:kern w:val="0"/>
                <w:sz w:val="24"/>
              </w:rPr>
              <w:t>本线路设计时严格按照规范要求设计，在导线与树木、山体之间留够足够的净空，可确保在出现30年一遇气象条件（大风、覆冰）时，不会出现短路和倒塔现象。本线路设计时设置了继电保护装置，当出现倒塔和短路时能及时断电（0.1秒以内），可避免倒塔和短路时由于线路通电对当地环境产生危害（森林火灾、人和动物触电等）；且线路设计、导线结构均按相关设计和建设标准建设，为线路的持久、安全运行打下了牢固的基础。</w:t>
            </w:r>
          </w:p>
          <w:p w14:paraId="17E27662">
            <w:pPr>
              <w:keepNext/>
              <w:tabs>
                <w:tab w:val="left" w:pos="270"/>
              </w:tabs>
              <w:spacing w:line="360" w:lineRule="auto"/>
              <w:ind w:firstLine="480" w:firstLineChars="200"/>
              <w:rPr>
                <w:kern w:val="0"/>
                <w:sz w:val="24"/>
              </w:rPr>
            </w:pPr>
            <w:r>
              <w:rPr>
                <w:kern w:val="0"/>
                <w:sz w:val="24"/>
              </w:rPr>
              <w:t>线路运营单位还建立了紧急抢救预案，购买临时性输电线路抢修塔，当出现倒塔现象时能尽快及时抢修恢复通电。</w:t>
            </w:r>
          </w:p>
          <w:p w14:paraId="65E45D66">
            <w:pPr>
              <w:keepNext/>
              <w:tabs>
                <w:tab w:val="left" w:pos="270"/>
              </w:tabs>
              <w:spacing w:line="360" w:lineRule="auto"/>
              <w:ind w:firstLine="480" w:firstLineChars="200"/>
              <w:rPr>
                <w:kern w:val="0"/>
                <w:sz w:val="24"/>
              </w:rPr>
            </w:pPr>
            <w:r>
              <w:rPr>
                <w:kern w:val="0"/>
                <w:sz w:val="24"/>
              </w:rPr>
              <w:t>输变电线路的铁塔倒塌处理不当引发火灾，则会对周围居民的人身安全和财产造成一定影响；因此，建设单位应认真落实各项环境风险防范措施，制定突发环境事件应急预案，则项目建设运行期间的环境风险总体可控。</w:t>
            </w:r>
          </w:p>
        </w:tc>
      </w:tr>
      <w:tr w14:paraId="0F9DF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88" w:hRule="atLeast"/>
          <w:jc w:val="center"/>
        </w:trPr>
        <w:tc>
          <w:tcPr>
            <w:tcW w:w="298" w:type="pct"/>
            <w:vAlign w:val="center"/>
          </w:tcPr>
          <w:p w14:paraId="1FFBC440">
            <w:pPr>
              <w:pStyle w:val="39"/>
              <w:adjustRightInd w:val="0"/>
              <w:snapToGrid w:val="0"/>
              <w:spacing w:before="0" w:beforeAutospacing="0" w:after="0" w:afterAutospacing="0"/>
              <w:jc w:val="center"/>
              <w:rPr>
                <w:rFonts w:ascii="Times New Roman" w:hAnsi="Times New Roman"/>
                <w:bCs/>
                <w:kern w:val="2"/>
                <w:sz w:val="21"/>
              </w:rPr>
            </w:pPr>
            <w:r>
              <w:rPr>
                <w:rFonts w:ascii="Times New Roman" w:hAnsi="Times New Roman"/>
                <w:bCs/>
                <w:kern w:val="2"/>
                <w:sz w:val="21"/>
              </w:rPr>
              <w:t>选址选线环境合理性分析</w:t>
            </w:r>
          </w:p>
        </w:tc>
        <w:tc>
          <w:tcPr>
            <w:tcW w:w="4702" w:type="pct"/>
          </w:tcPr>
          <w:p w14:paraId="0BCEEDA1">
            <w:pPr>
              <w:pStyle w:val="189"/>
              <w:ind w:left="0" w:firstLine="0" w:firstLineChars="0"/>
              <w:jc w:val="both"/>
              <w:rPr>
                <w:b/>
                <w:bCs/>
                <w:sz w:val="24"/>
              </w:rPr>
            </w:pPr>
            <w:r>
              <w:rPr>
                <w:rFonts w:hint="eastAsia"/>
                <w:b/>
                <w:bCs/>
                <w:sz w:val="24"/>
              </w:rPr>
              <w:t>一、环境敏感区</w:t>
            </w:r>
          </w:p>
          <w:p w14:paraId="1C7EFE0D">
            <w:pPr>
              <w:pStyle w:val="189"/>
              <w:ind w:firstLine="480"/>
              <w:jc w:val="both"/>
              <w:rPr>
                <w:sz w:val="24"/>
              </w:rPr>
            </w:pPr>
            <w:r>
              <w:rPr>
                <w:rFonts w:hint="eastAsia"/>
                <w:sz w:val="24"/>
              </w:rPr>
              <w:t>根据《建设项目环境影响评价分类管理名录》（2021版），五十五、核与辐射—161输变电工程，其对应的环境敏感区是指下列区域：“（一）国家公园、自然保护区、风景名胜区、世界文化和自然遗产地、海洋特别保护区、饮用水水源保护区；（三）中的以居住、医疗卫生、文化教育、科研、行政办公等为主要功能的区域。”</w:t>
            </w:r>
          </w:p>
          <w:p w14:paraId="4EE4F3EA">
            <w:pPr>
              <w:pStyle w:val="189"/>
              <w:ind w:firstLine="480"/>
              <w:jc w:val="both"/>
              <w:rPr>
                <w:sz w:val="24"/>
              </w:rPr>
            </w:pPr>
            <w:r>
              <w:rPr>
                <w:rFonts w:hint="eastAsia"/>
                <w:sz w:val="24"/>
              </w:rPr>
              <w:t>根据富源县自然资源局、林草局、水务局、生态环境局对本工程选址选线的查询情况说明，本工程占地区选址不涉及国家公园、自然保护区、风景名胜区、生态保护红线、饮用水水源保护区、世界文化和自然遗产地等环境敏感区；根据环评单位叠图分析，送出线路也不跨越以上环境敏感区。</w:t>
            </w:r>
          </w:p>
          <w:p w14:paraId="406E44E1">
            <w:pPr>
              <w:pStyle w:val="189"/>
              <w:ind w:left="0" w:firstLine="0" w:firstLineChars="0"/>
              <w:jc w:val="both"/>
              <w:rPr>
                <w:b/>
                <w:bCs/>
                <w:sz w:val="24"/>
              </w:rPr>
            </w:pPr>
            <w:r>
              <w:rPr>
                <w:rFonts w:hint="eastAsia"/>
                <w:b/>
                <w:bCs/>
                <w:sz w:val="24"/>
              </w:rPr>
              <w:t>二、选线环境合理性分析</w:t>
            </w:r>
          </w:p>
          <w:p w14:paraId="615542A7">
            <w:pPr>
              <w:pStyle w:val="189"/>
              <w:ind w:left="0" w:right="0" w:firstLine="480"/>
              <w:jc w:val="both"/>
              <w:rPr>
                <w:sz w:val="24"/>
              </w:rPr>
            </w:pPr>
            <w:r>
              <w:rPr>
                <w:rFonts w:hint="eastAsia"/>
                <w:sz w:val="24"/>
              </w:rPr>
              <w:t>本工程输电线路不涉及环境敏感区，输电线路沿线的敏感因素为居民点1户，线路采用高塔架设，在工程可行的情况下尽量远离居民点。</w:t>
            </w:r>
          </w:p>
          <w:p w14:paraId="1B40D525">
            <w:pPr>
              <w:pStyle w:val="189"/>
              <w:ind w:left="0" w:right="0" w:firstLine="480"/>
              <w:jc w:val="both"/>
              <w:rPr>
                <w:sz w:val="24"/>
              </w:rPr>
            </w:pPr>
            <w:r>
              <w:rPr>
                <w:rFonts w:hint="eastAsia"/>
                <w:sz w:val="24"/>
              </w:rPr>
              <w:t>根据表2</w:t>
            </w:r>
            <w:r>
              <w:rPr>
                <w:sz w:val="24"/>
              </w:rPr>
              <w:t>-8</w:t>
            </w:r>
            <w:r>
              <w:rPr>
                <w:rFonts w:hint="eastAsia"/>
                <w:sz w:val="24"/>
              </w:rPr>
              <w:t>中方案比选的内容，推荐方案与比选方案均不涉及环境保护目标且均与规划相协调。与比选方案相比，推荐方案占地面积小、土石方工程量小，推荐方案对区域的扰动强度远低于比选方案，故从环境合理的角度，本环评认可设计中的推荐方案。</w:t>
            </w:r>
          </w:p>
          <w:p w14:paraId="3C189D59">
            <w:pPr>
              <w:pStyle w:val="189"/>
              <w:ind w:left="0" w:right="0" w:firstLine="480"/>
              <w:jc w:val="both"/>
              <w:rPr>
                <w:sz w:val="24"/>
              </w:rPr>
            </w:pPr>
            <w:r>
              <w:rPr>
                <w:rFonts w:hint="eastAsia"/>
                <w:sz w:val="24"/>
              </w:rPr>
              <w:t>本项目选址选线避让了自然保护区、风景名胜区、森林公园、生态保护红线等环境敏感区，且工程占地范围避让了国家级和省级公益林、永久基本农田，并统筹考虑了城镇规划、工业园区、加油站、加气站、工矿企业、水利、电力、交通、通信、军事光缆、沿线矿产资源压覆（包括探矿权、采矿权）等各种设施，结合地理位置及沿线地形、地貌、交叉跨越等因素，进行了最大程度的优化。本报告提出一系列保护措施以减轻对生态环境产生影响。</w:t>
            </w:r>
          </w:p>
          <w:p w14:paraId="60288623">
            <w:pPr>
              <w:pStyle w:val="189"/>
              <w:ind w:left="0" w:right="0" w:firstLine="480"/>
              <w:jc w:val="both"/>
              <w:rPr>
                <w:sz w:val="24"/>
              </w:rPr>
            </w:pPr>
            <w:r>
              <w:rPr>
                <w:rFonts w:hint="eastAsia"/>
                <w:sz w:val="24"/>
              </w:rPr>
              <w:t>推荐方案已尽最大限度减少树木砍伐及原始生态破坏，项目取得了工程所在地富源县人民政府及各部门对选址选线原则同意的意见（见附件4），建设单位应按照国家、省州相关政策做好用地、用林报批后方可动工建设。</w:t>
            </w:r>
          </w:p>
          <w:p w14:paraId="13C63E80">
            <w:pPr>
              <w:spacing w:line="360" w:lineRule="auto"/>
              <w:rPr>
                <w:b/>
                <w:bCs/>
                <w:sz w:val="24"/>
              </w:rPr>
            </w:pPr>
            <w:r>
              <w:rPr>
                <w:b/>
                <w:bCs/>
                <w:sz w:val="24"/>
              </w:rPr>
              <w:t>三、施工“三场”选址合理性分析</w:t>
            </w:r>
          </w:p>
          <w:p w14:paraId="37587936">
            <w:pPr>
              <w:spacing w:line="360" w:lineRule="auto"/>
              <w:rPr>
                <w:b/>
                <w:sz w:val="24"/>
              </w:rPr>
            </w:pPr>
            <w:r>
              <w:rPr>
                <w:b/>
                <w:sz w:val="24"/>
              </w:rPr>
              <w:t>1、牵张场</w:t>
            </w:r>
          </w:p>
          <w:p w14:paraId="582ED5BF">
            <w:pPr>
              <w:spacing w:line="360" w:lineRule="auto"/>
              <w:ind w:firstLine="480" w:firstLineChars="200"/>
              <w:rPr>
                <w:sz w:val="24"/>
              </w:rPr>
            </w:pPr>
            <w:r>
              <w:rPr>
                <w:sz w:val="24"/>
              </w:rPr>
              <w:t>本工程线路拟设置牵张场6处，</w:t>
            </w:r>
            <w:r>
              <w:rPr>
                <w:rFonts w:hint="eastAsia"/>
                <w:sz w:val="24"/>
              </w:rPr>
              <w:t>其中包括3处放线场和3处牵引场。</w:t>
            </w:r>
            <w:r>
              <w:rPr>
                <w:sz w:val="24"/>
              </w:rPr>
              <w:t>每个约500m</w:t>
            </w:r>
            <w:r>
              <w:rPr>
                <w:sz w:val="24"/>
                <w:vertAlign w:val="superscript"/>
              </w:rPr>
              <w:t>2</w:t>
            </w:r>
            <w:r>
              <w:rPr>
                <w:sz w:val="24"/>
              </w:rPr>
              <w:t>，占地约0.3hm</w:t>
            </w:r>
            <w:r>
              <w:rPr>
                <w:sz w:val="24"/>
                <w:vertAlign w:val="superscript"/>
              </w:rPr>
              <w:t>2</w:t>
            </w:r>
            <w:r>
              <w:rPr>
                <w:sz w:val="24"/>
              </w:rPr>
              <w:t>；牵张场只是在线路导线架设过程中使用，使用时间在2个月以内。</w:t>
            </w:r>
            <w:r>
              <w:rPr>
                <w:rFonts w:hint="eastAsia"/>
                <w:sz w:val="24"/>
              </w:rPr>
              <w:t>针对</w:t>
            </w:r>
            <w:r>
              <w:rPr>
                <w:sz w:val="24"/>
              </w:rPr>
              <w:t>牵张场施工布置提出以下建议：牵张场选址应满足牵引设备能直接运达到位，且道路修补量不大；地形应平坦，能满足布置牵张设备、布置导线及便于施工操作等要求。牵张场的布设在满足施工需求的情况下，尽量布置在荒草地或坡耕地处，避开密林区；牵张场选址不能占用基本农田和生态</w:t>
            </w:r>
            <w:r>
              <w:rPr>
                <w:rFonts w:hint="eastAsia"/>
                <w:sz w:val="24"/>
              </w:rPr>
              <w:t>保护</w:t>
            </w:r>
            <w:r>
              <w:rPr>
                <w:sz w:val="24"/>
              </w:rPr>
              <w:t>红线保护。牵张场会占压和扰动原有地表，施工完成后应清理场地，清除混凝土残留等建筑垃圾，并进行原地貌和植被恢复。</w:t>
            </w:r>
          </w:p>
          <w:p w14:paraId="17CAE505">
            <w:pPr>
              <w:spacing w:line="360" w:lineRule="auto"/>
              <w:ind w:firstLine="480" w:firstLineChars="200"/>
              <w:rPr>
                <w:sz w:val="24"/>
              </w:rPr>
            </w:pPr>
            <w:r>
              <w:rPr>
                <w:sz w:val="24"/>
              </w:rPr>
              <w:t>项目牵张场临时占地面积小、使用时间短，且施工结束后进行原地貌和植被恢复；因此项目牵张场地表扰动较小，对环境影响在可接受范围内。</w:t>
            </w:r>
          </w:p>
          <w:p w14:paraId="5DC0A21E">
            <w:pPr>
              <w:spacing w:line="360" w:lineRule="auto"/>
              <w:rPr>
                <w:b/>
                <w:sz w:val="24"/>
              </w:rPr>
            </w:pPr>
            <w:r>
              <w:rPr>
                <w:b/>
                <w:sz w:val="24"/>
              </w:rPr>
              <w:t>2、堆料场</w:t>
            </w:r>
          </w:p>
          <w:p w14:paraId="421846AB">
            <w:pPr>
              <w:spacing w:line="360" w:lineRule="auto"/>
              <w:ind w:firstLine="480" w:firstLineChars="200"/>
              <w:rPr>
                <w:sz w:val="24"/>
              </w:rPr>
            </w:pPr>
            <w:r>
              <w:rPr>
                <w:sz w:val="24"/>
              </w:rPr>
              <w:t>本项目输电线路施工点分散，每个施工点需要堆放的材料不多，因此，本项目输电线路施工不设堆料场，项目塔基所需的砂石、混凝土等施工用料和铁塔组件堆放在塔基施工区一角，不得乱堆乱放；导线、牵引设备等材料堆放在牵张场。施工材料堆放时间不长，尽量做到当日安装，若遇需隔天安装的，对施工材料进行篷布覆盖，因此本项目不单独另设堆料场。</w:t>
            </w:r>
          </w:p>
          <w:p w14:paraId="385BEBEF">
            <w:pPr>
              <w:spacing w:line="360" w:lineRule="auto"/>
              <w:rPr>
                <w:b/>
                <w:sz w:val="24"/>
              </w:rPr>
            </w:pPr>
            <w:r>
              <w:rPr>
                <w:b/>
                <w:sz w:val="24"/>
              </w:rPr>
              <w:t>3、弃渣场</w:t>
            </w:r>
          </w:p>
          <w:p w14:paraId="3976F32F">
            <w:pPr>
              <w:spacing w:line="360" w:lineRule="auto"/>
              <w:ind w:firstLine="480" w:firstLineChars="200"/>
              <w:rPr>
                <w:sz w:val="24"/>
              </w:rPr>
            </w:pPr>
            <w:r>
              <w:rPr>
                <w:sz w:val="24"/>
              </w:rPr>
              <w:t>本项目为输电线路建设，开挖区主要是杆塔基础，开挖区呈点状分布，开挖面积较小，产生的开挖土石方量较小，因此，项目施工期不设弃渣场，开挖土石方临时堆存在塔基开挖处，等塔基浇筑结束后及时填筑在塔基周围低洼处，或用作塔基护坡。本项目无永久弃渣产生，不布设弃渣场。</w:t>
            </w:r>
          </w:p>
          <w:p w14:paraId="235C373B">
            <w:pPr>
              <w:pStyle w:val="189"/>
              <w:ind w:left="0" w:right="0" w:firstLine="480"/>
              <w:jc w:val="both"/>
              <w:rPr>
                <w:sz w:val="24"/>
              </w:rPr>
            </w:pPr>
            <w:r>
              <w:rPr>
                <w:sz w:val="24"/>
              </w:rPr>
              <w:t>综上所述，本项目不设置堆料场、弃渣场，单个塔基施工用料量小，堆放在塔基施工</w:t>
            </w:r>
            <w:r>
              <w:rPr>
                <w:rFonts w:hint="eastAsia"/>
                <w:sz w:val="24"/>
              </w:rPr>
              <w:t>区</w:t>
            </w:r>
            <w:r>
              <w:rPr>
                <w:sz w:val="24"/>
              </w:rPr>
              <w:t>一角，并尽量当天施工、当天料尽；单个塔基挖方量小，临时堆存在塔基施工区一角，后及时回填；项目施工结束后，及时对塔基裸露地表、临时施工区和牵张场进行植被绿化。因此，项目施工“三场”的设置基本合理。</w:t>
            </w:r>
          </w:p>
          <w:p w14:paraId="23BF8E27">
            <w:pPr>
              <w:spacing w:line="360" w:lineRule="auto"/>
              <w:ind w:firstLine="464" w:firstLineChars="200"/>
              <w:rPr>
                <w:sz w:val="24"/>
              </w:rPr>
            </w:pPr>
            <w:r>
              <w:rPr>
                <w:spacing w:val="-4"/>
                <w:sz w:val="24"/>
              </w:rPr>
              <w:t>综上，项目符合相关法律法规的要求，无重大环境制约性因素，工程选址选</w:t>
            </w:r>
            <w:r>
              <w:rPr>
                <w:spacing w:val="-2"/>
                <w:sz w:val="24"/>
              </w:rPr>
              <w:t>线方案可行。</w:t>
            </w:r>
          </w:p>
          <w:p w14:paraId="06BD3F18">
            <w:pPr>
              <w:spacing w:line="360" w:lineRule="auto"/>
              <w:ind w:firstLine="480" w:firstLineChars="200"/>
              <w:rPr>
                <w:sz w:val="24"/>
              </w:rPr>
            </w:pPr>
          </w:p>
          <w:p w14:paraId="060F2F80">
            <w:pPr>
              <w:pStyle w:val="189"/>
              <w:ind w:firstLine="560"/>
            </w:pPr>
          </w:p>
        </w:tc>
      </w:tr>
    </w:tbl>
    <w:p w14:paraId="3AEB5F8F">
      <w:pPr>
        <w:pStyle w:val="39"/>
        <w:jc w:val="center"/>
        <w:rPr>
          <w:rFonts w:ascii="Times New Roman" w:hAnsi="Times New Roman" w:eastAsia="黑体"/>
          <w:snapToGrid w:val="0"/>
          <w:sz w:val="36"/>
          <w:szCs w:val="36"/>
        </w:rPr>
        <w:sectPr>
          <w:pgSz w:w="11906" w:h="16838"/>
          <w:pgMar w:top="1440" w:right="1800" w:bottom="1440" w:left="1800" w:header="851" w:footer="1077" w:gutter="0"/>
          <w:cols w:space="720" w:num="1"/>
          <w:docGrid w:linePitch="312" w:charSpace="0"/>
        </w:sectPr>
      </w:pPr>
    </w:p>
    <w:p w14:paraId="72BDD43A">
      <w:pPr>
        <w:pStyle w:val="39"/>
        <w:jc w:val="center"/>
        <w:outlineLvl w:val="0"/>
        <w:rPr>
          <w:rFonts w:ascii="Times New Roman" w:hAnsi="Times New Roman" w:eastAsia="黑体"/>
          <w:snapToGrid w:val="0"/>
          <w:sz w:val="30"/>
          <w:szCs w:val="30"/>
        </w:rPr>
      </w:pPr>
      <w:bookmarkStart w:id="66" w:name="_Toc25793"/>
      <w:bookmarkStart w:id="67" w:name="_Toc8836"/>
      <w:bookmarkStart w:id="68" w:name="_Toc15114"/>
      <w:bookmarkStart w:id="69" w:name="_Toc28468"/>
      <w:bookmarkStart w:id="70" w:name="_Toc1767"/>
      <w:bookmarkStart w:id="71" w:name="_Toc30479"/>
      <w:bookmarkStart w:id="72" w:name="_Toc225952992"/>
      <w:bookmarkStart w:id="73" w:name="_Toc227764332"/>
      <w:bookmarkStart w:id="74" w:name="_Toc26138"/>
      <w:r>
        <w:rPr>
          <w:rFonts w:ascii="Times New Roman" w:hAnsi="Times New Roman" w:eastAsia="黑体"/>
          <w:snapToGrid w:val="0"/>
          <w:sz w:val="30"/>
          <w:szCs w:val="30"/>
        </w:rPr>
        <w:t>五、主要生态环境保护措施</w:t>
      </w:r>
      <w:bookmarkEnd w:id="66"/>
      <w:bookmarkEnd w:id="67"/>
      <w:bookmarkEnd w:id="68"/>
      <w:bookmarkEnd w:id="69"/>
      <w:bookmarkEnd w:id="70"/>
      <w:bookmarkEnd w:id="71"/>
      <w:bookmarkEnd w:id="72"/>
      <w:bookmarkEnd w:id="73"/>
      <w:bookmarkEnd w:id="74"/>
    </w:p>
    <w:tbl>
      <w:tblPr>
        <w:tblStyle w:val="45"/>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8653"/>
      </w:tblGrid>
      <w:tr w14:paraId="06EE8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557" w:type="dxa"/>
            <w:tcMar>
              <w:left w:w="28" w:type="dxa"/>
              <w:right w:w="28" w:type="dxa"/>
            </w:tcMar>
            <w:vAlign w:val="center"/>
          </w:tcPr>
          <w:p w14:paraId="7783A8C2">
            <w:pPr>
              <w:adjustRightInd w:val="0"/>
              <w:snapToGrid w:val="0"/>
              <w:jc w:val="center"/>
              <w:rPr>
                <w:bCs/>
                <w:sz w:val="24"/>
                <w:szCs w:val="24"/>
              </w:rPr>
            </w:pPr>
            <w:r>
              <w:rPr>
                <w:bCs/>
                <w:spacing w:val="10"/>
                <w:sz w:val="24"/>
                <w:szCs w:val="24"/>
              </w:rPr>
              <w:t>施工期生态环境保护措施</w:t>
            </w:r>
          </w:p>
        </w:tc>
        <w:tc>
          <w:tcPr>
            <w:tcW w:w="8653" w:type="dxa"/>
          </w:tcPr>
          <w:p w14:paraId="10EE05B4">
            <w:pPr>
              <w:spacing w:line="360" w:lineRule="auto"/>
              <w:ind w:firstLine="480" w:firstLineChars="200"/>
              <w:rPr>
                <w:sz w:val="24"/>
                <w:szCs w:val="32"/>
              </w:rPr>
            </w:pPr>
            <w:r>
              <w:rPr>
                <w:sz w:val="24"/>
                <w:szCs w:val="32"/>
              </w:rPr>
              <w:t>在项目建设阶段，由于基础开挖、清除植被等操作，会对当地植被产生一定破坏作用，并易造成水土流失，给生态环境造成一定的负面影响。因此</w:t>
            </w:r>
            <w:r>
              <w:rPr>
                <w:rFonts w:hint="eastAsia"/>
                <w:sz w:val="24"/>
                <w:szCs w:val="32"/>
              </w:rPr>
              <w:t>，</w:t>
            </w:r>
            <w:r>
              <w:rPr>
                <w:sz w:val="24"/>
                <w:szCs w:val="32"/>
              </w:rPr>
              <w:t>工程建设单位应从以下方面，加强对当地生态环境保护。</w:t>
            </w:r>
          </w:p>
          <w:p w14:paraId="165D7B2C">
            <w:pPr>
              <w:spacing w:line="360" w:lineRule="auto"/>
              <w:outlineLvl w:val="2"/>
              <w:rPr>
                <w:b/>
                <w:bCs/>
                <w:sz w:val="24"/>
                <w:szCs w:val="32"/>
              </w:rPr>
            </w:pPr>
            <w:bookmarkStart w:id="75" w:name="_Toc6879"/>
            <w:bookmarkStart w:id="76" w:name="_Toc22726"/>
            <w:bookmarkStart w:id="77" w:name="_Toc3059"/>
            <w:bookmarkStart w:id="78" w:name="_Toc227764333"/>
            <w:bookmarkStart w:id="79" w:name="_Toc6192"/>
            <w:bookmarkStart w:id="80" w:name="_Toc28258"/>
            <w:bookmarkStart w:id="81" w:name="_Toc726"/>
            <w:bookmarkStart w:id="82" w:name="_Toc28616"/>
            <w:r>
              <w:rPr>
                <w:b/>
                <w:bCs/>
                <w:sz w:val="24"/>
                <w:szCs w:val="32"/>
              </w:rPr>
              <w:t>一、污染影响控制措施</w:t>
            </w:r>
            <w:bookmarkEnd w:id="75"/>
            <w:bookmarkEnd w:id="76"/>
            <w:bookmarkEnd w:id="77"/>
            <w:bookmarkEnd w:id="78"/>
            <w:bookmarkEnd w:id="79"/>
            <w:bookmarkEnd w:id="80"/>
            <w:bookmarkEnd w:id="81"/>
            <w:bookmarkEnd w:id="82"/>
          </w:p>
          <w:p w14:paraId="1B4B03FB">
            <w:pPr>
              <w:spacing w:line="360" w:lineRule="auto"/>
              <w:ind w:firstLine="480" w:firstLineChars="200"/>
              <w:rPr>
                <w:sz w:val="24"/>
                <w:szCs w:val="32"/>
              </w:rPr>
            </w:pPr>
            <w:r>
              <w:rPr>
                <w:sz w:val="24"/>
                <w:szCs w:val="32"/>
              </w:rPr>
              <w:t>（一）噪声控制措施</w:t>
            </w:r>
          </w:p>
          <w:p w14:paraId="27E4621E">
            <w:pPr>
              <w:spacing w:line="360" w:lineRule="auto"/>
              <w:ind w:firstLine="480" w:firstLineChars="200"/>
              <w:jc w:val="left"/>
              <w:rPr>
                <w:sz w:val="24"/>
                <w:szCs w:val="32"/>
              </w:rPr>
            </w:pPr>
            <w:r>
              <w:rPr>
                <w:sz w:val="24"/>
                <w:szCs w:val="32"/>
              </w:rPr>
              <w:t>本工程施工期采取如下噪声防治措施：</w:t>
            </w:r>
          </w:p>
          <w:p w14:paraId="74BDD780">
            <w:pPr>
              <w:spacing w:line="360" w:lineRule="auto"/>
              <w:ind w:firstLine="480" w:firstLineChars="200"/>
              <w:rPr>
                <w:sz w:val="24"/>
                <w:szCs w:val="32"/>
              </w:rPr>
            </w:pPr>
            <w:r>
              <w:rPr>
                <w:sz w:val="24"/>
                <w:szCs w:val="32"/>
              </w:rPr>
              <w:t>1）采用低噪声设备，如选用液压静力压桩机、低噪声振捣器、电动挖掘机等，禁止使用高噪声的老旧设备；加强施工机械的维修、养护，确保设备处于良好运转状态，避免因部件损坏或松动而加大工作时的声压级；对高噪声设备（如发电机、空压机）加装消声器或隔声罩。</w:t>
            </w:r>
          </w:p>
          <w:p w14:paraId="32013759">
            <w:pPr>
              <w:spacing w:line="360" w:lineRule="auto"/>
              <w:ind w:firstLine="480" w:firstLineChars="200"/>
              <w:rPr>
                <w:sz w:val="24"/>
                <w:szCs w:val="32"/>
              </w:rPr>
            </w:pPr>
            <w:r>
              <w:rPr>
                <w:sz w:val="24"/>
                <w:szCs w:val="32"/>
              </w:rPr>
              <w:t>2）利用噪声强度随距离增加而衰减的特性，将较强的噪声源（如柴油发电机、搅拌机）尽量设在远离居住区（距离敏感点至少200米）的地方，并对强噪声源设立移动式隔声屏障（高度不低于2.5米，面密度≥10 kg/m²），屏障设置位置应靠近噪声源或敏感点一侧。</w:t>
            </w:r>
          </w:p>
          <w:p w14:paraId="73B50FE5">
            <w:pPr>
              <w:spacing w:line="360" w:lineRule="auto"/>
              <w:ind w:firstLine="480" w:firstLineChars="200"/>
              <w:rPr>
                <w:sz w:val="24"/>
                <w:szCs w:val="32"/>
              </w:rPr>
            </w:pPr>
            <w:r>
              <w:rPr>
                <w:sz w:val="24"/>
                <w:szCs w:val="32"/>
              </w:rPr>
              <w:t>3）施工工地应加强环境管理，合理安排运输路线，避开居民密集区及学校、医院等敏感区域；运输车辆在途经村庄时减速慢行（车速≤20 km/h）、禁止鸣笛；施工场地内合理布局，避免多台高噪声设备同时集中作业。</w:t>
            </w:r>
          </w:p>
          <w:p w14:paraId="042FB7BC">
            <w:pPr>
              <w:spacing w:line="360" w:lineRule="auto"/>
              <w:ind w:firstLine="480" w:firstLineChars="200"/>
              <w:rPr>
                <w:sz w:val="24"/>
                <w:szCs w:val="32"/>
              </w:rPr>
            </w:pPr>
            <w:r>
              <w:rPr>
                <w:sz w:val="24"/>
                <w:szCs w:val="32"/>
              </w:rPr>
              <w:t>4）原则上禁止夜间（22:00至次日6:00）进行施工，但抢修、抢险作业和因生产工艺要求或者特殊需要必须连续作业的除外。确需夜间施工时，应优先选用低噪声工艺，并对受影响的敏感点采取临时隔声防护（如设置隔声软帘或临时声屏障）。</w:t>
            </w:r>
          </w:p>
          <w:p w14:paraId="35A85E5F">
            <w:pPr>
              <w:spacing w:line="360" w:lineRule="auto"/>
              <w:ind w:firstLine="480" w:firstLineChars="200"/>
              <w:rPr>
                <w:sz w:val="24"/>
                <w:szCs w:val="32"/>
              </w:rPr>
            </w:pPr>
            <w:r>
              <w:rPr>
                <w:sz w:val="24"/>
                <w:szCs w:val="32"/>
              </w:rPr>
              <w:t>5）优化施工方案，合理安排工期，依法限制夜间施工。如果因工艺特殊情况要求，需在夜间施工而产生环境噪声污染时，应按《中华人民共和国噪声污染防治法》的规定办理相关证明文件并对外进行公示公告：因特殊需要必须连续施工作业的，应当取得地方人民政府住房和城乡建设、生态环境主管部门或者地方人民政府指定的部门的证明，并在施工现场显著位置公示或者以其他方式公告附近居民。同时，应建立噪声投诉响应机制，对居民反映的噪声问题及时处理。</w:t>
            </w:r>
          </w:p>
          <w:p w14:paraId="06F5DB17">
            <w:pPr>
              <w:spacing w:line="360" w:lineRule="auto"/>
              <w:ind w:firstLine="480" w:firstLineChars="200"/>
              <w:rPr>
                <w:sz w:val="24"/>
                <w:szCs w:val="32"/>
              </w:rPr>
            </w:pPr>
            <w:r>
              <w:rPr>
                <w:sz w:val="24"/>
                <w:szCs w:val="32"/>
              </w:rPr>
              <w:t>采取上述措施后，施工期噪声经距离衰减和隔声至敏感目标能够满足《建筑施工噪声排放标准》（GB 12523-2025）的要求。</w:t>
            </w:r>
          </w:p>
          <w:p w14:paraId="1B79FC44">
            <w:pPr>
              <w:spacing w:line="360" w:lineRule="auto"/>
              <w:ind w:firstLine="480" w:firstLineChars="200"/>
              <w:rPr>
                <w:sz w:val="24"/>
                <w:szCs w:val="32"/>
              </w:rPr>
            </w:pPr>
            <w:r>
              <w:rPr>
                <w:sz w:val="24"/>
                <w:szCs w:val="32"/>
              </w:rPr>
              <w:t>（二）扬尘控制措施</w:t>
            </w:r>
          </w:p>
          <w:p w14:paraId="31CF841C">
            <w:pPr>
              <w:spacing w:line="360" w:lineRule="auto"/>
              <w:ind w:firstLine="480" w:firstLineChars="200"/>
              <w:jc w:val="left"/>
              <w:rPr>
                <w:sz w:val="24"/>
                <w:szCs w:val="32"/>
              </w:rPr>
            </w:pPr>
            <w:r>
              <w:rPr>
                <w:sz w:val="24"/>
                <w:szCs w:val="32"/>
              </w:rPr>
              <w:t>1）施工场地四周连续设置封闭围挡；</w:t>
            </w:r>
          </w:p>
          <w:p w14:paraId="010C03FC">
            <w:pPr>
              <w:spacing w:line="360" w:lineRule="auto"/>
              <w:ind w:firstLine="480" w:firstLineChars="200"/>
              <w:jc w:val="left"/>
              <w:rPr>
                <w:sz w:val="24"/>
                <w:szCs w:val="32"/>
              </w:rPr>
            </w:pPr>
            <w:r>
              <w:rPr>
                <w:sz w:val="24"/>
                <w:szCs w:val="32"/>
              </w:rPr>
              <w:t>2）施工现场车辆出入口设置车辆冲洗设施；</w:t>
            </w:r>
          </w:p>
          <w:p w14:paraId="45019DE8">
            <w:pPr>
              <w:spacing w:line="360" w:lineRule="auto"/>
              <w:ind w:firstLine="480" w:firstLineChars="200"/>
              <w:jc w:val="left"/>
              <w:rPr>
                <w:sz w:val="24"/>
                <w:szCs w:val="32"/>
              </w:rPr>
            </w:pPr>
            <w:r>
              <w:rPr>
                <w:sz w:val="24"/>
                <w:szCs w:val="32"/>
              </w:rPr>
              <w:t>3）施工道路及建材堆场硬化；</w:t>
            </w:r>
          </w:p>
          <w:p w14:paraId="6A13B26F">
            <w:pPr>
              <w:spacing w:line="360" w:lineRule="auto"/>
              <w:ind w:firstLine="480" w:firstLineChars="200"/>
              <w:jc w:val="left"/>
              <w:rPr>
                <w:sz w:val="24"/>
                <w:szCs w:val="32"/>
              </w:rPr>
            </w:pPr>
            <w:r>
              <w:rPr>
                <w:sz w:val="24"/>
                <w:szCs w:val="32"/>
              </w:rPr>
              <w:t>4）施工现场临时堆放的裸土及其他易起尘物料应使用防尘网进行覆盖；</w:t>
            </w:r>
          </w:p>
          <w:p w14:paraId="10B139DF">
            <w:pPr>
              <w:spacing w:line="360" w:lineRule="auto"/>
              <w:ind w:firstLine="480" w:firstLineChars="200"/>
              <w:jc w:val="left"/>
              <w:rPr>
                <w:sz w:val="24"/>
                <w:szCs w:val="32"/>
              </w:rPr>
            </w:pPr>
            <w:r>
              <w:rPr>
                <w:sz w:val="24"/>
                <w:szCs w:val="32"/>
              </w:rPr>
              <w:t>5）易产生扬尘的钻孔、铣刨、切割、开挖、现场搅拌等施工作业时采取喷淋、喷雾等湿法降尘措施；遇到干旱和大风天气时增加洒水降尘次数等。</w:t>
            </w:r>
          </w:p>
          <w:p w14:paraId="7A05E8EA">
            <w:pPr>
              <w:spacing w:line="360" w:lineRule="auto"/>
              <w:ind w:firstLine="480" w:firstLineChars="200"/>
              <w:jc w:val="left"/>
              <w:rPr>
                <w:sz w:val="24"/>
                <w:szCs w:val="32"/>
              </w:rPr>
            </w:pPr>
            <w:r>
              <w:rPr>
                <w:sz w:val="24"/>
                <w:szCs w:val="32"/>
              </w:rPr>
              <w:t>6）施工现场渣土运输车辆采取覆盖措施，严格控制土方装载量，土方装载的高度不得超过车辆</w:t>
            </w:r>
            <w:r>
              <w:rPr>
                <w:rFonts w:hint="eastAsia"/>
                <w:sz w:val="24"/>
                <w:szCs w:val="32"/>
              </w:rPr>
              <w:t>挡板</w:t>
            </w:r>
            <w:r>
              <w:rPr>
                <w:sz w:val="24"/>
                <w:szCs w:val="32"/>
              </w:rPr>
              <w:t>，防止土方撒落；</w:t>
            </w:r>
          </w:p>
          <w:p w14:paraId="4FC54F18">
            <w:pPr>
              <w:spacing w:line="360" w:lineRule="auto"/>
              <w:ind w:firstLine="480" w:firstLineChars="200"/>
              <w:jc w:val="left"/>
              <w:rPr>
                <w:sz w:val="24"/>
                <w:szCs w:val="32"/>
              </w:rPr>
            </w:pPr>
            <w:r>
              <w:rPr>
                <w:sz w:val="24"/>
                <w:szCs w:val="32"/>
              </w:rPr>
              <w:t>7）在施工期间，建设单位和施工单位还应执行《建筑工程绿色施工规范》(GB/T 50905-2014)等相关要求，落实施工扬尘控制措施，在施工合同中确定扬尘污染防治目标及施工单位扬尘污染防治责任，施工作业人员上岗前，施工单位应组织以国家法律法规、技术规范、管理制度和操作规程为主要内容的扬尘防治入场教育培训和考核等。</w:t>
            </w:r>
          </w:p>
          <w:p w14:paraId="5F782FBF">
            <w:pPr>
              <w:spacing w:line="360" w:lineRule="auto"/>
              <w:ind w:firstLine="480" w:firstLineChars="200"/>
              <w:rPr>
                <w:sz w:val="24"/>
                <w:szCs w:val="32"/>
              </w:rPr>
            </w:pPr>
            <w:r>
              <w:rPr>
                <w:sz w:val="24"/>
                <w:szCs w:val="32"/>
              </w:rPr>
              <w:t>（三）废水控制措施</w:t>
            </w:r>
          </w:p>
          <w:p w14:paraId="2445E877">
            <w:pPr>
              <w:spacing w:line="360" w:lineRule="auto"/>
              <w:ind w:firstLine="480" w:firstLineChars="200"/>
              <w:rPr>
                <w:sz w:val="24"/>
                <w:szCs w:val="32"/>
              </w:rPr>
            </w:pPr>
            <w:r>
              <w:rPr>
                <w:sz w:val="24"/>
                <w:szCs w:val="32"/>
              </w:rPr>
              <w:t>为防止施工废水污染附近地表水，应采取如下防治措施：</w:t>
            </w:r>
          </w:p>
          <w:p w14:paraId="28F3EEFB">
            <w:pPr>
              <w:spacing w:line="360" w:lineRule="auto"/>
              <w:ind w:firstLine="480" w:firstLineChars="200"/>
              <w:rPr>
                <w:sz w:val="24"/>
                <w:szCs w:val="32"/>
              </w:rPr>
            </w:pPr>
            <w:r>
              <w:rPr>
                <w:rFonts w:hint="eastAsia"/>
                <w:sz w:val="24"/>
                <w:szCs w:val="32"/>
              </w:rPr>
              <w:t>1）输电线路工程施工人员依托现有生活设施或附近村庄生活设施，不在现场设施工营地。确需临时设置移动厕所的，应配备防渗化粪池，定期由环卫部门清运处理。</w:t>
            </w:r>
          </w:p>
          <w:p w14:paraId="3123CD2E">
            <w:pPr>
              <w:spacing w:line="360" w:lineRule="auto"/>
              <w:ind w:firstLine="480" w:firstLineChars="200"/>
              <w:rPr>
                <w:sz w:val="24"/>
                <w:szCs w:val="32"/>
              </w:rPr>
            </w:pPr>
            <w:r>
              <w:rPr>
                <w:rFonts w:hint="eastAsia"/>
                <w:sz w:val="24"/>
                <w:szCs w:val="32"/>
              </w:rPr>
              <w:t>2）塔基浇筑混凝土拌合冲洗废水经沉淀池（沉淀池容积不小于2 m³，采用防渗钢筋混凝土结构或铺设防渗膜）澄清后回用于塔基混凝土搅拌和洒水降尘，不外排。沉淀池应定期清掏，沉渣随施工固废一并处理。</w:t>
            </w:r>
          </w:p>
          <w:p w14:paraId="458327D1">
            <w:pPr>
              <w:spacing w:line="360" w:lineRule="auto"/>
              <w:ind w:firstLine="480" w:firstLineChars="200"/>
              <w:rPr>
                <w:sz w:val="24"/>
                <w:szCs w:val="32"/>
              </w:rPr>
            </w:pPr>
            <w:r>
              <w:rPr>
                <w:rFonts w:hint="eastAsia"/>
                <w:sz w:val="24"/>
                <w:szCs w:val="32"/>
              </w:rPr>
              <w:t>3）施工场地远离地表水体布置（距离河流、湖泊等水体边线至少50米），不得在地表水中清洗车辆及施工器具；车辆冲洗点应设置循环水系统，冲洗废水经隔油沉淀后回用。</w:t>
            </w:r>
          </w:p>
          <w:p w14:paraId="539B490D">
            <w:pPr>
              <w:spacing w:line="360" w:lineRule="auto"/>
              <w:ind w:firstLine="480" w:firstLineChars="200"/>
              <w:rPr>
                <w:sz w:val="24"/>
                <w:szCs w:val="32"/>
              </w:rPr>
            </w:pPr>
            <w:r>
              <w:rPr>
                <w:rFonts w:hint="eastAsia"/>
                <w:sz w:val="24"/>
                <w:szCs w:val="32"/>
              </w:rPr>
              <w:t>4）杜绝各种污水的无组织排放，特别是不得以渗坑、渗井或者漫流等形式排放，尤其是禁止排放到附近的地表水体；塔基施工废水经沉淀后回用于洒水降尘，不外排。</w:t>
            </w:r>
          </w:p>
          <w:p w14:paraId="074E668C">
            <w:pPr>
              <w:spacing w:line="360" w:lineRule="auto"/>
              <w:ind w:firstLine="480" w:firstLineChars="200"/>
              <w:rPr>
                <w:sz w:val="24"/>
                <w:szCs w:val="32"/>
              </w:rPr>
            </w:pPr>
            <w:r>
              <w:rPr>
                <w:rFonts w:hint="eastAsia"/>
                <w:sz w:val="24"/>
                <w:szCs w:val="32"/>
              </w:rPr>
              <w:t>5）施工期间应设置临时截排水沟，防止雨水冲刷造成含泥沙径流进入周边水体；塔基开挖区域周边布置土袋挡墙或临时沉砂池（尺寸不小于1 m×1 m×1 m），拦截暴雨径流中的悬浮物。</w:t>
            </w:r>
          </w:p>
          <w:p w14:paraId="65C0AEC5">
            <w:pPr>
              <w:spacing w:line="360" w:lineRule="auto"/>
              <w:ind w:firstLine="480" w:firstLineChars="200"/>
              <w:rPr>
                <w:sz w:val="24"/>
                <w:szCs w:val="32"/>
              </w:rPr>
            </w:pPr>
            <w:r>
              <w:rPr>
                <w:rFonts w:hint="eastAsia"/>
                <w:sz w:val="24"/>
                <w:szCs w:val="32"/>
              </w:rPr>
              <w:t>6）加强对机械设备的维护管理，防止燃油或润滑油泄漏；若发生泄漏，应立即用吸油毡或沙土吸附，受污染土壤作为危险废物交由有资质的单位处置。</w:t>
            </w:r>
          </w:p>
          <w:p w14:paraId="2BFDB853">
            <w:pPr>
              <w:spacing w:line="360" w:lineRule="auto"/>
              <w:ind w:firstLine="480" w:firstLineChars="200"/>
              <w:rPr>
                <w:sz w:val="24"/>
                <w:szCs w:val="32"/>
              </w:rPr>
            </w:pPr>
            <w:r>
              <w:rPr>
                <w:rFonts w:hint="eastAsia"/>
                <w:sz w:val="24"/>
                <w:szCs w:val="32"/>
              </w:rPr>
              <w:t>采取上述措施后，施工期产生的废水对周围环境的影响较小</w:t>
            </w:r>
            <w:r>
              <w:rPr>
                <w:sz w:val="24"/>
                <w:szCs w:val="32"/>
              </w:rPr>
              <w:t>。</w:t>
            </w:r>
          </w:p>
          <w:p w14:paraId="5C348D2C">
            <w:pPr>
              <w:spacing w:line="360" w:lineRule="auto"/>
              <w:ind w:firstLine="480" w:firstLineChars="200"/>
              <w:rPr>
                <w:sz w:val="24"/>
                <w:szCs w:val="32"/>
              </w:rPr>
            </w:pPr>
            <w:r>
              <w:rPr>
                <w:sz w:val="24"/>
                <w:szCs w:val="32"/>
              </w:rPr>
              <w:t>（四）固废控制措施</w:t>
            </w:r>
          </w:p>
          <w:p w14:paraId="6718CA84">
            <w:pPr>
              <w:spacing w:line="360" w:lineRule="auto"/>
              <w:ind w:firstLine="480" w:firstLineChars="200"/>
              <w:rPr>
                <w:sz w:val="24"/>
                <w:szCs w:val="32"/>
              </w:rPr>
            </w:pPr>
            <w:r>
              <w:rPr>
                <w:sz w:val="24"/>
                <w:szCs w:val="32"/>
              </w:rPr>
              <w:t>1）输电线路施工现场不设置施工营地，施工人员的生活垃圾由施工人员自行收集后带回租住地，随当地的生活垃圾一起处理，禁止在施工现场随意丢弃。现场应设置若干垃圾桶，每日清理。</w:t>
            </w:r>
          </w:p>
          <w:p w14:paraId="3D1E1B9F">
            <w:pPr>
              <w:spacing w:line="360" w:lineRule="auto"/>
              <w:ind w:firstLine="480" w:firstLineChars="200"/>
              <w:rPr>
                <w:sz w:val="24"/>
                <w:szCs w:val="32"/>
              </w:rPr>
            </w:pPr>
            <w:r>
              <w:rPr>
                <w:sz w:val="24"/>
                <w:szCs w:val="32"/>
              </w:rPr>
              <w:t>2）尽量回收可利用的废建材（如废钢筋、废模板、废包装材料等），分类收集后出售给废品回收站；对于不可回收利用的建材（如废混凝土块、碎砖瓦）和建筑垃圾由施工单位运送至指定的建筑垃圾消纳场。严禁将固废随意倾倒或混入生活垃圾。</w:t>
            </w:r>
          </w:p>
          <w:p w14:paraId="47166B4B">
            <w:pPr>
              <w:spacing w:line="360" w:lineRule="auto"/>
              <w:ind w:firstLine="480" w:firstLineChars="200"/>
              <w:rPr>
                <w:sz w:val="24"/>
                <w:szCs w:val="32"/>
              </w:rPr>
            </w:pPr>
            <w:r>
              <w:rPr>
                <w:sz w:val="24"/>
                <w:szCs w:val="32"/>
              </w:rPr>
              <w:t>3）施工中临时堆土点应远离水体（距离不小于50米），及时采取挡护措施（如编织袋装土堆砌挡墙，高度不低于0.5 m）；严禁向附近水体排放工程弃土、废泥浆、废弃的混凝土、生活垃圾等施工废物。废泥浆应经泥浆池沉淀固化后，干化泥饼运至渣土消纳场。</w:t>
            </w:r>
          </w:p>
          <w:p w14:paraId="421EEF7E">
            <w:pPr>
              <w:spacing w:line="360" w:lineRule="auto"/>
              <w:ind w:firstLine="480" w:firstLineChars="200"/>
              <w:rPr>
                <w:sz w:val="24"/>
                <w:szCs w:val="32"/>
              </w:rPr>
            </w:pPr>
            <w:r>
              <w:rPr>
                <w:sz w:val="24"/>
                <w:szCs w:val="32"/>
              </w:rPr>
              <w:t>4）施工时开挖的土石方不允许就地倾倒，应采取回填方式妥善处置：塔基开挖产生的表土与深层土分开堆放，表土用于后期植被恢复覆土，深层土用于塔基回填及平整场地；临时堆土应采取围护拦挡措施（如彩钢板围挡或土袋挡墙），并在土体表面覆上苫布或密目网（网目≤800目/100 cm²），防止雨水冲刷造成水土流失。</w:t>
            </w:r>
          </w:p>
          <w:p w14:paraId="37D6870C">
            <w:pPr>
              <w:spacing w:line="360" w:lineRule="auto"/>
              <w:ind w:firstLine="480" w:firstLineChars="200"/>
              <w:rPr>
                <w:sz w:val="24"/>
                <w:szCs w:val="32"/>
              </w:rPr>
            </w:pPr>
            <w:r>
              <w:rPr>
                <w:sz w:val="24"/>
                <w:szCs w:val="32"/>
              </w:rPr>
              <w:t>5）施工临时占地采取隔离保护措施，如铺设彩条布、草垫或棕垫，防止施工活动破坏地表植被；施工结束后将多余砂石料、混凝土残渣等及时清除，恢复原地貌，做到“工完、料尽、场地清”。对于可能产生危险废物的环节（如设备维修产生的废机油、含油抹布等），应设置专用收集容器，并委托有危险废物经营许可证的单位处置，不得混入一般固废或生活垃圾。</w:t>
            </w:r>
          </w:p>
          <w:p w14:paraId="3C079BC5">
            <w:pPr>
              <w:spacing w:line="360" w:lineRule="auto"/>
              <w:ind w:firstLine="480" w:firstLineChars="200"/>
              <w:rPr>
                <w:sz w:val="24"/>
                <w:szCs w:val="32"/>
              </w:rPr>
            </w:pPr>
            <w:r>
              <w:rPr>
                <w:sz w:val="24"/>
                <w:szCs w:val="32"/>
              </w:rPr>
              <w:t>6）建立施工固废管理台账，记录各类固废的产生量、回收量、处置去向，保留转移联单或接收凭证，确保固废可追溯、可核查。</w:t>
            </w:r>
          </w:p>
          <w:p w14:paraId="54E2EB65">
            <w:pPr>
              <w:spacing w:line="360" w:lineRule="auto"/>
              <w:outlineLvl w:val="2"/>
              <w:rPr>
                <w:b/>
                <w:bCs/>
                <w:sz w:val="24"/>
                <w:szCs w:val="32"/>
              </w:rPr>
            </w:pPr>
            <w:bookmarkStart w:id="83" w:name="_Toc23307"/>
            <w:bookmarkStart w:id="84" w:name="_Toc9670"/>
            <w:bookmarkStart w:id="85" w:name="_Toc25762"/>
            <w:bookmarkStart w:id="86" w:name="_Toc15878"/>
            <w:bookmarkStart w:id="87" w:name="_Toc15844"/>
            <w:bookmarkStart w:id="88" w:name="_Toc27223"/>
            <w:bookmarkStart w:id="89" w:name="_Toc227764334"/>
            <w:bookmarkStart w:id="90" w:name="_Toc31017"/>
            <w:r>
              <w:rPr>
                <w:b/>
                <w:bCs/>
                <w:sz w:val="24"/>
                <w:szCs w:val="32"/>
              </w:rPr>
              <w:t>二、生态影响控制措施</w:t>
            </w:r>
            <w:bookmarkEnd w:id="83"/>
            <w:bookmarkEnd w:id="84"/>
            <w:bookmarkEnd w:id="85"/>
            <w:bookmarkEnd w:id="86"/>
            <w:bookmarkEnd w:id="87"/>
            <w:bookmarkEnd w:id="88"/>
            <w:bookmarkEnd w:id="89"/>
            <w:bookmarkEnd w:id="90"/>
          </w:p>
          <w:p w14:paraId="507AF617">
            <w:pPr>
              <w:spacing w:line="360" w:lineRule="auto"/>
              <w:ind w:firstLine="480" w:firstLineChars="200"/>
              <w:rPr>
                <w:sz w:val="24"/>
                <w:szCs w:val="32"/>
              </w:rPr>
            </w:pPr>
            <w:r>
              <w:rPr>
                <w:rFonts w:hint="eastAsia"/>
                <w:sz w:val="24"/>
                <w:szCs w:val="32"/>
              </w:rPr>
              <w:t>（一）生态保护措施</w:t>
            </w:r>
          </w:p>
          <w:p w14:paraId="55FE1DB8">
            <w:pPr>
              <w:spacing w:line="360" w:lineRule="auto"/>
              <w:ind w:firstLine="480" w:firstLineChars="200"/>
              <w:rPr>
                <w:sz w:val="24"/>
                <w:szCs w:val="32"/>
              </w:rPr>
            </w:pPr>
            <w:r>
              <w:rPr>
                <w:sz w:val="24"/>
                <w:szCs w:val="32"/>
              </w:rPr>
              <w:t>1、施工期对植物保护措施</w:t>
            </w:r>
          </w:p>
          <w:p w14:paraId="10C6FB15">
            <w:pPr>
              <w:spacing w:line="360" w:lineRule="auto"/>
              <w:ind w:firstLine="480" w:firstLineChars="200"/>
              <w:rPr>
                <w:sz w:val="24"/>
                <w:szCs w:val="32"/>
              </w:rPr>
            </w:pPr>
            <w:r>
              <w:rPr>
                <w:sz w:val="24"/>
                <w:szCs w:val="32"/>
              </w:rPr>
              <w:t>①在施工过程中，要严格控制施工直接影响范围，杜绝随意砍伐原木搭桥垫路</w:t>
            </w:r>
            <w:r>
              <w:rPr>
                <w:rFonts w:hint="eastAsia"/>
                <w:sz w:val="24"/>
                <w:szCs w:val="32"/>
              </w:rPr>
              <w:t>、</w:t>
            </w:r>
            <w:r>
              <w:rPr>
                <w:sz w:val="24"/>
                <w:szCs w:val="32"/>
              </w:rPr>
              <w:t>采集可用的资源植物等情况的出现，杜绝随意踩踏农作物。</w:t>
            </w:r>
          </w:p>
          <w:p w14:paraId="3C9B02EF">
            <w:pPr>
              <w:spacing w:line="360" w:lineRule="auto"/>
              <w:ind w:firstLine="480" w:firstLineChars="200"/>
              <w:rPr>
                <w:sz w:val="24"/>
                <w:szCs w:val="32"/>
              </w:rPr>
            </w:pPr>
            <w:r>
              <w:rPr>
                <w:sz w:val="24"/>
                <w:szCs w:val="32"/>
              </w:rPr>
              <w:t>②线路经过林区时，采用高跨设计，按主要树种的自然生长高度加7m跨越距离确定导线和铁塔高度，避免大范围砍伐林木和“剃山头”的现象。施工中通过采用空中张力放线技术，减小放线通道的林木砍伐量。</w:t>
            </w:r>
          </w:p>
          <w:p w14:paraId="21CC6E68">
            <w:pPr>
              <w:spacing w:line="360" w:lineRule="auto"/>
              <w:ind w:firstLine="480" w:firstLineChars="200"/>
              <w:rPr>
                <w:sz w:val="24"/>
                <w:szCs w:val="32"/>
              </w:rPr>
            </w:pPr>
            <w:r>
              <w:rPr>
                <w:sz w:val="24"/>
                <w:szCs w:val="32"/>
              </w:rPr>
              <w:t>③工程施工单位应加强与当地林业管理部门的联系，做好护林防火的宣传工作，强化火源管理，降低火灾隐患。</w:t>
            </w:r>
          </w:p>
          <w:p w14:paraId="3AB44E9E">
            <w:pPr>
              <w:spacing w:line="360" w:lineRule="auto"/>
              <w:ind w:firstLine="480" w:firstLineChars="200"/>
              <w:rPr>
                <w:sz w:val="24"/>
                <w:szCs w:val="32"/>
              </w:rPr>
            </w:pPr>
            <w:r>
              <w:rPr>
                <w:sz w:val="24"/>
                <w:szCs w:val="32"/>
              </w:rPr>
              <w:t>④</w:t>
            </w:r>
            <w:r>
              <w:rPr>
                <w:sz w:val="24"/>
              </w:rPr>
              <w:t>在杆塔设计中，通过优化坡比，</w:t>
            </w:r>
            <w:r>
              <w:rPr>
                <w:rFonts w:hint="eastAsia"/>
                <w:sz w:val="24"/>
              </w:rPr>
              <w:t>减小</w:t>
            </w:r>
            <w:r>
              <w:rPr>
                <w:sz w:val="24"/>
              </w:rPr>
              <w:t>铁塔基础尺寸，从而缩小塔基占地，减少塔基开挖范围，尽可能减少对环境的影响。</w:t>
            </w:r>
          </w:p>
          <w:p w14:paraId="3238DE23">
            <w:pPr>
              <w:spacing w:line="360" w:lineRule="auto"/>
              <w:ind w:firstLine="480" w:firstLineChars="200"/>
              <w:rPr>
                <w:sz w:val="24"/>
                <w:szCs w:val="32"/>
              </w:rPr>
            </w:pPr>
            <w:r>
              <w:rPr>
                <w:sz w:val="24"/>
                <w:szCs w:val="32"/>
              </w:rPr>
              <w:t>⑤</w:t>
            </w:r>
            <w:r>
              <w:rPr>
                <w:sz w:val="24"/>
              </w:rPr>
              <w:t>为适应山丘塔位高差较大的地形，所有塔型均设置全方位高低腿，减少塔位平降基土方，避免塔位地表植被破坏引起的水土流失，达到既保护自然环境，又保护铁塔和基础安全的目的。铁塔全方位长短腿与不等高基础的配合使用，有效地解决了以前工程中常出现的小“簸箕”问题，做到少开挖或不开基面。</w:t>
            </w:r>
          </w:p>
          <w:p w14:paraId="4AAEBD48">
            <w:pPr>
              <w:spacing w:line="360" w:lineRule="auto"/>
              <w:ind w:firstLine="480" w:firstLineChars="200"/>
              <w:rPr>
                <w:sz w:val="24"/>
                <w:szCs w:val="32"/>
              </w:rPr>
            </w:pPr>
            <w:r>
              <w:rPr>
                <w:sz w:val="24"/>
                <w:szCs w:val="32"/>
              </w:rPr>
              <w:t>⑥输电线路施工期，牵张场尽量选择荒草地或裸露地表处，主动避让林木及耕地。</w:t>
            </w:r>
          </w:p>
          <w:p w14:paraId="2CA04175">
            <w:pPr>
              <w:spacing w:line="360" w:lineRule="auto"/>
              <w:ind w:firstLine="480" w:firstLineChars="200"/>
              <w:rPr>
                <w:sz w:val="24"/>
                <w:szCs w:val="32"/>
              </w:rPr>
            </w:pPr>
            <w:r>
              <w:rPr>
                <w:sz w:val="24"/>
                <w:szCs w:val="32"/>
              </w:rPr>
              <w:t>⑦</w:t>
            </w:r>
            <w:r>
              <w:rPr>
                <w:sz w:val="24"/>
              </w:rPr>
              <w:t>对塔位表层无植被或植被很稀疏的塔基，为防止水土流失，施工结束后通过土地整治、表土覆盖，选择乡土树草种进行植被恢复</w:t>
            </w:r>
            <w:r>
              <w:rPr>
                <w:rFonts w:hint="eastAsia"/>
                <w:sz w:val="24"/>
                <w:szCs w:val="32"/>
              </w:rPr>
              <w:t>。植被修复不仅应考虑植被覆盖率，而且需要在利用当地原有物种的情况下，尽量使物种多样化，避免单一。在保证物种多样性的前提下，防止外来入侵物种的扩散。原生境下分布外来物种的情况，需对已有的外来物种进行铲除，并针对其入侵机制对土壤等生境进行改良，保证植被修复的效率</w:t>
            </w:r>
          </w:p>
          <w:p w14:paraId="1AFBF83A">
            <w:pPr>
              <w:spacing w:line="360" w:lineRule="auto"/>
              <w:ind w:firstLine="480" w:firstLineChars="200"/>
              <w:rPr>
                <w:sz w:val="24"/>
                <w:szCs w:val="32"/>
              </w:rPr>
            </w:pPr>
            <w:r>
              <w:rPr>
                <w:sz w:val="24"/>
                <w:szCs w:val="32"/>
              </w:rPr>
              <w:t>2、施工期动物保护措施</w:t>
            </w:r>
          </w:p>
          <w:p w14:paraId="4F6E90ED">
            <w:pPr>
              <w:spacing w:line="360" w:lineRule="auto"/>
              <w:ind w:firstLine="480" w:firstLineChars="200"/>
              <w:rPr>
                <w:sz w:val="24"/>
                <w:szCs w:val="32"/>
              </w:rPr>
            </w:pPr>
            <w:r>
              <w:rPr>
                <w:sz w:val="24"/>
                <w:szCs w:val="32"/>
              </w:rPr>
              <w:t>①设置保护生态环境的醒目宣传牌标，对施工人员进行《中华人民共和国野生动物保护法》《中华人民共和国森林法》和《中华人民共和国环境保护法》等有关的</w:t>
            </w:r>
            <w:r>
              <w:rPr>
                <w:rFonts w:hint="eastAsia"/>
                <w:sz w:val="24"/>
                <w:szCs w:val="32"/>
              </w:rPr>
              <w:t>法治</w:t>
            </w:r>
            <w:r>
              <w:rPr>
                <w:sz w:val="24"/>
                <w:szCs w:val="32"/>
              </w:rPr>
              <w:t>宣传教育。</w:t>
            </w:r>
          </w:p>
          <w:p w14:paraId="5FBAB55A">
            <w:pPr>
              <w:spacing w:line="360" w:lineRule="auto"/>
              <w:ind w:firstLine="480" w:firstLineChars="200"/>
              <w:rPr>
                <w:sz w:val="24"/>
                <w:szCs w:val="32"/>
              </w:rPr>
            </w:pPr>
            <w:r>
              <w:rPr>
                <w:sz w:val="24"/>
                <w:szCs w:val="32"/>
              </w:rPr>
              <w:t>②对施工人员进行生态保护教育，严禁施工人员捕杀项目周边出现的野生动物。</w:t>
            </w:r>
          </w:p>
          <w:p w14:paraId="18CC350F">
            <w:pPr>
              <w:pStyle w:val="28"/>
              <w:spacing w:after="0" w:line="360" w:lineRule="auto"/>
              <w:ind w:left="0" w:leftChars="0" w:firstLine="480" w:firstLineChars="200"/>
              <w:rPr>
                <w:sz w:val="24"/>
                <w:szCs w:val="32"/>
              </w:rPr>
            </w:pPr>
            <w:r>
              <w:rPr>
                <w:sz w:val="24"/>
                <w:szCs w:val="32"/>
              </w:rPr>
              <w:t>③对施工临时征地，在施工结束后做到有计划、有步骤、有目的地恢复受损害的森林植被，以恢复动物的栖息地。</w:t>
            </w:r>
          </w:p>
          <w:p w14:paraId="6D1C417C">
            <w:pPr>
              <w:pStyle w:val="28"/>
              <w:spacing w:after="0" w:line="360" w:lineRule="auto"/>
              <w:ind w:left="0" w:leftChars="0" w:firstLine="480" w:firstLineChars="200"/>
              <w:rPr>
                <w:sz w:val="24"/>
                <w:szCs w:val="32"/>
              </w:rPr>
            </w:pPr>
            <w:r>
              <w:rPr>
                <w:sz w:val="24"/>
                <w:szCs w:val="32"/>
              </w:rPr>
              <w:t>3、施工期水土保持措施</w:t>
            </w:r>
          </w:p>
          <w:p w14:paraId="7009255C">
            <w:pPr>
              <w:spacing w:line="360" w:lineRule="auto"/>
              <w:ind w:firstLine="480" w:firstLineChars="200"/>
              <w:rPr>
                <w:sz w:val="24"/>
                <w:szCs w:val="32"/>
              </w:rPr>
            </w:pPr>
            <w:r>
              <w:rPr>
                <w:sz w:val="24"/>
                <w:szCs w:val="32"/>
              </w:rPr>
              <w:t>线路施工对生态环境最大的影响是水土流失以及对植被影响，针对施工特点，应采取下列水土保持措施。</w:t>
            </w:r>
          </w:p>
          <w:p w14:paraId="29EB293E">
            <w:pPr>
              <w:spacing w:line="360" w:lineRule="auto"/>
              <w:ind w:firstLine="480" w:firstLineChars="200"/>
              <w:rPr>
                <w:sz w:val="24"/>
                <w:szCs w:val="32"/>
              </w:rPr>
            </w:pPr>
            <w:r>
              <w:rPr>
                <w:sz w:val="24"/>
                <w:szCs w:val="32"/>
              </w:rPr>
              <w:t>①采用高低腿铁塔，最大限度地适应现场变化地形的需要，使塔基避免大开挖。</w:t>
            </w:r>
          </w:p>
          <w:p w14:paraId="3D99FBE0">
            <w:pPr>
              <w:spacing w:line="360" w:lineRule="auto"/>
              <w:ind w:firstLine="480" w:firstLineChars="200"/>
              <w:rPr>
                <w:sz w:val="24"/>
                <w:szCs w:val="32"/>
              </w:rPr>
            </w:pPr>
            <w:r>
              <w:rPr>
                <w:sz w:val="24"/>
                <w:szCs w:val="32"/>
              </w:rPr>
              <w:t>②施工完成后应及时进行迹地整治，复耕或恢复植被。</w:t>
            </w:r>
          </w:p>
          <w:p w14:paraId="57609DBC">
            <w:pPr>
              <w:spacing w:line="360" w:lineRule="auto"/>
              <w:ind w:firstLine="480" w:firstLineChars="200"/>
              <w:rPr>
                <w:sz w:val="24"/>
                <w:szCs w:val="32"/>
              </w:rPr>
            </w:pPr>
            <w:r>
              <w:rPr>
                <w:sz w:val="24"/>
                <w:szCs w:val="32"/>
              </w:rPr>
              <w:t>③做好表土的剥离、集中堆放、拦挡、排水及回覆等；施工过程中产生的弃土（渣）要及时清运至指定地点堆放并进行防护，禁止随意倾倒。</w:t>
            </w:r>
          </w:p>
          <w:p w14:paraId="30901B93">
            <w:pPr>
              <w:adjustRightInd w:val="0"/>
              <w:snapToGrid w:val="0"/>
              <w:spacing w:line="360" w:lineRule="auto"/>
              <w:ind w:firstLine="480" w:firstLineChars="200"/>
              <w:rPr>
                <w:sz w:val="24"/>
                <w:szCs w:val="24"/>
              </w:rPr>
            </w:pPr>
            <w:r>
              <w:rPr>
                <w:sz w:val="24"/>
                <w:szCs w:val="32"/>
              </w:rPr>
              <w:t>④输电线路施工时，架空线路施工区场地进行表土剥离，边坡设置挡土墙、边</w:t>
            </w:r>
            <w:r>
              <w:rPr>
                <w:sz w:val="24"/>
                <w:szCs w:val="24"/>
              </w:rPr>
              <w:t>坡防护、排水沟进行防护，施工场地内设置临时排水沟，临时弃土采用装土麻袋进行拦挡。</w:t>
            </w:r>
          </w:p>
          <w:p w14:paraId="0F81F05B">
            <w:pPr>
              <w:adjustRightInd w:val="0"/>
              <w:snapToGrid w:val="0"/>
              <w:spacing w:line="360" w:lineRule="auto"/>
              <w:ind w:firstLine="480" w:firstLineChars="200"/>
              <w:rPr>
                <w:sz w:val="24"/>
                <w:szCs w:val="24"/>
              </w:rPr>
            </w:pPr>
            <w:r>
              <w:rPr>
                <w:rFonts w:hint="eastAsia" w:ascii="宋体" w:hAnsi="宋体"/>
                <w:sz w:val="24"/>
                <w:szCs w:val="24"/>
              </w:rPr>
              <w:t>⑤</w:t>
            </w:r>
            <w:r>
              <w:rPr>
                <w:sz w:val="24"/>
                <w:szCs w:val="24"/>
              </w:rPr>
              <w:t>项目建设中各类施工活动要严格限定在用地范围内，严禁随意占压、扰动和破坏周边耕地。</w:t>
            </w:r>
          </w:p>
        </w:tc>
      </w:tr>
      <w:tr w14:paraId="1B212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57" w:type="dxa"/>
            <w:tcMar>
              <w:left w:w="28" w:type="dxa"/>
              <w:right w:w="28" w:type="dxa"/>
            </w:tcMar>
            <w:vAlign w:val="center"/>
          </w:tcPr>
          <w:p w14:paraId="06C331EC">
            <w:pPr>
              <w:adjustRightInd w:val="0"/>
              <w:snapToGrid w:val="0"/>
              <w:jc w:val="center"/>
              <w:rPr>
                <w:bCs/>
                <w:spacing w:val="10"/>
                <w:sz w:val="24"/>
                <w:szCs w:val="24"/>
              </w:rPr>
            </w:pPr>
            <w:r>
              <w:rPr>
                <w:bCs/>
                <w:spacing w:val="10"/>
                <w:sz w:val="24"/>
                <w:szCs w:val="24"/>
              </w:rPr>
              <w:t>运营期生态环境保护措施</w:t>
            </w:r>
          </w:p>
        </w:tc>
        <w:tc>
          <w:tcPr>
            <w:tcW w:w="8653" w:type="dxa"/>
            <w:vAlign w:val="center"/>
          </w:tcPr>
          <w:p w14:paraId="095ED24D">
            <w:pPr>
              <w:spacing w:line="360" w:lineRule="auto"/>
              <w:outlineLvl w:val="2"/>
              <w:rPr>
                <w:b/>
                <w:bCs/>
                <w:sz w:val="24"/>
              </w:rPr>
            </w:pPr>
            <w:bookmarkStart w:id="91" w:name="_Toc3332"/>
            <w:bookmarkStart w:id="92" w:name="_Toc227764335"/>
            <w:bookmarkStart w:id="93" w:name="_Toc1531"/>
            <w:bookmarkStart w:id="94" w:name="_Toc8049"/>
            <w:bookmarkStart w:id="95" w:name="_Toc1944"/>
            <w:bookmarkStart w:id="96" w:name="_Toc7269"/>
            <w:bookmarkStart w:id="97" w:name="_Toc31506"/>
            <w:bookmarkStart w:id="98" w:name="_Toc2888"/>
            <w:r>
              <w:rPr>
                <w:b/>
                <w:bCs/>
                <w:sz w:val="24"/>
              </w:rPr>
              <w:t>一、污染影响控制措施</w:t>
            </w:r>
            <w:bookmarkEnd w:id="91"/>
            <w:bookmarkEnd w:id="92"/>
            <w:bookmarkEnd w:id="93"/>
            <w:bookmarkEnd w:id="94"/>
            <w:bookmarkEnd w:id="95"/>
            <w:bookmarkEnd w:id="96"/>
            <w:bookmarkEnd w:id="97"/>
            <w:bookmarkEnd w:id="98"/>
          </w:p>
          <w:p w14:paraId="15B683DB">
            <w:pPr>
              <w:spacing w:line="360" w:lineRule="auto"/>
              <w:ind w:firstLine="480" w:firstLineChars="200"/>
              <w:rPr>
                <w:sz w:val="24"/>
              </w:rPr>
            </w:pPr>
            <w:r>
              <w:rPr>
                <w:sz w:val="24"/>
              </w:rPr>
              <w:t>（一）噪声环境保护措施</w:t>
            </w:r>
          </w:p>
          <w:p w14:paraId="029B361D">
            <w:pPr>
              <w:spacing w:line="360" w:lineRule="auto"/>
              <w:ind w:firstLine="480" w:firstLineChars="200"/>
              <w:rPr>
                <w:sz w:val="24"/>
              </w:rPr>
            </w:pPr>
            <w:r>
              <w:rPr>
                <w:rFonts w:hint="eastAsia"/>
                <w:sz w:val="24"/>
              </w:rPr>
              <w:t>（1）加强日常管理和维护，使项目保持良好的运行状态。</w:t>
            </w:r>
          </w:p>
          <w:p w14:paraId="15ED1EA9">
            <w:pPr>
              <w:spacing w:line="360" w:lineRule="auto"/>
              <w:ind w:firstLine="480" w:firstLineChars="200"/>
              <w:rPr>
                <w:sz w:val="24"/>
              </w:rPr>
            </w:pPr>
            <w:r>
              <w:rPr>
                <w:rFonts w:hint="eastAsia"/>
                <w:sz w:val="24"/>
              </w:rPr>
              <w:t>（2）开展厂界噪声、线路声环境、保护目标声环境监测，确保达标。若监测不达标，须进行治理</w:t>
            </w:r>
            <w:r>
              <w:rPr>
                <w:sz w:val="24"/>
              </w:rPr>
              <w:t>。</w:t>
            </w:r>
          </w:p>
          <w:p w14:paraId="44BDF26A">
            <w:pPr>
              <w:spacing w:line="360" w:lineRule="auto"/>
              <w:ind w:left="420" w:leftChars="200"/>
              <w:rPr>
                <w:sz w:val="24"/>
              </w:rPr>
            </w:pPr>
            <w:r>
              <w:rPr>
                <w:sz w:val="24"/>
              </w:rPr>
              <w:t>（二）水环境保护措施</w:t>
            </w:r>
          </w:p>
          <w:p w14:paraId="4609AF1D">
            <w:pPr>
              <w:spacing w:line="360" w:lineRule="auto"/>
              <w:ind w:firstLine="480" w:firstLineChars="200"/>
              <w:rPr>
                <w:sz w:val="24"/>
              </w:rPr>
            </w:pPr>
            <w:r>
              <w:rPr>
                <w:rFonts w:hint="eastAsia"/>
                <w:sz w:val="24"/>
              </w:rPr>
              <w:t>对运行维护人员进行生态环境保护宣传和教育，对线路和塔基进行巡查和检修时，禁止发生环境破坏行为或随意丢弃废弃物，应全部收集带回居住地妥善处置，防止对沿线地表水环境产生影响</w:t>
            </w:r>
            <w:r>
              <w:rPr>
                <w:sz w:val="24"/>
              </w:rPr>
              <w:t>。</w:t>
            </w:r>
          </w:p>
          <w:p w14:paraId="7C8FC6DF">
            <w:pPr>
              <w:spacing w:line="360" w:lineRule="auto"/>
              <w:ind w:left="420" w:leftChars="200"/>
              <w:rPr>
                <w:sz w:val="24"/>
              </w:rPr>
            </w:pPr>
            <w:r>
              <w:rPr>
                <w:sz w:val="24"/>
              </w:rPr>
              <w:t>（三）大气环境保护措施</w:t>
            </w:r>
          </w:p>
          <w:p w14:paraId="32CD42F6">
            <w:pPr>
              <w:adjustRightInd w:val="0"/>
              <w:snapToGrid w:val="0"/>
              <w:spacing w:line="360" w:lineRule="auto"/>
              <w:ind w:firstLine="480" w:firstLineChars="200"/>
              <w:rPr>
                <w:sz w:val="24"/>
              </w:rPr>
            </w:pPr>
            <w:r>
              <w:rPr>
                <w:sz w:val="24"/>
              </w:rPr>
              <w:t>拟建项目输电线路在运营后无废气产生，不会对沿线大气环境产生影响。</w:t>
            </w:r>
          </w:p>
          <w:p w14:paraId="078EAB37">
            <w:pPr>
              <w:adjustRightInd w:val="0"/>
              <w:snapToGrid w:val="0"/>
              <w:spacing w:line="360" w:lineRule="auto"/>
              <w:ind w:firstLine="480" w:firstLineChars="200"/>
              <w:rPr>
                <w:sz w:val="24"/>
              </w:rPr>
            </w:pPr>
            <w:r>
              <w:rPr>
                <w:sz w:val="24"/>
              </w:rPr>
              <w:t>（四）固体废物环境保护措施</w:t>
            </w:r>
          </w:p>
          <w:p w14:paraId="673BB93B">
            <w:pPr>
              <w:adjustRightInd w:val="0"/>
              <w:snapToGrid w:val="0"/>
              <w:spacing w:line="360" w:lineRule="auto"/>
              <w:ind w:firstLine="480" w:firstLineChars="200"/>
            </w:pPr>
            <w:r>
              <w:rPr>
                <w:sz w:val="24"/>
              </w:rPr>
              <w:t>本项目输电线路运行期间，将定期进行设备维修和更换，会产生一定量的废旧设备、材料等，这些废弃物主要是废弃的导线、螺丝钉等铁质材料，集中收集后回收利用。</w:t>
            </w:r>
          </w:p>
          <w:p w14:paraId="793E0969">
            <w:pPr>
              <w:adjustRightInd w:val="0"/>
              <w:snapToGrid w:val="0"/>
              <w:spacing w:line="360" w:lineRule="auto"/>
              <w:ind w:firstLine="480" w:firstLineChars="200"/>
              <w:rPr>
                <w:sz w:val="24"/>
              </w:rPr>
            </w:pPr>
            <w:r>
              <w:rPr>
                <w:sz w:val="24"/>
              </w:rPr>
              <w:t>（五）电磁环境保护措施</w:t>
            </w:r>
          </w:p>
          <w:p w14:paraId="194ECB02">
            <w:pPr>
              <w:adjustRightInd w:val="0"/>
              <w:snapToGrid w:val="0"/>
              <w:spacing w:line="360" w:lineRule="auto"/>
              <w:ind w:firstLine="480" w:firstLineChars="200"/>
              <w:rPr>
                <w:sz w:val="24"/>
              </w:rPr>
            </w:pPr>
            <w:r>
              <w:rPr>
                <w:sz w:val="24"/>
              </w:rPr>
              <w:t>（1）</w:t>
            </w:r>
            <w:r>
              <w:rPr>
                <w:rFonts w:hint="eastAsia"/>
                <w:sz w:val="24"/>
              </w:rPr>
              <w:t>运行期对输电线路和塔基进行定期巡查和检修，保障正常运行，防止由于运行故障产生的电磁环境影响。</w:t>
            </w:r>
          </w:p>
          <w:p w14:paraId="7ECEBF20">
            <w:pPr>
              <w:adjustRightInd w:val="0"/>
              <w:snapToGrid w:val="0"/>
              <w:spacing w:line="360" w:lineRule="auto"/>
              <w:ind w:firstLine="480" w:firstLineChars="200"/>
              <w:rPr>
                <w:sz w:val="24"/>
              </w:rPr>
            </w:pPr>
            <w:r>
              <w:rPr>
                <w:rFonts w:hint="eastAsia"/>
                <w:sz w:val="24"/>
              </w:rPr>
              <w:t>（2）在电力设施重点保护区设立相应的警示标志，并做好警示宣传工作，在醒目位置设置安全警示图文标志，标明严禁攀登、线下高位操作应有防护措施等安全注意事项。</w:t>
            </w:r>
          </w:p>
          <w:p w14:paraId="2ECD39F0">
            <w:pPr>
              <w:adjustRightInd w:val="0"/>
              <w:snapToGrid w:val="0"/>
              <w:spacing w:line="360" w:lineRule="auto"/>
              <w:ind w:firstLine="480" w:firstLineChars="200"/>
              <w:rPr>
                <w:sz w:val="24"/>
              </w:rPr>
            </w:pPr>
            <w:r>
              <w:rPr>
                <w:rFonts w:hint="eastAsia"/>
                <w:sz w:val="24"/>
              </w:rPr>
              <w:t>（3）开展电磁环境监测，确保工频电场、工频磁场满足《电磁环境控制限值》（GB8702-2014）标准限值的要求；开展电磁环境影响的环境保护宣传工作，使公众科学认识工频电磁场的环境影响</w:t>
            </w:r>
            <w:r>
              <w:rPr>
                <w:sz w:val="24"/>
                <w:szCs w:val="22"/>
              </w:rPr>
              <w:t>。</w:t>
            </w:r>
          </w:p>
          <w:p w14:paraId="123471F3">
            <w:pPr>
              <w:adjustRightInd w:val="0"/>
              <w:snapToGrid w:val="0"/>
              <w:spacing w:line="360" w:lineRule="auto"/>
              <w:ind w:firstLine="480" w:firstLineChars="200"/>
              <w:rPr>
                <w:sz w:val="24"/>
              </w:rPr>
            </w:pPr>
            <w:r>
              <w:rPr>
                <w:sz w:val="24"/>
              </w:rPr>
              <w:t>（4）建设单位应在危险位置建立各种警告、防护标识，避免意外事故。对当地群众进行有关高压输电线路和设备方面的环境宣传工作，帮助群众建立环境保护意识和自我防护意识，减少在高压走廊内的停留时间。</w:t>
            </w:r>
          </w:p>
          <w:p w14:paraId="01042EE1">
            <w:pPr>
              <w:spacing w:line="360" w:lineRule="auto"/>
              <w:outlineLvl w:val="2"/>
              <w:rPr>
                <w:b/>
                <w:bCs/>
                <w:sz w:val="24"/>
              </w:rPr>
            </w:pPr>
            <w:bookmarkStart w:id="99" w:name="_Toc17744"/>
            <w:bookmarkStart w:id="100" w:name="_Toc18864"/>
            <w:bookmarkStart w:id="101" w:name="_Toc12193"/>
            <w:bookmarkStart w:id="102" w:name="_Toc11033"/>
            <w:bookmarkStart w:id="103" w:name="_Toc32398"/>
            <w:bookmarkStart w:id="104" w:name="_Toc19944"/>
            <w:bookmarkStart w:id="105" w:name="_Toc14996"/>
            <w:bookmarkStart w:id="106" w:name="_Toc227764336"/>
            <w:r>
              <w:rPr>
                <w:b/>
                <w:bCs/>
                <w:sz w:val="24"/>
              </w:rPr>
              <w:t>二、生态环境保护措施</w:t>
            </w:r>
            <w:bookmarkEnd w:id="99"/>
            <w:bookmarkEnd w:id="100"/>
            <w:bookmarkEnd w:id="101"/>
            <w:bookmarkEnd w:id="102"/>
            <w:bookmarkEnd w:id="103"/>
            <w:bookmarkEnd w:id="104"/>
            <w:bookmarkEnd w:id="105"/>
            <w:bookmarkEnd w:id="106"/>
          </w:p>
          <w:p w14:paraId="188718AD">
            <w:pPr>
              <w:spacing w:line="360" w:lineRule="auto"/>
              <w:ind w:firstLine="480" w:firstLineChars="200"/>
              <w:rPr>
                <w:sz w:val="24"/>
              </w:rPr>
            </w:pPr>
            <w:r>
              <w:rPr>
                <w:sz w:val="24"/>
              </w:rPr>
              <w:t>在施工结束后对建设用地周围开挖土地进行回填等生态恢复作业，</w:t>
            </w:r>
            <w:r>
              <w:rPr>
                <w:bCs/>
                <w:sz w:val="24"/>
              </w:rPr>
              <w:t>及时恢复临时占地使用功能，及时覆土绿化，绿化结束后，应定期进行抚育管理，合理安排施工程序，易造成水土流失的工程尽量避开雨季。施工结束后应尽快</w:t>
            </w:r>
            <w:r>
              <w:rPr>
                <w:rFonts w:hint="eastAsia"/>
                <w:bCs/>
                <w:sz w:val="24"/>
              </w:rPr>
              <w:t>做好</w:t>
            </w:r>
            <w:r>
              <w:rPr>
                <w:bCs/>
                <w:sz w:val="24"/>
              </w:rPr>
              <w:t>清理恢复工作。施工后采取人工植树种草的措施，加快植被的恢复进程。未利用料及临时弃渣</w:t>
            </w:r>
            <w:r>
              <w:rPr>
                <w:sz w:val="24"/>
              </w:rPr>
              <w:t>妥善堆存，周边设临时截排水、拦挡或土工布覆盖措施，防止水土流失。</w:t>
            </w:r>
          </w:p>
          <w:p w14:paraId="652E54C1">
            <w:pPr>
              <w:spacing w:line="360" w:lineRule="auto"/>
              <w:ind w:firstLine="480" w:firstLineChars="200"/>
              <w:jc w:val="left"/>
              <w:rPr>
                <w:sz w:val="24"/>
              </w:rPr>
            </w:pPr>
            <w:r>
              <w:rPr>
                <w:rFonts w:hint="eastAsia"/>
                <w:sz w:val="24"/>
              </w:rPr>
              <w:t>项目运行期对线路和塔基进行定期巡查和检修，应对运行维护人员进行生态环境保护宣传和教育，尤其是野生动植物保护相关知识的培训，提高环境保护意识，禁止维护人员引入外来物种，不对周边的动植物及生态环境进行破坏。</w:t>
            </w:r>
          </w:p>
          <w:p w14:paraId="11CA5B66">
            <w:pPr>
              <w:spacing w:line="360" w:lineRule="auto"/>
              <w:ind w:firstLine="480" w:firstLineChars="200"/>
              <w:jc w:val="left"/>
              <w:rPr>
                <w:bCs/>
                <w:spacing w:val="10"/>
              </w:rPr>
            </w:pPr>
            <w:r>
              <w:rPr>
                <w:sz w:val="24"/>
              </w:rPr>
              <w:t>采取相应的预防生态破坏措施和恢复生态手段，尤其是通过施工管理的保护和恢复，项目建设对生态环境影响很小，不会导致项目所在区域环境功能明显改变。</w:t>
            </w:r>
          </w:p>
        </w:tc>
      </w:tr>
      <w:tr w14:paraId="44902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71" w:hRule="atLeast"/>
          <w:jc w:val="center"/>
        </w:trPr>
        <w:tc>
          <w:tcPr>
            <w:tcW w:w="557" w:type="dxa"/>
            <w:vAlign w:val="center"/>
          </w:tcPr>
          <w:p w14:paraId="60D65EB5">
            <w:pPr>
              <w:adjustRightInd w:val="0"/>
              <w:snapToGrid w:val="0"/>
              <w:jc w:val="center"/>
              <w:rPr>
                <w:bCs/>
                <w:spacing w:val="10"/>
                <w:sz w:val="24"/>
                <w:szCs w:val="24"/>
              </w:rPr>
            </w:pPr>
            <w:r>
              <w:rPr>
                <w:bCs/>
                <w:sz w:val="24"/>
                <w:szCs w:val="24"/>
              </w:rPr>
              <w:t>其他</w:t>
            </w:r>
          </w:p>
        </w:tc>
        <w:tc>
          <w:tcPr>
            <w:tcW w:w="8653" w:type="dxa"/>
            <w:vAlign w:val="center"/>
          </w:tcPr>
          <w:p w14:paraId="55F464C0">
            <w:pPr>
              <w:snapToGrid w:val="0"/>
              <w:spacing w:line="360" w:lineRule="auto"/>
              <w:rPr>
                <w:b/>
                <w:bCs/>
                <w:sz w:val="24"/>
              </w:rPr>
            </w:pPr>
            <w:r>
              <w:rPr>
                <w:b/>
                <w:bCs/>
                <w:sz w:val="24"/>
              </w:rPr>
              <w:t>1、环境管理计划</w:t>
            </w:r>
          </w:p>
          <w:p w14:paraId="1BC9F816">
            <w:pPr>
              <w:widowControl/>
              <w:autoSpaceDE w:val="0"/>
              <w:autoSpaceDN w:val="0"/>
              <w:spacing w:line="360" w:lineRule="auto"/>
              <w:ind w:firstLine="480" w:firstLineChars="200"/>
              <w:rPr>
                <w:bCs/>
                <w:sz w:val="24"/>
              </w:rPr>
            </w:pPr>
            <w:r>
              <w:rPr>
                <w:bCs/>
                <w:sz w:val="24"/>
              </w:rPr>
              <w:t>（1）前期阶段</w:t>
            </w:r>
          </w:p>
          <w:p w14:paraId="2E3F31C5">
            <w:pPr>
              <w:widowControl/>
              <w:autoSpaceDE w:val="0"/>
              <w:autoSpaceDN w:val="0"/>
              <w:spacing w:line="360" w:lineRule="auto"/>
              <w:ind w:firstLine="480" w:firstLineChars="200"/>
              <w:rPr>
                <w:bCs/>
                <w:sz w:val="24"/>
              </w:rPr>
            </w:pPr>
            <w:r>
              <w:rPr>
                <w:bCs/>
                <w:sz w:val="24"/>
              </w:rPr>
              <w:t>前期工作中，项目建设单位应有专人负责工程的环境保护工作，主要负责项目建设期的环境保护管理工作，其主要职责为：</w:t>
            </w:r>
          </w:p>
          <w:p w14:paraId="49651ADF">
            <w:pPr>
              <w:widowControl/>
              <w:autoSpaceDE w:val="0"/>
              <w:autoSpaceDN w:val="0"/>
              <w:spacing w:line="360" w:lineRule="auto"/>
              <w:ind w:firstLine="480" w:firstLineChars="200"/>
              <w:rPr>
                <w:bCs/>
                <w:sz w:val="24"/>
              </w:rPr>
            </w:pPr>
            <w:r>
              <w:rPr>
                <w:bCs/>
                <w:sz w:val="24"/>
              </w:rPr>
              <w:t>①协助本项目的环境管理。</w:t>
            </w:r>
          </w:p>
          <w:p w14:paraId="46C4C1B7">
            <w:pPr>
              <w:widowControl/>
              <w:autoSpaceDE w:val="0"/>
              <w:autoSpaceDN w:val="0"/>
              <w:spacing w:line="360" w:lineRule="auto"/>
              <w:ind w:firstLine="480" w:firstLineChars="200"/>
              <w:rPr>
                <w:bCs/>
                <w:sz w:val="24"/>
              </w:rPr>
            </w:pPr>
            <w:r>
              <w:rPr>
                <w:bCs/>
                <w:sz w:val="24"/>
              </w:rPr>
              <w:t>②督促和落实环保工程设计与实施。</w:t>
            </w:r>
          </w:p>
          <w:p w14:paraId="0548681E">
            <w:pPr>
              <w:widowControl/>
              <w:autoSpaceDE w:val="0"/>
              <w:autoSpaceDN w:val="0"/>
              <w:spacing w:line="360" w:lineRule="auto"/>
              <w:ind w:firstLine="480" w:firstLineChars="200"/>
              <w:rPr>
                <w:bCs/>
                <w:sz w:val="24"/>
              </w:rPr>
            </w:pPr>
            <w:r>
              <w:rPr>
                <w:bCs/>
                <w:sz w:val="24"/>
              </w:rPr>
              <w:t>③在承包合同中落实环保条款，配合环保部门监理，提供施工中环保执行信息。</w:t>
            </w:r>
          </w:p>
          <w:p w14:paraId="45CF0A2F">
            <w:pPr>
              <w:widowControl/>
              <w:autoSpaceDE w:val="0"/>
              <w:autoSpaceDN w:val="0"/>
              <w:spacing w:line="360" w:lineRule="auto"/>
              <w:ind w:firstLine="480" w:firstLineChars="200"/>
              <w:rPr>
                <w:bCs/>
                <w:sz w:val="24"/>
              </w:rPr>
            </w:pPr>
            <w:r>
              <w:rPr>
                <w:bCs/>
                <w:sz w:val="24"/>
              </w:rPr>
              <w:t>④与环保监测单位签订环境监测委托合同，检查环境监测计划的实施，并将监测报告与执行情况上报建设单位。</w:t>
            </w:r>
          </w:p>
          <w:p w14:paraId="32C68B43">
            <w:pPr>
              <w:widowControl/>
              <w:autoSpaceDE w:val="0"/>
              <w:autoSpaceDN w:val="0"/>
              <w:spacing w:line="360" w:lineRule="auto"/>
              <w:ind w:firstLine="480" w:firstLineChars="200"/>
              <w:rPr>
                <w:bCs/>
                <w:sz w:val="24"/>
              </w:rPr>
            </w:pPr>
            <w:r>
              <w:rPr>
                <w:bCs/>
                <w:sz w:val="24"/>
              </w:rPr>
              <w:t>⑤负责受影响公众的环保投诉。</w:t>
            </w:r>
          </w:p>
          <w:p w14:paraId="05D9492F">
            <w:pPr>
              <w:widowControl/>
              <w:autoSpaceDE w:val="0"/>
              <w:autoSpaceDN w:val="0"/>
              <w:spacing w:line="360" w:lineRule="auto"/>
              <w:ind w:firstLine="480" w:firstLineChars="200"/>
              <w:rPr>
                <w:bCs/>
                <w:sz w:val="24"/>
              </w:rPr>
            </w:pPr>
            <w:r>
              <w:rPr>
                <w:bCs/>
                <w:sz w:val="24"/>
              </w:rPr>
              <w:t>⑥积极配合、支持地方环保主管部门的工作，并接受其监督与检查。</w:t>
            </w:r>
          </w:p>
          <w:p w14:paraId="7BD93A41">
            <w:pPr>
              <w:widowControl/>
              <w:autoSpaceDE w:val="0"/>
              <w:autoSpaceDN w:val="0"/>
              <w:spacing w:line="360" w:lineRule="auto"/>
              <w:ind w:firstLine="480" w:firstLineChars="200"/>
              <w:rPr>
                <w:bCs/>
                <w:sz w:val="24"/>
              </w:rPr>
            </w:pPr>
            <w:r>
              <w:rPr>
                <w:bCs/>
                <w:sz w:val="24"/>
              </w:rPr>
              <w:t>（2）施工期</w:t>
            </w:r>
          </w:p>
          <w:p w14:paraId="3D0A376C">
            <w:pPr>
              <w:widowControl/>
              <w:autoSpaceDE w:val="0"/>
              <w:autoSpaceDN w:val="0"/>
              <w:spacing w:line="360" w:lineRule="auto"/>
              <w:ind w:firstLine="480" w:firstLineChars="200"/>
              <w:rPr>
                <w:bCs/>
                <w:sz w:val="24"/>
              </w:rPr>
            </w:pPr>
            <w:r>
              <w:rPr>
                <w:rFonts w:hint="eastAsia"/>
                <w:bCs/>
                <w:sz w:val="24"/>
              </w:rPr>
              <w:t>鉴于建设期环境管理工作的重要性，同时根据国家的有关要求，本工程的施工将采取招投标制。施工招标中应对投标单位提出建设期间的环保要求，并应对监理单位提出环境保护人员资质要求。在施工设计文件中详细说明建设期应注意的环保问题，严格要求施工单位按设计文件施工，特别是按环保设计要求施工。环境监理人员对施工中的每一道工序都应严格检查是否满足环保要求，并不定期对施工点进行抽查形式的监督检查，建设期环境管理的职责和任务如下：</w:t>
            </w:r>
          </w:p>
          <w:p w14:paraId="4BFD0738">
            <w:pPr>
              <w:widowControl/>
              <w:autoSpaceDE w:val="0"/>
              <w:autoSpaceDN w:val="0"/>
              <w:spacing w:line="360" w:lineRule="auto"/>
              <w:ind w:firstLine="480" w:firstLineChars="200"/>
              <w:rPr>
                <w:bCs/>
                <w:sz w:val="24"/>
              </w:rPr>
            </w:pPr>
            <w:r>
              <w:rPr>
                <w:rFonts w:hint="eastAsia"/>
                <w:bCs/>
                <w:sz w:val="24"/>
              </w:rPr>
              <w:t>①贯彻执行国家、地方的各项环境保护方针、政策、法规和各项规章制度。</w:t>
            </w:r>
          </w:p>
          <w:p w14:paraId="450AD924">
            <w:pPr>
              <w:widowControl/>
              <w:autoSpaceDE w:val="0"/>
              <w:autoSpaceDN w:val="0"/>
              <w:spacing w:line="360" w:lineRule="auto"/>
              <w:ind w:firstLine="480" w:firstLineChars="200"/>
              <w:rPr>
                <w:bCs/>
                <w:sz w:val="24"/>
              </w:rPr>
            </w:pPr>
            <w:r>
              <w:rPr>
                <w:rFonts w:hint="eastAsia"/>
                <w:bCs/>
                <w:sz w:val="24"/>
              </w:rPr>
              <w:t>②制定本工程施工中的环境保护计划，负责工程施工过程中各项环境保护措施实施的日常管理。</w:t>
            </w:r>
          </w:p>
          <w:p w14:paraId="4C392633">
            <w:pPr>
              <w:widowControl/>
              <w:autoSpaceDE w:val="0"/>
              <w:autoSpaceDN w:val="0"/>
              <w:spacing w:line="360" w:lineRule="auto"/>
              <w:ind w:firstLine="480" w:firstLineChars="200"/>
              <w:rPr>
                <w:bCs/>
                <w:sz w:val="24"/>
              </w:rPr>
            </w:pPr>
            <w:r>
              <w:rPr>
                <w:rFonts w:hint="eastAsia"/>
                <w:bCs/>
                <w:sz w:val="24"/>
              </w:rPr>
              <w:t>③收集、整理、推广和实施工程建设中各项环境保护的先进工作经验和技术。</w:t>
            </w:r>
          </w:p>
          <w:p w14:paraId="477B507D">
            <w:pPr>
              <w:widowControl/>
              <w:autoSpaceDE w:val="0"/>
              <w:autoSpaceDN w:val="0"/>
              <w:spacing w:line="360" w:lineRule="auto"/>
              <w:ind w:firstLine="480" w:firstLineChars="200"/>
              <w:rPr>
                <w:bCs/>
                <w:sz w:val="24"/>
              </w:rPr>
            </w:pPr>
            <w:r>
              <w:rPr>
                <w:rFonts w:hint="eastAsia"/>
                <w:bCs/>
                <w:sz w:val="24"/>
              </w:rPr>
              <w:t>④组织和开展对施工人员进行施工活动中应遵循的环保法规、知识的培训，提高全体员工文明施工的认识。</w:t>
            </w:r>
          </w:p>
          <w:p w14:paraId="60CB9CB5">
            <w:pPr>
              <w:widowControl/>
              <w:autoSpaceDE w:val="0"/>
              <w:autoSpaceDN w:val="0"/>
              <w:spacing w:line="360" w:lineRule="auto"/>
              <w:ind w:firstLine="480" w:firstLineChars="200"/>
              <w:rPr>
                <w:bCs/>
                <w:sz w:val="24"/>
              </w:rPr>
            </w:pPr>
            <w:r>
              <w:rPr>
                <w:rFonts w:hint="eastAsia"/>
                <w:bCs/>
                <w:sz w:val="24"/>
              </w:rPr>
              <w:t>⑤在施工计划中应适当计划设备运输道路，以避免影响当地居民生活，施工中应考虑保护生态环境，合理组织施工。</w:t>
            </w:r>
          </w:p>
          <w:p w14:paraId="7E47A8A9">
            <w:pPr>
              <w:widowControl/>
              <w:autoSpaceDE w:val="0"/>
              <w:autoSpaceDN w:val="0"/>
              <w:spacing w:line="360" w:lineRule="auto"/>
              <w:ind w:firstLine="480" w:firstLineChars="200"/>
              <w:rPr>
                <w:bCs/>
                <w:sz w:val="24"/>
              </w:rPr>
            </w:pPr>
            <w:r>
              <w:rPr>
                <w:rFonts w:hint="eastAsia"/>
                <w:bCs/>
                <w:sz w:val="24"/>
              </w:rPr>
              <w:t>⑥做好施工中各种环境问题的收集、记录、建档和处理工作。</w:t>
            </w:r>
          </w:p>
          <w:p w14:paraId="318A9D29">
            <w:pPr>
              <w:widowControl/>
              <w:autoSpaceDE w:val="0"/>
              <w:autoSpaceDN w:val="0"/>
              <w:spacing w:line="360" w:lineRule="auto"/>
              <w:ind w:firstLine="480" w:firstLineChars="200"/>
              <w:rPr>
                <w:bCs/>
                <w:sz w:val="24"/>
              </w:rPr>
            </w:pPr>
            <w:r>
              <w:rPr>
                <w:rFonts w:hint="eastAsia"/>
                <w:bCs/>
                <w:sz w:val="24"/>
              </w:rPr>
              <w:t>⑦监督施工单位，使设计、施工过程的各项环境保护措施与主体工程同步实施。</w:t>
            </w:r>
          </w:p>
          <w:p w14:paraId="1E4B6DF5">
            <w:pPr>
              <w:widowControl/>
              <w:autoSpaceDE w:val="0"/>
              <w:autoSpaceDN w:val="0"/>
              <w:spacing w:line="360" w:lineRule="auto"/>
              <w:ind w:firstLine="480" w:firstLineChars="200"/>
              <w:rPr>
                <w:bCs/>
                <w:sz w:val="24"/>
              </w:rPr>
            </w:pPr>
            <w:r>
              <w:rPr>
                <w:bCs/>
                <w:sz w:val="24"/>
              </w:rPr>
              <w:t>（3）</w:t>
            </w:r>
            <w:r>
              <w:rPr>
                <w:rFonts w:hint="eastAsia"/>
                <w:bCs/>
                <w:sz w:val="24"/>
              </w:rPr>
              <w:t>运行</w:t>
            </w:r>
            <w:r>
              <w:rPr>
                <w:bCs/>
                <w:sz w:val="24"/>
              </w:rPr>
              <w:t>期</w:t>
            </w:r>
          </w:p>
          <w:p w14:paraId="5FD6D789">
            <w:pPr>
              <w:widowControl/>
              <w:autoSpaceDE w:val="0"/>
              <w:autoSpaceDN w:val="0"/>
              <w:spacing w:line="360" w:lineRule="auto"/>
              <w:ind w:firstLine="480" w:firstLineChars="200"/>
              <w:rPr>
                <w:bCs/>
                <w:sz w:val="24"/>
              </w:rPr>
            </w:pPr>
            <w:r>
              <w:rPr>
                <w:rFonts w:hint="eastAsia"/>
                <w:bCs/>
                <w:sz w:val="24"/>
              </w:rPr>
              <w:t>本工程在运行期宜使用原有环境管理部门。环保管理人员应在各自的岗位责任制中明确所负的环保责任。监督国家法规、条例的贯彻执行情况，制定和贯彻环保管理制度，监控本工程主要污染源，对各部门、操作岗位进行环境保护监督和考核。环境管理的职能为：</w:t>
            </w:r>
          </w:p>
          <w:p w14:paraId="50177A49">
            <w:pPr>
              <w:widowControl/>
              <w:autoSpaceDE w:val="0"/>
              <w:autoSpaceDN w:val="0"/>
              <w:spacing w:line="360" w:lineRule="auto"/>
              <w:ind w:firstLine="480" w:firstLineChars="200"/>
              <w:rPr>
                <w:bCs/>
                <w:sz w:val="24"/>
              </w:rPr>
            </w:pPr>
            <w:r>
              <w:rPr>
                <w:rFonts w:hint="eastAsia"/>
                <w:bCs/>
                <w:sz w:val="24"/>
              </w:rPr>
              <w:t>①制定和实施各项环境管理计划。</w:t>
            </w:r>
          </w:p>
          <w:p w14:paraId="2FBB225B">
            <w:pPr>
              <w:widowControl/>
              <w:autoSpaceDE w:val="0"/>
              <w:autoSpaceDN w:val="0"/>
              <w:spacing w:line="360" w:lineRule="auto"/>
              <w:ind w:firstLine="480" w:firstLineChars="200"/>
              <w:rPr>
                <w:bCs/>
                <w:sz w:val="24"/>
              </w:rPr>
            </w:pPr>
            <w:r>
              <w:rPr>
                <w:rFonts w:hint="eastAsia"/>
                <w:bCs/>
                <w:sz w:val="24"/>
              </w:rPr>
              <w:t>②建立工频电场、工频磁场、噪声监测、生态环境现状数据档案。</w:t>
            </w:r>
          </w:p>
          <w:p w14:paraId="3921BCC0">
            <w:pPr>
              <w:widowControl/>
              <w:autoSpaceDE w:val="0"/>
              <w:autoSpaceDN w:val="0"/>
              <w:spacing w:line="360" w:lineRule="auto"/>
              <w:ind w:firstLine="480" w:firstLineChars="200"/>
              <w:rPr>
                <w:bCs/>
                <w:sz w:val="24"/>
              </w:rPr>
            </w:pPr>
            <w:r>
              <w:rPr>
                <w:rFonts w:hint="eastAsia"/>
                <w:bCs/>
                <w:sz w:val="24"/>
              </w:rPr>
              <w:t>③掌握项目所在地周围的环境特征，做好记录、建档工作。</w:t>
            </w:r>
          </w:p>
          <w:p w14:paraId="5E52D45C">
            <w:pPr>
              <w:widowControl/>
              <w:autoSpaceDE w:val="0"/>
              <w:autoSpaceDN w:val="0"/>
              <w:spacing w:line="360" w:lineRule="auto"/>
              <w:ind w:firstLine="480" w:firstLineChars="200"/>
              <w:rPr>
                <w:bCs/>
                <w:sz w:val="24"/>
              </w:rPr>
            </w:pPr>
            <w:r>
              <w:rPr>
                <w:rFonts w:hint="eastAsia"/>
                <w:bCs/>
                <w:sz w:val="24"/>
              </w:rPr>
              <w:t>④检查污染防治设施运行情况，及时处理出现的问题，保证治理设施正常运行。</w:t>
            </w:r>
          </w:p>
          <w:p w14:paraId="2AA9B99F">
            <w:pPr>
              <w:widowControl/>
              <w:autoSpaceDE w:val="0"/>
              <w:autoSpaceDN w:val="0"/>
              <w:spacing w:line="360" w:lineRule="auto"/>
              <w:ind w:firstLine="480" w:firstLineChars="200"/>
              <w:rPr>
                <w:bCs/>
                <w:sz w:val="24"/>
              </w:rPr>
            </w:pPr>
            <w:r>
              <w:rPr>
                <w:rFonts w:hint="eastAsia"/>
                <w:bCs/>
                <w:sz w:val="24"/>
              </w:rPr>
              <w:t>⑤协调配合上级环保主管部门所进行的环境调查，生态调查等活动。</w:t>
            </w:r>
          </w:p>
          <w:p w14:paraId="4C42C754">
            <w:pPr>
              <w:widowControl/>
              <w:autoSpaceDE w:val="0"/>
              <w:autoSpaceDN w:val="0"/>
              <w:spacing w:line="360" w:lineRule="auto"/>
              <w:ind w:firstLine="480" w:firstLineChars="200"/>
              <w:rPr>
                <w:bCs/>
                <w:sz w:val="24"/>
              </w:rPr>
            </w:pPr>
            <w:r>
              <w:rPr>
                <w:rFonts w:hint="eastAsia"/>
                <w:bCs/>
                <w:sz w:val="24"/>
              </w:rPr>
              <w:t>⑥加强日常巡查工作，处理好与项目周边民房等声环境保护目标的关系。</w:t>
            </w:r>
          </w:p>
          <w:p w14:paraId="38E5AEB1">
            <w:pPr>
              <w:widowControl/>
              <w:autoSpaceDE w:val="0"/>
              <w:autoSpaceDN w:val="0"/>
              <w:spacing w:line="360" w:lineRule="auto"/>
              <w:ind w:firstLine="480" w:firstLineChars="200"/>
              <w:rPr>
                <w:bCs/>
                <w:sz w:val="24"/>
              </w:rPr>
            </w:pPr>
            <w:r>
              <w:rPr>
                <w:rFonts w:hint="eastAsia"/>
                <w:bCs/>
                <w:sz w:val="24"/>
              </w:rPr>
              <w:t>⑦加强宣传教育工作，减少误会及投诉等事件。</w:t>
            </w:r>
          </w:p>
          <w:p w14:paraId="2196A848">
            <w:pPr>
              <w:widowControl/>
              <w:autoSpaceDE w:val="0"/>
              <w:autoSpaceDN w:val="0"/>
              <w:spacing w:line="360" w:lineRule="auto"/>
              <w:ind w:firstLine="480" w:firstLineChars="200"/>
              <w:rPr>
                <w:bCs/>
                <w:sz w:val="24"/>
              </w:rPr>
            </w:pPr>
            <w:r>
              <w:rPr>
                <w:rFonts w:hint="eastAsia"/>
                <w:bCs/>
                <w:sz w:val="24"/>
              </w:rPr>
              <w:t>⑧制定环境保护管理制度，按规定时限，依法开展竣工环境保护自主验收工作。</w:t>
            </w:r>
          </w:p>
          <w:p w14:paraId="2E779BF4">
            <w:pPr>
              <w:snapToGrid w:val="0"/>
              <w:spacing w:line="360" w:lineRule="auto"/>
              <w:rPr>
                <w:b/>
                <w:bCs/>
                <w:sz w:val="24"/>
              </w:rPr>
            </w:pPr>
            <w:r>
              <w:rPr>
                <w:b/>
                <w:bCs/>
                <w:sz w:val="24"/>
              </w:rPr>
              <w:t>2、施工期环境监理情况</w:t>
            </w:r>
          </w:p>
          <w:p w14:paraId="3DA6B1D6">
            <w:pPr>
              <w:spacing w:line="360" w:lineRule="auto"/>
              <w:ind w:firstLine="480" w:firstLineChars="200"/>
              <w:rPr>
                <w:bCs/>
                <w:sz w:val="24"/>
              </w:rPr>
            </w:pPr>
            <w:r>
              <w:rPr>
                <w:bCs/>
                <w:sz w:val="24"/>
              </w:rPr>
              <w:t>按照工程建设管理要求，项目业主必须对每个建设工程委托有资质的施工监理机构。施工监理机构必须配备相应的环境监理工程师。其主要负责监理方的建筑工程活动及其他相关活动。本项目施工期间环境监理情况详见下表：</w:t>
            </w:r>
          </w:p>
          <w:p w14:paraId="3F01428C">
            <w:pPr>
              <w:autoSpaceDE w:val="0"/>
              <w:autoSpaceDN w:val="0"/>
              <w:adjustRightInd w:val="0"/>
              <w:jc w:val="center"/>
              <w:rPr>
                <w:rFonts w:eastAsia="黑体"/>
                <w:bCs/>
                <w:sz w:val="24"/>
              </w:rPr>
            </w:pPr>
            <w:r>
              <w:rPr>
                <w:rFonts w:eastAsia="黑体"/>
                <w:bCs/>
                <w:sz w:val="24"/>
              </w:rPr>
              <w:t>表5-1施工期环境监理情况一览表</w:t>
            </w:r>
          </w:p>
          <w:tbl>
            <w:tblPr>
              <w:tblStyle w:val="4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7105"/>
            </w:tblGrid>
            <w:tr w14:paraId="5ADC6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2E62CC9A">
                  <w:pPr>
                    <w:spacing w:line="340" w:lineRule="exact"/>
                    <w:jc w:val="center"/>
                    <w:rPr>
                      <w:bCs/>
                    </w:rPr>
                  </w:pPr>
                  <w:r>
                    <w:rPr>
                      <w:bCs/>
                    </w:rPr>
                    <w:t>监理内容</w:t>
                  </w:r>
                </w:p>
              </w:tc>
              <w:tc>
                <w:tcPr>
                  <w:tcW w:w="4221" w:type="pct"/>
                  <w:vAlign w:val="center"/>
                </w:tcPr>
                <w:p w14:paraId="1F4FFE53">
                  <w:pPr>
                    <w:spacing w:line="340" w:lineRule="exact"/>
                    <w:jc w:val="center"/>
                    <w:rPr>
                      <w:bCs/>
                    </w:rPr>
                  </w:pPr>
                  <w:r>
                    <w:rPr>
                      <w:bCs/>
                    </w:rPr>
                    <w:t>监理要求</w:t>
                  </w:r>
                </w:p>
              </w:tc>
            </w:tr>
            <w:tr w14:paraId="641B73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54C7576B">
                  <w:pPr>
                    <w:jc w:val="center"/>
                    <w:rPr>
                      <w:bCs/>
                    </w:rPr>
                  </w:pPr>
                  <w:r>
                    <w:rPr>
                      <w:bCs/>
                    </w:rPr>
                    <w:t>施工扬尘</w:t>
                  </w:r>
                </w:p>
              </w:tc>
              <w:tc>
                <w:tcPr>
                  <w:tcW w:w="4221" w:type="pct"/>
                  <w:vAlign w:val="center"/>
                </w:tcPr>
                <w:p w14:paraId="7E718580">
                  <w:pPr>
                    <w:rPr>
                      <w:bCs/>
                    </w:rPr>
                  </w:pPr>
                  <w:r>
                    <w:rPr>
                      <w:bCs/>
                    </w:rPr>
                    <w:t>施工过程中及时洒水抑尘；对需要回填的土方及石子、砂子等进行定期洒水或防尘布遮盖抑尘；对易产尘的材料，实行轻卸慢放；施工场地采取洒水降尘、临时覆盖等措施防尘。</w:t>
                  </w:r>
                </w:p>
              </w:tc>
            </w:tr>
            <w:tr w14:paraId="34347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0C24A38E">
                  <w:pPr>
                    <w:jc w:val="center"/>
                    <w:rPr>
                      <w:bCs/>
                    </w:rPr>
                  </w:pPr>
                  <w:r>
                    <w:rPr>
                      <w:bCs/>
                    </w:rPr>
                    <w:t>施工废水</w:t>
                  </w:r>
                </w:p>
              </w:tc>
              <w:tc>
                <w:tcPr>
                  <w:tcW w:w="4221" w:type="pct"/>
                  <w:vAlign w:val="center"/>
                </w:tcPr>
                <w:p w14:paraId="74A334FB">
                  <w:pPr>
                    <w:rPr>
                      <w:bCs/>
                    </w:rPr>
                  </w:pPr>
                  <w:r>
                    <w:rPr>
                      <w:bCs/>
                    </w:rPr>
                    <w:t>输电线路塔基施工废水设置沉沙池，经沉淀处理后中回用于施工、洗车或洒水降尘；施工场地四周布置排水沟及澄清池处理雨天地表径流，地表径流沉淀后排入周边地表水体。</w:t>
                  </w:r>
                </w:p>
              </w:tc>
            </w:tr>
            <w:tr w14:paraId="3D7BD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5C96CD3F">
                  <w:pPr>
                    <w:jc w:val="center"/>
                    <w:rPr>
                      <w:bCs/>
                    </w:rPr>
                  </w:pPr>
                  <w:r>
                    <w:rPr>
                      <w:bCs/>
                    </w:rPr>
                    <w:t>施工噪声</w:t>
                  </w:r>
                </w:p>
              </w:tc>
              <w:tc>
                <w:tcPr>
                  <w:tcW w:w="4221" w:type="pct"/>
                  <w:vAlign w:val="center"/>
                </w:tcPr>
                <w:p w14:paraId="204CCDB2">
                  <w:pPr>
                    <w:rPr>
                      <w:bCs/>
                    </w:rPr>
                  </w:pPr>
                  <w:r>
                    <w:rPr>
                      <w:bCs/>
                    </w:rPr>
                    <w:t>使用的主要机械设备为低噪声机械设备，同时在施工过程中施工单位应设专人对设备进行定期保养和维护，并负责对现场工作人员进行培训，严格按操作规范使用各类机械，合理安排施工时间，禁止夜间施工。</w:t>
                  </w:r>
                </w:p>
              </w:tc>
            </w:tr>
            <w:tr w14:paraId="178FD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52F58F5F">
                  <w:pPr>
                    <w:jc w:val="center"/>
                    <w:rPr>
                      <w:bCs/>
                    </w:rPr>
                  </w:pPr>
                  <w:r>
                    <w:rPr>
                      <w:bCs/>
                    </w:rPr>
                    <w:t>固体废弃物</w:t>
                  </w:r>
                </w:p>
              </w:tc>
              <w:tc>
                <w:tcPr>
                  <w:tcW w:w="4221" w:type="pct"/>
                  <w:vAlign w:val="center"/>
                </w:tcPr>
                <w:p w14:paraId="318A0934">
                  <w:pPr>
                    <w:rPr>
                      <w:bCs/>
                    </w:rPr>
                  </w:pPr>
                  <w:r>
                    <w:rPr>
                      <w:bCs/>
                    </w:rPr>
                    <w:t>输电线路施工人员生活垃圾</w:t>
                  </w:r>
                  <w:r>
                    <w:rPr>
                      <w:rFonts w:hint="eastAsia"/>
                      <w:bCs/>
                    </w:rPr>
                    <w:t>自行带回租住地</w:t>
                  </w:r>
                  <w:r>
                    <w:rPr>
                      <w:bCs/>
                    </w:rPr>
                    <w:t>处置。建筑垃圾中</w:t>
                  </w:r>
                  <w:r>
                    <w:rPr>
                      <w:rFonts w:hint="eastAsia"/>
                      <w:bCs/>
                    </w:rPr>
                    <w:t>混凝土</w:t>
                  </w:r>
                  <w:r>
                    <w:rPr>
                      <w:bCs/>
                    </w:rPr>
                    <w:t>、砂石、废砖块等不可回用的同填方一同回填，废弃导线、包装材料等可回收利用的进行回</w:t>
                  </w:r>
                  <w:r>
                    <w:rPr>
                      <w:rFonts w:hint="eastAsia"/>
                      <w:bCs/>
                    </w:rPr>
                    <w:t>收利</w:t>
                  </w:r>
                  <w:r>
                    <w:rPr>
                      <w:bCs/>
                    </w:rPr>
                    <w:t>用。</w:t>
                  </w:r>
                </w:p>
              </w:tc>
            </w:tr>
            <w:tr w14:paraId="56C77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03B682C3">
                  <w:pPr>
                    <w:jc w:val="center"/>
                    <w:rPr>
                      <w:bCs/>
                    </w:rPr>
                  </w:pPr>
                  <w:r>
                    <w:rPr>
                      <w:bCs/>
                    </w:rPr>
                    <w:t>施工期生态保护</w:t>
                  </w:r>
                </w:p>
              </w:tc>
              <w:tc>
                <w:tcPr>
                  <w:tcW w:w="4221" w:type="pct"/>
                  <w:vAlign w:val="center"/>
                </w:tcPr>
                <w:p w14:paraId="0BC319F5">
                  <w:pPr>
                    <w:rPr>
                      <w:bCs/>
                    </w:rPr>
                  </w:pPr>
                  <w:r>
                    <w:rPr>
                      <w:bCs/>
                    </w:rPr>
                    <w:t>加强施工管理，严禁超计划占地，严格控制施工活动在征地红线范围内。加强施工人员环境保护宣传培训，发放宣传手册，</w:t>
                  </w:r>
                  <w:r>
                    <w:rPr>
                      <w:rFonts w:hint="eastAsia"/>
                      <w:bCs/>
                    </w:rPr>
                    <w:t>竖立</w:t>
                  </w:r>
                  <w:r>
                    <w:rPr>
                      <w:bCs/>
                    </w:rPr>
                    <w:t>警示牌等。及时恢复临时占地使用功能，及时覆土绿化，绿化结束后，应定期进行抚育管理，合理安排施工程序，易造成水土流失的工程尽量避开雨季。施工结束后应尽快</w:t>
                  </w:r>
                  <w:r>
                    <w:rPr>
                      <w:rFonts w:hint="eastAsia"/>
                      <w:bCs/>
                    </w:rPr>
                    <w:t>做好</w:t>
                  </w:r>
                  <w:r>
                    <w:rPr>
                      <w:bCs/>
                    </w:rPr>
                    <w:t>清理恢复工作。施工后采取人工植树种草的措施，加快植被的恢复进程。未利用料及临时弃渣</w:t>
                  </w:r>
                  <w:r>
                    <w:t>妥善堆存，周边设临时截排水、拦挡或土工布覆盖措施，防止水土流失。强化施工管理，无施工道路区域采用索道运输施工材料，不得拓宽或开辟新的施工便道；架线施工时，展放导引绳的通道应规定只设一条，施工人员不得随意踩踏出多条通道。</w:t>
                  </w:r>
                </w:p>
              </w:tc>
            </w:tr>
            <w:tr w14:paraId="04065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8" w:type="pct"/>
                  <w:vAlign w:val="center"/>
                </w:tcPr>
                <w:p w14:paraId="3D642F83">
                  <w:pPr>
                    <w:jc w:val="center"/>
                    <w:rPr>
                      <w:bCs/>
                    </w:rPr>
                  </w:pPr>
                  <w:r>
                    <w:rPr>
                      <w:bCs/>
                    </w:rPr>
                    <w:t>其他</w:t>
                  </w:r>
                </w:p>
              </w:tc>
              <w:tc>
                <w:tcPr>
                  <w:tcW w:w="4221" w:type="pct"/>
                  <w:vAlign w:val="center"/>
                </w:tcPr>
                <w:p w14:paraId="477F91BA">
                  <w:pPr>
                    <w:rPr>
                      <w:bCs/>
                    </w:rPr>
                  </w:pPr>
                  <w:r>
                    <w:rPr>
                      <w:bCs/>
                    </w:rPr>
                    <w:t>材料堆场的选址符合环保要求；原材料及废渣运输车辆行驶的路线避开学校、居民区等环境敏感点；运输过程无泼洒。所需砂、石、渣料选择通过环保部门审批的料场提供；禁止向河流、渠道、水沟排放粪便、施工人员的生活污水，倾倒施工固体废弃物和生活垃圾及清洗工具等。</w:t>
                  </w:r>
                </w:p>
              </w:tc>
            </w:tr>
          </w:tbl>
          <w:p w14:paraId="034ECA6F">
            <w:pPr>
              <w:snapToGrid w:val="0"/>
              <w:spacing w:line="360" w:lineRule="auto"/>
              <w:rPr>
                <w:b/>
                <w:bCs/>
                <w:sz w:val="24"/>
              </w:rPr>
            </w:pPr>
            <w:r>
              <w:rPr>
                <w:b/>
                <w:bCs/>
                <w:sz w:val="24"/>
              </w:rPr>
              <w:t>3、环境监测计划</w:t>
            </w:r>
          </w:p>
          <w:p w14:paraId="00B8BCAD">
            <w:pPr>
              <w:pStyle w:val="236"/>
              <w:spacing w:line="360" w:lineRule="auto"/>
              <w:ind w:firstLine="480" w:firstLineChars="200"/>
              <w:rPr>
                <w:sz w:val="24"/>
              </w:rPr>
            </w:pPr>
            <w:r>
              <w:rPr>
                <w:sz w:val="24"/>
              </w:rPr>
              <w:t>本项目在项目竣工验收在正常运行工况下的工频电磁场的监测，按国家环境保护局编制的《辐射环境保护管理导则电磁辐射监测仪器和方法》的有关规定开展监测及分析工作，运营期监测计划一览表见表5-2。</w:t>
            </w:r>
          </w:p>
          <w:p w14:paraId="4A2ADCBE">
            <w:pPr>
              <w:pStyle w:val="236"/>
              <w:ind w:left="-63" w:leftChars="-30" w:right="-63" w:rightChars="-30"/>
              <w:jc w:val="center"/>
              <w:rPr>
                <w:rFonts w:eastAsia="黑体"/>
                <w:sz w:val="24"/>
              </w:rPr>
            </w:pPr>
            <w:r>
              <w:rPr>
                <w:rFonts w:eastAsia="黑体"/>
                <w:sz w:val="24"/>
              </w:rPr>
              <w:t>表5-2运营期监测计划一览表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688"/>
              <w:gridCol w:w="3300"/>
              <w:gridCol w:w="2878"/>
            </w:tblGrid>
            <w:tr w14:paraId="1B32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69632FB8">
                  <w:pPr>
                    <w:pStyle w:val="236"/>
                    <w:jc w:val="center"/>
                  </w:pPr>
                  <w:r>
                    <w:t>监测因子</w:t>
                  </w:r>
                </w:p>
              </w:tc>
              <w:tc>
                <w:tcPr>
                  <w:tcW w:w="3300" w:type="dxa"/>
                </w:tcPr>
                <w:p w14:paraId="1D2A969D">
                  <w:pPr>
                    <w:pStyle w:val="236"/>
                    <w:jc w:val="center"/>
                  </w:pPr>
                  <w:r>
                    <w:t>工频电场、工频磁场</w:t>
                  </w:r>
                </w:p>
              </w:tc>
              <w:tc>
                <w:tcPr>
                  <w:tcW w:w="2878" w:type="dxa"/>
                </w:tcPr>
                <w:p w14:paraId="05E0C6AD">
                  <w:pPr>
                    <w:pStyle w:val="236"/>
                    <w:jc w:val="center"/>
                  </w:pPr>
                  <w:r>
                    <w:t>噪声（等效连续A声级）</w:t>
                  </w:r>
                </w:p>
              </w:tc>
            </w:tr>
            <w:tr w14:paraId="7C54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56" w:type="dxa"/>
                  <w:vAlign w:val="center"/>
                </w:tcPr>
                <w:p w14:paraId="58AEB7E5">
                  <w:pPr>
                    <w:pStyle w:val="236"/>
                    <w:jc w:val="center"/>
                  </w:pPr>
                  <w:r>
                    <w:rPr>
                      <w:rFonts w:hint="eastAsia"/>
                    </w:rPr>
                    <w:t>监测点位</w:t>
                  </w:r>
                </w:p>
              </w:tc>
              <w:tc>
                <w:tcPr>
                  <w:tcW w:w="688" w:type="dxa"/>
                  <w:vAlign w:val="center"/>
                </w:tcPr>
                <w:p w14:paraId="41D1B5D7">
                  <w:pPr>
                    <w:pStyle w:val="236"/>
                    <w:jc w:val="center"/>
                  </w:pPr>
                  <w:r>
                    <w:t>输电线路</w:t>
                  </w:r>
                </w:p>
              </w:tc>
              <w:tc>
                <w:tcPr>
                  <w:tcW w:w="3300" w:type="dxa"/>
                  <w:vAlign w:val="center"/>
                </w:tcPr>
                <w:p w14:paraId="2539D74B">
                  <w:pPr>
                    <w:autoSpaceDE w:val="0"/>
                    <w:autoSpaceDN w:val="0"/>
                    <w:adjustRightInd w:val="0"/>
                    <w:jc w:val="left"/>
                  </w:pPr>
                  <w:r>
                    <w:t>①线路起点、终点各监测1个点位；</w:t>
                  </w:r>
                </w:p>
                <w:p w14:paraId="37051816">
                  <w:pPr>
                    <w:pStyle w:val="236"/>
                  </w:pPr>
                  <w:r>
                    <w:t>②线路断面监测：布置在线路导线距地高度最低处，线路中心的地面投影点为测试起点，垂直于线路方向进行，测点间距5m，测至背景值止；设1处断面进行监测。</w:t>
                  </w:r>
                </w:p>
                <w:p w14:paraId="5979D48A">
                  <w:pPr>
                    <w:pStyle w:val="236"/>
                  </w:pPr>
                  <w:r>
                    <w:t>③环境敏感目标：</w:t>
                  </w:r>
                  <w:r>
                    <w:rPr>
                      <w:lang w:bidi="ar"/>
                    </w:rPr>
                    <w:t>110kV输电线路两侧30m范围内居民保护目标处</w:t>
                  </w:r>
                </w:p>
              </w:tc>
              <w:tc>
                <w:tcPr>
                  <w:tcW w:w="2878" w:type="dxa"/>
                  <w:vAlign w:val="center"/>
                </w:tcPr>
                <w:p w14:paraId="31DB9617">
                  <w:pPr>
                    <w:autoSpaceDE w:val="0"/>
                    <w:autoSpaceDN w:val="0"/>
                    <w:adjustRightInd w:val="0"/>
                    <w:jc w:val="left"/>
                  </w:pPr>
                  <w:r>
                    <w:t>①线路起点、终点各监测1个点位；</w:t>
                  </w:r>
                </w:p>
                <w:p w14:paraId="5019AFAB">
                  <w:pPr>
                    <w:pStyle w:val="236"/>
                    <w:rPr>
                      <w:kern w:val="0"/>
                    </w:rPr>
                  </w:pPr>
                  <w:r>
                    <w:t>②线路噪声：电磁环境监测断面起点处（</w:t>
                  </w:r>
                  <w:r>
                    <w:rPr>
                      <w:kern w:val="0"/>
                    </w:rPr>
                    <w:t>线路中相导线下或线路走廊中心处</w:t>
                  </w:r>
                  <w:r>
                    <w:t>）</w:t>
                  </w:r>
                  <w:r>
                    <w:rPr>
                      <w:kern w:val="0"/>
                    </w:rPr>
                    <w:t>。</w:t>
                  </w:r>
                </w:p>
                <w:p w14:paraId="04751F9F">
                  <w:pPr>
                    <w:pStyle w:val="236"/>
                  </w:pPr>
                  <w:r>
                    <w:t>③环境敏感目标：110kV输电线路两侧30m范围</w:t>
                  </w:r>
                  <w:r>
                    <w:rPr>
                      <w:rFonts w:hint="eastAsia"/>
                    </w:rPr>
                    <w:t>左右</w:t>
                  </w:r>
                  <w:r>
                    <w:t>居民保护目标处（</w:t>
                  </w:r>
                  <w:r>
                    <w:rPr>
                      <w:rFonts w:hint="eastAsia"/>
                    </w:rPr>
                    <w:t>S204公路居民点1户</w:t>
                  </w:r>
                  <w:r>
                    <w:t>）。</w:t>
                  </w:r>
                </w:p>
                <w:p w14:paraId="1C4ACAD7">
                  <w:pPr>
                    <w:pStyle w:val="236"/>
                  </w:pPr>
                  <w:r>
                    <w:t>④30m以外若有新增居民，根据情况补充监测点</w:t>
                  </w:r>
                </w:p>
              </w:tc>
            </w:tr>
            <w:tr w14:paraId="1F0C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4A92AEE5">
                  <w:pPr>
                    <w:pStyle w:val="236"/>
                    <w:jc w:val="center"/>
                  </w:pPr>
                  <w:r>
                    <w:t>监测频率</w:t>
                  </w:r>
                </w:p>
              </w:tc>
              <w:tc>
                <w:tcPr>
                  <w:tcW w:w="3300" w:type="dxa"/>
                </w:tcPr>
                <w:p w14:paraId="784C587C">
                  <w:pPr>
                    <w:pStyle w:val="236"/>
                    <w:jc w:val="center"/>
                  </w:pPr>
                  <w:r>
                    <w:t>环境保护验收时监测1次，环保管理需要时进行监测。</w:t>
                  </w:r>
                </w:p>
              </w:tc>
              <w:tc>
                <w:tcPr>
                  <w:tcW w:w="2878" w:type="dxa"/>
                </w:tcPr>
                <w:p w14:paraId="23EB9053">
                  <w:pPr>
                    <w:pStyle w:val="236"/>
                    <w:jc w:val="center"/>
                  </w:pPr>
                  <w:r>
                    <w:t>环境保护验收时监测1次，环保管理需要时进行监测。</w:t>
                  </w:r>
                </w:p>
              </w:tc>
            </w:tr>
            <w:tr w14:paraId="7409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3D15A9A4">
                  <w:pPr>
                    <w:pStyle w:val="236"/>
                    <w:jc w:val="center"/>
                  </w:pPr>
                  <w:r>
                    <w:t>监测要求</w:t>
                  </w:r>
                </w:p>
              </w:tc>
              <w:tc>
                <w:tcPr>
                  <w:tcW w:w="3300" w:type="dxa"/>
                  <w:vAlign w:val="center"/>
                </w:tcPr>
                <w:p w14:paraId="0319D62B">
                  <w:pPr>
                    <w:pStyle w:val="236"/>
                  </w:pPr>
                  <w:r>
                    <w:t>按照竣工验收的要求进行监测。</w:t>
                  </w:r>
                </w:p>
              </w:tc>
              <w:tc>
                <w:tcPr>
                  <w:tcW w:w="2878" w:type="dxa"/>
                  <w:vAlign w:val="center"/>
                </w:tcPr>
                <w:p w14:paraId="1139DE14">
                  <w:pPr>
                    <w:pStyle w:val="236"/>
                  </w:pPr>
                  <w:r>
                    <w:t>按照竣工验收的要求进行监测。</w:t>
                  </w:r>
                </w:p>
              </w:tc>
            </w:tr>
            <w:tr w14:paraId="44F1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292AB0D5">
                  <w:pPr>
                    <w:pStyle w:val="236"/>
                    <w:jc w:val="center"/>
                  </w:pPr>
                  <w:r>
                    <w:t>监测依据</w:t>
                  </w:r>
                </w:p>
              </w:tc>
              <w:tc>
                <w:tcPr>
                  <w:tcW w:w="6178" w:type="dxa"/>
                  <w:gridSpan w:val="2"/>
                  <w:vAlign w:val="center"/>
                </w:tcPr>
                <w:p w14:paraId="65CEADDF">
                  <w:pPr>
                    <w:pStyle w:val="236"/>
                  </w:pPr>
                  <w:r>
                    <w:t>《建设项目竣工环境保护验收技术规范输变电》（HJ705-2020）</w:t>
                  </w:r>
                </w:p>
              </w:tc>
            </w:tr>
            <w:tr w14:paraId="17BE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76BEA48E">
                  <w:pPr>
                    <w:pStyle w:val="236"/>
                    <w:jc w:val="center"/>
                  </w:pPr>
                  <w:r>
                    <w:t>监测方法</w:t>
                  </w:r>
                </w:p>
              </w:tc>
              <w:tc>
                <w:tcPr>
                  <w:tcW w:w="3300" w:type="dxa"/>
                  <w:vAlign w:val="center"/>
                </w:tcPr>
                <w:p w14:paraId="0ABBD1D4">
                  <w:pPr>
                    <w:pStyle w:val="236"/>
                  </w:pPr>
                  <w:r>
                    <w:t>根据《交流输变电工程电磁环境监测方法（试行）》（HJ681-2013）</w:t>
                  </w:r>
                </w:p>
              </w:tc>
              <w:tc>
                <w:tcPr>
                  <w:tcW w:w="2878" w:type="dxa"/>
                  <w:vAlign w:val="center"/>
                </w:tcPr>
                <w:p w14:paraId="626D5767">
                  <w:pPr>
                    <w:pStyle w:val="236"/>
                  </w:pPr>
                  <w:r>
                    <w:t>《环境噪声监测技术规范城市声环境常规监测》（HJ 640-2012）。</w:t>
                  </w:r>
                </w:p>
              </w:tc>
            </w:tr>
            <w:tr w14:paraId="21B6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344" w:type="dxa"/>
                  <w:gridSpan w:val="2"/>
                  <w:vAlign w:val="center"/>
                </w:tcPr>
                <w:p w14:paraId="14F37F5D">
                  <w:pPr>
                    <w:pStyle w:val="236"/>
                    <w:jc w:val="center"/>
                  </w:pPr>
                  <w:r>
                    <w:t>执行标准</w:t>
                  </w:r>
                </w:p>
              </w:tc>
              <w:tc>
                <w:tcPr>
                  <w:tcW w:w="3300" w:type="dxa"/>
                  <w:vAlign w:val="center"/>
                </w:tcPr>
                <w:p w14:paraId="5C69C0F1">
                  <w:pPr>
                    <w:pStyle w:val="236"/>
                  </w:pPr>
                  <w:r>
                    <w:t>《电磁环境控制限值》（GB8702-2014）的工频电场强度≤4000V/m，磁感应强度≤100μT限值要求。</w:t>
                  </w:r>
                </w:p>
              </w:tc>
              <w:tc>
                <w:tcPr>
                  <w:tcW w:w="2878" w:type="dxa"/>
                  <w:vAlign w:val="center"/>
                </w:tcPr>
                <w:p w14:paraId="601BB331">
                  <w:pPr>
                    <w:pStyle w:val="236"/>
                  </w:pPr>
                  <w:r>
                    <w:rPr>
                      <w:rFonts w:hint="eastAsia"/>
                      <w:spacing w:val="-8"/>
                    </w:rPr>
                    <w:t>《工业企业厂界环境噪声排放标准》（GB12348-2008）</w:t>
                  </w:r>
                  <w:r>
                    <w:rPr>
                      <w:spacing w:val="-8"/>
                    </w:rPr>
                    <w:t>1</w:t>
                  </w:r>
                  <w:r>
                    <w:rPr>
                      <w:rFonts w:hint="eastAsia"/>
                      <w:spacing w:val="-8"/>
                    </w:rPr>
                    <w:t>类标准、</w:t>
                  </w:r>
                  <w:r>
                    <w:rPr>
                      <w:spacing w:val="-8"/>
                    </w:rPr>
                    <w:t>《声环境质量标准》（GB3096-2008）1类标准。</w:t>
                  </w:r>
                </w:p>
              </w:tc>
            </w:tr>
            <w:tr w14:paraId="02A6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1344" w:type="dxa"/>
                  <w:gridSpan w:val="2"/>
                  <w:vAlign w:val="center"/>
                </w:tcPr>
                <w:p w14:paraId="6A313483">
                  <w:pPr>
                    <w:pStyle w:val="236"/>
                    <w:jc w:val="center"/>
                  </w:pPr>
                  <w:r>
                    <w:t>应记录的工作条件</w:t>
                  </w:r>
                </w:p>
              </w:tc>
              <w:tc>
                <w:tcPr>
                  <w:tcW w:w="6178" w:type="dxa"/>
                  <w:gridSpan w:val="2"/>
                </w:tcPr>
                <w:p w14:paraId="7CB86532">
                  <w:pPr>
                    <w:pStyle w:val="236"/>
                  </w:pPr>
                  <w:r>
                    <w:t>（1）时间、天气状况、温度和湿度</w:t>
                  </w:r>
                </w:p>
                <w:p w14:paraId="490F26AD">
                  <w:pPr>
                    <w:pStyle w:val="236"/>
                  </w:pPr>
                  <w:r>
                    <w:t>（2）设备名称、型号、工作状况</w:t>
                  </w:r>
                </w:p>
                <w:p w14:paraId="654B89E5">
                  <w:pPr>
                    <w:pStyle w:val="236"/>
                  </w:pPr>
                  <w:r>
                    <w:t>（3）监测依据</w:t>
                  </w:r>
                </w:p>
                <w:p w14:paraId="1DF6083C">
                  <w:pPr>
                    <w:pStyle w:val="236"/>
                  </w:pPr>
                  <w:r>
                    <w:t>（4）监测时变电站和输电线路工况情况，如监测时主变、输电线路电流、电压大小等</w:t>
                  </w:r>
                </w:p>
              </w:tc>
            </w:tr>
          </w:tbl>
          <w:p w14:paraId="417BC70D">
            <w:pPr>
              <w:pStyle w:val="236"/>
              <w:spacing w:line="360" w:lineRule="auto"/>
              <w:ind w:left="-63" w:leftChars="-30" w:right="-63" w:rightChars="-30" w:firstLine="420" w:firstLineChars="200"/>
            </w:pPr>
            <w:r>
              <w:t>注：E－工频电场强度、B－工频磁感应强度。</w:t>
            </w:r>
          </w:p>
        </w:tc>
      </w:tr>
      <w:tr w14:paraId="791E3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9" w:hRule="atLeast"/>
          <w:jc w:val="center"/>
        </w:trPr>
        <w:tc>
          <w:tcPr>
            <w:tcW w:w="557" w:type="dxa"/>
            <w:vAlign w:val="center"/>
          </w:tcPr>
          <w:p w14:paraId="69320678">
            <w:pPr>
              <w:adjustRightInd w:val="0"/>
              <w:snapToGrid w:val="0"/>
              <w:jc w:val="center"/>
              <w:rPr>
                <w:bCs/>
                <w:spacing w:val="10"/>
              </w:rPr>
            </w:pPr>
            <w:r>
              <w:rPr>
                <w:bCs/>
              </w:rPr>
              <w:t>环保投资</w:t>
            </w:r>
          </w:p>
        </w:tc>
        <w:tc>
          <w:tcPr>
            <w:tcW w:w="8653" w:type="dxa"/>
          </w:tcPr>
          <w:p w14:paraId="3F2F2886">
            <w:pPr>
              <w:spacing w:before="120" w:beforeLines="50" w:line="360" w:lineRule="auto"/>
              <w:ind w:firstLine="480" w:firstLineChars="200"/>
              <w:jc w:val="left"/>
              <w:rPr>
                <w:sz w:val="24"/>
              </w:rPr>
            </w:pPr>
            <w:r>
              <w:rPr>
                <w:sz w:val="24"/>
              </w:rPr>
              <w:t>项目总投资为969万元，环保投资费用38.5万元，占总投资的3.97%。投资详见表5-3。</w:t>
            </w:r>
          </w:p>
          <w:p w14:paraId="0F326AFC">
            <w:pPr>
              <w:autoSpaceDE w:val="0"/>
              <w:autoSpaceDN w:val="0"/>
              <w:adjustRightInd w:val="0"/>
              <w:jc w:val="center"/>
              <w:rPr>
                <w:rFonts w:eastAsia="黑体"/>
                <w:bCs/>
                <w:sz w:val="24"/>
              </w:rPr>
            </w:pPr>
            <w:r>
              <w:rPr>
                <w:rFonts w:eastAsia="黑体"/>
                <w:bCs/>
                <w:sz w:val="24"/>
              </w:rPr>
              <w:t>表5-3  环境保护投资一览表  单位：万元</w:t>
            </w:r>
          </w:p>
          <w:tbl>
            <w:tblPr>
              <w:tblStyle w:val="45"/>
              <w:tblW w:w="7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1"/>
              <w:gridCol w:w="1496"/>
              <w:gridCol w:w="2991"/>
              <w:gridCol w:w="942"/>
              <w:gridCol w:w="1459"/>
            </w:tblGrid>
            <w:tr w14:paraId="6F1C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 w:type="dxa"/>
                  <w:shd w:val="clear" w:color="auto" w:fill="auto"/>
                  <w:vAlign w:val="center"/>
                </w:tcPr>
                <w:p w14:paraId="64EE333B">
                  <w:pPr>
                    <w:widowControl/>
                    <w:jc w:val="center"/>
                    <w:rPr>
                      <w:color w:val="000000"/>
                      <w:kern w:val="0"/>
                      <w:sz w:val="22"/>
                      <w:szCs w:val="22"/>
                    </w:rPr>
                  </w:pPr>
                  <w:r>
                    <w:rPr>
                      <w:color w:val="000000"/>
                      <w:kern w:val="0"/>
                      <w:sz w:val="22"/>
                      <w:szCs w:val="22"/>
                    </w:rPr>
                    <w:t>序号</w:t>
                  </w:r>
                </w:p>
              </w:tc>
              <w:tc>
                <w:tcPr>
                  <w:tcW w:w="1496" w:type="dxa"/>
                  <w:shd w:val="clear" w:color="auto" w:fill="auto"/>
                  <w:vAlign w:val="center"/>
                </w:tcPr>
                <w:p w14:paraId="21304FA7">
                  <w:pPr>
                    <w:widowControl/>
                    <w:jc w:val="center"/>
                    <w:rPr>
                      <w:color w:val="000000"/>
                      <w:kern w:val="0"/>
                      <w:sz w:val="22"/>
                      <w:szCs w:val="22"/>
                    </w:rPr>
                  </w:pPr>
                  <w:r>
                    <w:rPr>
                      <w:color w:val="000000"/>
                      <w:kern w:val="0"/>
                      <w:sz w:val="22"/>
                      <w:szCs w:val="22"/>
                    </w:rPr>
                    <w:t>项目</w:t>
                  </w:r>
                </w:p>
              </w:tc>
              <w:tc>
                <w:tcPr>
                  <w:tcW w:w="2991" w:type="dxa"/>
                  <w:shd w:val="clear" w:color="auto" w:fill="auto"/>
                  <w:vAlign w:val="center"/>
                </w:tcPr>
                <w:p w14:paraId="556C7EC0">
                  <w:pPr>
                    <w:widowControl/>
                    <w:jc w:val="center"/>
                    <w:rPr>
                      <w:color w:val="000000"/>
                      <w:kern w:val="0"/>
                      <w:sz w:val="22"/>
                      <w:szCs w:val="22"/>
                    </w:rPr>
                  </w:pPr>
                  <w:r>
                    <w:rPr>
                      <w:color w:val="000000"/>
                      <w:kern w:val="0"/>
                      <w:sz w:val="22"/>
                      <w:szCs w:val="22"/>
                    </w:rPr>
                    <w:t>内容</w:t>
                  </w:r>
                </w:p>
              </w:tc>
              <w:tc>
                <w:tcPr>
                  <w:tcW w:w="942" w:type="dxa"/>
                </w:tcPr>
                <w:p w14:paraId="1B4A8471">
                  <w:pPr>
                    <w:widowControl/>
                    <w:jc w:val="center"/>
                    <w:rPr>
                      <w:color w:val="000000"/>
                      <w:kern w:val="0"/>
                      <w:sz w:val="22"/>
                      <w:szCs w:val="22"/>
                    </w:rPr>
                  </w:pPr>
                  <w:r>
                    <w:rPr>
                      <w:color w:val="000000"/>
                      <w:kern w:val="0"/>
                      <w:sz w:val="22"/>
                      <w:szCs w:val="22"/>
                    </w:rPr>
                    <w:t>投资</w:t>
                  </w:r>
                </w:p>
              </w:tc>
              <w:tc>
                <w:tcPr>
                  <w:tcW w:w="1459" w:type="dxa"/>
                  <w:shd w:val="clear" w:color="auto" w:fill="auto"/>
                  <w:vAlign w:val="center"/>
                </w:tcPr>
                <w:p w14:paraId="56C8C43B">
                  <w:pPr>
                    <w:widowControl/>
                    <w:jc w:val="center"/>
                    <w:rPr>
                      <w:color w:val="000000"/>
                      <w:kern w:val="0"/>
                      <w:sz w:val="22"/>
                      <w:szCs w:val="22"/>
                    </w:rPr>
                  </w:pPr>
                  <w:r>
                    <w:rPr>
                      <w:color w:val="000000"/>
                      <w:kern w:val="0"/>
                      <w:sz w:val="22"/>
                      <w:szCs w:val="22"/>
                    </w:rPr>
                    <w:t>备注</w:t>
                  </w:r>
                </w:p>
              </w:tc>
            </w:tr>
            <w:tr w14:paraId="740F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 w:type="dxa"/>
                  <w:shd w:val="clear" w:color="auto" w:fill="auto"/>
                  <w:vAlign w:val="center"/>
                </w:tcPr>
                <w:p w14:paraId="4289009E">
                  <w:pPr>
                    <w:widowControl/>
                    <w:jc w:val="center"/>
                    <w:rPr>
                      <w:color w:val="000000"/>
                      <w:kern w:val="0"/>
                      <w:sz w:val="22"/>
                      <w:szCs w:val="22"/>
                    </w:rPr>
                  </w:pPr>
                  <w:r>
                    <w:rPr>
                      <w:color w:val="000000"/>
                      <w:kern w:val="0"/>
                      <w:sz w:val="22"/>
                      <w:szCs w:val="22"/>
                    </w:rPr>
                    <w:t>一、</w:t>
                  </w:r>
                </w:p>
              </w:tc>
              <w:tc>
                <w:tcPr>
                  <w:tcW w:w="4487" w:type="dxa"/>
                  <w:gridSpan w:val="2"/>
                  <w:shd w:val="clear" w:color="auto" w:fill="auto"/>
                  <w:vAlign w:val="center"/>
                </w:tcPr>
                <w:p w14:paraId="1CE9976D">
                  <w:pPr>
                    <w:widowControl/>
                    <w:jc w:val="center"/>
                    <w:rPr>
                      <w:color w:val="000000"/>
                      <w:kern w:val="0"/>
                      <w:sz w:val="22"/>
                      <w:szCs w:val="22"/>
                    </w:rPr>
                  </w:pPr>
                  <w:r>
                    <w:rPr>
                      <w:color w:val="000000"/>
                      <w:kern w:val="0"/>
                      <w:sz w:val="22"/>
                      <w:szCs w:val="22"/>
                    </w:rPr>
                    <w:t>输电线路环境保护措施费</w:t>
                  </w:r>
                </w:p>
              </w:tc>
              <w:tc>
                <w:tcPr>
                  <w:tcW w:w="942" w:type="dxa"/>
                </w:tcPr>
                <w:p w14:paraId="4A75ED3A">
                  <w:pPr>
                    <w:widowControl/>
                    <w:jc w:val="center"/>
                    <w:rPr>
                      <w:color w:val="000000"/>
                      <w:kern w:val="0"/>
                      <w:sz w:val="22"/>
                      <w:szCs w:val="22"/>
                    </w:rPr>
                  </w:pPr>
                  <w:r>
                    <w:rPr>
                      <w:rFonts w:hint="eastAsia"/>
                      <w:color w:val="000000"/>
                      <w:kern w:val="0"/>
                      <w:sz w:val="22"/>
                      <w:szCs w:val="22"/>
                    </w:rPr>
                    <w:t>3</w:t>
                  </w:r>
                  <w:r>
                    <w:rPr>
                      <w:color w:val="000000"/>
                      <w:kern w:val="0"/>
                      <w:sz w:val="22"/>
                      <w:szCs w:val="22"/>
                    </w:rPr>
                    <w:t>5</w:t>
                  </w:r>
                </w:p>
              </w:tc>
              <w:tc>
                <w:tcPr>
                  <w:tcW w:w="1459" w:type="dxa"/>
                  <w:shd w:val="clear" w:color="auto" w:fill="auto"/>
                  <w:vAlign w:val="center"/>
                </w:tcPr>
                <w:p w14:paraId="14F41D28">
                  <w:pPr>
                    <w:widowControl/>
                    <w:jc w:val="center"/>
                    <w:rPr>
                      <w:color w:val="000000"/>
                      <w:kern w:val="0"/>
                      <w:sz w:val="22"/>
                      <w:szCs w:val="22"/>
                    </w:rPr>
                  </w:pPr>
                </w:p>
              </w:tc>
            </w:tr>
            <w:tr w14:paraId="0EE8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 w:type="dxa"/>
                  <w:shd w:val="clear" w:color="auto" w:fill="auto"/>
                  <w:vAlign w:val="center"/>
                </w:tcPr>
                <w:p w14:paraId="063AFA35">
                  <w:pPr>
                    <w:widowControl/>
                    <w:jc w:val="center"/>
                    <w:rPr>
                      <w:color w:val="000000"/>
                      <w:kern w:val="0"/>
                      <w:sz w:val="22"/>
                      <w:szCs w:val="22"/>
                    </w:rPr>
                  </w:pPr>
                  <w:r>
                    <w:rPr>
                      <w:color w:val="000000"/>
                      <w:kern w:val="0"/>
                      <w:sz w:val="22"/>
                      <w:szCs w:val="22"/>
                    </w:rPr>
                    <w:t>1</w:t>
                  </w:r>
                </w:p>
              </w:tc>
              <w:tc>
                <w:tcPr>
                  <w:tcW w:w="1496" w:type="dxa"/>
                  <w:shd w:val="clear" w:color="auto" w:fill="auto"/>
                  <w:vAlign w:val="center"/>
                </w:tcPr>
                <w:p w14:paraId="1F9D6859">
                  <w:pPr>
                    <w:widowControl/>
                    <w:jc w:val="center"/>
                    <w:rPr>
                      <w:color w:val="000000"/>
                      <w:kern w:val="0"/>
                      <w:sz w:val="22"/>
                      <w:szCs w:val="22"/>
                    </w:rPr>
                  </w:pPr>
                  <w:r>
                    <w:rPr>
                      <w:color w:val="000000"/>
                      <w:kern w:val="0"/>
                      <w:sz w:val="22"/>
                      <w:szCs w:val="22"/>
                    </w:rPr>
                    <w:t>废水处理</w:t>
                  </w:r>
                </w:p>
              </w:tc>
              <w:tc>
                <w:tcPr>
                  <w:tcW w:w="2991" w:type="dxa"/>
                  <w:shd w:val="clear" w:color="auto" w:fill="auto"/>
                  <w:vAlign w:val="center"/>
                </w:tcPr>
                <w:p w14:paraId="74B8CE6F">
                  <w:pPr>
                    <w:widowControl/>
                    <w:jc w:val="center"/>
                    <w:rPr>
                      <w:color w:val="000000"/>
                      <w:kern w:val="0"/>
                      <w:sz w:val="22"/>
                      <w:szCs w:val="22"/>
                    </w:rPr>
                  </w:pPr>
                  <w:r>
                    <w:rPr>
                      <w:color w:val="000000"/>
                      <w:kern w:val="0"/>
                      <w:sz w:val="22"/>
                      <w:szCs w:val="22"/>
                    </w:rPr>
                    <w:t>简易沉沙池</w:t>
                  </w:r>
                </w:p>
              </w:tc>
              <w:tc>
                <w:tcPr>
                  <w:tcW w:w="942" w:type="dxa"/>
                  <w:shd w:val="clear" w:color="auto" w:fill="auto"/>
                  <w:vAlign w:val="center"/>
                </w:tcPr>
                <w:p w14:paraId="00E91279">
                  <w:pPr>
                    <w:widowControl/>
                    <w:jc w:val="center"/>
                    <w:rPr>
                      <w:color w:val="000000"/>
                      <w:kern w:val="0"/>
                      <w:sz w:val="22"/>
                      <w:szCs w:val="22"/>
                    </w:rPr>
                  </w:pPr>
                  <w:r>
                    <w:rPr>
                      <w:rFonts w:eastAsia="等线"/>
                      <w:color w:val="000000"/>
                      <w:sz w:val="22"/>
                      <w:szCs w:val="22"/>
                    </w:rPr>
                    <w:t>16</w:t>
                  </w:r>
                </w:p>
              </w:tc>
              <w:tc>
                <w:tcPr>
                  <w:tcW w:w="1459" w:type="dxa"/>
                  <w:shd w:val="clear" w:color="auto" w:fill="auto"/>
                  <w:vAlign w:val="center"/>
                </w:tcPr>
                <w:p w14:paraId="1FE77E66">
                  <w:pPr>
                    <w:widowControl/>
                    <w:jc w:val="center"/>
                    <w:rPr>
                      <w:color w:val="000000"/>
                      <w:kern w:val="0"/>
                      <w:sz w:val="22"/>
                      <w:szCs w:val="22"/>
                    </w:rPr>
                  </w:pPr>
                </w:p>
              </w:tc>
            </w:tr>
            <w:tr w14:paraId="5796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 w:type="dxa"/>
                  <w:shd w:val="clear" w:color="auto" w:fill="auto"/>
                  <w:vAlign w:val="center"/>
                </w:tcPr>
                <w:p w14:paraId="15054FDA">
                  <w:pPr>
                    <w:widowControl/>
                    <w:jc w:val="center"/>
                    <w:rPr>
                      <w:color w:val="000000"/>
                      <w:kern w:val="0"/>
                      <w:sz w:val="22"/>
                      <w:szCs w:val="22"/>
                    </w:rPr>
                  </w:pPr>
                  <w:r>
                    <w:rPr>
                      <w:color w:val="000000"/>
                      <w:kern w:val="0"/>
                      <w:sz w:val="22"/>
                      <w:szCs w:val="22"/>
                    </w:rPr>
                    <w:t>2</w:t>
                  </w:r>
                </w:p>
              </w:tc>
              <w:tc>
                <w:tcPr>
                  <w:tcW w:w="1496" w:type="dxa"/>
                  <w:shd w:val="clear" w:color="auto" w:fill="auto"/>
                  <w:vAlign w:val="center"/>
                </w:tcPr>
                <w:p w14:paraId="07D52CF3">
                  <w:pPr>
                    <w:widowControl/>
                    <w:jc w:val="center"/>
                    <w:rPr>
                      <w:color w:val="000000"/>
                      <w:kern w:val="0"/>
                      <w:sz w:val="22"/>
                      <w:szCs w:val="22"/>
                    </w:rPr>
                  </w:pPr>
                  <w:r>
                    <w:rPr>
                      <w:color w:val="000000"/>
                      <w:kern w:val="0"/>
                      <w:sz w:val="22"/>
                      <w:szCs w:val="22"/>
                    </w:rPr>
                    <w:t>扬尘防治</w:t>
                  </w:r>
                </w:p>
              </w:tc>
              <w:tc>
                <w:tcPr>
                  <w:tcW w:w="2991" w:type="dxa"/>
                  <w:shd w:val="clear" w:color="auto" w:fill="auto"/>
                  <w:vAlign w:val="center"/>
                </w:tcPr>
                <w:p w14:paraId="182A1616">
                  <w:pPr>
                    <w:widowControl/>
                    <w:jc w:val="center"/>
                    <w:rPr>
                      <w:color w:val="000000"/>
                      <w:kern w:val="0"/>
                      <w:sz w:val="22"/>
                      <w:szCs w:val="22"/>
                    </w:rPr>
                  </w:pPr>
                  <w:r>
                    <w:rPr>
                      <w:color w:val="000000"/>
                      <w:kern w:val="0"/>
                      <w:sz w:val="22"/>
                      <w:szCs w:val="22"/>
                    </w:rPr>
                    <w:t>施工物料采用篷布覆盖、遮挡</w:t>
                  </w:r>
                </w:p>
              </w:tc>
              <w:tc>
                <w:tcPr>
                  <w:tcW w:w="942" w:type="dxa"/>
                  <w:shd w:val="clear" w:color="auto" w:fill="auto"/>
                  <w:vAlign w:val="center"/>
                </w:tcPr>
                <w:p w14:paraId="3E830AA8">
                  <w:pPr>
                    <w:widowControl/>
                    <w:jc w:val="center"/>
                    <w:rPr>
                      <w:color w:val="000000"/>
                      <w:kern w:val="0"/>
                      <w:sz w:val="22"/>
                      <w:szCs w:val="22"/>
                    </w:rPr>
                  </w:pPr>
                  <w:r>
                    <w:rPr>
                      <w:rFonts w:eastAsia="等线"/>
                      <w:color w:val="000000"/>
                      <w:sz w:val="22"/>
                      <w:szCs w:val="22"/>
                    </w:rPr>
                    <w:t>5</w:t>
                  </w:r>
                </w:p>
              </w:tc>
              <w:tc>
                <w:tcPr>
                  <w:tcW w:w="1459" w:type="dxa"/>
                  <w:shd w:val="clear" w:color="auto" w:fill="auto"/>
                  <w:vAlign w:val="center"/>
                </w:tcPr>
                <w:p w14:paraId="446AFDC4">
                  <w:pPr>
                    <w:widowControl/>
                    <w:jc w:val="center"/>
                    <w:rPr>
                      <w:color w:val="000000"/>
                      <w:kern w:val="0"/>
                      <w:sz w:val="22"/>
                      <w:szCs w:val="22"/>
                    </w:rPr>
                  </w:pPr>
                </w:p>
              </w:tc>
            </w:tr>
            <w:tr w14:paraId="01F0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011" w:type="dxa"/>
                  <w:shd w:val="clear" w:color="auto" w:fill="auto"/>
                  <w:vAlign w:val="center"/>
                </w:tcPr>
                <w:p w14:paraId="36E6C32F">
                  <w:pPr>
                    <w:widowControl/>
                    <w:jc w:val="center"/>
                    <w:rPr>
                      <w:color w:val="000000"/>
                      <w:kern w:val="0"/>
                      <w:sz w:val="22"/>
                      <w:szCs w:val="22"/>
                    </w:rPr>
                  </w:pPr>
                  <w:r>
                    <w:rPr>
                      <w:color w:val="000000"/>
                      <w:kern w:val="0"/>
                      <w:sz w:val="22"/>
                      <w:szCs w:val="22"/>
                    </w:rPr>
                    <w:t>3</w:t>
                  </w:r>
                </w:p>
              </w:tc>
              <w:tc>
                <w:tcPr>
                  <w:tcW w:w="1496" w:type="dxa"/>
                  <w:shd w:val="clear" w:color="auto" w:fill="auto"/>
                  <w:vAlign w:val="center"/>
                </w:tcPr>
                <w:p w14:paraId="4DDABA44">
                  <w:pPr>
                    <w:widowControl/>
                    <w:jc w:val="center"/>
                    <w:rPr>
                      <w:color w:val="000000"/>
                      <w:kern w:val="0"/>
                      <w:sz w:val="22"/>
                      <w:szCs w:val="22"/>
                    </w:rPr>
                  </w:pPr>
                  <w:r>
                    <w:rPr>
                      <w:color w:val="000000"/>
                      <w:kern w:val="0"/>
                      <w:sz w:val="22"/>
                      <w:szCs w:val="22"/>
                    </w:rPr>
                    <w:t>固废处理</w:t>
                  </w:r>
                </w:p>
              </w:tc>
              <w:tc>
                <w:tcPr>
                  <w:tcW w:w="2991" w:type="dxa"/>
                  <w:shd w:val="clear" w:color="auto" w:fill="auto"/>
                  <w:vAlign w:val="center"/>
                </w:tcPr>
                <w:p w14:paraId="5B289486">
                  <w:pPr>
                    <w:widowControl/>
                    <w:jc w:val="center"/>
                    <w:rPr>
                      <w:color w:val="000000"/>
                      <w:kern w:val="0"/>
                      <w:sz w:val="22"/>
                      <w:szCs w:val="22"/>
                    </w:rPr>
                  </w:pPr>
                  <w:r>
                    <w:rPr>
                      <w:color w:val="000000"/>
                      <w:kern w:val="0"/>
                      <w:sz w:val="22"/>
                      <w:szCs w:val="22"/>
                    </w:rPr>
                    <w:t>施工期生活垃圾收运</w:t>
                  </w:r>
                </w:p>
              </w:tc>
              <w:tc>
                <w:tcPr>
                  <w:tcW w:w="942" w:type="dxa"/>
                  <w:shd w:val="clear" w:color="auto" w:fill="auto"/>
                  <w:vAlign w:val="center"/>
                </w:tcPr>
                <w:p w14:paraId="63F26E22">
                  <w:pPr>
                    <w:widowControl/>
                    <w:jc w:val="center"/>
                    <w:rPr>
                      <w:color w:val="000000"/>
                      <w:kern w:val="0"/>
                      <w:sz w:val="22"/>
                      <w:szCs w:val="22"/>
                    </w:rPr>
                  </w:pPr>
                  <w:r>
                    <w:rPr>
                      <w:rFonts w:eastAsia="等线"/>
                      <w:color w:val="000000"/>
                      <w:sz w:val="22"/>
                      <w:szCs w:val="22"/>
                    </w:rPr>
                    <w:t>2</w:t>
                  </w:r>
                </w:p>
              </w:tc>
              <w:tc>
                <w:tcPr>
                  <w:tcW w:w="1459" w:type="dxa"/>
                  <w:shd w:val="clear" w:color="auto" w:fill="auto"/>
                  <w:vAlign w:val="center"/>
                </w:tcPr>
                <w:p w14:paraId="4F90D2B5">
                  <w:pPr>
                    <w:widowControl/>
                    <w:jc w:val="center"/>
                    <w:rPr>
                      <w:color w:val="000000"/>
                      <w:kern w:val="0"/>
                      <w:sz w:val="22"/>
                      <w:szCs w:val="22"/>
                    </w:rPr>
                  </w:pPr>
                </w:p>
              </w:tc>
            </w:tr>
            <w:tr w14:paraId="5AC4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1" w:type="dxa"/>
                  <w:shd w:val="clear" w:color="auto" w:fill="auto"/>
                  <w:vAlign w:val="center"/>
                </w:tcPr>
                <w:p w14:paraId="7D1E04B1">
                  <w:pPr>
                    <w:widowControl/>
                    <w:jc w:val="center"/>
                    <w:rPr>
                      <w:color w:val="000000"/>
                      <w:kern w:val="0"/>
                      <w:sz w:val="22"/>
                      <w:szCs w:val="22"/>
                    </w:rPr>
                  </w:pPr>
                  <w:r>
                    <w:rPr>
                      <w:color w:val="000000"/>
                      <w:kern w:val="0"/>
                      <w:sz w:val="22"/>
                      <w:szCs w:val="22"/>
                    </w:rPr>
                    <w:t>4</w:t>
                  </w:r>
                </w:p>
              </w:tc>
              <w:tc>
                <w:tcPr>
                  <w:tcW w:w="1496" w:type="dxa"/>
                  <w:shd w:val="clear" w:color="auto" w:fill="auto"/>
                  <w:vAlign w:val="center"/>
                </w:tcPr>
                <w:p w14:paraId="03A6FEB5">
                  <w:pPr>
                    <w:widowControl/>
                    <w:jc w:val="center"/>
                    <w:rPr>
                      <w:color w:val="000000"/>
                      <w:kern w:val="0"/>
                      <w:sz w:val="22"/>
                      <w:szCs w:val="22"/>
                    </w:rPr>
                  </w:pPr>
                  <w:r>
                    <w:rPr>
                      <w:color w:val="000000"/>
                      <w:kern w:val="0"/>
                      <w:sz w:val="22"/>
                      <w:szCs w:val="22"/>
                    </w:rPr>
                    <w:t>水土流失防治</w:t>
                  </w:r>
                </w:p>
              </w:tc>
              <w:tc>
                <w:tcPr>
                  <w:tcW w:w="2991" w:type="dxa"/>
                  <w:shd w:val="clear" w:color="auto" w:fill="auto"/>
                  <w:vAlign w:val="center"/>
                </w:tcPr>
                <w:p w14:paraId="3886084C">
                  <w:pPr>
                    <w:widowControl/>
                    <w:jc w:val="center"/>
                    <w:rPr>
                      <w:color w:val="000000"/>
                      <w:kern w:val="0"/>
                      <w:sz w:val="22"/>
                      <w:szCs w:val="22"/>
                    </w:rPr>
                  </w:pPr>
                  <w:r>
                    <w:rPr>
                      <w:color w:val="000000"/>
                      <w:kern w:val="0"/>
                      <w:sz w:val="22"/>
                      <w:szCs w:val="22"/>
                    </w:rPr>
                    <w:t>陡坡塔基、施工场地设置的浆砌石挡土墙、护坡、排水沟。</w:t>
                  </w:r>
                </w:p>
              </w:tc>
              <w:tc>
                <w:tcPr>
                  <w:tcW w:w="942" w:type="dxa"/>
                  <w:shd w:val="clear" w:color="auto" w:fill="auto"/>
                  <w:vAlign w:val="center"/>
                </w:tcPr>
                <w:p w14:paraId="2227650F">
                  <w:pPr>
                    <w:widowControl/>
                    <w:jc w:val="center"/>
                    <w:rPr>
                      <w:color w:val="000000"/>
                      <w:kern w:val="0"/>
                      <w:sz w:val="22"/>
                      <w:szCs w:val="22"/>
                    </w:rPr>
                  </w:pPr>
                  <w:r>
                    <w:rPr>
                      <w:rFonts w:eastAsia="等线"/>
                      <w:color w:val="000000"/>
                      <w:sz w:val="22"/>
                      <w:szCs w:val="22"/>
                    </w:rPr>
                    <w:t>0</w:t>
                  </w:r>
                </w:p>
              </w:tc>
              <w:tc>
                <w:tcPr>
                  <w:tcW w:w="1459" w:type="dxa"/>
                  <w:shd w:val="clear" w:color="auto" w:fill="auto"/>
                  <w:vAlign w:val="center"/>
                </w:tcPr>
                <w:p w14:paraId="579A6FE8">
                  <w:pPr>
                    <w:widowControl/>
                    <w:jc w:val="center"/>
                    <w:rPr>
                      <w:color w:val="000000"/>
                      <w:kern w:val="0"/>
                      <w:sz w:val="22"/>
                      <w:szCs w:val="22"/>
                    </w:rPr>
                  </w:pPr>
                  <w:r>
                    <w:rPr>
                      <w:color w:val="000000"/>
                      <w:kern w:val="0"/>
                      <w:sz w:val="22"/>
                      <w:szCs w:val="22"/>
                    </w:rPr>
                    <w:t>计入水土保持工程费</w:t>
                  </w:r>
                </w:p>
              </w:tc>
            </w:tr>
            <w:tr w14:paraId="6352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1" w:type="dxa"/>
                  <w:shd w:val="clear" w:color="auto" w:fill="auto"/>
                  <w:vAlign w:val="center"/>
                </w:tcPr>
                <w:p w14:paraId="2CD78379">
                  <w:pPr>
                    <w:widowControl/>
                    <w:jc w:val="center"/>
                    <w:rPr>
                      <w:color w:val="000000"/>
                      <w:kern w:val="0"/>
                      <w:sz w:val="22"/>
                      <w:szCs w:val="22"/>
                    </w:rPr>
                  </w:pPr>
                  <w:r>
                    <w:rPr>
                      <w:color w:val="000000"/>
                      <w:kern w:val="0"/>
                      <w:sz w:val="22"/>
                      <w:szCs w:val="22"/>
                    </w:rPr>
                    <w:t>5</w:t>
                  </w:r>
                </w:p>
              </w:tc>
              <w:tc>
                <w:tcPr>
                  <w:tcW w:w="1496" w:type="dxa"/>
                  <w:shd w:val="clear" w:color="auto" w:fill="auto"/>
                  <w:vAlign w:val="center"/>
                </w:tcPr>
                <w:p w14:paraId="62DB93C5">
                  <w:pPr>
                    <w:widowControl/>
                    <w:jc w:val="center"/>
                    <w:rPr>
                      <w:color w:val="000000"/>
                      <w:kern w:val="0"/>
                      <w:sz w:val="22"/>
                      <w:szCs w:val="22"/>
                    </w:rPr>
                  </w:pPr>
                  <w:r>
                    <w:rPr>
                      <w:color w:val="000000"/>
                      <w:kern w:val="0"/>
                      <w:sz w:val="22"/>
                      <w:szCs w:val="22"/>
                    </w:rPr>
                    <w:t>电磁环境防护</w:t>
                  </w:r>
                </w:p>
              </w:tc>
              <w:tc>
                <w:tcPr>
                  <w:tcW w:w="2991" w:type="dxa"/>
                  <w:shd w:val="clear" w:color="auto" w:fill="auto"/>
                  <w:vAlign w:val="center"/>
                </w:tcPr>
                <w:p w14:paraId="1CC0CC1A">
                  <w:pPr>
                    <w:widowControl/>
                    <w:jc w:val="center"/>
                    <w:rPr>
                      <w:color w:val="000000"/>
                      <w:kern w:val="0"/>
                      <w:sz w:val="22"/>
                      <w:szCs w:val="22"/>
                    </w:rPr>
                  </w:pPr>
                  <w:r>
                    <w:rPr>
                      <w:color w:val="000000"/>
                      <w:kern w:val="0"/>
                      <w:sz w:val="22"/>
                      <w:szCs w:val="22"/>
                    </w:rPr>
                    <w:t>塔基安全警示牌、电力设施保护标识牌</w:t>
                  </w:r>
                </w:p>
              </w:tc>
              <w:tc>
                <w:tcPr>
                  <w:tcW w:w="942" w:type="dxa"/>
                  <w:shd w:val="clear" w:color="auto" w:fill="auto"/>
                  <w:vAlign w:val="center"/>
                </w:tcPr>
                <w:p w14:paraId="6CEC2005">
                  <w:pPr>
                    <w:widowControl/>
                    <w:jc w:val="center"/>
                    <w:rPr>
                      <w:color w:val="000000"/>
                      <w:kern w:val="0"/>
                      <w:sz w:val="22"/>
                      <w:szCs w:val="22"/>
                    </w:rPr>
                  </w:pPr>
                  <w:r>
                    <w:rPr>
                      <w:rFonts w:eastAsia="等线"/>
                      <w:color w:val="000000"/>
                      <w:sz w:val="22"/>
                      <w:szCs w:val="22"/>
                    </w:rPr>
                    <w:t>4</w:t>
                  </w:r>
                </w:p>
              </w:tc>
              <w:tc>
                <w:tcPr>
                  <w:tcW w:w="1459" w:type="dxa"/>
                  <w:shd w:val="clear" w:color="auto" w:fill="auto"/>
                  <w:vAlign w:val="center"/>
                </w:tcPr>
                <w:p w14:paraId="082A8C39">
                  <w:pPr>
                    <w:widowControl/>
                    <w:jc w:val="center"/>
                    <w:rPr>
                      <w:color w:val="000000"/>
                      <w:kern w:val="0"/>
                      <w:sz w:val="22"/>
                      <w:szCs w:val="22"/>
                    </w:rPr>
                  </w:pPr>
                </w:p>
              </w:tc>
            </w:tr>
            <w:tr w14:paraId="4FC5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1" w:type="dxa"/>
                  <w:shd w:val="clear" w:color="auto" w:fill="auto"/>
                  <w:vAlign w:val="center"/>
                </w:tcPr>
                <w:p w14:paraId="624A11A5">
                  <w:pPr>
                    <w:widowControl/>
                    <w:jc w:val="center"/>
                    <w:rPr>
                      <w:color w:val="000000"/>
                      <w:kern w:val="0"/>
                      <w:sz w:val="22"/>
                      <w:szCs w:val="22"/>
                    </w:rPr>
                  </w:pPr>
                  <w:r>
                    <w:rPr>
                      <w:color w:val="000000"/>
                      <w:kern w:val="0"/>
                      <w:sz w:val="22"/>
                      <w:szCs w:val="22"/>
                    </w:rPr>
                    <w:t>6</w:t>
                  </w:r>
                </w:p>
              </w:tc>
              <w:tc>
                <w:tcPr>
                  <w:tcW w:w="1496" w:type="dxa"/>
                  <w:shd w:val="clear" w:color="auto" w:fill="auto"/>
                  <w:vAlign w:val="center"/>
                </w:tcPr>
                <w:p w14:paraId="4E93E02D">
                  <w:pPr>
                    <w:widowControl/>
                    <w:jc w:val="center"/>
                    <w:rPr>
                      <w:color w:val="000000"/>
                      <w:kern w:val="0"/>
                      <w:sz w:val="22"/>
                      <w:szCs w:val="22"/>
                    </w:rPr>
                  </w:pPr>
                  <w:r>
                    <w:rPr>
                      <w:color w:val="000000"/>
                      <w:kern w:val="0"/>
                      <w:sz w:val="22"/>
                      <w:szCs w:val="22"/>
                    </w:rPr>
                    <w:t>噪声治理</w:t>
                  </w:r>
                </w:p>
              </w:tc>
              <w:tc>
                <w:tcPr>
                  <w:tcW w:w="2991" w:type="dxa"/>
                  <w:shd w:val="clear" w:color="auto" w:fill="auto"/>
                  <w:vAlign w:val="center"/>
                </w:tcPr>
                <w:p w14:paraId="1A0BF425">
                  <w:pPr>
                    <w:widowControl/>
                    <w:jc w:val="center"/>
                    <w:rPr>
                      <w:color w:val="000000"/>
                      <w:kern w:val="0"/>
                      <w:sz w:val="22"/>
                      <w:szCs w:val="22"/>
                    </w:rPr>
                  </w:pPr>
                  <w:r>
                    <w:rPr>
                      <w:color w:val="000000"/>
                      <w:kern w:val="0"/>
                      <w:sz w:val="22"/>
                      <w:szCs w:val="22"/>
                    </w:rPr>
                    <w:t>必要时噪声治理措施</w:t>
                  </w:r>
                </w:p>
              </w:tc>
              <w:tc>
                <w:tcPr>
                  <w:tcW w:w="942" w:type="dxa"/>
                  <w:shd w:val="clear" w:color="auto" w:fill="auto"/>
                  <w:vAlign w:val="center"/>
                </w:tcPr>
                <w:p w14:paraId="3188FD76">
                  <w:pPr>
                    <w:widowControl/>
                    <w:jc w:val="center"/>
                    <w:rPr>
                      <w:color w:val="000000"/>
                      <w:kern w:val="0"/>
                      <w:sz w:val="22"/>
                      <w:szCs w:val="22"/>
                    </w:rPr>
                  </w:pPr>
                  <w:r>
                    <w:rPr>
                      <w:rFonts w:eastAsia="等线"/>
                      <w:color w:val="000000"/>
                      <w:sz w:val="22"/>
                      <w:szCs w:val="22"/>
                    </w:rPr>
                    <w:t>3</w:t>
                  </w:r>
                </w:p>
              </w:tc>
              <w:tc>
                <w:tcPr>
                  <w:tcW w:w="1459" w:type="dxa"/>
                  <w:shd w:val="clear" w:color="auto" w:fill="auto"/>
                  <w:vAlign w:val="center"/>
                </w:tcPr>
                <w:p w14:paraId="786B8476">
                  <w:pPr>
                    <w:widowControl/>
                    <w:jc w:val="center"/>
                    <w:rPr>
                      <w:color w:val="000000"/>
                      <w:kern w:val="0"/>
                      <w:sz w:val="22"/>
                      <w:szCs w:val="22"/>
                    </w:rPr>
                  </w:pPr>
                </w:p>
              </w:tc>
            </w:tr>
            <w:tr w14:paraId="066B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1" w:type="dxa"/>
                  <w:shd w:val="clear" w:color="auto" w:fill="auto"/>
                  <w:vAlign w:val="center"/>
                </w:tcPr>
                <w:p w14:paraId="6D07D01B">
                  <w:pPr>
                    <w:widowControl/>
                    <w:jc w:val="center"/>
                    <w:rPr>
                      <w:color w:val="000000"/>
                      <w:kern w:val="0"/>
                      <w:sz w:val="22"/>
                      <w:szCs w:val="22"/>
                    </w:rPr>
                  </w:pPr>
                  <w:r>
                    <w:rPr>
                      <w:color w:val="000000"/>
                      <w:kern w:val="0"/>
                      <w:sz w:val="22"/>
                      <w:szCs w:val="22"/>
                    </w:rPr>
                    <w:t>7</w:t>
                  </w:r>
                </w:p>
              </w:tc>
              <w:tc>
                <w:tcPr>
                  <w:tcW w:w="1496" w:type="dxa"/>
                  <w:shd w:val="clear" w:color="auto" w:fill="auto"/>
                  <w:vAlign w:val="center"/>
                </w:tcPr>
                <w:p w14:paraId="5FC79C3C">
                  <w:pPr>
                    <w:widowControl/>
                    <w:jc w:val="center"/>
                    <w:rPr>
                      <w:color w:val="000000"/>
                      <w:kern w:val="0"/>
                      <w:sz w:val="22"/>
                      <w:szCs w:val="22"/>
                    </w:rPr>
                  </w:pPr>
                  <w:r>
                    <w:rPr>
                      <w:color w:val="000000"/>
                      <w:kern w:val="0"/>
                      <w:sz w:val="22"/>
                      <w:szCs w:val="22"/>
                    </w:rPr>
                    <w:t>植被恢复</w:t>
                  </w:r>
                </w:p>
              </w:tc>
              <w:tc>
                <w:tcPr>
                  <w:tcW w:w="2991" w:type="dxa"/>
                  <w:shd w:val="clear" w:color="auto" w:fill="auto"/>
                  <w:vAlign w:val="center"/>
                </w:tcPr>
                <w:p w14:paraId="07C19087">
                  <w:pPr>
                    <w:widowControl/>
                    <w:jc w:val="center"/>
                    <w:rPr>
                      <w:color w:val="000000"/>
                      <w:kern w:val="0"/>
                      <w:sz w:val="22"/>
                      <w:szCs w:val="22"/>
                    </w:rPr>
                  </w:pPr>
                  <w:r>
                    <w:rPr>
                      <w:color w:val="000000"/>
                      <w:kern w:val="0"/>
                      <w:sz w:val="22"/>
                      <w:szCs w:val="22"/>
                    </w:rPr>
                    <w:t>临时占地植被恢复费用</w:t>
                  </w:r>
                </w:p>
              </w:tc>
              <w:tc>
                <w:tcPr>
                  <w:tcW w:w="942" w:type="dxa"/>
                  <w:shd w:val="clear" w:color="auto" w:fill="auto"/>
                  <w:vAlign w:val="center"/>
                </w:tcPr>
                <w:p w14:paraId="48149AEF">
                  <w:pPr>
                    <w:widowControl/>
                    <w:jc w:val="center"/>
                    <w:rPr>
                      <w:color w:val="000000"/>
                      <w:kern w:val="0"/>
                      <w:sz w:val="22"/>
                      <w:szCs w:val="22"/>
                    </w:rPr>
                  </w:pPr>
                  <w:r>
                    <w:rPr>
                      <w:rFonts w:eastAsia="等线"/>
                      <w:color w:val="000000"/>
                      <w:sz w:val="22"/>
                      <w:szCs w:val="22"/>
                    </w:rPr>
                    <w:t>0</w:t>
                  </w:r>
                </w:p>
              </w:tc>
              <w:tc>
                <w:tcPr>
                  <w:tcW w:w="1459" w:type="dxa"/>
                  <w:shd w:val="clear" w:color="auto" w:fill="auto"/>
                  <w:vAlign w:val="center"/>
                </w:tcPr>
                <w:p w14:paraId="47E0640C">
                  <w:pPr>
                    <w:widowControl/>
                    <w:jc w:val="center"/>
                    <w:rPr>
                      <w:color w:val="000000"/>
                      <w:kern w:val="0"/>
                      <w:sz w:val="22"/>
                      <w:szCs w:val="22"/>
                    </w:rPr>
                  </w:pPr>
                  <w:r>
                    <w:rPr>
                      <w:color w:val="000000"/>
                      <w:kern w:val="0"/>
                      <w:sz w:val="22"/>
                      <w:szCs w:val="22"/>
                    </w:rPr>
                    <w:t>计入水土保持工程费</w:t>
                  </w:r>
                </w:p>
              </w:tc>
            </w:tr>
            <w:tr w14:paraId="22B2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011" w:type="dxa"/>
                  <w:shd w:val="clear" w:color="auto" w:fill="auto"/>
                  <w:vAlign w:val="center"/>
                </w:tcPr>
                <w:p w14:paraId="53380F3D">
                  <w:pPr>
                    <w:widowControl/>
                    <w:jc w:val="center"/>
                    <w:rPr>
                      <w:color w:val="000000"/>
                      <w:kern w:val="0"/>
                      <w:sz w:val="22"/>
                      <w:szCs w:val="22"/>
                    </w:rPr>
                  </w:pPr>
                  <w:r>
                    <w:rPr>
                      <w:color w:val="000000"/>
                      <w:kern w:val="0"/>
                      <w:sz w:val="22"/>
                      <w:szCs w:val="22"/>
                    </w:rPr>
                    <w:t>8</w:t>
                  </w:r>
                </w:p>
              </w:tc>
              <w:tc>
                <w:tcPr>
                  <w:tcW w:w="1496" w:type="dxa"/>
                  <w:shd w:val="clear" w:color="auto" w:fill="auto"/>
                  <w:vAlign w:val="center"/>
                </w:tcPr>
                <w:p w14:paraId="28AD7AD1">
                  <w:pPr>
                    <w:widowControl/>
                    <w:jc w:val="center"/>
                    <w:rPr>
                      <w:color w:val="000000"/>
                      <w:kern w:val="0"/>
                      <w:sz w:val="22"/>
                      <w:szCs w:val="22"/>
                    </w:rPr>
                  </w:pPr>
                  <w:r>
                    <w:rPr>
                      <w:color w:val="000000"/>
                      <w:kern w:val="0"/>
                      <w:sz w:val="22"/>
                      <w:szCs w:val="22"/>
                    </w:rPr>
                    <w:t>环境保护宣传培训</w:t>
                  </w:r>
                </w:p>
              </w:tc>
              <w:tc>
                <w:tcPr>
                  <w:tcW w:w="2991" w:type="dxa"/>
                  <w:shd w:val="clear" w:color="auto" w:fill="auto"/>
                  <w:vAlign w:val="center"/>
                </w:tcPr>
                <w:p w14:paraId="224D6DBB">
                  <w:pPr>
                    <w:widowControl/>
                    <w:jc w:val="center"/>
                    <w:rPr>
                      <w:color w:val="000000"/>
                      <w:kern w:val="0"/>
                      <w:sz w:val="22"/>
                      <w:szCs w:val="22"/>
                    </w:rPr>
                  </w:pPr>
                  <w:r>
                    <w:rPr>
                      <w:color w:val="000000"/>
                      <w:kern w:val="0"/>
                      <w:sz w:val="22"/>
                      <w:szCs w:val="22"/>
                    </w:rPr>
                    <w:t>相关法律法规、重点保护物种、保护措施的宣传培训、警示牌、宣传牌</w:t>
                  </w:r>
                </w:p>
              </w:tc>
              <w:tc>
                <w:tcPr>
                  <w:tcW w:w="942" w:type="dxa"/>
                  <w:shd w:val="clear" w:color="auto" w:fill="auto"/>
                  <w:vAlign w:val="center"/>
                </w:tcPr>
                <w:p w14:paraId="6973317A">
                  <w:pPr>
                    <w:widowControl/>
                    <w:jc w:val="center"/>
                    <w:rPr>
                      <w:color w:val="000000"/>
                      <w:kern w:val="0"/>
                      <w:sz w:val="22"/>
                      <w:szCs w:val="22"/>
                    </w:rPr>
                  </w:pPr>
                  <w:r>
                    <w:rPr>
                      <w:rFonts w:eastAsia="等线"/>
                      <w:color w:val="000000"/>
                      <w:sz w:val="22"/>
                      <w:szCs w:val="22"/>
                    </w:rPr>
                    <w:t>5</w:t>
                  </w:r>
                </w:p>
              </w:tc>
              <w:tc>
                <w:tcPr>
                  <w:tcW w:w="1459" w:type="dxa"/>
                  <w:shd w:val="clear" w:color="auto" w:fill="auto"/>
                  <w:vAlign w:val="center"/>
                </w:tcPr>
                <w:p w14:paraId="74E57B29">
                  <w:pPr>
                    <w:widowControl/>
                    <w:jc w:val="center"/>
                    <w:rPr>
                      <w:color w:val="000000"/>
                      <w:kern w:val="0"/>
                      <w:sz w:val="22"/>
                      <w:szCs w:val="22"/>
                    </w:rPr>
                  </w:pPr>
                </w:p>
              </w:tc>
            </w:tr>
            <w:tr w14:paraId="186E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1" w:type="dxa"/>
                  <w:shd w:val="clear" w:color="auto" w:fill="auto"/>
                  <w:vAlign w:val="center"/>
                </w:tcPr>
                <w:p w14:paraId="2A7DC587">
                  <w:pPr>
                    <w:widowControl/>
                    <w:jc w:val="center"/>
                    <w:rPr>
                      <w:color w:val="000000"/>
                      <w:kern w:val="0"/>
                      <w:sz w:val="22"/>
                      <w:szCs w:val="22"/>
                    </w:rPr>
                  </w:pPr>
                  <w:r>
                    <w:rPr>
                      <w:rFonts w:hint="eastAsia"/>
                      <w:color w:val="000000"/>
                      <w:kern w:val="0"/>
                      <w:sz w:val="22"/>
                      <w:szCs w:val="22"/>
                    </w:rPr>
                    <w:t>二</w:t>
                  </w:r>
                  <w:r>
                    <w:rPr>
                      <w:color w:val="000000"/>
                      <w:kern w:val="0"/>
                      <w:sz w:val="22"/>
                      <w:szCs w:val="22"/>
                    </w:rPr>
                    <w:t>、</w:t>
                  </w:r>
                </w:p>
              </w:tc>
              <w:tc>
                <w:tcPr>
                  <w:tcW w:w="1496" w:type="dxa"/>
                  <w:shd w:val="clear" w:color="auto" w:fill="auto"/>
                  <w:vAlign w:val="center"/>
                </w:tcPr>
                <w:p w14:paraId="360FA7D5">
                  <w:pPr>
                    <w:widowControl/>
                    <w:jc w:val="center"/>
                    <w:rPr>
                      <w:color w:val="000000"/>
                      <w:kern w:val="0"/>
                      <w:sz w:val="22"/>
                      <w:szCs w:val="22"/>
                    </w:rPr>
                  </w:pPr>
                </w:p>
              </w:tc>
              <w:tc>
                <w:tcPr>
                  <w:tcW w:w="2991" w:type="dxa"/>
                  <w:shd w:val="clear" w:color="auto" w:fill="auto"/>
                  <w:vAlign w:val="center"/>
                </w:tcPr>
                <w:p w14:paraId="11A65D6A">
                  <w:pPr>
                    <w:widowControl/>
                    <w:jc w:val="center"/>
                    <w:rPr>
                      <w:color w:val="000000"/>
                      <w:kern w:val="0"/>
                      <w:sz w:val="22"/>
                      <w:szCs w:val="22"/>
                    </w:rPr>
                  </w:pPr>
                  <w:r>
                    <w:rPr>
                      <w:color w:val="000000"/>
                      <w:kern w:val="0"/>
                      <w:sz w:val="22"/>
                      <w:szCs w:val="22"/>
                    </w:rPr>
                    <w:t>预备费</w:t>
                  </w:r>
                </w:p>
              </w:tc>
              <w:tc>
                <w:tcPr>
                  <w:tcW w:w="942" w:type="dxa"/>
                  <w:shd w:val="clear" w:color="auto" w:fill="auto"/>
                  <w:vAlign w:val="center"/>
                </w:tcPr>
                <w:p w14:paraId="7A079230">
                  <w:pPr>
                    <w:widowControl/>
                    <w:jc w:val="center"/>
                    <w:rPr>
                      <w:color w:val="000000"/>
                      <w:kern w:val="0"/>
                      <w:sz w:val="22"/>
                      <w:szCs w:val="22"/>
                    </w:rPr>
                  </w:pPr>
                  <w:r>
                    <w:rPr>
                      <w:rFonts w:eastAsia="等线"/>
                      <w:color w:val="000000"/>
                      <w:sz w:val="22"/>
                      <w:szCs w:val="22"/>
                    </w:rPr>
                    <w:t>3.5</w:t>
                  </w:r>
                </w:p>
              </w:tc>
              <w:tc>
                <w:tcPr>
                  <w:tcW w:w="1459" w:type="dxa"/>
                  <w:shd w:val="clear" w:color="auto" w:fill="auto"/>
                  <w:vAlign w:val="center"/>
                </w:tcPr>
                <w:p w14:paraId="451A2E49">
                  <w:pPr>
                    <w:widowControl/>
                    <w:jc w:val="center"/>
                    <w:rPr>
                      <w:color w:val="000000"/>
                      <w:kern w:val="0"/>
                      <w:sz w:val="22"/>
                      <w:szCs w:val="22"/>
                    </w:rPr>
                  </w:pPr>
                  <w:r>
                    <w:rPr>
                      <w:color w:val="000000"/>
                      <w:kern w:val="0"/>
                      <w:sz w:val="22"/>
                      <w:szCs w:val="22"/>
                    </w:rPr>
                    <w:t>按一项之和的10%</w:t>
                  </w:r>
                </w:p>
              </w:tc>
            </w:tr>
            <w:tr w14:paraId="24DA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498" w:type="dxa"/>
                  <w:gridSpan w:val="3"/>
                  <w:shd w:val="clear" w:color="auto" w:fill="auto"/>
                  <w:vAlign w:val="center"/>
                </w:tcPr>
                <w:p w14:paraId="63A94ACC">
                  <w:pPr>
                    <w:widowControl/>
                    <w:jc w:val="center"/>
                    <w:rPr>
                      <w:color w:val="000000"/>
                      <w:kern w:val="0"/>
                      <w:sz w:val="22"/>
                      <w:szCs w:val="22"/>
                    </w:rPr>
                  </w:pPr>
                  <w:r>
                    <w:rPr>
                      <w:color w:val="000000"/>
                      <w:kern w:val="0"/>
                      <w:sz w:val="22"/>
                      <w:szCs w:val="22"/>
                    </w:rPr>
                    <w:t>环保投资合计</w:t>
                  </w:r>
                </w:p>
              </w:tc>
              <w:tc>
                <w:tcPr>
                  <w:tcW w:w="942" w:type="dxa"/>
                </w:tcPr>
                <w:p w14:paraId="472C00ED">
                  <w:pPr>
                    <w:widowControl/>
                    <w:jc w:val="center"/>
                    <w:rPr>
                      <w:color w:val="000000"/>
                      <w:kern w:val="0"/>
                      <w:sz w:val="22"/>
                      <w:szCs w:val="22"/>
                    </w:rPr>
                  </w:pPr>
                  <w:r>
                    <w:rPr>
                      <w:color w:val="000000"/>
                      <w:kern w:val="0"/>
                      <w:sz w:val="22"/>
                      <w:szCs w:val="22"/>
                    </w:rPr>
                    <w:t>38.5</w:t>
                  </w:r>
                </w:p>
              </w:tc>
              <w:tc>
                <w:tcPr>
                  <w:tcW w:w="1459" w:type="dxa"/>
                  <w:shd w:val="clear" w:color="auto" w:fill="auto"/>
                  <w:vAlign w:val="center"/>
                </w:tcPr>
                <w:p w14:paraId="600116F2">
                  <w:pPr>
                    <w:widowControl/>
                    <w:jc w:val="center"/>
                    <w:rPr>
                      <w:color w:val="000000"/>
                      <w:kern w:val="0"/>
                      <w:sz w:val="22"/>
                      <w:szCs w:val="22"/>
                    </w:rPr>
                  </w:pPr>
                </w:p>
              </w:tc>
            </w:tr>
          </w:tbl>
          <w:p w14:paraId="53A221A5">
            <w:pPr>
              <w:autoSpaceDE w:val="0"/>
              <w:autoSpaceDN w:val="0"/>
              <w:adjustRightInd w:val="0"/>
              <w:jc w:val="center"/>
              <w:rPr>
                <w:rFonts w:eastAsia="黑体"/>
                <w:bCs/>
                <w:sz w:val="24"/>
              </w:rPr>
            </w:pPr>
          </w:p>
          <w:p w14:paraId="0DF1A4DD">
            <w:pPr>
              <w:autoSpaceDE w:val="0"/>
              <w:autoSpaceDN w:val="0"/>
              <w:adjustRightInd w:val="0"/>
              <w:jc w:val="center"/>
              <w:rPr>
                <w:rFonts w:eastAsia="黑体"/>
                <w:bCs/>
                <w:sz w:val="24"/>
              </w:rPr>
            </w:pPr>
          </w:p>
          <w:p w14:paraId="0A4E77AC">
            <w:pPr>
              <w:adjustRightInd w:val="0"/>
              <w:snapToGrid w:val="0"/>
              <w:rPr>
                <w:bCs/>
                <w:spacing w:val="10"/>
              </w:rPr>
            </w:pPr>
          </w:p>
          <w:p w14:paraId="7F51BC99">
            <w:pPr>
              <w:pStyle w:val="189"/>
              <w:ind w:firstLine="560"/>
            </w:pPr>
          </w:p>
          <w:p w14:paraId="7DBD45D8"/>
          <w:p w14:paraId="612D70DE">
            <w:pPr>
              <w:pStyle w:val="189"/>
              <w:ind w:firstLine="560"/>
            </w:pPr>
          </w:p>
          <w:p w14:paraId="274FE92A"/>
          <w:p w14:paraId="3FB0B50B"/>
        </w:tc>
      </w:tr>
    </w:tbl>
    <w:p w14:paraId="1734743B">
      <w:pPr>
        <w:sectPr>
          <w:pgSz w:w="11907" w:h="16840"/>
          <w:pgMar w:top="1440" w:right="1797" w:bottom="1440" w:left="1797" w:header="851" w:footer="1077" w:gutter="0"/>
          <w:cols w:space="720" w:num="1"/>
          <w:docGrid w:linePitch="312" w:charSpace="0"/>
        </w:sectPr>
      </w:pPr>
    </w:p>
    <w:p w14:paraId="525BAD1C">
      <w:pPr>
        <w:pStyle w:val="39"/>
        <w:jc w:val="center"/>
        <w:outlineLvl w:val="0"/>
        <w:rPr>
          <w:rFonts w:ascii="Times New Roman" w:hAnsi="Times New Roman" w:eastAsia="黑体"/>
          <w:snapToGrid w:val="0"/>
          <w:sz w:val="30"/>
          <w:szCs w:val="30"/>
        </w:rPr>
      </w:pPr>
      <w:bookmarkStart w:id="107" w:name="_Toc225952993"/>
      <w:bookmarkStart w:id="108" w:name="_Toc21360"/>
      <w:bookmarkStart w:id="109" w:name="_Toc227764337"/>
      <w:bookmarkStart w:id="110" w:name="_Toc14036"/>
      <w:bookmarkStart w:id="111" w:name="_Toc9453"/>
      <w:bookmarkStart w:id="112" w:name="_Toc21916"/>
      <w:bookmarkStart w:id="113" w:name="_Toc12517"/>
      <w:bookmarkStart w:id="114" w:name="_Toc16890"/>
      <w:bookmarkStart w:id="115" w:name="_Toc26389"/>
      <w:r>
        <w:rPr>
          <w:rFonts w:ascii="Times New Roman" w:hAnsi="Times New Roman" w:eastAsia="黑体"/>
          <w:snapToGrid w:val="0"/>
          <w:sz w:val="30"/>
          <w:szCs w:val="30"/>
        </w:rPr>
        <w:t>六、生态环境保护措施监督检查清单</w:t>
      </w:r>
      <w:bookmarkEnd w:id="107"/>
      <w:bookmarkEnd w:id="108"/>
      <w:bookmarkEnd w:id="109"/>
      <w:bookmarkEnd w:id="110"/>
      <w:bookmarkEnd w:id="111"/>
      <w:bookmarkEnd w:id="112"/>
      <w:bookmarkEnd w:id="113"/>
      <w:bookmarkEnd w:id="114"/>
      <w:bookmarkEnd w:id="115"/>
    </w:p>
    <w:tbl>
      <w:tblPr>
        <w:tblStyle w:val="45"/>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2057"/>
        <w:gridCol w:w="1131"/>
        <w:gridCol w:w="1986"/>
        <w:gridCol w:w="2036"/>
      </w:tblGrid>
      <w:tr w14:paraId="35FF6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312" w:type="dxa"/>
            <w:vMerge w:val="restart"/>
            <w:tcBorders>
              <w:tl2br w:val="single" w:color="auto" w:sz="4" w:space="0"/>
            </w:tcBorders>
          </w:tcPr>
          <w:p w14:paraId="220CF56C">
            <w:pPr>
              <w:pStyle w:val="39"/>
              <w:adjustRightInd w:val="0"/>
              <w:snapToGrid w:val="0"/>
              <w:spacing w:before="72" w:beforeLines="30" w:beforeAutospacing="0" w:after="0" w:afterAutospacing="0"/>
              <w:jc w:val="center"/>
              <w:rPr>
                <w:rFonts w:ascii="Times New Roman" w:hAnsi="Times New Roman" w:eastAsia="黑体"/>
                <w:kern w:val="2"/>
                <w:sz w:val="21"/>
              </w:rPr>
            </w:pPr>
            <w:r>
              <w:rPr>
                <w:rFonts w:ascii="Times New Roman" w:hAnsi="Times New Roman" w:eastAsia="黑体"/>
                <w:kern w:val="2"/>
                <w:sz w:val="21"/>
              </w:rPr>
              <w:t>内容</w:t>
            </w:r>
          </w:p>
          <w:p w14:paraId="662FF970">
            <w:pPr>
              <w:pStyle w:val="39"/>
              <w:adjustRightInd w:val="0"/>
              <w:snapToGrid w:val="0"/>
              <w:spacing w:before="0" w:beforeAutospacing="0" w:after="0" w:afterAutospacing="0" w:line="14" w:lineRule="auto"/>
              <w:rPr>
                <w:rFonts w:ascii="Times New Roman" w:hAnsi="Times New Roman" w:eastAsia="黑体"/>
                <w:kern w:val="2"/>
                <w:sz w:val="135"/>
              </w:rPr>
            </w:pPr>
          </w:p>
          <w:p w14:paraId="59812949">
            <w:pPr>
              <w:pStyle w:val="39"/>
              <w:adjustRightInd w:val="0"/>
              <w:snapToGrid w:val="0"/>
              <w:spacing w:before="0" w:beforeAutospacing="0" w:after="0" w:afterAutospacing="0"/>
              <w:rPr>
                <w:rFonts w:ascii="Times New Roman" w:hAnsi="Times New Roman" w:eastAsia="黑体"/>
                <w:kern w:val="2"/>
                <w:sz w:val="21"/>
              </w:rPr>
            </w:pPr>
            <w:r>
              <w:rPr>
                <w:rFonts w:ascii="Times New Roman" w:hAnsi="Times New Roman" w:eastAsia="黑体"/>
                <w:kern w:val="2"/>
                <w:sz w:val="21"/>
              </w:rPr>
              <w:t>要素</w:t>
            </w:r>
          </w:p>
        </w:tc>
        <w:tc>
          <w:tcPr>
            <w:tcW w:w="3188" w:type="dxa"/>
            <w:gridSpan w:val="2"/>
            <w:vAlign w:val="center"/>
          </w:tcPr>
          <w:p w14:paraId="4B19A910">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施工期</w:t>
            </w:r>
          </w:p>
        </w:tc>
        <w:tc>
          <w:tcPr>
            <w:tcW w:w="4022" w:type="dxa"/>
            <w:gridSpan w:val="2"/>
            <w:vAlign w:val="center"/>
          </w:tcPr>
          <w:p w14:paraId="3277B8F5">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运行期</w:t>
            </w:r>
          </w:p>
        </w:tc>
      </w:tr>
      <w:tr w14:paraId="71A84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312" w:type="dxa"/>
            <w:vMerge w:val="continue"/>
          </w:tcPr>
          <w:p w14:paraId="2277375E">
            <w:pPr>
              <w:pStyle w:val="39"/>
              <w:adjustRightInd w:val="0"/>
              <w:snapToGrid w:val="0"/>
              <w:spacing w:before="0" w:beforeAutospacing="0" w:after="0" w:afterAutospacing="0"/>
              <w:ind w:firstLine="840"/>
              <w:jc w:val="center"/>
              <w:rPr>
                <w:rFonts w:ascii="Times New Roman" w:hAnsi="Times New Roman" w:eastAsia="黑体"/>
                <w:kern w:val="2"/>
                <w:sz w:val="21"/>
              </w:rPr>
            </w:pPr>
          </w:p>
        </w:tc>
        <w:tc>
          <w:tcPr>
            <w:tcW w:w="2057" w:type="dxa"/>
            <w:vAlign w:val="center"/>
          </w:tcPr>
          <w:p w14:paraId="5293D1D0">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环境保护措施</w:t>
            </w:r>
          </w:p>
        </w:tc>
        <w:tc>
          <w:tcPr>
            <w:tcW w:w="1131" w:type="dxa"/>
            <w:vAlign w:val="center"/>
          </w:tcPr>
          <w:p w14:paraId="0BE4E90A">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验收要求</w:t>
            </w:r>
          </w:p>
        </w:tc>
        <w:tc>
          <w:tcPr>
            <w:tcW w:w="1986" w:type="dxa"/>
            <w:vAlign w:val="center"/>
          </w:tcPr>
          <w:p w14:paraId="67CCDB41">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环境保护措施</w:t>
            </w:r>
          </w:p>
        </w:tc>
        <w:tc>
          <w:tcPr>
            <w:tcW w:w="2036" w:type="dxa"/>
            <w:vAlign w:val="center"/>
          </w:tcPr>
          <w:p w14:paraId="3904366A">
            <w:pPr>
              <w:pStyle w:val="39"/>
              <w:adjustRightInd w:val="0"/>
              <w:snapToGrid w:val="0"/>
              <w:spacing w:before="0" w:beforeAutospacing="0" w:after="0" w:afterAutospacing="0"/>
              <w:jc w:val="center"/>
              <w:rPr>
                <w:rFonts w:ascii="Times New Roman" w:hAnsi="Times New Roman" w:eastAsia="黑体"/>
                <w:kern w:val="2"/>
                <w:sz w:val="21"/>
              </w:rPr>
            </w:pPr>
            <w:r>
              <w:rPr>
                <w:rFonts w:ascii="Times New Roman" w:hAnsi="Times New Roman" w:eastAsia="黑体"/>
                <w:kern w:val="2"/>
                <w:sz w:val="21"/>
              </w:rPr>
              <w:t>验收要求</w:t>
            </w:r>
          </w:p>
        </w:tc>
      </w:tr>
      <w:tr w14:paraId="1E71B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5F9C7CA9">
            <w:pPr>
              <w:adjustRightInd w:val="0"/>
              <w:snapToGrid w:val="0"/>
              <w:jc w:val="center"/>
            </w:pPr>
            <w:r>
              <w:t>陆生生态</w:t>
            </w:r>
          </w:p>
        </w:tc>
        <w:tc>
          <w:tcPr>
            <w:tcW w:w="2057" w:type="dxa"/>
            <w:vAlign w:val="center"/>
          </w:tcPr>
          <w:p w14:paraId="11675735">
            <w:pPr>
              <w:adjustRightInd w:val="0"/>
              <w:snapToGrid w:val="0"/>
            </w:pPr>
            <w:r>
              <w:t>优化塔基、线路路径、施工场地布置，采取先进环保的设计施工方案，进一步减少对周边生态环境的影响。严格控制施工范围在征地红线范围内，强化施工期环境管理，加强环境保护宣传培训，设立警示牌，发放宣传手册。施工结束后，及时清理场地，选择乡土树草种进行植被恢复。</w:t>
            </w:r>
          </w:p>
        </w:tc>
        <w:tc>
          <w:tcPr>
            <w:tcW w:w="1131" w:type="dxa"/>
            <w:vAlign w:val="center"/>
          </w:tcPr>
          <w:p w14:paraId="448950BD">
            <w:pPr>
              <w:adjustRightInd w:val="0"/>
              <w:snapToGrid w:val="0"/>
            </w:pPr>
            <w:r>
              <w:t>生态环境保护措施落实情况。</w:t>
            </w:r>
          </w:p>
        </w:tc>
        <w:tc>
          <w:tcPr>
            <w:tcW w:w="1986" w:type="dxa"/>
            <w:vAlign w:val="center"/>
          </w:tcPr>
          <w:p w14:paraId="62EB3D3F">
            <w:pPr>
              <w:adjustRightInd w:val="0"/>
              <w:snapToGrid w:val="0"/>
            </w:pPr>
            <w:r>
              <w:t>塔基周围进行植被恢复；采用高塔跨越。</w:t>
            </w:r>
          </w:p>
        </w:tc>
        <w:tc>
          <w:tcPr>
            <w:tcW w:w="2036" w:type="dxa"/>
            <w:vAlign w:val="center"/>
          </w:tcPr>
          <w:p w14:paraId="75998AE0">
            <w:pPr>
              <w:adjustRightInd w:val="0"/>
              <w:snapToGrid w:val="0"/>
            </w:pPr>
            <w:r>
              <w:t>塔基周围植被恢复至项目建设前状态；高塔跨越，不得对沿线植被进行砍伐。</w:t>
            </w:r>
          </w:p>
        </w:tc>
      </w:tr>
      <w:tr w14:paraId="638F0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0A848C35">
            <w:pPr>
              <w:adjustRightInd w:val="0"/>
              <w:snapToGrid w:val="0"/>
              <w:jc w:val="center"/>
            </w:pPr>
            <w:r>
              <w:t>水生生态</w:t>
            </w:r>
          </w:p>
        </w:tc>
        <w:tc>
          <w:tcPr>
            <w:tcW w:w="2057" w:type="dxa"/>
            <w:vAlign w:val="center"/>
          </w:tcPr>
          <w:p w14:paraId="1A037CC3">
            <w:pPr>
              <w:adjustRightInd w:val="0"/>
              <w:snapToGrid w:val="0"/>
              <w:jc w:val="center"/>
            </w:pPr>
            <w:r>
              <w:t>——</w:t>
            </w:r>
          </w:p>
        </w:tc>
        <w:tc>
          <w:tcPr>
            <w:tcW w:w="1131" w:type="dxa"/>
            <w:vAlign w:val="center"/>
          </w:tcPr>
          <w:p w14:paraId="12D5FE76">
            <w:pPr>
              <w:adjustRightInd w:val="0"/>
              <w:snapToGrid w:val="0"/>
              <w:jc w:val="center"/>
            </w:pPr>
            <w:r>
              <w:t>——</w:t>
            </w:r>
          </w:p>
        </w:tc>
        <w:tc>
          <w:tcPr>
            <w:tcW w:w="1986" w:type="dxa"/>
            <w:vAlign w:val="center"/>
          </w:tcPr>
          <w:p w14:paraId="368FC27E">
            <w:pPr>
              <w:adjustRightInd w:val="0"/>
              <w:snapToGrid w:val="0"/>
              <w:jc w:val="center"/>
            </w:pPr>
            <w:r>
              <w:t>——</w:t>
            </w:r>
          </w:p>
        </w:tc>
        <w:tc>
          <w:tcPr>
            <w:tcW w:w="2036" w:type="dxa"/>
            <w:vAlign w:val="center"/>
          </w:tcPr>
          <w:p w14:paraId="44253C82">
            <w:pPr>
              <w:adjustRightInd w:val="0"/>
              <w:snapToGrid w:val="0"/>
              <w:jc w:val="center"/>
            </w:pPr>
            <w:r>
              <w:t>——</w:t>
            </w:r>
          </w:p>
        </w:tc>
      </w:tr>
      <w:tr w14:paraId="181C2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02119C17">
            <w:pPr>
              <w:adjustRightInd w:val="0"/>
              <w:snapToGrid w:val="0"/>
              <w:jc w:val="center"/>
            </w:pPr>
            <w:r>
              <w:t>地表水环境</w:t>
            </w:r>
          </w:p>
        </w:tc>
        <w:tc>
          <w:tcPr>
            <w:tcW w:w="2057" w:type="dxa"/>
            <w:vAlign w:val="center"/>
          </w:tcPr>
          <w:p w14:paraId="789DC251">
            <w:pPr>
              <w:adjustRightInd w:val="0"/>
              <w:snapToGrid w:val="0"/>
            </w:pPr>
            <w:r>
              <w:rPr>
                <w:rFonts w:hint="eastAsia"/>
              </w:rPr>
              <w:t>施工人员依托附近村庄生活设施，不设施工营地；塔基混凝土拌合冲洗废水经防渗沉淀池澄清后全部回用于搅拌和洒水降尘，不外排；施工场地远离地表水体布置，严禁在地表水中清洗车辆或器具；设置临时截排水沟及沉砂池，防止含泥径流进入水体；加强机械维护，防止油料泄漏，受污染土壤按危废处置</w:t>
            </w:r>
            <w:r>
              <w:t>。</w:t>
            </w:r>
          </w:p>
        </w:tc>
        <w:tc>
          <w:tcPr>
            <w:tcW w:w="1131" w:type="dxa"/>
            <w:vAlign w:val="center"/>
          </w:tcPr>
          <w:p w14:paraId="5734A4D3">
            <w:pPr>
              <w:adjustRightInd w:val="0"/>
              <w:snapToGrid w:val="0"/>
            </w:pPr>
            <w:r>
              <w:t>施工废水、生活污水禁止排放到附近的地表水体。</w:t>
            </w:r>
          </w:p>
        </w:tc>
        <w:tc>
          <w:tcPr>
            <w:tcW w:w="1986" w:type="dxa"/>
            <w:vAlign w:val="center"/>
          </w:tcPr>
          <w:p w14:paraId="19A405C0">
            <w:pPr>
              <w:adjustRightInd w:val="0"/>
              <w:snapToGrid w:val="0"/>
              <w:jc w:val="center"/>
            </w:pPr>
            <w:r>
              <w:t>——</w:t>
            </w:r>
          </w:p>
        </w:tc>
        <w:tc>
          <w:tcPr>
            <w:tcW w:w="2036" w:type="dxa"/>
            <w:vAlign w:val="center"/>
          </w:tcPr>
          <w:p w14:paraId="447D5B16">
            <w:pPr>
              <w:adjustRightInd w:val="0"/>
              <w:snapToGrid w:val="0"/>
              <w:jc w:val="center"/>
            </w:pPr>
            <w:r>
              <w:t>——</w:t>
            </w:r>
          </w:p>
        </w:tc>
      </w:tr>
      <w:tr w14:paraId="01E62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0B29B7D1">
            <w:pPr>
              <w:adjustRightInd w:val="0"/>
              <w:snapToGrid w:val="0"/>
              <w:jc w:val="center"/>
            </w:pPr>
            <w:r>
              <w:t>地下水及土壤环境</w:t>
            </w:r>
          </w:p>
        </w:tc>
        <w:tc>
          <w:tcPr>
            <w:tcW w:w="2057" w:type="dxa"/>
            <w:vAlign w:val="center"/>
          </w:tcPr>
          <w:p w14:paraId="5A7D7C5B">
            <w:pPr>
              <w:adjustRightInd w:val="0"/>
              <w:snapToGrid w:val="0"/>
              <w:jc w:val="center"/>
            </w:pPr>
            <w:r>
              <w:t>——</w:t>
            </w:r>
          </w:p>
        </w:tc>
        <w:tc>
          <w:tcPr>
            <w:tcW w:w="1131" w:type="dxa"/>
            <w:vAlign w:val="center"/>
          </w:tcPr>
          <w:p w14:paraId="1B188813">
            <w:pPr>
              <w:adjustRightInd w:val="0"/>
              <w:snapToGrid w:val="0"/>
              <w:jc w:val="center"/>
            </w:pPr>
            <w:r>
              <w:t>——</w:t>
            </w:r>
          </w:p>
        </w:tc>
        <w:tc>
          <w:tcPr>
            <w:tcW w:w="1986" w:type="dxa"/>
            <w:vAlign w:val="center"/>
          </w:tcPr>
          <w:p w14:paraId="172912A7">
            <w:pPr>
              <w:adjustRightInd w:val="0"/>
              <w:snapToGrid w:val="0"/>
              <w:jc w:val="center"/>
            </w:pPr>
            <w:r>
              <w:t>——</w:t>
            </w:r>
          </w:p>
        </w:tc>
        <w:tc>
          <w:tcPr>
            <w:tcW w:w="2036" w:type="dxa"/>
            <w:vAlign w:val="center"/>
          </w:tcPr>
          <w:p w14:paraId="1DBD4AAA">
            <w:pPr>
              <w:adjustRightInd w:val="0"/>
              <w:snapToGrid w:val="0"/>
              <w:jc w:val="center"/>
            </w:pPr>
            <w:r>
              <w:t>——</w:t>
            </w:r>
          </w:p>
        </w:tc>
      </w:tr>
      <w:tr w14:paraId="28D62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75475B69">
            <w:pPr>
              <w:adjustRightInd w:val="0"/>
              <w:snapToGrid w:val="0"/>
              <w:jc w:val="center"/>
            </w:pPr>
            <w:r>
              <w:t>声环境</w:t>
            </w:r>
          </w:p>
        </w:tc>
        <w:tc>
          <w:tcPr>
            <w:tcW w:w="2057" w:type="dxa"/>
            <w:vAlign w:val="center"/>
          </w:tcPr>
          <w:p w14:paraId="4D8AB9F7">
            <w:pPr>
              <w:adjustRightInd w:val="0"/>
              <w:snapToGrid w:val="0"/>
            </w:pPr>
            <w:r>
              <w:rPr>
                <w:rFonts w:hint="eastAsia"/>
              </w:rPr>
              <w:t>选用低噪声设备并加强维护，对强噪声源加装消声器或隔声罩，合理布局使噪声源远离居住区并设置移动式隔声屏障；优化运输路线，夜间（22:00-6:00）原则上禁止施工，确需连续作业的应依法取得证明并公示公告（GB 12523-2025）</w:t>
            </w:r>
            <w:r>
              <w:t>。</w:t>
            </w:r>
          </w:p>
        </w:tc>
        <w:tc>
          <w:tcPr>
            <w:tcW w:w="1131" w:type="dxa"/>
            <w:vAlign w:val="center"/>
          </w:tcPr>
          <w:p w14:paraId="5E0D1C02">
            <w:pPr>
              <w:adjustRightInd w:val="0"/>
              <w:snapToGrid w:val="0"/>
            </w:pPr>
            <w:r>
              <w:t>满足</w:t>
            </w:r>
            <w:r>
              <w:rPr>
                <w:rFonts w:hint="eastAsia"/>
              </w:rPr>
              <w:t>《建筑施工噪声排放标准》（GB 12523-2025）</w:t>
            </w:r>
            <w:r>
              <w:t>标准。</w:t>
            </w:r>
          </w:p>
        </w:tc>
        <w:tc>
          <w:tcPr>
            <w:tcW w:w="1986" w:type="dxa"/>
            <w:vAlign w:val="center"/>
          </w:tcPr>
          <w:p w14:paraId="37F86C6B">
            <w:pPr>
              <w:adjustRightInd w:val="0"/>
              <w:snapToGrid w:val="0"/>
            </w:pPr>
            <w:r>
              <w:t>合理选择送电导线结构，确保导线对地高度，降低送电线路的可听噪声水平。</w:t>
            </w:r>
          </w:p>
        </w:tc>
        <w:tc>
          <w:tcPr>
            <w:tcW w:w="2036" w:type="dxa"/>
            <w:vAlign w:val="center"/>
          </w:tcPr>
          <w:p w14:paraId="506409BB">
            <w:pPr>
              <w:adjustRightInd w:val="0"/>
              <w:snapToGrid w:val="0"/>
            </w:pPr>
            <w:r>
              <w:t>输电线路噪声满足《声环境质量标准》（GB3096-2008）中1类标准。</w:t>
            </w:r>
          </w:p>
        </w:tc>
      </w:tr>
      <w:tr w14:paraId="3F7BB9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39E33663">
            <w:pPr>
              <w:adjustRightInd w:val="0"/>
              <w:snapToGrid w:val="0"/>
              <w:jc w:val="center"/>
            </w:pPr>
            <w:r>
              <w:t>振动</w:t>
            </w:r>
          </w:p>
        </w:tc>
        <w:tc>
          <w:tcPr>
            <w:tcW w:w="2057" w:type="dxa"/>
            <w:vAlign w:val="center"/>
          </w:tcPr>
          <w:p w14:paraId="5CAA4C61">
            <w:pPr>
              <w:adjustRightInd w:val="0"/>
              <w:snapToGrid w:val="0"/>
              <w:jc w:val="center"/>
            </w:pPr>
            <w:r>
              <w:t>——</w:t>
            </w:r>
          </w:p>
        </w:tc>
        <w:tc>
          <w:tcPr>
            <w:tcW w:w="1131" w:type="dxa"/>
            <w:vAlign w:val="center"/>
          </w:tcPr>
          <w:p w14:paraId="0C410BF8">
            <w:pPr>
              <w:adjustRightInd w:val="0"/>
              <w:snapToGrid w:val="0"/>
              <w:jc w:val="center"/>
            </w:pPr>
            <w:r>
              <w:t>——</w:t>
            </w:r>
          </w:p>
        </w:tc>
        <w:tc>
          <w:tcPr>
            <w:tcW w:w="1986" w:type="dxa"/>
            <w:vAlign w:val="center"/>
          </w:tcPr>
          <w:p w14:paraId="3674DDB2">
            <w:pPr>
              <w:adjustRightInd w:val="0"/>
              <w:snapToGrid w:val="0"/>
              <w:jc w:val="center"/>
            </w:pPr>
            <w:r>
              <w:t>——</w:t>
            </w:r>
          </w:p>
        </w:tc>
        <w:tc>
          <w:tcPr>
            <w:tcW w:w="2036" w:type="dxa"/>
            <w:vAlign w:val="center"/>
          </w:tcPr>
          <w:p w14:paraId="3C69BCC6">
            <w:pPr>
              <w:adjustRightInd w:val="0"/>
              <w:snapToGrid w:val="0"/>
              <w:jc w:val="center"/>
            </w:pPr>
            <w:r>
              <w:t>——</w:t>
            </w:r>
          </w:p>
        </w:tc>
      </w:tr>
      <w:tr w14:paraId="11D82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08964D7F">
            <w:pPr>
              <w:adjustRightInd w:val="0"/>
              <w:snapToGrid w:val="0"/>
              <w:jc w:val="center"/>
            </w:pPr>
            <w:r>
              <w:t>大气环境</w:t>
            </w:r>
          </w:p>
        </w:tc>
        <w:tc>
          <w:tcPr>
            <w:tcW w:w="2057" w:type="dxa"/>
            <w:vAlign w:val="center"/>
          </w:tcPr>
          <w:p w14:paraId="0927BE6F">
            <w:pPr>
              <w:adjustRightInd w:val="0"/>
              <w:snapToGrid w:val="0"/>
            </w:pPr>
            <w:r>
              <w:rPr>
                <w:rFonts w:hint="eastAsia"/>
              </w:rPr>
              <w:t>施工现场设置封闭围挡、车辆冲洗设施，硬化道路及堆场，裸土和易起尘物料采用防尘网覆盖；钻孔、开挖等作业采取湿法降尘，干旱大风天气增加洒水频次；渣土运输车辆密闭覆盖，严控装载高度；执行《建筑工程绿色施工规范》，落实扬尘防治责任及人员教育培训</w:t>
            </w:r>
            <w:r>
              <w:t>。</w:t>
            </w:r>
          </w:p>
        </w:tc>
        <w:tc>
          <w:tcPr>
            <w:tcW w:w="1131" w:type="dxa"/>
            <w:vAlign w:val="center"/>
          </w:tcPr>
          <w:p w14:paraId="54C14BC4">
            <w:pPr>
              <w:adjustRightInd w:val="0"/>
              <w:snapToGrid w:val="0"/>
            </w:pPr>
            <w:r>
              <w:t>施工场地无可见扬尘。</w:t>
            </w:r>
          </w:p>
        </w:tc>
        <w:tc>
          <w:tcPr>
            <w:tcW w:w="1986" w:type="dxa"/>
            <w:vAlign w:val="center"/>
          </w:tcPr>
          <w:p w14:paraId="168474D3">
            <w:pPr>
              <w:adjustRightInd w:val="0"/>
              <w:snapToGrid w:val="0"/>
              <w:jc w:val="center"/>
            </w:pPr>
            <w:r>
              <w:t>——</w:t>
            </w:r>
          </w:p>
        </w:tc>
        <w:tc>
          <w:tcPr>
            <w:tcW w:w="2036" w:type="dxa"/>
            <w:vAlign w:val="center"/>
          </w:tcPr>
          <w:p w14:paraId="7282753A">
            <w:pPr>
              <w:adjustRightInd w:val="0"/>
              <w:snapToGrid w:val="0"/>
              <w:jc w:val="center"/>
            </w:pPr>
            <w:r>
              <w:t>——</w:t>
            </w:r>
          </w:p>
        </w:tc>
      </w:tr>
      <w:tr w14:paraId="66A87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2BCBB33F">
            <w:pPr>
              <w:adjustRightInd w:val="0"/>
              <w:snapToGrid w:val="0"/>
              <w:jc w:val="center"/>
            </w:pPr>
            <w:r>
              <w:t>固体废物</w:t>
            </w:r>
          </w:p>
        </w:tc>
        <w:tc>
          <w:tcPr>
            <w:tcW w:w="2057" w:type="dxa"/>
            <w:vAlign w:val="center"/>
          </w:tcPr>
          <w:p w14:paraId="40A84F8E">
            <w:pPr>
              <w:adjustRightInd w:val="0"/>
              <w:snapToGrid w:val="0"/>
            </w:pPr>
            <w:r>
              <w:rPr>
                <w:rFonts w:hint="eastAsia"/>
              </w:rPr>
              <w:t>生活垃圾集中收集后随租住地垃圾统一处理；可回收废建材回收利用，不可回收建筑垃圾运至指定消纳场；临时堆土远离水体并采取挡护及苫盖措施，开挖土石方分层堆放、全部回填；施工临时占地铺设彩条布等隔离保护，结束后及时清理恢复；废泥浆固化后运至渣土场；设备维修产生的废机油等危险废物委托有资质单位处置，建立固废管理台账</w:t>
            </w:r>
            <w:r>
              <w:t>。</w:t>
            </w:r>
          </w:p>
        </w:tc>
        <w:tc>
          <w:tcPr>
            <w:tcW w:w="1131" w:type="dxa"/>
            <w:vAlign w:val="center"/>
          </w:tcPr>
          <w:p w14:paraId="1400C1FF">
            <w:pPr>
              <w:adjustRightInd w:val="0"/>
              <w:snapToGrid w:val="0"/>
            </w:pPr>
            <w:r>
              <w:t>固体废弃物收集处置率达到100%。</w:t>
            </w:r>
          </w:p>
        </w:tc>
        <w:tc>
          <w:tcPr>
            <w:tcW w:w="1986" w:type="dxa"/>
            <w:vAlign w:val="center"/>
          </w:tcPr>
          <w:p w14:paraId="7C1F0B15">
            <w:pPr>
              <w:adjustRightInd w:val="0"/>
              <w:snapToGrid w:val="0"/>
            </w:pPr>
            <w:r>
              <w:rPr>
                <w:lang w:val="zh-CN"/>
              </w:rPr>
              <w:t>废弃导线、螺丝</w:t>
            </w:r>
            <w:r>
              <w:rPr>
                <w:rFonts w:hint="eastAsia"/>
                <w:lang w:val="zh-CN"/>
              </w:rPr>
              <w:t>钉</w:t>
            </w:r>
            <w:r>
              <w:rPr>
                <w:lang w:val="zh-CN"/>
              </w:rPr>
              <w:t>等铁质材料，集中收集后，外售给废旧资源回收中心处置。</w:t>
            </w:r>
          </w:p>
        </w:tc>
        <w:tc>
          <w:tcPr>
            <w:tcW w:w="2036" w:type="dxa"/>
            <w:vAlign w:val="center"/>
          </w:tcPr>
          <w:p w14:paraId="4DF90E5A">
            <w:pPr>
              <w:adjustRightInd w:val="0"/>
              <w:snapToGrid w:val="0"/>
            </w:pPr>
            <w:r>
              <w:t>固体废弃物收集处置率达到100%。</w:t>
            </w:r>
          </w:p>
        </w:tc>
      </w:tr>
      <w:tr w14:paraId="2DF40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89" w:hRule="atLeast"/>
          <w:jc w:val="center"/>
        </w:trPr>
        <w:tc>
          <w:tcPr>
            <w:tcW w:w="1312" w:type="dxa"/>
            <w:vAlign w:val="center"/>
          </w:tcPr>
          <w:p w14:paraId="680D81C8">
            <w:pPr>
              <w:adjustRightInd w:val="0"/>
              <w:snapToGrid w:val="0"/>
              <w:jc w:val="center"/>
            </w:pPr>
            <w:r>
              <w:t>电磁环境</w:t>
            </w:r>
          </w:p>
        </w:tc>
        <w:tc>
          <w:tcPr>
            <w:tcW w:w="2057" w:type="dxa"/>
            <w:vAlign w:val="center"/>
          </w:tcPr>
          <w:p w14:paraId="6938C8D2">
            <w:pPr>
              <w:adjustRightInd w:val="0"/>
              <w:snapToGrid w:val="0"/>
              <w:jc w:val="center"/>
            </w:pPr>
            <w:r>
              <w:t>——</w:t>
            </w:r>
          </w:p>
        </w:tc>
        <w:tc>
          <w:tcPr>
            <w:tcW w:w="1131" w:type="dxa"/>
            <w:vAlign w:val="center"/>
          </w:tcPr>
          <w:p w14:paraId="427D0119">
            <w:pPr>
              <w:adjustRightInd w:val="0"/>
              <w:snapToGrid w:val="0"/>
              <w:jc w:val="center"/>
            </w:pPr>
            <w:r>
              <w:t>——</w:t>
            </w:r>
          </w:p>
        </w:tc>
        <w:tc>
          <w:tcPr>
            <w:tcW w:w="1986" w:type="dxa"/>
            <w:vAlign w:val="center"/>
          </w:tcPr>
          <w:p w14:paraId="509FE9A2">
            <w:pPr>
              <w:adjustRightInd w:val="0"/>
              <w:snapToGrid w:val="0"/>
            </w:pPr>
            <w:r>
              <w:t>输电线路：确保导线对地高度；合理选择导线类型。</w:t>
            </w:r>
          </w:p>
        </w:tc>
        <w:tc>
          <w:tcPr>
            <w:tcW w:w="2036" w:type="dxa"/>
            <w:vAlign w:val="center"/>
          </w:tcPr>
          <w:p w14:paraId="21D2C59E">
            <w:pPr>
              <w:adjustRightInd w:val="0"/>
              <w:snapToGrid w:val="0"/>
            </w:pPr>
            <w:r>
              <w:t>电磁环境满足《电磁环境控制限值》（GB8702-2014）中公众暴露控制限值（工频电场强度≤4000V/m、工频磁感应强度≤100μT）的要求。</w:t>
            </w:r>
          </w:p>
        </w:tc>
      </w:tr>
      <w:tr w14:paraId="11AC5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060E07F6">
            <w:pPr>
              <w:adjustRightInd w:val="0"/>
              <w:snapToGrid w:val="0"/>
              <w:jc w:val="center"/>
            </w:pPr>
            <w:r>
              <w:t>环境风险</w:t>
            </w:r>
          </w:p>
        </w:tc>
        <w:tc>
          <w:tcPr>
            <w:tcW w:w="2057" w:type="dxa"/>
            <w:vAlign w:val="center"/>
          </w:tcPr>
          <w:p w14:paraId="63540FDA">
            <w:pPr>
              <w:adjustRightInd w:val="0"/>
              <w:snapToGrid w:val="0"/>
              <w:jc w:val="center"/>
            </w:pPr>
            <w:r>
              <w:t>——</w:t>
            </w:r>
          </w:p>
        </w:tc>
        <w:tc>
          <w:tcPr>
            <w:tcW w:w="1131" w:type="dxa"/>
            <w:vAlign w:val="center"/>
          </w:tcPr>
          <w:p w14:paraId="2AF113D6">
            <w:pPr>
              <w:adjustRightInd w:val="0"/>
              <w:snapToGrid w:val="0"/>
              <w:jc w:val="center"/>
            </w:pPr>
            <w:r>
              <w:t>——</w:t>
            </w:r>
          </w:p>
        </w:tc>
        <w:tc>
          <w:tcPr>
            <w:tcW w:w="1986" w:type="dxa"/>
            <w:vAlign w:val="center"/>
          </w:tcPr>
          <w:p w14:paraId="7D92B2F5">
            <w:pPr>
              <w:adjustRightInd w:val="0"/>
              <w:snapToGrid w:val="0"/>
              <w:jc w:val="center"/>
            </w:pPr>
            <w:r>
              <w:t>——</w:t>
            </w:r>
          </w:p>
        </w:tc>
        <w:tc>
          <w:tcPr>
            <w:tcW w:w="2036" w:type="dxa"/>
            <w:vAlign w:val="center"/>
          </w:tcPr>
          <w:p w14:paraId="7FE8665F">
            <w:pPr>
              <w:adjustRightInd w:val="0"/>
              <w:snapToGrid w:val="0"/>
              <w:jc w:val="center"/>
            </w:pPr>
            <w:r>
              <w:t>——</w:t>
            </w:r>
          </w:p>
        </w:tc>
      </w:tr>
      <w:tr w14:paraId="291F6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1B928B05">
            <w:pPr>
              <w:adjustRightInd w:val="0"/>
              <w:snapToGrid w:val="0"/>
              <w:jc w:val="center"/>
            </w:pPr>
            <w:r>
              <w:t>环境监测</w:t>
            </w:r>
          </w:p>
        </w:tc>
        <w:tc>
          <w:tcPr>
            <w:tcW w:w="2057" w:type="dxa"/>
            <w:vAlign w:val="center"/>
          </w:tcPr>
          <w:p w14:paraId="5FEC077F">
            <w:pPr>
              <w:adjustRightInd w:val="0"/>
              <w:snapToGrid w:val="0"/>
              <w:jc w:val="center"/>
            </w:pPr>
            <w:r>
              <w:t>——</w:t>
            </w:r>
          </w:p>
        </w:tc>
        <w:tc>
          <w:tcPr>
            <w:tcW w:w="1131" w:type="dxa"/>
            <w:vAlign w:val="center"/>
          </w:tcPr>
          <w:p w14:paraId="7CE87451">
            <w:pPr>
              <w:adjustRightInd w:val="0"/>
              <w:snapToGrid w:val="0"/>
              <w:jc w:val="center"/>
            </w:pPr>
            <w:r>
              <w:t>——</w:t>
            </w:r>
          </w:p>
        </w:tc>
        <w:tc>
          <w:tcPr>
            <w:tcW w:w="1986" w:type="dxa"/>
            <w:vAlign w:val="center"/>
          </w:tcPr>
          <w:p w14:paraId="7CC337D1">
            <w:pPr>
              <w:adjustRightInd w:val="0"/>
              <w:snapToGrid w:val="0"/>
            </w:pPr>
            <w:r>
              <w:t>制定电磁、噪声监测计划。</w:t>
            </w:r>
          </w:p>
        </w:tc>
        <w:tc>
          <w:tcPr>
            <w:tcW w:w="2036" w:type="dxa"/>
            <w:vAlign w:val="center"/>
          </w:tcPr>
          <w:p w14:paraId="68413872">
            <w:pPr>
              <w:adjustRightInd w:val="0"/>
              <w:snapToGrid w:val="0"/>
            </w:pPr>
            <w:r>
              <w:t>竣工验收时及有投诉情况时，进行监测。</w:t>
            </w:r>
          </w:p>
        </w:tc>
      </w:tr>
      <w:tr w14:paraId="75C70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2" w:type="dxa"/>
            <w:vAlign w:val="center"/>
          </w:tcPr>
          <w:p w14:paraId="33C32ED5">
            <w:pPr>
              <w:adjustRightInd w:val="0"/>
              <w:snapToGrid w:val="0"/>
              <w:jc w:val="center"/>
            </w:pPr>
            <w:r>
              <w:t>其他</w:t>
            </w:r>
          </w:p>
        </w:tc>
        <w:tc>
          <w:tcPr>
            <w:tcW w:w="2057" w:type="dxa"/>
            <w:vAlign w:val="center"/>
          </w:tcPr>
          <w:p w14:paraId="61E8772C">
            <w:pPr>
              <w:adjustRightInd w:val="0"/>
              <w:snapToGrid w:val="0"/>
              <w:jc w:val="center"/>
            </w:pPr>
            <w:r>
              <w:t>——</w:t>
            </w:r>
          </w:p>
        </w:tc>
        <w:tc>
          <w:tcPr>
            <w:tcW w:w="1131" w:type="dxa"/>
            <w:vAlign w:val="center"/>
          </w:tcPr>
          <w:p w14:paraId="2E30AC00">
            <w:pPr>
              <w:adjustRightInd w:val="0"/>
              <w:snapToGrid w:val="0"/>
              <w:jc w:val="center"/>
            </w:pPr>
            <w:r>
              <w:t>——</w:t>
            </w:r>
          </w:p>
        </w:tc>
        <w:tc>
          <w:tcPr>
            <w:tcW w:w="1986" w:type="dxa"/>
            <w:vAlign w:val="center"/>
          </w:tcPr>
          <w:p w14:paraId="1C434DC0">
            <w:pPr>
              <w:adjustRightInd w:val="0"/>
              <w:snapToGrid w:val="0"/>
              <w:jc w:val="center"/>
            </w:pPr>
            <w:r>
              <w:t>——</w:t>
            </w:r>
          </w:p>
        </w:tc>
        <w:tc>
          <w:tcPr>
            <w:tcW w:w="2036" w:type="dxa"/>
            <w:vAlign w:val="center"/>
          </w:tcPr>
          <w:p w14:paraId="5D0A78BE">
            <w:pPr>
              <w:adjustRightInd w:val="0"/>
              <w:snapToGrid w:val="0"/>
              <w:jc w:val="center"/>
            </w:pPr>
            <w:r>
              <w:t>——</w:t>
            </w:r>
          </w:p>
        </w:tc>
      </w:tr>
    </w:tbl>
    <w:p w14:paraId="6E910AE6">
      <w:pPr>
        <w:pStyle w:val="39"/>
        <w:spacing w:before="192" w:beforeLines="80" w:beforeAutospacing="0"/>
        <w:jc w:val="center"/>
        <w:rPr>
          <w:rFonts w:ascii="Times New Roman" w:hAnsi="Times New Roman" w:eastAsia="黑体"/>
          <w:snapToGrid w:val="0"/>
          <w:sz w:val="30"/>
          <w:szCs w:val="30"/>
        </w:rPr>
      </w:pPr>
    </w:p>
    <w:p w14:paraId="4D5C0860">
      <w:pPr>
        <w:pStyle w:val="39"/>
        <w:spacing w:before="192" w:beforeLines="80" w:beforeAutospacing="0"/>
        <w:rPr>
          <w:rFonts w:ascii="Times New Roman" w:hAnsi="Times New Roman" w:eastAsia="黑体"/>
          <w:snapToGrid w:val="0"/>
          <w:sz w:val="30"/>
          <w:szCs w:val="30"/>
        </w:rPr>
        <w:sectPr>
          <w:pgSz w:w="11906" w:h="16838"/>
          <w:pgMar w:top="1440" w:right="1800" w:bottom="1440" w:left="1800" w:header="851" w:footer="1077" w:gutter="0"/>
          <w:cols w:space="720" w:num="1"/>
          <w:docGrid w:linePitch="312" w:charSpace="0"/>
        </w:sectPr>
      </w:pPr>
    </w:p>
    <w:p w14:paraId="5EBA173A">
      <w:pPr>
        <w:pStyle w:val="39"/>
        <w:spacing w:before="192" w:beforeLines="80" w:beforeAutospacing="0"/>
        <w:jc w:val="center"/>
        <w:outlineLvl w:val="0"/>
        <w:rPr>
          <w:rFonts w:ascii="Times New Roman" w:hAnsi="Times New Roman" w:eastAsia="黑体"/>
          <w:snapToGrid w:val="0"/>
          <w:sz w:val="30"/>
          <w:szCs w:val="30"/>
        </w:rPr>
      </w:pPr>
      <w:bookmarkStart w:id="116" w:name="_Toc26518"/>
      <w:bookmarkStart w:id="117" w:name="_Toc25582"/>
      <w:bookmarkStart w:id="118" w:name="_Toc4166"/>
      <w:bookmarkStart w:id="119" w:name="_Toc1875"/>
      <w:bookmarkStart w:id="120" w:name="_Toc16515"/>
      <w:bookmarkStart w:id="121" w:name="_Toc24055"/>
      <w:bookmarkStart w:id="122" w:name="_Toc21868"/>
      <w:bookmarkStart w:id="123" w:name="_Toc227764338"/>
      <w:bookmarkStart w:id="124" w:name="_Toc225952994"/>
      <w:r>
        <w:rPr>
          <w:rFonts w:ascii="Times New Roman" w:hAnsi="Times New Roman" w:eastAsia="黑体"/>
          <w:snapToGrid w:val="0"/>
          <w:sz w:val="30"/>
          <w:szCs w:val="30"/>
        </w:rPr>
        <w:t>七、结论</w:t>
      </w:r>
      <w:bookmarkEnd w:id="116"/>
      <w:bookmarkEnd w:id="117"/>
      <w:bookmarkEnd w:id="118"/>
      <w:bookmarkEnd w:id="119"/>
      <w:bookmarkEnd w:id="120"/>
      <w:bookmarkEnd w:id="121"/>
      <w:bookmarkEnd w:id="122"/>
      <w:bookmarkEnd w:id="123"/>
      <w:bookmarkEnd w:id="124"/>
    </w:p>
    <w:tbl>
      <w:tblPr>
        <w:tblStyle w:val="4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15CAB8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tcPr>
          <w:p w14:paraId="52582E9A">
            <w:pPr>
              <w:pStyle w:val="26"/>
              <w:spacing w:line="360" w:lineRule="auto"/>
              <w:ind w:firstLine="480" w:firstLineChars="200"/>
              <w:outlineLvl w:val="1"/>
              <w:rPr>
                <w:rFonts w:ascii="Times New Roman" w:hAnsi="Times New Roman"/>
                <w:bCs/>
                <w:sz w:val="24"/>
                <w:szCs w:val="24"/>
              </w:rPr>
            </w:pPr>
            <w:bookmarkStart w:id="125" w:name="_Toc227764339"/>
            <w:r>
              <w:rPr>
                <w:rFonts w:hint="eastAsia" w:ascii="Times New Roman" w:hAnsi="Times New Roman"/>
                <w:bCs/>
                <w:sz w:val="24"/>
                <w:szCs w:val="24"/>
              </w:rPr>
              <w:t>本项目的建设符合国家产业政策、相关法律法规和规划，工程区域的水、气、声、生态、电磁等环境质量现状较好。项目在设计、施工、运行过程中将按照国家相关环境保护要求，采取各项环境保护措施，减轻工程建设产生的环境影响，对环境污染和生态破坏的程度可以接受。</w:t>
            </w:r>
            <w:bookmarkEnd w:id="125"/>
          </w:p>
          <w:p w14:paraId="3B8B2B5E">
            <w:pPr>
              <w:pStyle w:val="26"/>
              <w:spacing w:line="360" w:lineRule="auto"/>
              <w:ind w:firstLine="480" w:firstLineChars="200"/>
              <w:outlineLvl w:val="1"/>
              <w:rPr>
                <w:rFonts w:ascii="Times New Roman" w:hAnsi="Times New Roman"/>
                <w:bCs/>
                <w:sz w:val="24"/>
                <w:szCs w:val="24"/>
              </w:rPr>
            </w:pPr>
            <w:r>
              <w:rPr>
                <w:rFonts w:hint="eastAsia" w:ascii="Times New Roman" w:hAnsi="Times New Roman"/>
                <w:bCs/>
                <w:sz w:val="24"/>
                <w:szCs w:val="24"/>
              </w:rPr>
              <w:t>本项目不涉及自然保护区、风景名胜区、集中式饮用水源保护区、基本草原、生态保护红线等各类环境敏感区，不涉及占用永久基本农田、国家级和省级公益林。</w:t>
            </w:r>
          </w:p>
          <w:p w14:paraId="5C11111F">
            <w:pPr>
              <w:spacing w:line="360" w:lineRule="auto"/>
              <w:ind w:firstLine="480" w:firstLineChars="200"/>
            </w:pPr>
            <w:r>
              <w:rPr>
                <w:rFonts w:hint="eastAsia"/>
                <w:bCs/>
                <w:sz w:val="24"/>
                <w:szCs w:val="24"/>
              </w:rPr>
              <w:t>在严格执行本次环境影响报告表中规定的各项污染防治措施和生态保护措施后，从环境保护角度分析，本工程建设可行。</w:t>
            </w:r>
          </w:p>
        </w:tc>
      </w:tr>
    </w:tbl>
    <w:p w14:paraId="1D165DA7">
      <w:pPr>
        <w:pStyle w:val="39"/>
        <w:adjustRightInd w:val="0"/>
        <w:snapToGrid w:val="0"/>
        <w:spacing w:before="0" w:beforeAutospacing="0" w:after="0" w:afterAutospacing="0" w:line="648" w:lineRule="auto"/>
        <w:rPr>
          <w:rFonts w:ascii="Times New Roman" w:hAnsi="Times New Roman"/>
        </w:rPr>
        <w:sectPr>
          <w:pgSz w:w="11906" w:h="16838"/>
          <w:pgMar w:top="1440" w:right="1800" w:bottom="1440" w:left="1800" w:header="851" w:footer="1077" w:gutter="0"/>
          <w:cols w:space="720" w:num="1"/>
          <w:docGrid w:linePitch="312" w:charSpace="0"/>
        </w:sectPr>
      </w:pPr>
    </w:p>
    <w:p w14:paraId="7E138922">
      <w:pPr>
        <w:spacing w:before="156" w:beforeLines="50" w:line="480" w:lineRule="auto"/>
        <w:jc w:val="center"/>
        <w:rPr>
          <w:b/>
          <w:sz w:val="48"/>
          <w:szCs w:val="48"/>
        </w:rPr>
      </w:pPr>
    </w:p>
    <w:p w14:paraId="4E80E9C4">
      <w:pPr>
        <w:spacing w:before="156" w:beforeLines="50" w:line="360" w:lineRule="auto"/>
        <w:jc w:val="center"/>
        <w:rPr>
          <w:b/>
          <w:sz w:val="44"/>
          <w:szCs w:val="48"/>
        </w:rPr>
      </w:pPr>
      <w:r>
        <w:rPr>
          <w:b/>
          <w:sz w:val="44"/>
          <w:szCs w:val="48"/>
        </w:rPr>
        <w:t>富源云能新能源有限公司</w:t>
      </w:r>
    </w:p>
    <w:p w14:paraId="4294ED54">
      <w:pPr>
        <w:spacing w:before="156" w:beforeLines="50" w:line="360" w:lineRule="auto"/>
        <w:jc w:val="center"/>
        <w:rPr>
          <w:b/>
          <w:sz w:val="44"/>
          <w:szCs w:val="48"/>
        </w:rPr>
      </w:pPr>
      <w:r>
        <w:rPr>
          <w:b/>
          <w:sz w:val="44"/>
          <w:szCs w:val="48"/>
        </w:rPr>
        <w:t>南冲风电场110kV送出线路工程</w:t>
      </w:r>
    </w:p>
    <w:p w14:paraId="66618349">
      <w:pPr>
        <w:pStyle w:val="28"/>
      </w:pPr>
    </w:p>
    <w:p w14:paraId="45F66435">
      <w:pPr>
        <w:tabs>
          <w:tab w:val="center" w:pos="4260"/>
          <w:tab w:val="left" w:pos="7331"/>
        </w:tabs>
        <w:spacing w:before="1248" w:beforeLines="400" w:line="660" w:lineRule="auto"/>
        <w:jc w:val="left"/>
        <w:outlineLvl w:val="0"/>
        <w:rPr>
          <w:b/>
          <w:bCs/>
          <w:sz w:val="56"/>
          <w:szCs w:val="56"/>
        </w:rPr>
      </w:pPr>
      <w:r>
        <w:rPr>
          <w:b/>
          <w:bCs/>
          <w:sz w:val="52"/>
          <w:szCs w:val="52"/>
        </w:rPr>
        <w:tab/>
      </w:r>
      <w:bookmarkStart w:id="126" w:name="_Toc16278"/>
      <w:bookmarkStart w:id="127" w:name="_Toc225952995"/>
      <w:bookmarkStart w:id="128" w:name="_Toc833"/>
      <w:bookmarkStart w:id="129" w:name="_Toc227764340"/>
      <w:r>
        <w:rPr>
          <w:b/>
          <w:bCs/>
          <w:sz w:val="56"/>
          <w:szCs w:val="56"/>
        </w:rPr>
        <w:t>电磁环境影响专题评价报告</w:t>
      </w:r>
      <w:bookmarkEnd w:id="126"/>
      <w:bookmarkEnd w:id="127"/>
      <w:bookmarkEnd w:id="128"/>
      <w:bookmarkEnd w:id="129"/>
    </w:p>
    <w:p w14:paraId="186F132F">
      <w:pPr>
        <w:pStyle w:val="141"/>
        <w:spacing w:line="360" w:lineRule="auto"/>
        <w:ind w:firstLine="480"/>
      </w:pPr>
    </w:p>
    <w:p w14:paraId="783FA1F3">
      <w:pPr>
        <w:pStyle w:val="141"/>
        <w:spacing w:line="360" w:lineRule="auto"/>
        <w:ind w:firstLine="480"/>
      </w:pPr>
    </w:p>
    <w:p w14:paraId="3C34EA1A">
      <w:pPr>
        <w:pStyle w:val="141"/>
        <w:spacing w:line="360" w:lineRule="auto"/>
        <w:ind w:firstLine="480"/>
      </w:pPr>
    </w:p>
    <w:p w14:paraId="5505C6FA">
      <w:pPr>
        <w:pStyle w:val="141"/>
        <w:spacing w:line="360" w:lineRule="auto"/>
        <w:ind w:firstLine="480"/>
      </w:pPr>
    </w:p>
    <w:p w14:paraId="59AF555D">
      <w:pPr>
        <w:pStyle w:val="141"/>
        <w:spacing w:line="360" w:lineRule="auto"/>
        <w:ind w:firstLine="480"/>
      </w:pPr>
    </w:p>
    <w:p w14:paraId="366AA3E2">
      <w:pPr>
        <w:pStyle w:val="141"/>
        <w:spacing w:line="360" w:lineRule="auto"/>
        <w:ind w:firstLine="480"/>
      </w:pPr>
    </w:p>
    <w:p w14:paraId="341DD970">
      <w:pPr>
        <w:pStyle w:val="141"/>
        <w:spacing w:line="360" w:lineRule="auto"/>
        <w:ind w:firstLine="480"/>
      </w:pPr>
    </w:p>
    <w:p w14:paraId="782B6A56">
      <w:pPr>
        <w:pStyle w:val="141"/>
        <w:spacing w:line="360" w:lineRule="auto"/>
        <w:ind w:firstLine="480"/>
      </w:pPr>
    </w:p>
    <w:p w14:paraId="349B5E7A">
      <w:pPr>
        <w:pStyle w:val="141"/>
        <w:spacing w:line="360" w:lineRule="auto"/>
        <w:ind w:firstLine="480"/>
      </w:pPr>
    </w:p>
    <w:p w14:paraId="47844443">
      <w:pPr>
        <w:pStyle w:val="141"/>
        <w:spacing w:line="360" w:lineRule="auto"/>
        <w:ind w:firstLine="480"/>
      </w:pPr>
    </w:p>
    <w:p w14:paraId="4E6D61DB">
      <w:pPr>
        <w:pStyle w:val="141"/>
        <w:spacing w:line="360" w:lineRule="auto"/>
        <w:ind w:firstLine="480"/>
      </w:pPr>
    </w:p>
    <w:p w14:paraId="554FF7FB">
      <w:pPr>
        <w:pStyle w:val="141"/>
        <w:spacing w:line="360" w:lineRule="auto"/>
        <w:ind w:firstLine="0" w:firstLineChars="0"/>
        <w:jc w:val="center"/>
        <w:rPr>
          <w:rFonts w:eastAsia="黑体"/>
          <w:bCs/>
          <w:spacing w:val="-20"/>
          <w:sz w:val="36"/>
          <w:szCs w:val="36"/>
        </w:rPr>
      </w:pPr>
      <w:r>
        <w:rPr>
          <w:rFonts w:hint="eastAsia" w:eastAsia="黑体"/>
          <w:bCs/>
          <w:spacing w:val="-20"/>
          <w:sz w:val="36"/>
          <w:szCs w:val="36"/>
        </w:rPr>
        <w:t>建设</w:t>
      </w:r>
      <w:r>
        <w:rPr>
          <w:rFonts w:eastAsia="黑体"/>
          <w:bCs/>
          <w:spacing w:val="-20"/>
          <w:sz w:val="36"/>
          <w:szCs w:val="36"/>
        </w:rPr>
        <w:t>单位：</w:t>
      </w:r>
      <w:r>
        <w:rPr>
          <w:rFonts w:hint="eastAsia" w:eastAsia="黑体"/>
          <w:bCs/>
          <w:spacing w:val="-20"/>
          <w:sz w:val="36"/>
          <w:szCs w:val="36"/>
        </w:rPr>
        <w:t>富源云能新能源有限公司</w:t>
      </w:r>
    </w:p>
    <w:p w14:paraId="102015FB">
      <w:pPr>
        <w:pStyle w:val="141"/>
        <w:spacing w:line="360" w:lineRule="auto"/>
        <w:ind w:firstLine="0" w:firstLineChars="0"/>
        <w:jc w:val="center"/>
        <w:rPr>
          <w:rFonts w:eastAsia="黑体"/>
          <w:bCs/>
          <w:sz w:val="32"/>
          <w:szCs w:val="32"/>
        </w:rPr>
      </w:pPr>
    </w:p>
    <w:p w14:paraId="77E947D3">
      <w:pPr>
        <w:pStyle w:val="141"/>
        <w:spacing w:line="360" w:lineRule="auto"/>
        <w:ind w:firstLine="0" w:firstLineChars="0"/>
        <w:jc w:val="center"/>
        <w:rPr>
          <w:rFonts w:eastAsia="黑体"/>
          <w:bCs/>
          <w:sz w:val="36"/>
          <w:szCs w:val="36"/>
        </w:rPr>
      </w:pPr>
      <w:r>
        <w:rPr>
          <w:rFonts w:eastAsia="黑体"/>
          <w:bCs/>
          <w:sz w:val="32"/>
          <w:szCs w:val="32"/>
        </w:rPr>
        <w:t>编制日期：2026年7月</w:t>
      </w:r>
    </w:p>
    <w:p w14:paraId="44C0272A">
      <w:pPr>
        <w:pStyle w:val="141"/>
        <w:spacing w:line="360" w:lineRule="auto"/>
        <w:ind w:firstLine="199" w:firstLineChars="83"/>
        <w:sectPr>
          <w:footerReference r:id="rId10" w:type="default"/>
          <w:footerReference r:id="rId11" w:type="even"/>
          <w:pgSz w:w="11906" w:h="16838"/>
          <w:pgMar w:top="1985" w:right="1701" w:bottom="1985" w:left="1701" w:header="851" w:footer="992" w:gutter="0"/>
          <w:pgNumType w:start="1"/>
          <w:cols w:space="720" w:num="1"/>
          <w:docGrid w:type="linesAndChars" w:linePitch="312" w:charSpace="0"/>
        </w:sectPr>
      </w:pPr>
    </w:p>
    <w:p w14:paraId="0E52C256">
      <w:pPr>
        <w:pStyle w:val="275"/>
        <w:spacing w:before="31" w:beforeLines="10" w:after="31" w:afterLines="10" w:line="360" w:lineRule="auto"/>
        <w:jc w:val="left"/>
        <w:outlineLvl w:val="1"/>
        <w:rPr>
          <w:rFonts w:eastAsia="宋体"/>
        </w:rPr>
      </w:pPr>
      <w:bookmarkStart w:id="130" w:name="_Toc18429"/>
      <w:bookmarkStart w:id="131" w:name="_Toc225952996"/>
      <w:bookmarkStart w:id="132" w:name="_Toc13101"/>
      <w:bookmarkStart w:id="133" w:name="_Toc30961"/>
      <w:bookmarkStart w:id="134" w:name="_Toc15324"/>
      <w:bookmarkStart w:id="135" w:name="_Toc10315"/>
      <w:bookmarkStart w:id="136" w:name="_Toc11381"/>
      <w:bookmarkStart w:id="137" w:name="_Toc227764341"/>
      <w:r>
        <w:rPr>
          <w:rFonts w:eastAsia="宋体"/>
        </w:rPr>
        <w:t>1、前言</w:t>
      </w:r>
      <w:bookmarkEnd w:id="130"/>
      <w:bookmarkEnd w:id="131"/>
      <w:bookmarkEnd w:id="132"/>
      <w:bookmarkEnd w:id="133"/>
      <w:bookmarkEnd w:id="134"/>
      <w:bookmarkEnd w:id="135"/>
      <w:bookmarkEnd w:id="136"/>
      <w:bookmarkEnd w:id="137"/>
    </w:p>
    <w:p w14:paraId="17F6101F">
      <w:pPr>
        <w:pStyle w:val="189"/>
        <w:ind w:left="0" w:right="0" w:firstLine="480"/>
        <w:jc w:val="both"/>
        <w:rPr>
          <w:sz w:val="24"/>
        </w:rPr>
      </w:pPr>
      <w:r>
        <w:rPr>
          <w:sz w:val="24"/>
        </w:rPr>
        <w:t>南冲风电场110kV送出</w:t>
      </w:r>
      <w:r>
        <w:rPr>
          <w:rFonts w:hint="eastAsia"/>
          <w:sz w:val="24"/>
        </w:rPr>
        <w:t>线路主要建设内容线路位于曲靖市富源县营上镇境内，线路从南冲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线路全长约4.851km，线路曲折系数1.1，架空线路使用铁塔23基（其中直线塔8基，占34.8%，耐张塔15基，占65.2%）。该方案不涉及国家级和省级公益林、生态红线、基本农田、矿区。全线位于曲靖市富源县境内</w:t>
      </w:r>
      <w:r>
        <w:rPr>
          <w:sz w:val="24"/>
        </w:rPr>
        <w:t>。工程为线性工程，总体走向为</w:t>
      </w:r>
      <w:r>
        <w:rPr>
          <w:rFonts w:hint="eastAsia"/>
          <w:sz w:val="24"/>
        </w:rPr>
        <w:t>西南</w:t>
      </w:r>
      <w:r>
        <w:rPr>
          <w:sz w:val="24"/>
        </w:rPr>
        <w:t>至</w:t>
      </w:r>
      <w:r>
        <w:rPr>
          <w:rFonts w:hint="eastAsia"/>
          <w:sz w:val="24"/>
        </w:rPr>
        <w:t>东北</w:t>
      </w:r>
      <w:r>
        <w:rPr>
          <w:sz w:val="24"/>
        </w:rPr>
        <w:t>向，</w:t>
      </w:r>
      <w:r>
        <w:rPr>
          <w:rFonts w:hint="eastAsia"/>
          <w:sz w:val="24"/>
        </w:rPr>
        <w:t>工程地理坐标介于104°22'443.035"~104°25'20.552"，25°26'35.231"~25°26'59.521"</w:t>
      </w:r>
      <w:r>
        <w:rPr>
          <w:sz w:val="24"/>
        </w:rPr>
        <w:t>之间</w:t>
      </w:r>
      <w:r>
        <w:rPr>
          <w:sz w:val="24"/>
          <w:szCs w:val="32"/>
        </w:rPr>
        <w:t>。开发建设南冲风电场工程可以有效利用当地丰富的风能资源，满足富源县负荷发展需要，加快曲靖市电源结构调整，促进能源的可持续发展。本工程建设主要为满足南冲风电场</w:t>
      </w:r>
      <w:r>
        <w:rPr>
          <w:rFonts w:hint="eastAsia"/>
          <w:sz w:val="24"/>
          <w:szCs w:val="32"/>
        </w:rPr>
        <w:t>及后续规划的其他项目</w:t>
      </w:r>
      <w:r>
        <w:rPr>
          <w:sz w:val="24"/>
          <w:szCs w:val="32"/>
        </w:rPr>
        <w:t>电力的送出和消纳。该项目的建设有利于曲靖市电源结构的调整，促进能源的可持续发展。</w:t>
      </w:r>
    </w:p>
    <w:p w14:paraId="55D5358D">
      <w:pPr>
        <w:pStyle w:val="141"/>
        <w:adjustRightInd w:val="0"/>
        <w:snapToGrid w:val="0"/>
        <w:spacing w:line="360" w:lineRule="auto"/>
        <w:ind w:firstLine="480"/>
      </w:pPr>
      <w:r>
        <w:t>2025年10月，富源云能新能源有限公司委托中国电建集团昆明勘测设计研究院有限公司承担本项目的环境影响评价工作。接受评价任务后，评价人员首先对项目设计资料进行了研究分析，初步掌握了项目的工程特性以及项目所在地区的自然环境状况，在此基础上明确了本项目环境影响评价重点，对下一步评价工作做出了安排，并进行了组织分工。2025年11月</w:t>
      </w:r>
      <w:r>
        <w:rPr>
          <w:rFonts w:hint="eastAsia"/>
        </w:rPr>
        <w:t>和2</w:t>
      </w:r>
      <w:r>
        <w:t>026</w:t>
      </w:r>
      <w:r>
        <w:rPr>
          <w:rFonts w:hint="eastAsia"/>
        </w:rPr>
        <w:t>年3月</w:t>
      </w:r>
      <w:r>
        <w:t>，评价人员对项目工程区域及评价范围进行了现场踏勘和资料收集；委托了</w:t>
      </w:r>
      <w:r>
        <w:rPr>
          <w:rFonts w:hint="eastAsia"/>
        </w:rPr>
        <w:t>云南科环环境工程咨询有限公司</w:t>
      </w:r>
      <w:r>
        <w:rPr>
          <w:bCs/>
        </w:rPr>
        <w:t>对项目区工频电场强度、工频磁感应强度进行了</w:t>
      </w:r>
      <w:r>
        <w:rPr>
          <w:rFonts w:hint="eastAsia"/>
          <w:bCs/>
        </w:rPr>
        <w:t>电磁环境监测</w:t>
      </w:r>
      <w:r>
        <w:t>。</w:t>
      </w:r>
    </w:p>
    <w:p w14:paraId="6F743637">
      <w:pPr>
        <w:pStyle w:val="141"/>
        <w:adjustRightInd w:val="0"/>
        <w:snapToGrid w:val="0"/>
        <w:spacing w:line="360" w:lineRule="auto"/>
        <w:ind w:firstLine="480"/>
      </w:pPr>
      <w:r>
        <w:t>评价人员在掌握了充分的第一手资料，并对资料和数据进行了细致的分析研究后，对工程建成运营后产生的工频电场强度、工频磁感应强度等污染因素对环境的影响进行了预测评价，根据项目特点提出了相应的环境保护措施。在此基础上，从环保角度论证了本项目的可行性，于2026年5月编制完成了《南冲风电场110kV送出线路工程电磁环境影响专</w:t>
      </w:r>
      <w:r>
        <w:rPr>
          <w:rFonts w:hint="eastAsia"/>
        </w:rPr>
        <w:t>题</w:t>
      </w:r>
      <w:r>
        <w:t>评价</w:t>
      </w:r>
      <w:r>
        <w:rPr>
          <w:rFonts w:hint="eastAsia"/>
        </w:rPr>
        <w:t>报告</w:t>
      </w:r>
      <w:r>
        <w:t>》。</w:t>
      </w:r>
    </w:p>
    <w:p w14:paraId="5850CD92">
      <w:pPr>
        <w:adjustRightInd w:val="0"/>
        <w:snapToGrid w:val="0"/>
        <w:spacing w:line="360" w:lineRule="auto"/>
        <w:ind w:firstLine="480" w:firstLineChars="200"/>
        <w:rPr>
          <w:sz w:val="24"/>
        </w:rPr>
      </w:pPr>
      <w:r>
        <w:rPr>
          <w:sz w:val="24"/>
        </w:rPr>
        <w:t>本专</w:t>
      </w:r>
      <w:r>
        <w:rPr>
          <w:rFonts w:hint="eastAsia"/>
          <w:sz w:val="24"/>
        </w:rPr>
        <w:t>题</w:t>
      </w:r>
      <w:r>
        <w:rPr>
          <w:sz w:val="24"/>
        </w:rPr>
        <w:t>对项目所在区域的工频电场强度、工频磁感应强度现状进行了</w:t>
      </w:r>
      <w:r>
        <w:rPr>
          <w:rFonts w:hint="eastAsia"/>
          <w:sz w:val="24"/>
        </w:rPr>
        <w:t>电磁环境监测</w:t>
      </w:r>
      <w:r>
        <w:rPr>
          <w:sz w:val="24"/>
        </w:rPr>
        <w:t>，预测和分析评价了本项目建成后产生的工频电场强度、工频磁感应强度对环境的影响，从电磁环境影响角度论证了本项目建设的可行性，提出预防措施。</w:t>
      </w:r>
    </w:p>
    <w:p w14:paraId="2EEB41F7">
      <w:pPr>
        <w:pStyle w:val="141"/>
        <w:spacing w:line="360" w:lineRule="auto"/>
        <w:ind w:firstLine="480"/>
        <w:sectPr>
          <w:pgSz w:w="11906" w:h="16838"/>
          <w:pgMar w:top="1985" w:right="1701" w:bottom="1985" w:left="1701" w:header="851" w:footer="992" w:gutter="0"/>
          <w:pgNumType w:start="1"/>
          <w:cols w:space="720" w:num="1"/>
          <w:docGrid w:type="linesAndChars" w:linePitch="312" w:charSpace="0"/>
        </w:sectPr>
      </w:pPr>
    </w:p>
    <w:p w14:paraId="124E781A">
      <w:pPr>
        <w:pStyle w:val="39"/>
        <w:keepNext/>
        <w:keepLines/>
        <w:widowControl w:val="0"/>
        <w:spacing w:before="0" w:beforeAutospacing="0" w:after="0" w:afterAutospacing="0" w:line="360" w:lineRule="auto"/>
        <w:outlineLvl w:val="1"/>
        <w:rPr>
          <w:rFonts w:ascii="Times New Roman" w:hAnsi="Times New Roman"/>
        </w:rPr>
      </w:pPr>
      <w:bookmarkStart w:id="138" w:name="_Toc24738"/>
      <w:bookmarkStart w:id="139" w:name="_Toc28765"/>
      <w:bookmarkStart w:id="140" w:name="_Toc23996"/>
      <w:bookmarkStart w:id="141" w:name="_Toc4498"/>
      <w:bookmarkStart w:id="142" w:name="_Toc19350"/>
      <w:bookmarkStart w:id="143" w:name="_Toc18893"/>
      <w:bookmarkStart w:id="144" w:name="_Toc225952997"/>
      <w:bookmarkStart w:id="145" w:name="_Toc227764342"/>
      <w:bookmarkStart w:id="146" w:name="_Toc17101539"/>
      <w:r>
        <w:rPr>
          <w:rFonts w:ascii="Times New Roman" w:hAnsi="Times New Roman"/>
          <w:b/>
          <w:kern w:val="44"/>
          <w:sz w:val="30"/>
          <w:szCs w:val="30"/>
          <w:lang w:bidi="ar"/>
        </w:rPr>
        <w:t>2、编制依据</w:t>
      </w:r>
      <w:bookmarkEnd w:id="138"/>
      <w:bookmarkEnd w:id="139"/>
      <w:bookmarkEnd w:id="140"/>
      <w:bookmarkEnd w:id="141"/>
      <w:bookmarkEnd w:id="142"/>
      <w:bookmarkEnd w:id="143"/>
      <w:bookmarkEnd w:id="144"/>
      <w:bookmarkEnd w:id="145"/>
      <w:bookmarkEnd w:id="146"/>
    </w:p>
    <w:p w14:paraId="676228FA">
      <w:pPr>
        <w:pStyle w:val="39"/>
        <w:widowControl w:val="0"/>
        <w:spacing w:before="0" w:beforeAutospacing="0" w:after="0" w:afterAutospacing="0" w:line="360" w:lineRule="auto"/>
        <w:jc w:val="both"/>
        <w:rPr>
          <w:rFonts w:ascii="Times New Roman" w:hAnsi="Times New Roman"/>
          <w:b/>
        </w:rPr>
      </w:pPr>
      <w:bookmarkStart w:id="147" w:name="_Toc27239"/>
      <w:bookmarkStart w:id="148" w:name="_Toc30917"/>
      <w:bookmarkStart w:id="149" w:name="_Toc12990"/>
      <w:bookmarkStart w:id="150" w:name="_Toc17101540"/>
      <w:bookmarkStart w:id="151" w:name="_Toc3994"/>
      <w:bookmarkStart w:id="152" w:name="_Toc26083"/>
      <w:bookmarkStart w:id="153" w:name="_Toc17813"/>
      <w:bookmarkStart w:id="154" w:name="_Toc227764343"/>
      <w:r>
        <w:rPr>
          <w:rFonts w:ascii="Times New Roman" w:hAnsi="Times New Roman"/>
          <w:b/>
          <w:sz w:val="28"/>
          <w:szCs w:val="28"/>
          <w:lang w:bidi="ar"/>
        </w:rPr>
        <w:t>2.1相关法律法规</w:t>
      </w:r>
      <w:bookmarkEnd w:id="147"/>
      <w:bookmarkEnd w:id="148"/>
      <w:bookmarkEnd w:id="149"/>
      <w:bookmarkEnd w:id="150"/>
      <w:bookmarkEnd w:id="151"/>
      <w:bookmarkEnd w:id="152"/>
      <w:bookmarkEnd w:id="153"/>
      <w:bookmarkEnd w:id="154"/>
    </w:p>
    <w:p w14:paraId="3A9CFBB1">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（1）《中华人民共和国环境保护法》，2015.1.1；</w:t>
      </w:r>
    </w:p>
    <w:p w14:paraId="33707AD6">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（2）《中华人民共和国环境影响评价法》，2018.12.29；</w:t>
      </w:r>
    </w:p>
    <w:p w14:paraId="7D252CCB">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（3）《中华人民共和国电力法》，2018.10.26；</w:t>
      </w:r>
    </w:p>
    <w:p w14:paraId="16346BC6">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（4）《电力设施保护条例》，2011.1.8；</w:t>
      </w:r>
    </w:p>
    <w:p w14:paraId="74174080">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（5）《云南省电力设施保护条例》，2024.11.28；</w:t>
      </w:r>
    </w:p>
    <w:p w14:paraId="3B1269D5">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（6）《云南省生态环境保护条例》，2024.11.1；</w:t>
      </w:r>
    </w:p>
    <w:p w14:paraId="4C72E99E">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（7）《建设项目环境保护管理条例》，2017.10.1；</w:t>
      </w:r>
    </w:p>
    <w:p w14:paraId="6F79390C">
      <w:pPr>
        <w:pStyle w:val="39"/>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（8）《建设项目环境保护分类管理名录（2021年版）》，2021.1.1；</w:t>
      </w:r>
    </w:p>
    <w:p w14:paraId="5637CB10">
      <w:pPr>
        <w:pStyle w:val="39"/>
        <w:widowControl w:val="0"/>
        <w:spacing w:before="0" w:beforeAutospacing="0" w:after="0" w:afterAutospacing="0" w:line="360" w:lineRule="auto"/>
        <w:ind w:firstLine="480" w:firstLineChars="200"/>
        <w:jc w:val="both"/>
        <w:rPr>
          <w:rFonts w:ascii="Times New Roman" w:hAnsi="Times New Roman"/>
          <w:kern w:val="2"/>
          <w:lang w:bidi="ar"/>
        </w:rPr>
      </w:pPr>
      <w:r>
        <w:rPr>
          <w:rFonts w:hint="eastAsia" w:ascii="Times New Roman" w:hAnsi="Times New Roman"/>
          <w:kern w:val="2"/>
          <w:lang w:bidi="ar"/>
        </w:rPr>
        <w:t>（9）《产业结构调整指导目录（2024年本）》</w:t>
      </w:r>
      <w:r>
        <w:rPr>
          <w:rFonts w:ascii="Times New Roman" w:hAnsi="Times New Roman"/>
          <w:kern w:val="2"/>
          <w:lang w:bidi="ar"/>
        </w:rPr>
        <w:t>。</w:t>
      </w:r>
    </w:p>
    <w:p w14:paraId="357604F2">
      <w:pPr>
        <w:pStyle w:val="39"/>
        <w:widowControl w:val="0"/>
        <w:spacing w:before="0" w:beforeAutospacing="0" w:after="0" w:afterAutospacing="0" w:line="360" w:lineRule="auto"/>
        <w:jc w:val="both"/>
        <w:rPr>
          <w:rFonts w:ascii="Times New Roman" w:hAnsi="Times New Roman"/>
          <w:b/>
        </w:rPr>
      </w:pPr>
      <w:bookmarkStart w:id="155" w:name="_Toc9394"/>
      <w:bookmarkStart w:id="156" w:name="_Toc6305"/>
      <w:bookmarkStart w:id="157" w:name="_Toc17101541"/>
      <w:bookmarkStart w:id="158" w:name="_Toc227764344"/>
      <w:bookmarkStart w:id="159" w:name="_Toc4569"/>
      <w:bookmarkStart w:id="160" w:name="_Toc796"/>
      <w:bookmarkStart w:id="161" w:name="_Toc12245"/>
      <w:bookmarkStart w:id="162" w:name="_Toc502"/>
      <w:r>
        <w:rPr>
          <w:rFonts w:ascii="Times New Roman" w:hAnsi="Times New Roman"/>
          <w:b/>
          <w:sz w:val="28"/>
          <w:szCs w:val="28"/>
          <w:lang w:bidi="ar"/>
        </w:rPr>
        <w:t>2.2环境影响评价有关标准、技术规程</w:t>
      </w:r>
      <w:bookmarkEnd w:id="155"/>
      <w:bookmarkEnd w:id="156"/>
      <w:bookmarkEnd w:id="157"/>
      <w:bookmarkEnd w:id="158"/>
      <w:bookmarkEnd w:id="159"/>
      <w:bookmarkEnd w:id="160"/>
      <w:bookmarkEnd w:id="161"/>
      <w:bookmarkEnd w:id="162"/>
    </w:p>
    <w:p w14:paraId="0BA8937B">
      <w:pPr>
        <w:pStyle w:val="39"/>
        <w:widowControl w:val="0"/>
        <w:spacing w:before="0" w:beforeAutospacing="0" w:after="0" w:afterAutospacing="0" w:line="360" w:lineRule="auto"/>
        <w:ind w:firstLine="480" w:firstLineChars="200"/>
        <w:jc w:val="both"/>
        <w:rPr>
          <w:rFonts w:ascii="Times New Roman" w:hAnsi="Times New Roman"/>
          <w:kern w:val="2"/>
          <w:lang w:bidi="ar"/>
        </w:rPr>
      </w:pPr>
      <w:r>
        <w:rPr>
          <w:rFonts w:ascii="Times New Roman" w:hAnsi="Times New Roman"/>
          <w:kern w:val="2"/>
          <w:lang w:bidi="ar"/>
        </w:rPr>
        <w:t>（1）《电磁环境控制限值》（GB 8702-2014）；</w:t>
      </w:r>
    </w:p>
    <w:p w14:paraId="5D2E87CF">
      <w:pPr>
        <w:pStyle w:val="39"/>
        <w:widowControl w:val="0"/>
        <w:spacing w:before="0" w:beforeAutospacing="0" w:after="0" w:afterAutospacing="0" w:line="360" w:lineRule="auto"/>
        <w:ind w:firstLine="480" w:firstLineChars="200"/>
        <w:jc w:val="both"/>
        <w:rPr>
          <w:rFonts w:ascii="Times New Roman" w:hAnsi="Times New Roman"/>
          <w:kern w:val="2"/>
          <w:lang w:bidi="ar"/>
        </w:rPr>
      </w:pPr>
      <w:r>
        <w:rPr>
          <w:rFonts w:ascii="Times New Roman" w:hAnsi="Times New Roman"/>
          <w:kern w:val="2"/>
          <w:lang w:bidi="ar"/>
        </w:rPr>
        <w:t>（2）《环境影响评价技术导则</w:t>
      </w:r>
      <w:r>
        <w:rPr>
          <w:rFonts w:hint="eastAsia" w:ascii="Times New Roman" w:hAnsi="Times New Roman"/>
          <w:kern w:val="2"/>
          <w:lang w:bidi="ar"/>
        </w:rPr>
        <w:t xml:space="preserve"> </w:t>
      </w:r>
      <w:r>
        <w:rPr>
          <w:rFonts w:ascii="Times New Roman" w:hAnsi="Times New Roman"/>
          <w:kern w:val="2"/>
          <w:lang w:bidi="ar"/>
        </w:rPr>
        <w:t>输变电》（HJ24-2020）；</w:t>
      </w:r>
    </w:p>
    <w:p w14:paraId="5D1CFDE5">
      <w:pPr>
        <w:spacing w:line="360" w:lineRule="auto"/>
        <w:ind w:firstLine="480"/>
        <w:rPr>
          <w:rFonts w:eastAsia="Times New Roman"/>
          <w:sz w:val="24"/>
          <w:szCs w:val="24"/>
          <w:lang w:val="zh-CN"/>
        </w:rPr>
      </w:pPr>
      <w:r>
        <w:rPr>
          <w:sz w:val="24"/>
          <w:szCs w:val="24"/>
          <w:lang w:bidi="ar"/>
        </w:rPr>
        <w:t>（3）</w:t>
      </w:r>
      <w:r>
        <w:rPr>
          <w:rFonts w:eastAsia="Times New Roman"/>
          <w:sz w:val="24"/>
          <w:szCs w:val="24"/>
          <w:lang w:val="zh-CN"/>
        </w:rPr>
        <w:t>《输变电建设项目环境保护技术要求》（H</w:t>
      </w:r>
      <w:r>
        <w:rPr>
          <w:sz w:val="24"/>
          <w:szCs w:val="24"/>
        </w:rPr>
        <w:t>J</w:t>
      </w:r>
      <w:r>
        <w:rPr>
          <w:rFonts w:eastAsia="Times New Roman"/>
          <w:sz w:val="24"/>
          <w:szCs w:val="24"/>
          <w:lang w:val="zh-CN"/>
        </w:rPr>
        <w:t>1113-2020）；</w:t>
      </w:r>
    </w:p>
    <w:p w14:paraId="3C451109">
      <w:pPr>
        <w:pStyle w:val="39"/>
        <w:widowControl w:val="0"/>
        <w:spacing w:before="0" w:beforeAutospacing="0" w:after="0" w:afterAutospacing="0" w:line="360" w:lineRule="auto"/>
        <w:ind w:firstLine="480" w:firstLineChars="200"/>
        <w:jc w:val="both"/>
        <w:rPr>
          <w:rFonts w:ascii="Times New Roman" w:hAnsi="Times New Roman"/>
        </w:rPr>
      </w:pPr>
      <w:r>
        <w:rPr>
          <w:rFonts w:ascii="Times New Roman" w:hAnsi="Times New Roman"/>
          <w:kern w:val="2"/>
          <w:lang w:bidi="ar"/>
        </w:rPr>
        <w:t>（4）《建设项目环境影响评价技术导则总纲》（HJ2.1-2016）。</w:t>
      </w:r>
    </w:p>
    <w:p w14:paraId="40AB4DC0">
      <w:pPr>
        <w:pStyle w:val="39"/>
        <w:widowControl w:val="0"/>
        <w:spacing w:before="0" w:beforeAutospacing="0" w:after="0" w:afterAutospacing="0" w:line="360" w:lineRule="auto"/>
        <w:jc w:val="both"/>
        <w:rPr>
          <w:rFonts w:ascii="Times New Roman" w:hAnsi="Times New Roman"/>
          <w:b/>
        </w:rPr>
      </w:pPr>
      <w:bookmarkStart w:id="163" w:name="_Toc4324"/>
      <w:bookmarkStart w:id="164" w:name="_Toc227764345"/>
      <w:bookmarkStart w:id="165" w:name="_Toc27315"/>
      <w:bookmarkStart w:id="166" w:name="_Toc30911"/>
      <w:bookmarkStart w:id="167" w:name="_Toc14704"/>
      <w:bookmarkStart w:id="168" w:name="_Toc7090"/>
      <w:bookmarkStart w:id="169" w:name="_Toc17101542"/>
      <w:bookmarkStart w:id="170" w:name="_Toc25485"/>
      <w:r>
        <w:rPr>
          <w:rFonts w:ascii="Times New Roman" w:hAnsi="Times New Roman"/>
          <w:b/>
          <w:sz w:val="28"/>
          <w:szCs w:val="28"/>
          <w:lang w:bidi="ar"/>
        </w:rPr>
        <w:t>2.3设计的规程、规范</w:t>
      </w:r>
      <w:bookmarkEnd w:id="163"/>
      <w:bookmarkEnd w:id="164"/>
      <w:bookmarkEnd w:id="165"/>
      <w:bookmarkEnd w:id="166"/>
      <w:bookmarkEnd w:id="167"/>
      <w:bookmarkEnd w:id="168"/>
      <w:bookmarkEnd w:id="169"/>
      <w:bookmarkEnd w:id="170"/>
    </w:p>
    <w:p w14:paraId="06D2A388">
      <w:pPr>
        <w:pStyle w:val="39"/>
        <w:widowControl w:val="0"/>
        <w:spacing w:before="0" w:beforeAutospacing="0" w:after="0" w:afterAutospacing="0" w:line="360" w:lineRule="auto"/>
        <w:ind w:firstLine="480" w:firstLineChars="200"/>
        <w:rPr>
          <w:rFonts w:ascii="Times New Roman" w:hAnsi="Times New Roman"/>
          <w:kern w:val="2"/>
          <w:lang w:bidi="ar"/>
        </w:rPr>
      </w:pPr>
      <w:r>
        <w:rPr>
          <w:rFonts w:ascii="Times New Roman" w:hAnsi="Times New Roman"/>
          <w:kern w:val="2"/>
          <w:lang w:bidi="ar"/>
        </w:rPr>
        <w:t>（1）《输电线路对电信线路危险和干扰影响防护设计规程》（DL/T5033-2006）；</w:t>
      </w:r>
    </w:p>
    <w:p w14:paraId="59D857A5">
      <w:pPr>
        <w:pStyle w:val="39"/>
        <w:widowControl w:val="0"/>
        <w:spacing w:before="0" w:beforeAutospacing="0" w:after="0" w:afterAutospacing="0" w:line="360" w:lineRule="auto"/>
        <w:ind w:firstLine="480" w:firstLineChars="200"/>
        <w:jc w:val="both"/>
        <w:rPr>
          <w:rFonts w:ascii="Times New Roman" w:hAnsi="Times New Roman"/>
        </w:rPr>
      </w:pPr>
      <w:r>
        <w:rPr>
          <w:rFonts w:ascii="Times New Roman" w:hAnsi="Times New Roman"/>
          <w:kern w:val="2"/>
          <w:lang w:bidi="ar"/>
        </w:rPr>
        <w:t>（2）《架空输电线路杆塔结构设计技术规定》（DL/T5154-2012）；</w:t>
      </w:r>
    </w:p>
    <w:p w14:paraId="5BA73A78">
      <w:pPr>
        <w:spacing w:line="360" w:lineRule="auto"/>
        <w:ind w:firstLine="480" w:firstLineChars="200"/>
        <w:rPr>
          <w:sz w:val="24"/>
        </w:rPr>
      </w:pPr>
      <w:r>
        <w:rPr>
          <w:sz w:val="24"/>
          <w:lang w:bidi="ar"/>
        </w:rPr>
        <w:t>（3）《110</w:t>
      </w:r>
      <w:r>
        <w:rPr>
          <w:kern w:val="0"/>
          <w:sz w:val="24"/>
          <w:lang w:bidi="ar"/>
        </w:rPr>
        <w:t>kV</w:t>
      </w:r>
      <w:r>
        <w:rPr>
          <w:sz w:val="24"/>
          <w:lang w:bidi="ar"/>
        </w:rPr>
        <w:t>~750kV架空输电线路设计技术</w:t>
      </w:r>
      <w:r>
        <w:rPr>
          <w:kern w:val="0"/>
          <w:sz w:val="24"/>
          <w:lang w:bidi="ar"/>
        </w:rPr>
        <w:t>规范</w:t>
      </w:r>
      <w:r>
        <w:rPr>
          <w:sz w:val="24"/>
          <w:lang w:bidi="ar"/>
        </w:rPr>
        <w:t>》（GB50545-2010）；</w:t>
      </w:r>
    </w:p>
    <w:p w14:paraId="397AEC27">
      <w:pPr>
        <w:spacing w:line="360" w:lineRule="auto"/>
        <w:ind w:firstLine="480" w:firstLineChars="200"/>
        <w:rPr>
          <w:sz w:val="24"/>
          <w:lang w:bidi="ar"/>
        </w:rPr>
      </w:pPr>
      <w:r>
        <w:rPr>
          <w:sz w:val="24"/>
          <w:lang w:bidi="ar"/>
        </w:rPr>
        <w:t>（4）《交流电气装置的接地设计规范》（GB/T50065-2011）。</w:t>
      </w:r>
    </w:p>
    <w:p w14:paraId="3BC276D9">
      <w:pPr>
        <w:pStyle w:val="39"/>
        <w:widowControl w:val="0"/>
        <w:spacing w:before="0" w:beforeAutospacing="0" w:after="0" w:afterAutospacing="0" w:line="360" w:lineRule="auto"/>
        <w:jc w:val="both"/>
        <w:rPr>
          <w:rFonts w:ascii="Times New Roman" w:hAnsi="Times New Roman"/>
          <w:b/>
        </w:rPr>
      </w:pPr>
      <w:bookmarkStart w:id="171" w:name="_Toc30294"/>
      <w:bookmarkStart w:id="172" w:name="_Toc21070"/>
      <w:bookmarkStart w:id="173" w:name="_Toc227764346"/>
      <w:bookmarkStart w:id="174" w:name="_Toc5452"/>
      <w:bookmarkStart w:id="175" w:name="_Toc10393"/>
      <w:bookmarkStart w:id="176" w:name="_Toc23240"/>
      <w:bookmarkStart w:id="177" w:name="_Toc17101543"/>
      <w:bookmarkStart w:id="178" w:name="_Toc30435"/>
      <w:r>
        <w:rPr>
          <w:rFonts w:ascii="Times New Roman" w:hAnsi="Times New Roman"/>
          <w:b/>
          <w:sz w:val="28"/>
          <w:szCs w:val="28"/>
          <w:lang w:bidi="ar"/>
        </w:rPr>
        <w:t>2.4工程技术资料</w:t>
      </w:r>
      <w:bookmarkEnd w:id="171"/>
      <w:bookmarkEnd w:id="172"/>
      <w:bookmarkEnd w:id="173"/>
      <w:bookmarkEnd w:id="174"/>
      <w:bookmarkEnd w:id="175"/>
      <w:bookmarkEnd w:id="176"/>
      <w:bookmarkEnd w:id="177"/>
      <w:bookmarkEnd w:id="178"/>
    </w:p>
    <w:p w14:paraId="2E564524">
      <w:pPr>
        <w:spacing w:line="360" w:lineRule="auto"/>
        <w:ind w:firstLine="482"/>
        <w:rPr>
          <w:sz w:val="24"/>
          <w:szCs w:val="24"/>
        </w:rPr>
      </w:pPr>
      <w:r>
        <w:rPr>
          <w:sz w:val="24"/>
          <w:szCs w:val="24"/>
        </w:rPr>
        <w:t>（1）</w:t>
      </w:r>
      <w:r>
        <w:rPr>
          <w:rFonts w:hint="eastAsia"/>
          <w:sz w:val="24"/>
          <w:szCs w:val="24"/>
        </w:rPr>
        <w:t>中国能源建设集团云南省电力设计院有限公司</w:t>
      </w:r>
      <w:r>
        <w:rPr>
          <w:sz w:val="24"/>
          <w:szCs w:val="24"/>
        </w:rPr>
        <w:t>编制的《</w:t>
      </w:r>
      <w:r>
        <w:rPr>
          <w:rFonts w:hint="eastAsia" w:ascii="宋体" w:hAnsi="宋体" w:cs="宋体"/>
          <w:sz w:val="24"/>
          <w:szCs w:val="24"/>
          <w:lang w:val="zh-CN"/>
        </w:rPr>
        <w:t>南冲风电场</w:t>
      </w:r>
      <w:r>
        <w:rPr>
          <w:sz w:val="24"/>
          <w:szCs w:val="24"/>
          <w:lang w:val="zh-CN"/>
        </w:rPr>
        <w:t>110kV送出</w:t>
      </w:r>
      <w:r>
        <w:rPr>
          <w:rFonts w:hint="eastAsia" w:ascii="宋体" w:hAnsi="宋体" w:cs="宋体"/>
          <w:sz w:val="24"/>
          <w:szCs w:val="24"/>
          <w:lang w:val="zh-CN"/>
        </w:rPr>
        <w:t>线路工程</w:t>
      </w:r>
      <w:r>
        <w:rPr>
          <w:rFonts w:eastAsia="Times New Roman"/>
          <w:sz w:val="24"/>
          <w:szCs w:val="24"/>
          <w:lang w:val="zh-CN"/>
        </w:rPr>
        <w:t>可行性研究报告</w:t>
      </w:r>
      <w:r>
        <w:rPr>
          <w:sz w:val="24"/>
          <w:szCs w:val="24"/>
        </w:rPr>
        <w:t>》</w:t>
      </w:r>
      <w:r>
        <w:rPr>
          <w:rFonts w:hint="eastAsia"/>
          <w:sz w:val="24"/>
          <w:szCs w:val="24"/>
        </w:rPr>
        <w:t>（2</w:t>
      </w:r>
      <w:r>
        <w:rPr>
          <w:sz w:val="24"/>
          <w:szCs w:val="24"/>
        </w:rPr>
        <w:t>026</w:t>
      </w:r>
      <w:r>
        <w:rPr>
          <w:rFonts w:hint="eastAsia"/>
          <w:sz w:val="24"/>
          <w:szCs w:val="24"/>
        </w:rPr>
        <w:t>年3月）</w:t>
      </w:r>
      <w:r>
        <w:rPr>
          <w:sz w:val="24"/>
          <w:szCs w:val="24"/>
        </w:rPr>
        <w:t>；</w:t>
      </w:r>
    </w:p>
    <w:p w14:paraId="7B43623B">
      <w:pPr>
        <w:pStyle w:val="141"/>
        <w:spacing w:line="360" w:lineRule="auto"/>
        <w:ind w:firstLine="480"/>
        <w:rPr>
          <w:bCs/>
          <w:lang w:val="zh-CN"/>
        </w:rPr>
      </w:pPr>
      <w:r>
        <w:t>（2）</w:t>
      </w:r>
      <w:r>
        <w:rPr>
          <w:rFonts w:hint="eastAsia"/>
          <w:bCs/>
          <w:lang w:val="zh-CN"/>
        </w:rPr>
        <w:t>《富源供电局关于富源云能新能源有限公司南冲风电场 110kV 送出线路路径的审查意见》</w:t>
      </w:r>
    </w:p>
    <w:p w14:paraId="4563D08A">
      <w:pPr>
        <w:pStyle w:val="141"/>
        <w:spacing w:line="360" w:lineRule="auto"/>
        <w:ind w:firstLine="480"/>
      </w:pPr>
      <w:bookmarkStart w:id="179" w:name="_Toc227764347"/>
      <w:bookmarkStart w:id="180" w:name="_Toc29681"/>
      <w:bookmarkStart w:id="181" w:name="_Toc20952"/>
      <w:bookmarkStart w:id="182" w:name="_Toc19298"/>
      <w:bookmarkStart w:id="183" w:name="_Toc16516"/>
      <w:bookmarkStart w:id="184" w:name="_Toc7229"/>
      <w:bookmarkStart w:id="185" w:name="_Toc12479"/>
      <w:bookmarkStart w:id="186" w:name="_Toc225952998"/>
    </w:p>
    <w:p w14:paraId="57B8B7AE">
      <w:pPr>
        <w:pStyle w:val="275"/>
        <w:spacing w:before="0" w:after="0" w:line="360" w:lineRule="auto"/>
        <w:jc w:val="both"/>
        <w:outlineLvl w:val="1"/>
        <w:rPr>
          <w:rFonts w:eastAsia="宋体"/>
        </w:rPr>
      </w:pPr>
      <w:r>
        <w:rPr>
          <w:rFonts w:eastAsia="宋体"/>
        </w:rPr>
        <w:t>3、工程概况及工程分析</w:t>
      </w:r>
      <w:bookmarkEnd w:id="179"/>
      <w:bookmarkEnd w:id="180"/>
      <w:bookmarkEnd w:id="181"/>
      <w:bookmarkEnd w:id="182"/>
      <w:bookmarkEnd w:id="183"/>
      <w:bookmarkEnd w:id="184"/>
      <w:bookmarkEnd w:id="185"/>
      <w:bookmarkEnd w:id="186"/>
    </w:p>
    <w:p w14:paraId="646B7469">
      <w:pPr>
        <w:pStyle w:val="168"/>
        <w:spacing w:before="0" w:after="0" w:line="360" w:lineRule="auto"/>
        <w:outlineLvl w:val="9"/>
        <w:rPr>
          <w:rFonts w:eastAsia="宋体"/>
          <w:b/>
        </w:rPr>
      </w:pPr>
      <w:bookmarkStart w:id="187" w:name="_Toc3769"/>
      <w:bookmarkStart w:id="188" w:name="_Toc27012"/>
      <w:bookmarkStart w:id="189" w:name="_Toc227764348"/>
      <w:bookmarkStart w:id="190" w:name="_Toc14542"/>
      <w:bookmarkStart w:id="191" w:name="_Toc26853"/>
      <w:bookmarkStart w:id="192" w:name="_Toc9474"/>
      <w:bookmarkStart w:id="193" w:name="_Toc1501"/>
      <w:r>
        <w:rPr>
          <w:rFonts w:eastAsia="宋体"/>
          <w:b/>
        </w:rPr>
        <w:t>3.1工程概况</w:t>
      </w:r>
      <w:bookmarkEnd w:id="187"/>
      <w:bookmarkEnd w:id="188"/>
      <w:bookmarkEnd w:id="189"/>
      <w:bookmarkEnd w:id="190"/>
      <w:bookmarkEnd w:id="191"/>
      <w:bookmarkEnd w:id="192"/>
      <w:bookmarkEnd w:id="193"/>
    </w:p>
    <w:p w14:paraId="095DD70F">
      <w:pPr>
        <w:pStyle w:val="176"/>
        <w:spacing w:before="0" w:after="0" w:line="360" w:lineRule="auto"/>
        <w:outlineLvl w:val="9"/>
        <w:rPr>
          <w:rFonts w:eastAsia="宋体"/>
          <w:b/>
        </w:rPr>
      </w:pPr>
      <w:bookmarkStart w:id="194" w:name="_Toc17046"/>
      <w:bookmarkStart w:id="195" w:name="_Toc29876"/>
      <w:bookmarkStart w:id="196" w:name="_Toc15960"/>
      <w:bookmarkStart w:id="197" w:name="_Toc4291"/>
      <w:bookmarkStart w:id="198" w:name="_Toc227764349"/>
      <w:bookmarkStart w:id="199" w:name="_Toc21744"/>
      <w:bookmarkStart w:id="200" w:name="_Toc16589"/>
      <w:bookmarkStart w:id="201" w:name="_Toc15025"/>
      <w:bookmarkStart w:id="202" w:name="_Toc25532"/>
      <w:r>
        <w:rPr>
          <w:rFonts w:eastAsia="宋体"/>
          <w:b/>
        </w:rPr>
        <w:t>3.1.1建设内容及项目组成</w:t>
      </w:r>
      <w:bookmarkEnd w:id="194"/>
      <w:bookmarkEnd w:id="195"/>
      <w:bookmarkEnd w:id="196"/>
      <w:bookmarkEnd w:id="197"/>
      <w:bookmarkEnd w:id="198"/>
      <w:bookmarkEnd w:id="199"/>
      <w:bookmarkEnd w:id="200"/>
      <w:bookmarkEnd w:id="201"/>
      <w:bookmarkEnd w:id="202"/>
    </w:p>
    <w:p w14:paraId="7010180A">
      <w:pPr>
        <w:tabs>
          <w:tab w:val="left" w:pos="3240"/>
        </w:tabs>
        <w:spacing w:line="360" w:lineRule="auto"/>
        <w:ind w:firstLine="482" w:firstLineChars="200"/>
        <w:rPr>
          <w:b/>
          <w:sz w:val="24"/>
        </w:rPr>
      </w:pPr>
      <w:r>
        <w:rPr>
          <w:b/>
          <w:sz w:val="24"/>
        </w:rPr>
        <w:t>1、建设内容</w:t>
      </w:r>
    </w:p>
    <w:p w14:paraId="2F6820C3">
      <w:pPr>
        <w:pStyle w:val="189"/>
        <w:ind w:left="0" w:right="0" w:firstLine="480"/>
        <w:jc w:val="both"/>
        <w:rPr>
          <w:sz w:val="24"/>
          <w:szCs w:val="22"/>
        </w:rPr>
      </w:pPr>
      <w:r>
        <w:rPr>
          <w:sz w:val="24"/>
          <w:szCs w:val="22"/>
        </w:rPr>
        <w:t>本工程新建南冲风电场升压站~铜厂变110kV线路，采用单回路架设，线路长度约为4.851km，导线截面240mm</w:t>
      </w:r>
      <w:r>
        <w:rPr>
          <w:sz w:val="24"/>
          <w:szCs w:val="22"/>
          <w:vertAlign w:val="superscript"/>
        </w:rPr>
        <w:t>2</w:t>
      </w:r>
      <w:r>
        <w:rPr>
          <w:sz w:val="24"/>
          <w:szCs w:val="22"/>
        </w:rPr>
        <w:t>，</w:t>
      </w:r>
      <w:r>
        <w:rPr>
          <w:rFonts w:hint="eastAsia"/>
          <w:sz w:val="24"/>
          <w:szCs w:val="22"/>
        </w:rPr>
        <w:t>从110 kV铜厂变南侧采用架空接入本期构架</w:t>
      </w:r>
      <w:r>
        <w:rPr>
          <w:sz w:val="24"/>
          <w:szCs w:val="22"/>
        </w:rPr>
        <w:t>。随新建线路架设2根24芯OPGW光缆，形成南冲风电场升压站至铜厂变2回24芯光纤通道。</w:t>
      </w:r>
    </w:p>
    <w:p w14:paraId="7BFF65A1">
      <w:pPr>
        <w:pStyle w:val="190"/>
        <w:jc w:val="both"/>
        <w:rPr>
          <w:b/>
          <w:bCs/>
          <w:sz w:val="24"/>
        </w:rPr>
      </w:pPr>
      <w:r>
        <w:rPr>
          <w:b/>
          <w:sz w:val="24"/>
          <w:szCs w:val="32"/>
          <w:lang w:val="en-US"/>
        </w:rPr>
        <w:t>2、</w:t>
      </w:r>
      <w:r>
        <w:rPr>
          <w:rFonts w:hint="eastAsia"/>
          <w:b/>
          <w:bCs/>
          <w:sz w:val="24"/>
        </w:rPr>
        <w:t>路径走向</w:t>
      </w:r>
    </w:p>
    <w:p w14:paraId="3D02B5EA">
      <w:pPr>
        <w:pStyle w:val="190"/>
        <w:ind w:firstLine="496" w:firstLineChars="200"/>
        <w:jc w:val="both"/>
        <w:rPr>
          <w:sz w:val="24"/>
          <w:lang w:val="en-US"/>
        </w:rPr>
      </w:pPr>
      <w:r>
        <w:rPr>
          <w:sz w:val="24"/>
        </w:rPr>
        <w:t>线路从南冲升压站西南方向侧110kV构架出线后向西走线经大达村、白则后跨S204省道，在大山口西北方连续跨S204省道两次后在小河边（110kV铜厂变）附近连续跨电网公司规划改建的两条35kV老得富线、一条35kV富得祖线后右转跨电网公司规划改建的35kV富得祖线后从110kV铜厂变南侧采用架空接入本期构架，线路全长约4.851km，线路曲折系数1.1</w:t>
      </w:r>
      <w:r>
        <w:rPr>
          <w:sz w:val="24"/>
          <w:lang w:val="en-US"/>
        </w:rPr>
        <w:t>。线路采用单回路架设，全线位于富源县境内。</w:t>
      </w:r>
    </w:p>
    <w:p w14:paraId="2C09AE2C">
      <w:pPr>
        <w:pStyle w:val="190"/>
        <w:jc w:val="both"/>
        <w:rPr>
          <w:sz w:val="24"/>
          <w:lang w:val="en-US"/>
        </w:rPr>
      </w:pPr>
      <w:r>
        <w:rPr>
          <w:b/>
          <w:sz w:val="24"/>
          <w:szCs w:val="32"/>
          <w:lang w:val="en-US"/>
        </w:rPr>
        <w:t>3、</w:t>
      </w:r>
      <w:r>
        <w:rPr>
          <w:b/>
          <w:bCs/>
          <w:sz w:val="24"/>
        </w:rPr>
        <w:t>导地线及排列方式</w:t>
      </w:r>
    </w:p>
    <w:p w14:paraId="7E601646">
      <w:pPr>
        <w:pStyle w:val="190"/>
        <w:ind w:firstLine="496" w:firstLineChars="200"/>
        <w:jc w:val="both"/>
        <w:rPr>
          <w:sz w:val="24"/>
        </w:rPr>
      </w:pPr>
      <w:r>
        <w:rPr>
          <w:sz w:val="24"/>
        </w:rPr>
        <w:t>本工程线路采用240mm</w:t>
      </w:r>
      <w:r>
        <w:rPr>
          <w:sz w:val="24"/>
          <w:vertAlign w:val="superscript"/>
        </w:rPr>
        <w:t>2</w:t>
      </w:r>
      <w:r>
        <w:rPr>
          <w:sz w:val="24"/>
        </w:rPr>
        <w:t>导线，</w:t>
      </w:r>
      <w:r>
        <w:rPr>
          <w:rFonts w:hint="eastAsia"/>
          <w:sz w:val="24"/>
        </w:rPr>
        <w:t>20mm冰区导线采用JNRLH1/LB20A-240/30型铝包钢芯耐热铝合金绞线、30mm冰区导线采用JNRLH2/G5A-240/30型钢芯高强度耐热铝合金绞线</w:t>
      </w:r>
      <w:r>
        <w:rPr>
          <w:sz w:val="24"/>
        </w:rPr>
        <w:t>。</w:t>
      </w:r>
    </w:p>
    <w:p w14:paraId="47438404">
      <w:pPr>
        <w:pStyle w:val="190"/>
        <w:ind w:firstLine="496" w:firstLineChars="200"/>
        <w:jc w:val="both"/>
        <w:rPr>
          <w:sz w:val="24"/>
        </w:rPr>
      </w:pPr>
      <w:r>
        <w:rPr>
          <w:sz w:val="24"/>
        </w:rPr>
        <w:t>按《110kV~750kV架空输电线路设计规范》（GB505452010），覆冰区段，</w:t>
      </w:r>
      <w:r>
        <w:rPr>
          <w:rFonts w:hint="eastAsia"/>
          <w:sz w:val="24"/>
        </w:rPr>
        <w:t>与JNRLH1/LB20A-240/30铝包钢芯耐热铝合金绞线</w:t>
      </w:r>
      <w:r>
        <w:rPr>
          <w:sz w:val="24"/>
        </w:rPr>
        <w:t>相配合的地线截面应不小于800mm</w:t>
      </w:r>
      <w:r>
        <w:rPr>
          <w:sz w:val="24"/>
          <w:vertAlign w:val="superscript"/>
        </w:rPr>
        <w:t>2</w:t>
      </w:r>
      <w:r>
        <w:rPr>
          <w:sz w:val="24"/>
        </w:rPr>
        <w:t>。根据系统通信要求，本工程新建线路上同步架设2根24芯OPGW光缆，</w:t>
      </w:r>
      <w:r>
        <w:rPr>
          <w:rFonts w:hint="eastAsia"/>
          <w:sz w:val="24"/>
        </w:rPr>
        <w:t>地线20mm冰区采用两根24芯OPGW-80光缆、30mm冰区采用两根24芯OPGW-100光缆</w:t>
      </w:r>
      <w:r>
        <w:rPr>
          <w:sz w:val="24"/>
        </w:rPr>
        <w:t>。</w:t>
      </w:r>
    </w:p>
    <w:p w14:paraId="76B7D51F">
      <w:pPr>
        <w:pStyle w:val="190"/>
        <w:ind w:firstLine="496" w:firstLineChars="200"/>
        <w:jc w:val="both"/>
        <w:rPr>
          <w:sz w:val="24"/>
        </w:rPr>
      </w:pPr>
      <w:r>
        <w:rPr>
          <w:sz w:val="24"/>
        </w:rPr>
        <w:t>本工程采用</w:t>
      </w:r>
      <w:r>
        <w:rPr>
          <w:rFonts w:hint="eastAsia"/>
          <w:sz w:val="24"/>
        </w:rPr>
        <w:t>水平排列和三角排列布置</w:t>
      </w:r>
      <w:r>
        <w:rPr>
          <w:sz w:val="24"/>
        </w:rPr>
        <w:t>。</w:t>
      </w:r>
    </w:p>
    <w:p w14:paraId="0577FE4D">
      <w:pPr>
        <w:pStyle w:val="190"/>
        <w:jc w:val="both"/>
        <w:rPr>
          <w:b/>
          <w:sz w:val="24"/>
          <w:szCs w:val="32"/>
          <w:lang w:val="en-US"/>
        </w:rPr>
      </w:pPr>
      <w:r>
        <w:rPr>
          <w:rFonts w:hint="eastAsia"/>
          <w:b/>
          <w:sz w:val="24"/>
          <w:szCs w:val="32"/>
          <w:lang w:val="en-US"/>
        </w:rPr>
        <w:t>4、</w:t>
      </w:r>
      <w:r>
        <w:rPr>
          <w:b/>
          <w:sz w:val="24"/>
          <w:szCs w:val="32"/>
          <w:lang w:val="en-US"/>
        </w:rPr>
        <w:t>铁塔</w:t>
      </w:r>
    </w:p>
    <w:p w14:paraId="0D566B89">
      <w:pPr>
        <w:spacing w:line="360" w:lineRule="auto"/>
        <w:ind w:firstLine="480" w:firstLineChars="200"/>
        <w:jc w:val="left"/>
        <w:rPr>
          <w:sz w:val="24"/>
        </w:rPr>
        <w:sectPr>
          <w:footerReference r:id="rId12" w:type="default"/>
          <w:pgSz w:w="11906" w:h="16838"/>
          <w:pgMar w:top="1440" w:right="1800" w:bottom="1440" w:left="1800" w:header="851" w:footer="1077" w:gutter="0"/>
          <w:cols w:space="720" w:num="1"/>
          <w:docGrid w:linePitch="312" w:charSpace="0"/>
        </w:sectPr>
      </w:pPr>
      <w:r>
        <w:rPr>
          <w:sz w:val="24"/>
        </w:rPr>
        <w:t>本项目共设置铁塔23基，线路拟选铁塔型号</w:t>
      </w:r>
      <w:r>
        <w:rPr>
          <w:rFonts w:hint="eastAsia"/>
          <w:sz w:val="24"/>
        </w:rPr>
        <w:t>特性表</w:t>
      </w:r>
      <w:r>
        <w:rPr>
          <w:sz w:val="24"/>
        </w:rPr>
        <w:t>见表3-1。</w:t>
      </w:r>
    </w:p>
    <w:p w14:paraId="663AF55E">
      <w:pPr>
        <w:spacing w:line="360" w:lineRule="auto"/>
        <w:ind w:left="432"/>
        <w:jc w:val="center"/>
        <w:rPr>
          <w:rFonts w:eastAsia="黑体"/>
          <w:sz w:val="24"/>
        </w:rPr>
      </w:pPr>
      <w:r>
        <w:rPr>
          <w:rFonts w:eastAsia="黑体"/>
          <w:sz w:val="24"/>
        </w:rPr>
        <w:t>表3-1本项目线路铁塔</w:t>
      </w:r>
      <w:r>
        <w:rPr>
          <w:rFonts w:hint="eastAsia" w:eastAsia="黑体"/>
          <w:sz w:val="24"/>
        </w:rPr>
        <w:t>特性</w:t>
      </w:r>
      <w:r>
        <w:rPr>
          <w:rFonts w:eastAsia="黑体"/>
          <w:sz w:val="24"/>
        </w:rPr>
        <w:t>表</w:t>
      </w:r>
    </w:p>
    <w:tbl>
      <w:tblPr>
        <w:tblStyle w:val="45"/>
        <w:tblW w:w="0" w:type="auto"/>
        <w:jc w:val="center"/>
        <w:tblLayout w:type="autofit"/>
        <w:tblCellMar>
          <w:top w:w="0" w:type="dxa"/>
          <w:left w:w="108" w:type="dxa"/>
          <w:bottom w:w="0" w:type="dxa"/>
          <w:right w:w="108" w:type="dxa"/>
        </w:tblCellMar>
      </w:tblPr>
      <w:tblGrid>
        <w:gridCol w:w="846"/>
        <w:gridCol w:w="1056"/>
        <w:gridCol w:w="1109"/>
        <w:gridCol w:w="1237"/>
        <w:gridCol w:w="1276"/>
        <w:gridCol w:w="1134"/>
        <w:gridCol w:w="1842"/>
        <w:gridCol w:w="1843"/>
        <w:gridCol w:w="1701"/>
        <w:gridCol w:w="1843"/>
      </w:tblGrid>
      <w:tr w14:paraId="13D4A739">
        <w:tblPrEx>
          <w:tblCellMar>
            <w:top w:w="0" w:type="dxa"/>
            <w:left w:w="108" w:type="dxa"/>
            <w:bottom w:w="0" w:type="dxa"/>
            <w:right w:w="108" w:type="dxa"/>
          </w:tblCellMar>
        </w:tblPrEx>
        <w:trPr>
          <w:trHeight w:val="76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ACD0BA">
            <w:pPr>
              <w:widowControl/>
              <w:jc w:val="center"/>
              <w:rPr>
                <w:color w:val="000000"/>
                <w:kern w:val="0"/>
              </w:rPr>
            </w:pPr>
            <w:r>
              <w:rPr>
                <w:color w:val="000000"/>
                <w:kern w:val="0"/>
              </w:rPr>
              <w:t>杆塔号</w:t>
            </w:r>
          </w:p>
        </w:tc>
        <w:tc>
          <w:tcPr>
            <w:tcW w:w="0" w:type="auto"/>
            <w:tcBorders>
              <w:top w:val="single" w:color="auto" w:sz="4" w:space="0"/>
              <w:left w:val="nil"/>
              <w:bottom w:val="single" w:color="auto" w:sz="4" w:space="0"/>
              <w:right w:val="single" w:color="auto" w:sz="4" w:space="0"/>
            </w:tcBorders>
            <w:shd w:val="clear" w:color="auto" w:fill="auto"/>
            <w:vAlign w:val="center"/>
          </w:tcPr>
          <w:p w14:paraId="21D02F69">
            <w:pPr>
              <w:widowControl/>
              <w:jc w:val="center"/>
              <w:rPr>
                <w:color w:val="000000"/>
                <w:kern w:val="0"/>
              </w:rPr>
            </w:pPr>
            <w:r>
              <w:rPr>
                <w:color w:val="000000"/>
                <w:kern w:val="0"/>
              </w:rPr>
              <w:t>北坐标</w:t>
            </w:r>
          </w:p>
        </w:tc>
        <w:tc>
          <w:tcPr>
            <w:tcW w:w="0" w:type="auto"/>
            <w:tcBorders>
              <w:top w:val="single" w:color="auto" w:sz="4" w:space="0"/>
              <w:left w:val="nil"/>
              <w:bottom w:val="single" w:color="auto" w:sz="4" w:space="0"/>
              <w:right w:val="single" w:color="auto" w:sz="4" w:space="0"/>
            </w:tcBorders>
            <w:shd w:val="clear" w:color="auto" w:fill="auto"/>
            <w:vAlign w:val="center"/>
          </w:tcPr>
          <w:p w14:paraId="4AB79FB1">
            <w:pPr>
              <w:widowControl/>
              <w:jc w:val="center"/>
              <w:rPr>
                <w:color w:val="000000"/>
                <w:kern w:val="0"/>
              </w:rPr>
            </w:pPr>
            <w:r>
              <w:rPr>
                <w:color w:val="000000"/>
                <w:kern w:val="0"/>
              </w:rPr>
              <w:t>东坐标</w:t>
            </w:r>
          </w:p>
        </w:tc>
        <w:tc>
          <w:tcPr>
            <w:tcW w:w="1237" w:type="dxa"/>
            <w:tcBorders>
              <w:top w:val="single" w:color="auto" w:sz="4" w:space="0"/>
              <w:left w:val="nil"/>
              <w:bottom w:val="single" w:color="auto" w:sz="4" w:space="0"/>
              <w:right w:val="single" w:color="auto" w:sz="4" w:space="0"/>
            </w:tcBorders>
            <w:shd w:val="clear" w:color="auto" w:fill="auto"/>
            <w:vAlign w:val="center"/>
          </w:tcPr>
          <w:p w14:paraId="01762D42">
            <w:pPr>
              <w:widowControl/>
              <w:jc w:val="center"/>
              <w:rPr>
                <w:color w:val="000000"/>
                <w:kern w:val="0"/>
              </w:rPr>
            </w:pPr>
            <w:r>
              <w:rPr>
                <w:color w:val="000000"/>
                <w:kern w:val="0"/>
              </w:rPr>
              <w:t>高程</w:t>
            </w:r>
          </w:p>
        </w:tc>
        <w:tc>
          <w:tcPr>
            <w:tcW w:w="1276" w:type="dxa"/>
            <w:tcBorders>
              <w:top w:val="single" w:color="auto" w:sz="4" w:space="0"/>
              <w:left w:val="nil"/>
              <w:bottom w:val="single" w:color="auto" w:sz="4" w:space="0"/>
              <w:right w:val="single" w:color="auto" w:sz="4" w:space="0"/>
            </w:tcBorders>
            <w:shd w:val="clear" w:color="auto" w:fill="auto"/>
            <w:vAlign w:val="center"/>
          </w:tcPr>
          <w:p w14:paraId="2DB2FC4B">
            <w:pPr>
              <w:widowControl/>
              <w:jc w:val="center"/>
              <w:rPr>
                <w:color w:val="000000"/>
                <w:kern w:val="0"/>
              </w:rPr>
            </w:pPr>
            <w:r>
              <w:rPr>
                <w:color w:val="000000"/>
                <w:kern w:val="0"/>
              </w:rPr>
              <w:t>杆塔型号</w:t>
            </w:r>
          </w:p>
        </w:tc>
        <w:tc>
          <w:tcPr>
            <w:tcW w:w="1134" w:type="dxa"/>
            <w:tcBorders>
              <w:top w:val="single" w:color="auto" w:sz="4" w:space="0"/>
              <w:left w:val="nil"/>
              <w:bottom w:val="single" w:color="auto" w:sz="4" w:space="0"/>
              <w:right w:val="single" w:color="auto" w:sz="4" w:space="0"/>
            </w:tcBorders>
            <w:shd w:val="clear" w:color="auto" w:fill="auto"/>
            <w:vAlign w:val="center"/>
          </w:tcPr>
          <w:p w14:paraId="46858F61">
            <w:pPr>
              <w:widowControl/>
              <w:jc w:val="center"/>
              <w:rPr>
                <w:color w:val="000000"/>
                <w:kern w:val="0"/>
              </w:rPr>
            </w:pPr>
            <w:r>
              <w:rPr>
                <w:color w:val="000000"/>
                <w:kern w:val="0"/>
              </w:rPr>
              <w:t>呼高</w:t>
            </w:r>
          </w:p>
        </w:tc>
        <w:tc>
          <w:tcPr>
            <w:tcW w:w="1842" w:type="dxa"/>
            <w:tcBorders>
              <w:top w:val="single" w:color="auto" w:sz="4" w:space="0"/>
              <w:left w:val="nil"/>
              <w:bottom w:val="single" w:color="auto" w:sz="4" w:space="0"/>
              <w:right w:val="single" w:color="auto" w:sz="4" w:space="0"/>
            </w:tcBorders>
            <w:shd w:val="clear" w:color="auto" w:fill="auto"/>
            <w:vAlign w:val="center"/>
          </w:tcPr>
          <w:p w14:paraId="0CDA622F">
            <w:pPr>
              <w:widowControl/>
              <w:jc w:val="center"/>
              <w:rPr>
                <w:color w:val="000000"/>
                <w:kern w:val="0"/>
              </w:rPr>
            </w:pPr>
            <w:r>
              <w:rPr>
                <w:color w:val="000000"/>
                <w:kern w:val="0"/>
              </w:rPr>
              <w:t>铁塔重量（ kg）</w:t>
            </w:r>
          </w:p>
        </w:tc>
        <w:tc>
          <w:tcPr>
            <w:tcW w:w="1843" w:type="dxa"/>
            <w:tcBorders>
              <w:top w:val="single" w:color="auto" w:sz="4" w:space="0"/>
              <w:left w:val="nil"/>
              <w:bottom w:val="single" w:color="auto" w:sz="4" w:space="0"/>
              <w:right w:val="single" w:color="auto" w:sz="4" w:space="0"/>
            </w:tcBorders>
            <w:shd w:val="clear" w:color="auto" w:fill="auto"/>
            <w:vAlign w:val="center"/>
          </w:tcPr>
          <w:p w14:paraId="30F54A17">
            <w:pPr>
              <w:widowControl/>
              <w:jc w:val="center"/>
              <w:rPr>
                <w:color w:val="000000"/>
                <w:kern w:val="0"/>
              </w:rPr>
            </w:pPr>
            <w:r>
              <w:rPr>
                <w:color w:val="000000"/>
                <w:kern w:val="0"/>
              </w:rPr>
              <w:t>塔基占地（ m²）</w:t>
            </w:r>
          </w:p>
        </w:tc>
        <w:tc>
          <w:tcPr>
            <w:tcW w:w="1701" w:type="dxa"/>
            <w:tcBorders>
              <w:top w:val="single" w:color="auto" w:sz="4" w:space="0"/>
              <w:left w:val="nil"/>
              <w:bottom w:val="single" w:color="auto" w:sz="4" w:space="0"/>
              <w:right w:val="single" w:color="auto" w:sz="4" w:space="0"/>
            </w:tcBorders>
            <w:shd w:val="clear" w:color="auto" w:fill="auto"/>
            <w:vAlign w:val="center"/>
          </w:tcPr>
          <w:p w14:paraId="4D2823DB">
            <w:pPr>
              <w:widowControl/>
              <w:jc w:val="center"/>
              <w:rPr>
                <w:color w:val="000000"/>
                <w:kern w:val="0"/>
              </w:rPr>
            </w:pPr>
            <w:r>
              <w:rPr>
                <w:color w:val="000000"/>
                <w:kern w:val="0"/>
              </w:rPr>
              <w:t>塔基占地类型</w:t>
            </w:r>
          </w:p>
        </w:tc>
        <w:tc>
          <w:tcPr>
            <w:tcW w:w="1843" w:type="dxa"/>
            <w:tcBorders>
              <w:top w:val="single" w:color="auto" w:sz="4" w:space="0"/>
              <w:left w:val="nil"/>
              <w:bottom w:val="single" w:color="auto" w:sz="4" w:space="0"/>
              <w:right w:val="single" w:color="auto" w:sz="4" w:space="0"/>
            </w:tcBorders>
            <w:shd w:val="clear" w:color="auto" w:fill="auto"/>
            <w:vAlign w:val="center"/>
          </w:tcPr>
          <w:p w14:paraId="17F457B0">
            <w:pPr>
              <w:widowControl/>
              <w:jc w:val="center"/>
              <w:rPr>
                <w:color w:val="000000"/>
                <w:kern w:val="0"/>
              </w:rPr>
            </w:pPr>
            <w:r>
              <w:rPr>
                <w:color w:val="000000"/>
                <w:kern w:val="0"/>
              </w:rPr>
              <w:t>地类属性</w:t>
            </w:r>
          </w:p>
        </w:tc>
      </w:tr>
      <w:tr w14:paraId="09E0C838">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601FF698">
            <w:pPr>
              <w:widowControl/>
              <w:jc w:val="center"/>
              <w:rPr>
                <w:color w:val="000000"/>
                <w:kern w:val="0"/>
              </w:rPr>
            </w:pPr>
            <w:r>
              <w:rPr>
                <w:color w:val="000000"/>
                <w:kern w:val="0"/>
              </w:rPr>
              <w:t>N1</w:t>
            </w:r>
          </w:p>
        </w:tc>
        <w:tc>
          <w:tcPr>
            <w:tcW w:w="0" w:type="auto"/>
            <w:tcBorders>
              <w:top w:val="nil"/>
              <w:left w:val="nil"/>
              <w:bottom w:val="single" w:color="auto" w:sz="4" w:space="0"/>
              <w:right w:val="single" w:color="auto" w:sz="4" w:space="0"/>
            </w:tcBorders>
            <w:shd w:val="clear" w:color="auto" w:fill="auto"/>
            <w:vAlign w:val="center"/>
          </w:tcPr>
          <w:p w14:paraId="45440A99">
            <w:pPr>
              <w:widowControl/>
              <w:jc w:val="center"/>
              <w:rPr>
                <w:color w:val="000000"/>
                <w:kern w:val="0"/>
              </w:rPr>
            </w:pPr>
            <w:r>
              <w:rPr>
                <w:color w:val="000000"/>
                <w:kern w:val="0"/>
              </w:rPr>
              <w:t>35441658</w:t>
            </w:r>
          </w:p>
        </w:tc>
        <w:tc>
          <w:tcPr>
            <w:tcW w:w="0" w:type="auto"/>
            <w:tcBorders>
              <w:top w:val="nil"/>
              <w:left w:val="nil"/>
              <w:bottom w:val="single" w:color="auto" w:sz="4" w:space="0"/>
              <w:right w:val="single" w:color="auto" w:sz="4" w:space="0"/>
            </w:tcBorders>
            <w:shd w:val="clear" w:color="auto" w:fill="auto"/>
            <w:vAlign w:val="center"/>
          </w:tcPr>
          <w:p w14:paraId="5E576034">
            <w:pPr>
              <w:widowControl/>
              <w:jc w:val="center"/>
              <w:rPr>
                <w:color w:val="000000"/>
                <w:kern w:val="0"/>
              </w:rPr>
            </w:pPr>
            <w:r>
              <w:rPr>
                <w:color w:val="000000"/>
                <w:kern w:val="0"/>
              </w:rPr>
              <w:t>2816322.9</w:t>
            </w:r>
          </w:p>
        </w:tc>
        <w:tc>
          <w:tcPr>
            <w:tcW w:w="1237" w:type="dxa"/>
            <w:tcBorders>
              <w:top w:val="nil"/>
              <w:left w:val="nil"/>
              <w:bottom w:val="single" w:color="auto" w:sz="4" w:space="0"/>
              <w:right w:val="single" w:color="auto" w:sz="4" w:space="0"/>
            </w:tcBorders>
            <w:shd w:val="clear" w:color="auto" w:fill="auto"/>
            <w:vAlign w:val="center"/>
          </w:tcPr>
          <w:p w14:paraId="591295D0">
            <w:pPr>
              <w:widowControl/>
              <w:jc w:val="center"/>
              <w:rPr>
                <w:color w:val="000000"/>
                <w:kern w:val="0"/>
              </w:rPr>
            </w:pPr>
            <w:r>
              <w:rPr>
                <w:color w:val="000000"/>
                <w:kern w:val="0"/>
              </w:rPr>
              <w:t>2088.993</w:t>
            </w:r>
          </w:p>
        </w:tc>
        <w:tc>
          <w:tcPr>
            <w:tcW w:w="1276" w:type="dxa"/>
            <w:tcBorders>
              <w:top w:val="nil"/>
              <w:left w:val="nil"/>
              <w:bottom w:val="single" w:color="auto" w:sz="4" w:space="0"/>
              <w:right w:val="single" w:color="auto" w:sz="4" w:space="0"/>
            </w:tcBorders>
            <w:shd w:val="clear" w:color="auto" w:fill="auto"/>
            <w:vAlign w:val="center"/>
          </w:tcPr>
          <w:p w14:paraId="390A2E1F">
            <w:pPr>
              <w:widowControl/>
              <w:jc w:val="center"/>
              <w:rPr>
                <w:color w:val="000000"/>
                <w:kern w:val="0"/>
              </w:rPr>
            </w:pPr>
            <w:r>
              <w:rPr>
                <w:color w:val="000000"/>
                <w:kern w:val="0"/>
              </w:rPr>
              <w:t>1B1Y6-JD</w:t>
            </w:r>
          </w:p>
        </w:tc>
        <w:tc>
          <w:tcPr>
            <w:tcW w:w="1134" w:type="dxa"/>
            <w:tcBorders>
              <w:top w:val="nil"/>
              <w:left w:val="nil"/>
              <w:bottom w:val="single" w:color="auto" w:sz="4" w:space="0"/>
              <w:right w:val="single" w:color="auto" w:sz="4" w:space="0"/>
            </w:tcBorders>
            <w:shd w:val="clear" w:color="auto" w:fill="auto"/>
            <w:vAlign w:val="center"/>
          </w:tcPr>
          <w:p w14:paraId="569821C5">
            <w:pPr>
              <w:widowControl/>
              <w:jc w:val="center"/>
              <w:rPr>
                <w:color w:val="000000"/>
                <w:kern w:val="0"/>
              </w:rPr>
            </w:pPr>
            <w:r>
              <w:rPr>
                <w:color w:val="000000"/>
                <w:kern w:val="0"/>
              </w:rPr>
              <w:t>30</w:t>
            </w:r>
          </w:p>
        </w:tc>
        <w:tc>
          <w:tcPr>
            <w:tcW w:w="1842" w:type="dxa"/>
            <w:tcBorders>
              <w:top w:val="nil"/>
              <w:left w:val="nil"/>
              <w:bottom w:val="single" w:color="auto" w:sz="4" w:space="0"/>
              <w:right w:val="single" w:color="auto" w:sz="4" w:space="0"/>
            </w:tcBorders>
            <w:shd w:val="clear" w:color="auto" w:fill="auto"/>
            <w:vAlign w:val="center"/>
          </w:tcPr>
          <w:p w14:paraId="2554597C">
            <w:pPr>
              <w:widowControl/>
              <w:jc w:val="center"/>
              <w:rPr>
                <w:color w:val="000000"/>
                <w:kern w:val="0"/>
              </w:rPr>
            </w:pPr>
            <w:r>
              <w:rPr>
                <w:color w:val="000000"/>
                <w:kern w:val="0"/>
              </w:rPr>
              <w:t>11991</w:t>
            </w:r>
          </w:p>
        </w:tc>
        <w:tc>
          <w:tcPr>
            <w:tcW w:w="1843" w:type="dxa"/>
            <w:tcBorders>
              <w:top w:val="nil"/>
              <w:left w:val="nil"/>
              <w:bottom w:val="single" w:color="auto" w:sz="4" w:space="0"/>
              <w:right w:val="single" w:color="auto" w:sz="4" w:space="0"/>
            </w:tcBorders>
            <w:shd w:val="clear" w:color="auto" w:fill="auto"/>
            <w:vAlign w:val="center"/>
          </w:tcPr>
          <w:p w14:paraId="2FF9B880">
            <w:pPr>
              <w:widowControl/>
              <w:jc w:val="center"/>
              <w:rPr>
                <w:color w:val="000000"/>
                <w:kern w:val="0"/>
              </w:rPr>
            </w:pPr>
            <w:r>
              <w:rPr>
                <w:color w:val="000000"/>
                <w:kern w:val="0"/>
              </w:rPr>
              <w:t>59.29</w:t>
            </w:r>
          </w:p>
        </w:tc>
        <w:tc>
          <w:tcPr>
            <w:tcW w:w="1701" w:type="dxa"/>
            <w:tcBorders>
              <w:top w:val="nil"/>
              <w:left w:val="nil"/>
              <w:bottom w:val="single" w:color="auto" w:sz="4" w:space="0"/>
              <w:right w:val="single" w:color="auto" w:sz="4" w:space="0"/>
            </w:tcBorders>
            <w:shd w:val="clear" w:color="auto" w:fill="auto"/>
            <w:vAlign w:val="center"/>
          </w:tcPr>
          <w:p w14:paraId="1A27C0CC">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021C11BA">
            <w:pPr>
              <w:widowControl/>
              <w:jc w:val="center"/>
              <w:rPr>
                <w:color w:val="000000"/>
                <w:kern w:val="0"/>
              </w:rPr>
            </w:pPr>
            <w:r>
              <w:rPr>
                <w:color w:val="000000"/>
                <w:kern w:val="0"/>
              </w:rPr>
              <w:t>乔木林地</w:t>
            </w:r>
          </w:p>
        </w:tc>
      </w:tr>
      <w:tr w14:paraId="49A3753E">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0F6DAFF1">
            <w:pPr>
              <w:widowControl/>
              <w:jc w:val="center"/>
              <w:rPr>
                <w:color w:val="000000"/>
                <w:kern w:val="0"/>
              </w:rPr>
            </w:pPr>
            <w:r>
              <w:rPr>
                <w:color w:val="000000"/>
                <w:kern w:val="0"/>
              </w:rPr>
              <w:t>N2</w:t>
            </w:r>
          </w:p>
        </w:tc>
        <w:tc>
          <w:tcPr>
            <w:tcW w:w="0" w:type="auto"/>
            <w:tcBorders>
              <w:top w:val="nil"/>
              <w:left w:val="nil"/>
              <w:bottom w:val="single" w:color="auto" w:sz="4" w:space="0"/>
              <w:right w:val="single" w:color="auto" w:sz="4" w:space="0"/>
            </w:tcBorders>
            <w:shd w:val="clear" w:color="auto" w:fill="auto"/>
            <w:vAlign w:val="center"/>
          </w:tcPr>
          <w:p w14:paraId="7E035F5E">
            <w:pPr>
              <w:widowControl/>
              <w:jc w:val="center"/>
              <w:rPr>
                <w:color w:val="000000"/>
                <w:kern w:val="0"/>
              </w:rPr>
            </w:pPr>
            <w:r>
              <w:rPr>
                <w:color w:val="000000"/>
                <w:kern w:val="0"/>
              </w:rPr>
              <w:t>35441593</w:t>
            </w:r>
          </w:p>
        </w:tc>
        <w:tc>
          <w:tcPr>
            <w:tcW w:w="0" w:type="auto"/>
            <w:tcBorders>
              <w:top w:val="nil"/>
              <w:left w:val="nil"/>
              <w:bottom w:val="single" w:color="auto" w:sz="4" w:space="0"/>
              <w:right w:val="single" w:color="auto" w:sz="4" w:space="0"/>
            </w:tcBorders>
            <w:shd w:val="clear" w:color="auto" w:fill="auto"/>
            <w:vAlign w:val="center"/>
          </w:tcPr>
          <w:p w14:paraId="626E9E42">
            <w:pPr>
              <w:widowControl/>
              <w:jc w:val="center"/>
              <w:rPr>
                <w:color w:val="000000"/>
                <w:kern w:val="0"/>
              </w:rPr>
            </w:pPr>
            <w:r>
              <w:rPr>
                <w:color w:val="000000"/>
                <w:kern w:val="0"/>
              </w:rPr>
              <w:t>2816295.2</w:t>
            </w:r>
          </w:p>
        </w:tc>
        <w:tc>
          <w:tcPr>
            <w:tcW w:w="1237" w:type="dxa"/>
            <w:tcBorders>
              <w:top w:val="nil"/>
              <w:left w:val="nil"/>
              <w:bottom w:val="single" w:color="auto" w:sz="4" w:space="0"/>
              <w:right w:val="single" w:color="auto" w:sz="4" w:space="0"/>
            </w:tcBorders>
            <w:shd w:val="clear" w:color="auto" w:fill="auto"/>
            <w:vAlign w:val="center"/>
          </w:tcPr>
          <w:p w14:paraId="48BA2B02">
            <w:pPr>
              <w:widowControl/>
              <w:jc w:val="center"/>
              <w:rPr>
                <w:color w:val="000000"/>
                <w:kern w:val="0"/>
              </w:rPr>
            </w:pPr>
            <w:r>
              <w:rPr>
                <w:color w:val="000000"/>
                <w:kern w:val="0"/>
              </w:rPr>
              <w:t>2077.723</w:t>
            </w:r>
          </w:p>
        </w:tc>
        <w:tc>
          <w:tcPr>
            <w:tcW w:w="1276" w:type="dxa"/>
            <w:tcBorders>
              <w:top w:val="nil"/>
              <w:left w:val="nil"/>
              <w:bottom w:val="single" w:color="auto" w:sz="4" w:space="0"/>
              <w:right w:val="single" w:color="auto" w:sz="4" w:space="0"/>
            </w:tcBorders>
            <w:shd w:val="clear" w:color="auto" w:fill="auto"/>
            <w:vAlign w:val="center"/>
          </w:tcPr>
          <w:p w14:paraId="2910CE2F">
            <w:pPr>
              <w:widowControl/>
              <w:jc w:val="center"/>
              <w:rPr>
                <w:color w:val="000000"/>
                <w:kern w:val="0"/>
              </w:rPr>
            </w:pPr>
            <w:r>
              <w:rPr>
                <w:color w:val="000000"/>
                <w:kern w:val="0"/>
              </w:rPr>
              <w:t>1B1Y6-Z1</w:t>
            </w:r>
          </w:p>
        </w:tc>
        <w:tc>
          <w:tcPr>
            <w:tcW w:w="1134" w:type="dxa"/>
            <w:tcBorders>
              <w:top w:val="nil"/>
              <w:left w:val="nil"/>
              <w:bottom w:val="single" w:color="auto" w:sz="4" w:space="0"/>
              <w:right w:val="single" w:color="auto" w:sz="4" w:space="0"/>
            </w:tcBorders>
            <w:shd w:val="clear" w:color="auto" w:fill="auto"/>
            <w:vAlign w:val="center"/>
          </w:tcPr>
          <w:p w14:paraId="04C2AE7B">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3BAC4A26">
            <w:pPr>
              <w:widowControl/>
              <w:jc w:val="center"/>
              <w:rPr>
                <w:color w:val="000000"/>
                <w:kern w:val="0"/>
              </w:rPr>
            </w:pPr>
            <w:r>
              <w:rPr>
                <w:color w:val="000000"/>
                <w:kern w:val="0"/>
              </w:rPr>
              <w:t>8877</w:t>
            </w:r>
          </w:p>
        </w:tc>
        <w:tc>
          <w:tcPr>
            <w:tcW w:w="1843" w:type="dxa"/>
            <w:tcBorders>
              <w:top w:val="nil"/>
              <w:left w:val="nil"/>
              <w:bottom w:val="single" w:color="auto" w:sz="4" w:space="0"/>
              <w:right w:val="single" w:color="auto" w:sz="4" w:space="0"/>
            </w:tcBorders>
            <w:shd w:val="clear" w:color="auto" w:fill="auto"/>
            <w:vAlign w:val="center"/>
          </w:tcPr>
          <w:p w14:paraId="5BA566C0">
            <w:pPr>
              <w:widowControl/>
              <w:jc w:val="center"/>
              <w:rPr>
                <w:color w:val="000000"/>
                <w:kern w:val="0"/>
              </w:rPr>
            </w:pPr>
            <w:r>
              <w:rPr>
                <w:color w:val="000000"/>
                <w:kern w:val="0"/>
              </w:rPr>
              <w:t>41.32</w:t>
            </w:r>
          </w:p>
        </w:tc>
        <w:tc>
          <w:tcPr>
            <w:tcW w:w="1701" w:type="dxa"/>
            <w:tcBorders>
              <w:top w:val="nil"/>
              <w:left w:val="nil"/>
              <w:bottom w:val="single" w:color="auto" w:sz="4" w:space="0"/>
              <w:right w:val="single" w:color="auto" w:sz="4" w:space="0"/>
            </w:tcBorders>
            <w:shd w:val="clear" w:color="auto" w:fill="auto"/>
            <w:vAlign w:val="center"/>
          </w:tcPr>
          <w:p w14:paraId="7363B082">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5277667C">
            <w:pPr>
              <w:widowControl/>
              <w:jc w:val="center"/>
              <w:rPr>
                <w:color w:val="000000"/>
                <w:kern w:val="0"/>
              </w:rPr>
            </w:pPr>
            <w:r>
              <w:rPr>
                <w:color w:val="000000"/>
                <w:kern w:val="0"/>
              </w:rPr>
              <w:t>乔木林地</w:t>
            </w:r>
          </w:p>
        </w:tc>
      </w:tr>
      <w:tr w14:paraId="5CB94347">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1ED5AF55">
            <w:pPr>
              <w:widowControl/>
              <w:jc w:val="center"/>
              <w:rPr>
                <w:color w:val="000000"/>
                <w:kern w:val="0"/>
              </w:rPr>
            </w:pPr>
            <w:r>
              <w:rPr>
                <w:color w:val="000000"/>
                <w:kern w:val="0"/>
              </w:rPr>
              <w:t>N3</w:t>
            </w:r>
          </w:p>
        </w:tc>
        <w:tc>
          <w:tcPr>
            <w:tcW w:w="0" w:type="auto"/>
            <w:tcBorders>
              <w:top w:val="nil"/>
              <w:left w:val="nil"/>
              <w:bottom w:val="single" w:color="auto" w:sz="4" w:space="0"/>
              <w:right w:val="single" w:color="auto" w:sz="4" w:space="0"/>
            </w:tcBorders>
            <w:shd w:val="clear" w:color="auto" w:fill="auto"/>
            <w:vAlign w:val="center"/>
          </w:tcPr>
          <w:p w14:paraId="06B40143">
            <w:pPr>
              <w:widowControl/>
              <w:jc w:val="center"/>
              <w:rPr>
                <w:color w:val="000000"/>
                <w:kern w:val="0"/>
              </w:rPr>
            </w:pPr>
            <w:r>
              <w:rPr>
                <w:color w:val="000000"/>
                <w:kern w:val="0"/>
              </w:rPr>
              <w:t>35441464</w:t>
            </w:r>
          </w:p>
        </w:tc>
        <w:tc>
          <w:tcPr>
            <w:tcW w:w="0" w:type="auto"/>
            <w:tcBorders>
              <w:top w:val="nil"/>
              <w:left w:val="nil"/>
              <w:bottom w:val="single" w:color="auto" w:sz="4" w:space="0"/>
              <w:right w:val="single" w:color="auto" w:sz="4" w:space="0"/>
            </w:tcBorders>
            <w:shd w:val="clear" w:color="auto" w:fill="auto"/>
            <w:vAlign w:val="center"/>
          </w:tcPr>
          <w:p w14:paraId="42A10F5A">
            <w:pPr>
              <w:widowControl/>
              <w:jc w:val="center"/>
              <w:rPr>
                <w:color w:val="000000"/>
                <w:kern w:val="0"/>
              </w:rPr>
            </w:pPr>
            <w:r>
              <w:rPr>
                <w:color w:val="000000"/>
                <w:kern w:val="0"/>
              </w:rPr>
              <w:t>2816240.6</w:t>
            </w:r>
          </w:p>
        </w:tc>
        <w:tc>
          <w:tcPr>
            <w:tcW w:w="1237" w:type="dxa"/>
            <w:tcBorders>
              <w:top w:val="nil"/>
              <w:left w:val="nil"/>
              <w:bottom w:val="single" w:color="auto" w:sz="4" w:space="0"/>
              <w:right w:val="single" w:color="auto" w:sz="4" w:space="0"/>
            </w:tcBorders>
            <w:shd w:val="clear" w:color="auto" w:fill="auto"/>
            <w:vAlign w:val="center"/>
          </w:tcPr>
          <w:p w14:paraId="37D6C963">
            <w:pPr>
              <w:widowControl/>
              <w:jc w:val="center"/>
              <w:rPr>
                <w:color w:val="000000"/>
                <w:kern w:val="0"/>
              </w:rPr>
            </w:pPr>
            <w:r>
              <w:rPr>
                <w:color w:val="000000"/>
                <w:kern w:val="0"/>
              </w:rPr>
              <w:t>1981.65</w:t>
            </w:r>
          </w:p>
        </w:tc>
        <w:tc>
          <w:tcPr>
            <w:tcW w:w="1276" w:type="dxa"/>
            <w:tcBorders>
              <w:top w:val="nil"/>
              <w:left w:val="nil"/>
              <w:bottom w:val="single" w:color="auto" w:sz="4" w:space="0"/>
              <w:right w:val="single" w:color="auto" w:sz="4" w:space="0"/>
            </w:tcBorders>
            <w:shd w:val="clear" w:color="auto" w:fill="auto"/>
            <w:vAlign w:val="center"/>
          </w:tcPr>
          <w:p w14:paraId="45F89EB3">
            <w:pPr>
              <w:widowControl/>
              <w:jc w:val="center"/>
              <w:rPr>
                <w:color w:val="000000"/>
                <w:kern w:val="0"/>
              </w:rPr>
            </w:pPr>
            <w:r>
              <w:rPr>
                <w:color w:val="000000"/>
                <w:kern w:val="0"/>
              </w:rPr>
              <w:t>1B1Y6-J1</w:t>
            </w:r>
          </w:p>
        </w:tc>
        <w:tc>
          <w:tcPr>
            <w:tcW w:w="1134" w:type="dxa"/>
            <w:tcBorders>
              <w:top w:val="nil"/>
              <w:left w:val="nil"/>
              <w:bottom w:val="single" w:color="auto" w:sz="4" w:space="0"/>
              <w:right w:val="single" w:color="auto" w:sz="4" w:space="0"/>
            </w:tcBorders>
            <w:shd w:val="clear" w:color="auto" w:fill="auto"/>
            <w:vAlign w:val="center"/>
          </w:tcPr>
          <w:p w14:paraId="6DED1AA8">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3C2492DF">
            <w:pPr>
              <w:widowControl/>
              <w:jc w:val="center"/>
              <w:rPr>
                <w:color w:val="000000"/>
                <w:kern w:val="0"/>
              </w:rPr>
            </w:pPr>
            <w:r>
              <w:rPr>
                <w:color w:val="000000"/>
                <w:kern w:val="0"/>
              </w:rPr>
              <w:t>10118</w:t>
            </w:r>
          </w:p>
        </w:tc>
        <w:tc>
          <w:tcPr>
            <w:tcW w:w="1843" w:type="dxa"/>
            <w:tcBorders>
              <w:top w:val="nil"/>
              <w:left w:val="nil"/>
              <w:bottom w:val="single" w:color="auto" w:sz="4" w:space="0"/>
              <w:right w:val="single" w:color="auto" w:sz="4" w:space="0"/>
            </w:tcBorders>
            <w:shd w:val="clear" w:color="auto" w:fill="auto"/>
            <w:vAlign w:val="center"/>
          </w:tcPr>
          <w:p w14:paraId="622347F5">
            <w:pPr>
              <w:widowControl/>
              <w:jc w:val="center"/>
              <w:rPr>
                <w:color w:val="000000"/>
                <w:kern w:val="0"/>
              </w:rPr>
            </w:pPr>
            <w:r>
              <w:rPr>
                <w:color w:val="000000"/>
                <w:kern w:val="0"/>
              </w:rPr>
              <w:t>55.8</w:t>
            </w:r>
          </w:p>
        </w:tc>
        <w:tc>
          <w:tcPr>
            <w:tcW w:w="1701" w:type="dxa"/>
            <w:tcBorders>
              <w:top w:val="nil"/>
              <w:left w:val="nil"/>
              <w:bottom w:val="single" w:color="auto" w:sz="4" w:space="0"/>
              <w:right w:val="single" w:color="auto" w:sz="4" w:space="0"/>
            </w:tcBorders>
            <w:shd w:val="clear" w:color="auto" w:fill="auto"/>
            <w:vAlign w:val="center"/>
          </w:tcPr>
          <w:p w14:paraId="7E8C5EC3">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6A1C5A18">
            <w:pPr>
              <w:widowControl/>
              <w:jc w:val="center"/>
              <w:rPr>
                <w:color w:val="000000"/>
                <w:kern w:val="0"/>
              </w:rPr>
            </w:pPr>
            <w:r>
              <w:rPr>
                <w:color w:val="000000"/>
                <w:kern w:val="0"/>
              </w:rPr>
              <w:t>乔木林地</w:t>
            </w:r>
          </w:p>
        </w:tc>
      </w:tr>
      <w:tr w14:paraId="415D3C9A">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4A56DE99">
            <w:pPr>
              <w:widowControl/>
              <w:jc w:val="center"/>
              <w:rPr>
                <w:color w:val="000000"/>
                <w:kern w:val="0"/>
              </w:rPr>
            </w:pPr>
            <w:r>
              <w:rPr>
                <w:color w:val="000000"/>
                <w:kern w:val="0"/>
              </w:rPr>
              <w:t>N4</w:t>
            </w:r>
          </w:p>
        </w:tc>
        <w:tc>
          <w:tcPr>
            <w:tcW w:w="0" w:type="auto"/>
            <w:tcBorders>
              <w:top w:val="nil"/>
              <w:left w:val="nil"/>
              <w:bottom w:val="single" w:color="auto" w:sz="4" w:space="0"/>
              <w:right w:val="single" w:color="auto" w:sz="4" w:space="0"/>
            </w:tcBorders>
            <w:shd w:val="clear" w:color="auto" w:fill="auto"/>
            <w:vAlign w:val="center"/>
          </w:tcPr>
          <w:p w14:paraId="01A66B54">
            <w:pPr>
              <w:widowControl/>
              <w:jc w:val="center"/>
              <w:rPr>
                <w:color w:val="000000"/>
                <w:kern w:val="0"/>
              </w:rPr>
            </w:pPr>
            <w:r>
              <w:rPr>
                <w:color w:val="000000"/>
                <w:kern w:val="0"/>
              </w:rPr>
              <w:t>35441265</w:t>
            </w:r>
          </w:p>
        </w:tc>
        <w:tc>
          <w:tcPr>
            <w:tcW w:w="0" w:type="auto"/>
            <w:tcBorders>
              <w:top w:val="nil"/>
              <w:left w:val="nil"/>
              <w:bottom w:val="single" w:color="auto" w:sz="4" w:space="0"/>
              <w:right w:val="single" w:color="auto" w:sz="4" w:space="0"/>
            </w:tcBorders>
            <w:shd w:val="clear" w:color="auto" w:fill="auto"/>
            <w:vAlign w:val="center"/>
          </w:tcPr>
          <w:p w14:paraId="68701D86">
            <w:pPr>
              <w:widowControl/>
              <w:jc w:val="center"/>
              <w:rPr>
                <w:color w:val="000000"/>
                <w:kern w:val="0"/>
              </w:rPr>
            </w:pPr>
            <w:r>
              <w:rPr>
                <w:color w:val="000000"/>
                <w:kern w:val="0"/>
              </w:rPr>
              <w:t>2816138.4</w:t>
            </w:r>
          </w:p>
        </w:tc>
        <w:tc>
          <w:tcPr>
            <w:tcW w:w="1237" w:type="dxa"/>
            <w:tcBorders>
              <w:top w:val="nil"/>
              <w:left w:val="nil"/>
              <w:bottom w:val="single" w:color="auto" w:sz="4" w:space="0"/>
              <w:right w:val="single" w:color="auto" w:sz="4" w:space="0"/>
            </w:tcBorders>
            <w:shd w:val="clear" w:color="auto" w:fill="auto"/>
            <w:vAlign w:val="center"/>
          </w:tcPr>
          <w:p w14:paraId="30299DBC">
            <w:pPr>
              <w:widowControl/>
              <w:jc w:val="center"/>
              <w:rPr>
                <w:color w:val="000000"/>
                <w:kern w:val="0"/>
              </w:rPr>
            </w:pPr>
            <w:r>
              <w:rPr>
                <w:color w:val="000000"/>
                <w:kern w:val="0"/>
              </w:rPr>
              <w:t>1969.768</w:t>
            </w:r>
          </w:p>
        </w:tc>
        <w:tc>
          <w:tcPr>
            <w:tcW w:w="1276" w:type="dxa"/>
            <w:tcBorders>
              <w:top w:val="nil"/>
              <w:left w:val="nil"/>
              <w:bottom w:val="single" w:color="auto" w:sz="4" w:space="0"/>
              <w:right w:val="single" w:color="auto" w:sz="4" w:space="0"/>
            </w:tcBorders>
            <w:shd w:val="clear" w:color="auto" w:fill="auto"/>
            <w:vAlign w:val="center"/>
          </w:tcPr>
          <w:p w14:paraId="4795047F">
            <w:pPr>
              <w:widowControl/>
              <w:jc w:val="center"/>
              <w:rPr>
                <w:color w:val="000000"/>
                <w:kern w:val="0"/>
              </w:rPr>
            </w:pPr>
            <w:r>
              <w:rPr>
                <w:color w:val="000000"/>
                <w:kern w:val="0"/>
              </w:rPr>
              <w:t>1B1Y6-Z2</w:t>
            </w:r>
          </w:p>
        </w:tc>
        <w:tc>
          <w:tcPr>
            <w:tcW w:w="1134" w:type="dxa"/>
            <w:tcBorders>
              <w:top w:val="nil"/>
              <w:left w:val="nil"/>
              <w:bottom w:val="single" w:color="auto" w:sz="4" w:space="0"/>
              <w:right w:val="single" w:color="auto" w:sz="4" w:space="0"/>
            </w:tcBorders>
            <w:shd w:val="clear" w:color="auto" w:fill="auto"/>
            <w:vAlign w:val="center"/>
          </w:tcPr>
          <w:p w14:paraId="3ADA55C0">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651889E1">
            <w:pPr>
              <w:widowControl/>
              <w:jc w:val="center"/>
              <w:rPr>
                <w:color w:val="000000"/>
                <w:kern w:val="0"/>
              </w:rPr>
            </w:pPr>
            <w:r>
              <w:rPr>
                <w:color w:val="000000"/>
                <w:kern w:val="0"/>
              </w:rPr>
              <w:t>10455</w:t>
            </w:r>
          </w:p>
        </w:tc>
        <w:tc>
          <w:tcPr>
            <w:tcW w:w="1843" w:type="dxa"/>
            <w:tcBorders>
              <w:top w:val="nil"/>
              <w:left w:val="nil"/>
              <w:bottom w:val="single" w:color="auto" w:sz="4" w:space="0"/>
              <w:right w:val="single" w:color="auto" w:sz="4" w:space="0"/>
            </w:tcBorders>
            <w:shd w:val="clear" w:color="auto" w:fill="auto"/>
            <w:vAlign w:val="center"/>
          </w:tcPr>
          <w:p w14:paraId="796E627D">
            <w:pPr>
              <w:widowControl/>
              <w:jc w:val="center"/>
              <w:rPr>
                <w:color w:val="000000"/>
                <w:kern w:val="0"/>
              </w:rPr>
            </w:pPr>
            <w:r>
              <w:rPr>
                <w:color w:val="000000"/>
                <w:kern w:val="0"/>
              </w:rPr>
              <w:t>49.84</w:t>
            </w:r>
          </w:p>
        </w:tc>
        <w:tc>
          <w:tcPr>
            <w:tcW w:w="1701" w:type="dxa"/>
            <w:tcBorders>
              <w:top w:val="nil"/>
              <w:left w:val="nil"/>
              <w:bottom w:val="single" w:color="auto" w:sz="4" w:space="0"/>
              <w:right w:val="single" w:color="auto" w:sz="4" w:space="0"/>
            </w:tcBorders>
            <w:shd w:val="clear" w:color="auto" w:fill="auto"/>
            <w:vAlign w:val="center"/>
          </w:tcPr>
          <w:p w14:paraId="1AC548E1">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1D898FC5">
            <w:pPr>
              <w:widowControl/>
              <w:jc w:val="center"/>
              <w:rPr>
                <w:color w:val="000000"/>
                <w:kern w:val="0"/>
              </w:rPr>
            </w:pPr>
            <w:r>
              <w:rPr>
                <w:color w:val="000000"/>
                <w:kern w:val="0"/>
              </w:rPr>
              <w:t>乔木林地</w:t>
            </w:r>
          </w:p>
        </w:tc>
      </w:tr>
      <w:tr w14:paraId="3662C50F">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30EAB717">
            <w:pPr>
              <w:widowControl/>
              <w:jc w:val="center"/>
              <w:rPr>
                <w:color w:val="000000"/>
                <w:kern w:val="0"/>
              </w:rPr>
            </w:pPr>
            <w:r>
              <w:rPr>
                <w:color w:val="000000"/>
                <w:kern w:val="0"/>
              </w:rPr>
              <w:t>N5</w:t>
            </w:r>
          </w:p>
        </w:tc>
        <w:tc>
          <w:tcPr>
            <w:tcW w:w="0" w:type="auto"/>
            <w:tcBorders>
              <w:top w:val="nil"/>
              <w:left w:val="nil"/>
              <w:bottom w:val="single" w:color="auto" w:sz="4" w:space="0"/>
              <w:right w:val="single" w:color="auto" w:sz="4" w:space="0"/>
            </w:tcBorders>
            <w:shd w:val="clear" w:color="auto" w:fill="auto"/>
            <w:vAlign w:val="center"/>
          </w:tcPr>
          <w:p w14:paraId="377EAA59">
            <w:pPr>
              <w:widowControl/>
              <w:jc w:val="center"/>
              <w:rPr>
                <w:color w:val="000000"/>
                <w:kern w:val="0"/>
              </w:rPr>
            </w:pPr>
            <w:r>
              <w:rPr>
                <w:color w:val="000000"/>
                <w:kern w:val="0"/>
              </w:rPr>
              <w:t>35440851</w:t>
            </w:r>
          </w:p>
        </w:tc>
        <w:tc>
          <w:tcPr>
            <w:tcW w:w="0" w:type="auto"/>
            <w:tcBorders>
              <w:top w:val="nil"/>
              <w:left w:val="nil"/>
              <w:bottom w:val="single" w:color="auto" w:sz="4" w:space="0"/>
              <w:right w:val="single" w:color="auto" w:sz="4" w:space="0"/>
            </w:tcBorders>
            <w:shd w:val="clear" w:color="auto" w:fill="auto"/>
            <w:vAlign w:val="center"/>
          </w:tcPr>
          <w:p w14:paraId="1159ECA1">
            <w:pPr>
              <w:widowControl/>
              <w:jc w:val="center"/>
              <w:rPr>
                <w:color w:val="000000"/>
                <w:kern w:val="0"/>
              </w:rPr>
            </w:pPr>
            <w:r>
              <w:rPr>
                <w:color w:val="000000"/>
                <w:kern w:val="0"/>
              </w:rPr>
              <w:t>2815925.9</w:t>
            </w:r>
          </w:p>
        </w:tc>
        <w:tc>
          <w:tcPr>
            <w:tcW w:w="1237" w:type="dxa"/>
            <w:tcBorders>
              <w:top w:val="nil"/>
              <w:left w:val="nil"/>
              <w:bottom w:val="single" w:color="auto" w:sz="4" w:space="0"/>
              <w:right w:val="single" w:color="auto" w:sz="4" w:space="0"/>
            </w:tcBorders>
            <w:shd w:val="clear" w:color="auto" w:fill="auto"/>
            <w:vAlign w:val="center"/>
          </w:tcPr>
          <w:p w14:paraId="41D79D3A">
            <w:pPr>
              <w:widowControl/>
              <w:jc w:val="center"/>
              <w:rPr>
                <w:color w:val="000000"/>
                <w:kern w:val="0"/>
              </w:rPr>
            </w:pPr>
            <w:r>
              <w:rPr>
                <w:color w:val="000000"/>
                <w:kern w:val="0"/>
              </w:rPr>
              <w:t>1990.246</w:t>
            </w:r>
          </w:p>
        </w:tc>
        <w:tc>
          <w:tcPr>
            <w:tcW w:w="1276" w:type="dxa"/>
            <w:tcBorders>
              <w:top w:val="nil"/>
              <w:left w:val="nil"/>
              <w:bottom w:val="single" w:color="auto" w:sz="4" w:space="0"/>
              <w:right w:val="single" w:color="auto" w:sz="4" w:space="0"/>
            </w:tcBorders>
            <w:shd w:val="clear" w:color="auto" w:fill="auto"/>
            <w:vAlign w:val="center"/>
          </w:tcPr>
          <w:p w14:paraId="07B79184">
            <w:pPr>
              <w:widowControl/>
              <w:jc w:val="center"/>
              <w:rPr>
                <w:color w:val="000000"/>
                <w:kern w:val="0"/>
              </w:rPr>
            </w:pPr>
            <w:r>
              <w:rPr>
                <w:color w:val="000000"/>
                <w:kern w:val="0"/>
              </w:rPr>
              <w:t>1B1Y6-Z2</w:t>
            </w:r>
          </w:p>
        </w:tc>
        <w:tc>
          <w:tcPr>
            <w:tcW w:w="1134" w:type="dxa"/>
            <w:tcBorders>
              <w:top w:val="nil"/>
              <w:left w:val="nil"/>
              <w:bottom w:val="single" w:color="auto" w:sz="4" w:space="0"/>
              <w:right w:val="single" w:color="auto" w:sz="4" w:space="0"/>
            </w:tcBorders>
            <w:shd w:val="clear" w:color="auto" w:fill="auto"/>
            <w:vAlign w:val="center"/>
          </w:tcPr>
          <w:p w14:paraId="28562775">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0C347751">
            <w:pPr>
              <w:widowControl/>
              <w:jc w:val="center"/>
              <w:rPr>
                <w:color w:val="000000"/>
                <w:kern w:val="0"/>
              </w:rPr>
            </w:pPr>
            <w:r>
              <w:rPr>
                <w:color w:val="000000"/>
                <w:kern w:val="0"/>
              </w:rPr>
              <w:t>10455</w:t>
            </w:r>
          </w:p>
        </w:tc>
        <w:tc>
          <w:tcPr>
            <w:tcW w:w="1843" w:type="dxa"/>
            <w:tcBorders>
              <w:top w:val="nil"/>
              <w:left w:val="nil"/>
              <w:bottom w:val="single" w:color="auto" w:sz="4" w:space="0"/>
              <w:right w:val="single" w:color="auto" w:sz="4" w:space="0"/>
            </w:tcBorders>
            <w:shd w:val="clear" w:color="auto" w:fill="auto"/>
            <w:vAlign w:val="center"/>
          </w:tcPr>
          <w:p w14:paraId="53D220A9">
            <w:pPr>
              <w:widowControl/>
              <w:jc w:val="center"/>
              <w:rPr>
                <w:color w:val="000000"/>
                <w:kern w:val="0"/>
              </w:rPr>
            </w:pPr>
            <w:r>
              <w:rPr>
                <w:color w:val="000000"/>
                <w:kern w:val="0"/>
              </w:rPr>
              <w:t>49.84</w:t>
            </w:r>
          </w:p>
        </w:tc>
        <w:tc>
          <w:tcPr>
            <w:tcW w:w="1701" w:type="dxa"/>
            <w:tcBorders>
              <w:top w:val="nil"/>
              <w:left w:val="nil"/>
              <w:bottom w:val="single" w:color="auto" w:sz="4" w:space="0"/>
              <w:right w:val="single" w:color="auto" w:sz="4" w:space="0"/>
            </w:tcBorders>
            <w:shd w:val="clear" w:color="auto" w:fill="auto"/>
            <w:vAlign w:val="center"/>
          </w:tcPr>
          <w:p w14:paraId="3F3BE31D">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7784A2B4">
            <w:pPr>
              <w:widowControl/>
              <w:jc w:val="center"/>
              <w:rPr>
                <w:color w:val="000000"/>
                <w:kern w:val="0"/>
              </w:rPr>
            </w:pPr>
            <w:r>
              <w:rPr>
                <w:color w:val="000000"/>
                <w:kern w:val="0"/>
              </w:rPr>
              <w:t>乔木林地</w:t>
            </w:r>
          </w:p>
        </w:tc>
      </w:tr>
      <w:tr w14:paraId="7B3969C6">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062E990F">
            <w:pPr>
              <w:widowControl/>
              <w:jc w:val="center"/>
              <w:rPr>
                <w:color w:val="000000"/>
                <w:kern w:val="0"/>
              </w:rPr>
            </w:pPr>
            <w:r>
              <w:rPr>
                <w:color w:val="000000"/>
                <w:kern w:val="0"/>
              </w:rPr>
              <w:t>N6</w:t>
            </w:r>
          </w:p>
        </w:tc>
        <w:tc>
          <w:tcPr>
            <w:tcW w:w="0" w:type="auto"/>
            <w:tcBorders>
              <w:top w:val="nil"/>
              <w:left w:val="nil"/>
              <w:bottom w:val="single" w:color="auto" w:sz="4" w:space="0"/>
              <w:right w:val="single" w:color="auto" w:sz="4" w:space="0"/>
            </w:tcBorders>
            <w:shd w:val="clear" w:color="auto" w:fill="auto"/>
            <w:vAlign w:val="center"/>
          </w:tcPr>
          <w:p w14:paraId="44B2884D">
            <w:pPr>
              <w:widowControl/>
              <w:jc w:val="center"/>
              <w:rPr>
                <w:color w:val="000000"/>
                <w:kern w:val="0"/>
              </w:rPr>
            </w:pPr>
            <w:r>
              <w:rPr>
                <w:color w:val="000000"/>
                <w:kern w:val="0"/>
              </w:rPr>
              <w:t>35440716</w:t>
            </w:r>
          </w:p>
        </w:tc>
        <w:tc>
          <w:tcPr>
            <w:tcW w:w="0" w:type="auto"/>
            <w:tcBorders>
              <w:top w:val="nil"/>
              <w:left w:val="nil"/>
              <w:bottom w:val="single" w:color="auto" w:sz="4" w:space="0"/>
              <w:right w:val="single" w:color="auto" w:sz="4" w:space="0"/>
            </w:tcBorders>
            <w:shd w:val="clear" w:color="auto" w:fill="auto"/>
            <w:vAlign w:val="center"/>
          </w:tcPr>
          <w:p w14:paraId="1023C020">
            <w:pPr>
              <w:widowControl/>
              <w:jc w:val="center"/>
              <w:rPr>
                <w:color w:val="000000"/>
                <w:kern w:val="0"/>
              </w:rPr>
            </w:pPr>
            <w:r>
              <w:rPr>
                <w:color w:val="000000"/>
                <w:kern w:val="0"/>
              </w:rPr>
              <w:t>2815856.7</w:t>
            </w:r>
          </w:p>
        </w:tc>
        <w:tc>
          <w:tcPr>
            <w:tcW w:w="1237" w:type="dxa"/>
            <w:tcBorders>
              <w:top w:val="nil"/>
              <w:left w:val="nil"/>
              <w:bottom w:val="single" w:color="auto" w:sz="4" w:space="0"/>
              <w:right w:val="single" w:color="auto" w:sz="4" w:space="0"/>
            </w:tcBorders>
            <w:shd w:val="clear" w:color="auto" w:fill="auto"/>
            <w:vAlign w:val="center"/>
          </w:tcPr>
          <w:p w14:paraId="468E5069">
            <w:pPr>
              <w:widowControl/>
              <w:jc w:val="center"/>
              <w:rPr>
                <w:color w:val="000000"/>
                <w:kern w:val="0"/>
              </w:rPr>
            </w:pPr>
            <w:r>
              <w:rPr>
                <w:color w:val="000000"/>
                <w:kern w:val="0"/>
              </w:rPr>
              <w:t>2008.321</w:t>
            </w:r>
          </w:p>
        </w:tc>
        <w:tc>
          <w:tcPr>
            <w:tcW w:w="1276" w:type="dxa"/>
            <w:tcBorders>
              <w:top w:val="nil"/>
              <w:left w:val="nil"/>
              <w:bottom w:val="single" w:color="auto" w:sz="4" w:space="0"/>
              <w:right w:val="single" w:color="auto" w:sz="4" w:space="0"/>
            </w:tcBorders>
            <w:shd w:val="clear" w:color="auto" w:fill="auto"/>
            <w:vAlign w:val="center"/>
          </w:tcPr>
          <w:p w14:paraId="5CAF9C3E">
            <w:pPr>
              <w:widowControl/>
              <w:jc w:val="center"/>
              <w:rPr>
                <w:color w:val="000000"/>
                <w:kern w:val="0"/>
              </w:rPr>
            </w:pPr>
            <w:r>
              <w:rPr>
                <w:color w:val="000000"/>
                <w:kern w:val="0"/>
              </w:rPr>
              <w:t>1B1Y6-J1</w:t>
            </w:r>
          </w:p>
        </w:tc>
        <w:tc>
          <w:tcPr>
            <w:tcW w:w="1134" w:type="dxa"/>
            <w:tcBorders>
              <w:top w:val="nil"/>
              <w:left w:val="nil"/>
              <w:bottom w:val="single" w:color="auto" w:sz="4" w:space="0"/>
              <w:right w:val="single" w:color="auto" w:sz="4" w:space="0"/>
            </w:tcBorders>
            <w:shd w:val="clear" w:color="auto" w:fill="auto"/>
            <w:vAlign w:val="center"/>
          </w:tcPr>
          <w:p w14:paraId="5809D708">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0C8B25F3">
            <w:pPr>
              <w:widowControl/>
              <w:jc w:val="center"/>
              <w:rPr>
                <w:color w:val="000000"/>
                <w:kern w:val="0"/>
              </w:rPr>
            </w:pPr>
            <w:r>
              <w:rPr>
                <w:color w:val="000000"/>
                <w:kern w:val="0"/>
              </w:rPr>
              <w:t>10853</w:t>
            </w:r>
          </w:p>
        </w:tc>
        <w:tc>
          <w:tcPr>
            <w:tcW w:w="1843" w:type="dxa"/>
            <w:tcBorders>
              <w:top w:val="nil"/>
              <w:left w:val="nil"/>
              <w:bottom w:val="single" w:color="auto" w:sz="4" w:space="0"/>
              <w:right w:val="single" w:color="auto" w:sz="4" w:space="0"/>
            </w:tcBorders>
            <w:shd w:val="clear" w:color="auto" w:fill="auto"/>
            <w:vAlign w:val="center"/>
          </w:tcPr>
          <w:p w14:paraId="513B9F29">
            <w:pPr>
              <w:widowControl/>
              <w:jc w:val="center"/>
              <w:rPr>
                <w:color w:val="000000"/>
                <w:kern w:val="0"/>
              </w:rPr>
            </w:pPr>
            <w:r>
              <w:rPr>
                <w:color w:val="000000"/>
                <w:kern w:val="0"/>
              </w:rPr>
              <w:t>64.16</w:t>
            </w:r>
          </w:p>
        </w:tc>
        <w:tc>
          <w:tcPr>
            <w:tcW w:w="1701" w:type="dxa"/>
            <w:tcBorders>
              <w:top w:val="nil"/>
              <w:left w:val="nil"/>
              <w:bottom w:val="single" w:color="auto" w:sz="4" w:space="0"/>
              <w:right w:val="single" w:color="auto" w:sz="4" w:space="0"/>
            </w:tcBorders>
            <w:shd w:val="clear" w:color="auto" w:fill="auto"/>
            <w:vAlign w:val="center"/>
          </w:tcPr>
          <w:p w14:paraId="7755D776">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3337B577">
            <w:pPr>
              <w:widowControl/>
              <w:jc w:val="center"/>
              <w:rPr>
                <w:color w:val="000000"/>
                <w:kern w:val="0"/>
              </w:rPr>
            </w:pPr>
            <w:r>
              <w:rPr>
                <w:color w:val="000000"/>
                <w:kern w:val="0"/>
              </w:rPr>
              <w:t>乔木林地</w:t>
            </w:r>
          </w:p>
        </w:tc>
      </w:tr>
      <w:tr w14:paraId="62A02640">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649BBF13">
            <w:pPr>
              <w:widowControl/>
              <w:jc w:val="center"/>
              <w:rPr>
                <w:color w:val="000000"/>
                <w:kern w:val="0"/>
              </w:rPr>
            </w:pPr>
            <w:r>
              <w:rPr>
                <w:color w:val="000000"/>
                <w:kern w:val="0"/>
              </w:rPr>
              <w:t>N7</w:t>
            </w:r>
          </w:p>
        </w:tc>
        <w:tc>
          <w:tcPr>
            <w:tcW w:w="0" w:type="auto"/>
            <w:tcBorders>
              <w:top w:val="nil"/>
              <w:left w:val="nil"/>
              <w:bottom w:val="single" w:color="auto" w:sz="4" w:space="0"/>
              <w:right w:val="single" w:color="auto" w:sz="4" w:space="0"/>
            </w:tcBorders>
            <w:shd w:val="clear" w:color="auto" w:fill="auto"/>
            <w:vAlign w:val="center"/>
          </w:tcPr>
          <w:p w14:paraId="45FE1657">
            <w:pPr>
              <w:widowControl/>
              <w:jc w:val="center"/>
              <w:rPr>
                <w:color w:val="000000"/>
                <w:kern w:val="0"/>
              </w:rPr>
            </w:pPr>
            <w:r>
              <w:rPr>
                <w:color w:val="000000"/>
                <w:kern w:val="0"/>
              </w:rPr>
              <w:t>35440318</w:t>
            </w:r>
          </w:p>
        </w:tc>
        <w:tc>
          <w:tcPr>
            <w:tcW w:w="0" w:type="auto"/>
            <w:tcBorders>
              <w:top w:val="nil"/>
              <w:left w:val="nil"/>
              <w:bottom w:val="single" w:color="auto" w:sz="4" w:space="0"/>
              <w:right w:val="single" w:color="auto" w:sz="4" w:space="0"/>
            </w:tcBorders>
            <w:shd w:val="clear" w:color="auto" w:fill="auto"/>
            <w:vAlign w:val="center"/>
          </w:tcPr>
          <w:p w14:paraId="3FABEAA9">
            <w:pPr>
              <w:widowControl/>
              <w:jc w:val="center"/>
              <w:rPr>
                <w:color w:val="000000"/>
                <w:kern w:val="0"/>
              </w:rPr>
            </w:pPr>
            <w:r>
              <w:rPr>
                <w:color w:val="000000"/>
                <w:kern w:val="0"/>
              </w:rPr>
              <w:t>2815800.4</w:t>
            </w:r>
          </w:p>
        </w:tc>
        <w:tc>
          <w:tcPr>
            <w:tcW w:w="1237" w:type="dxa"/>
            <w:tcBorders>
              <w:top w:val="nil"/>
              <w:left w:val="nil"/>
              <w:bottom w:val="single" w:color="auto" w:sz="4" w:space="0"/>
              <w:right w:val="single" w:color="auto" w:sz="4" w:space="0"/>
            </w:tcBorders>
            <w:shd w:val="clear" w:color="auto" w:fill="auto"/>
            <w:vAlign w:val="center"/>
          </w:tcPr>
          <w:p w14:paraId="4156342E">
            <w:pPr>
              <w:widowControl/>
              <w:jc w:val="center"/>
              <w:rPr>
                <w:color w:val="000000"/>
                <w:kern w:val="0"/>
              </w:rPr>
            </w:pPr>
            <w:r>
              <w:rPr>
                <w:color w:val="000000"/>
                <w:kern w:val="0"/>
              </w:rPr>
              <w:t>2029.945</w:t>
            </w:r>
          </w:p>
        </w:tc>
        <w:tc>
          <w:tcPr>
            <w:tcW w:w="1276" w:type="dxa"/>
            <w:tcBorders>
              <w:top w:val="nil"/>
              <w:left w:val="nil"/>
              <w:bottom w:val="single" w:color="auto" w:sz="4" w:space="0"/>
              <w:right w:val="single" w:color="auto" w:sz="4" w:space="0"/>
            </w:tcBorders>
            <w:shd w:val="clear" w:color="auto" w:fill="auto"/>
            <w:vAlign w:val="center"/>
          </w:tcPr>
          <w:p w14:paraId="231C99EF">
            <w:pPr>
              <w:widowControl/>
              <w:jc w:val="center"/>
              <w:rPr>
                <w:color w:val="000000"/>
                <w:kern w:val="0"/>
              </w:rPr>
            </w:pPr>
            <w:r>
              <w:rPr>
                <w:color w:val="000000"/>
                <w:kern w:val="0"/>
              </w:rPr>
              <w:t>1B1Y6-Z1</w:t>
            </w:r>
          </w:p>
        </w:tc>
        <w:tc>
          <w:tcPr>
            <w:tcW w:w="1134" w:type="dxa"/>
            <w:tcBorders>
              <w:top w:val="nil"/>
              <w:left w:val="nil"/>
              <w:bottom w:val="single" w:color="auto" w:sz="4" w:space="0"/>
              <w:right w:val="single" w:color="auto" w:sz="4" w:space="0"/>
            </w:tcBorders>
            <w:shd w:val="clear" w:color="auto" w:fill="auto"/>
            <w:vAlign w:val="center"/>
          </w:tcPr>
          <w:p w14:paraId="1B4A3BC5">
            <w:pPr>
              <w:widowControl/>
              <w:jc w:val="center"/>
              <w:rPr>
                <w:color w:val="000000"/>
                <w:kern w:val="0"/>
              </w:rPr>
            </w:pPr>
            <w:r>
              <w:rPr>
                <w:color w:val="000000"/>
                <w:kern w:val="0"/>
              </w:rPr>
              <w:t>42</w:t>
            </w:r>
          </w:p>
        </w:tc>
        <w:tc>
          <w:tcPr>
            <w:tcW w:w="1842" w:type="dxa"/>
            <w:tcBorders>
              <w:top w:val="nil"/>
              <w:left w:val="nil"/>
              <w:bottom w:val="single" w:color="auto" w:sz="4" w:space="0"/>
              <w:right w:val="single" w:color="auto" w:sz="4" w:space="0"/>
            </w:tcBorders>
            <w:shd w:val="clear" w:color="auto" w:fill="auto"/>
            <w:vAlign w:val="center"/>
          </w:tcPr>
          <w:p w14:paraId="09E3B529">
            <w:pPr>
              <w:widowControl/>
              <w:jc w:val="center"/>
              <w:rPr>
                <w:color w:val="000000"/>
                <w:kern w:val="0"/>
              </w:rPr>
            </w:pPr>
            <w:r>
              <w:rPr>
                <w:color w:val="000000"/>
                <w:kern w:val="0"/>
              </w:rPr>
              <w:t>10972</w:t>
            </w:r>
          </w:p>
        </w:tc>
        <w:tc>
          <w:tcPr>
            <w:tcW w:w="1843" w:type="dxa"/>
            <w:tcBorders>
              <w:top w:val="nil"/>
              <w:left w:val="nil"/>
              <w:bottom w:val="single" w:color="auto" w:sz="4" w:space="0"/>
              <w:right w:val="single" w:color="auto" w:sz="4" w:space="0"/>
            </w:tcBorders>
            <w:shd w:val="clear" w:color="auto" w:fill="auto"/>
            <w:vAlign w:val="center"/>
          </w:tcPr>
          <w:p w14:paraId="7FA98908">
            <w:pPr>
              <w:widowControl/>
              <w:jc w:val="center"/>
              <w:rPr>
                <w:color w:val="000000"/>
                <w:kern w:val="0"/>
              </w:rPr>
            </w:pPr>
            <w:r>
              <w:rPr>
                <w:color w:val="000000"/>
                <w:kern w:val="0"/>
              </w:rPr>
              <w:t>61.91</w:t>
            </w:r>
          </w:p>
        </w:tc>
        <w:tc>
          <w:tcPr>
            <w:tcW w:w="1701" w:type="dxa"/>
            <w:tcBorders>
              <w:top w:val="nil"/>
              <w:left w:val="nil"/>
              <w:bottom w:val="single" w:color="auto" w:sz="4" w:space="0"/>
              <w:right w:val="single" w:color="auto" w:sz="4" w:space="0"/>
            </w:tcBorders>
            <w:shd w:val="clear" w:color="auto" w:fill="auto"/>
            <w:vAlign w:val="center"/>
          </w:tcPr>
          <w:p w14:paraId="25FAFF61">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2923EF4D">
            <w:pPr>
              <w:widowControl/>
              <w:jc w:val="center"/>
              <w:rPr>
                <w:color w:val="000000"/>
                <w:kern w:val="0"/>
              </w:rPr>
            </w:pPr>
            <w:r>
              <w:rPr>
                <w:color w:val="000000"/>
                <w:kern w:val="0"/>
              </w:rPr>
              <w:t>乔木林地</w:t>
            </w:r>
          </w:p>
        </w:tc>
      </w:tr>
      <w:tr w14:paraId="4BDB98FB">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34E857D1">
            <w:pPr>
              <w:widowControl/>
              <w:jc w:val="center"/>
              <w:rPr>
                <w:color w:val="000000"/>
                <w:kern w:val="0"/>
              </w:rPr>
            </w:pPr>
            <w:r>
              <w:rPr>
                <w:color w:val="000000"/>
                <w:kern w:val="0"/>
              </w:rPr>
              <w:t>N8</w:t>
            </w:r>
          </w:p>
        </w:tc>
        <w:tc>
          <w:tcPr>
            <w:tcW w:w="0" w:type="auto"/>
            <w:tcBorders>
              <w:top w:val="nil"/>
              <w:left w:val="nil"/>
              <w:bottom w:val="single" w:color="auto" w:sz="4" w:space="0"/>
              <w:right w:val="single" w:color="auto" w:sz="4" w:space="0"/>
            </w:tcBorders>
            <w:shd w:val="clear" w:color="auto" w:fill="auto"/>
            <w:vAlign w:val="center"/>
          </w:tcPr>
          <w:p w14:paraId="507DBC59">
            <w:pPr>
              <w:widowControl/>
              <w:jc w:val="center"/>
              <w:rPr>
                <w:color w:val="000000"/>
                <w:kern w:val="0"/>
              </w:rPr>
            </w:pPr>
            <w:r>
              <w:rPr>
                <w:color w:val="000000"/>
                <w:kern w:val="0"/>
              </w:rPr>
              <w:t>35440205</w:t>
            </w:r>
          </w:p>
        </w:tc>
        <w:tc>
          <w:tcPr>
            <w:tcW w:w="0" w:type="auto"/>
            <w:tcBorders>
              <w:top w:val="nil"/>
              <w:left w:val="nil"/>
              <w:bottom w:val="single" w:color="auto" w:sz="4" w:space="0"/>
              <w:right w:val="single" w:color="auto" w:sz="4" w:space="0"/>
            </w:tcBorders>
            <w:shd w:val="clear" w:color="auto" w:fill="auto"/>
            <w:vAlign w:val="center"/>
          </w:tcPr>
          <w:p w14:paraId="02AF90DB">
            <w:pPr>
              <w:widowControl/>
              <w:jc w:val="center"/>
              <w:rPr>
                <w:color w:val="000000"/>
                <w:kern w:val="0"/>
              </w:rPr>
            </w:pPr>
            <w:r>
              <w:rPr>
                <w:color w:val="000000"/>
                <w:kern w:val="0"/>
              </w:rPr>
              <w:t>2815784.4</w:t>
            </w:r>
          </w:p>
        </w:tc>
        <w:tc>
          <w:tcPr>
            <w:tcW w:w="1237" w:type="dxa"/>
            <w:tcBorders>
              <w:top w:val="nil"/>
              <w:left w:val="nil"/>
              <w:bottom w:val="single" w:color="auto" w:sz="4" w:space="0"/>
              <w:right w:val="single" w:color="auto" w:sz="4" w:space="0"/>
            </w:tcBorders>
            <w:shd w:val="clear" w:color="auto" w:fill="auto"/>
            <w:vAlign w:val="center"/>
          </w:tcPr>
          <w:p w14:paraId="2454D1F7">
            <w:pPr>
              <w:widowControl/>
              <w:jc w:val="center"/>
              <w:rPr>
                <w:color w:val="000000"/>
                <w:kern w:val="0"/>
              </w:rPr>
            </w:pPr>
            <w:r>
              <w:rPr>
                <w:color w:val="000000"/>
                <w:kern w:val="0"/>
              </w:rPr>
              <w:t>2036.526</w:t>
            </w:r>
          </w:p>
        </w:tc>
        <w:tc>
          <w:tcPr>
            <w:tcW w:w="1276" w:type="dxa"/>
            <w:tcBorders>
              <w:top w:val="nil"/>
              <w:left w:val="nil"/>
              <w:bottom w:val="single" w:color="auto" w:sz="4" w:space="0"/>
              <w:right w:val="single" w:color="auto" w:sz="4" w:space="0"/>
            </w:tcBorders>
            <w:shd w:val="clear" w:color="auto" w:fill="auto"/>
            <w:vAlign w:val="center"/>
          </w:tcPr>
          <w:p w14:paraId="6507B13E">
            <w:pPr>
              <w:widowControl/>
              <w:jc w:val="center"/>
              <w:rPr>
                <w:color w:val="000000"/>
                <w:kern w:val="0"/>
              </w:rPr>
            </w:pPr>
            <w:r>
              <w:rPr>
                <w:color w:val="000000"/>
                <w:kern w:val="0"/>
              </w:rPr>
              <w:t>1B1Y6-J1</w:t>
            </w:r>
          </w:p>
        </w:tc>
        <w:tc>
          <w:tcPr>
            <w:tcW w:w="1134" w:type="dxa"/>
            <w:tcBorders>
              <w:top w:val="nil"/>
              <w:left w:val="nil"/>
              <w:bottom w:val="single" w:color="auto" w:sz="4" w:space="0"/>
              <w:right w:val="single" w:color="auto" w:sz="4" w:space="0"/>
            </w:tcBorders>
            <w:shd w:val="clear" w:color="auto" w:fill="auto"/>
            <w:vAlign w:val="center"/>
          </w:tcPr>
          <w:p w14:paraId="7327976C">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50E90CC2">
            <w:pPr>
              <w:widowControl/>
              <w:jc w:val="center"/>
              <w:rPr>
                <w:color w:val="000000"/>
                <w:kern w:val="0"/>
              </w:rPr>
            </w:pPr>
            <w:r>
              <w:rPr>
                <w:color w:val="000000"/>
                <w:kern w:val="0"/>
              </w:rPr>
              <w:t>10853</w:t>
            </w:r>
          </w:p>
        </w:tc>
        <w:tc>
          <w:tcPr>
            <w:tcW w:w="1843" w:type="dxa"/>
            <w:tcBorders>
              <w:top w:val="nil"/>
              <w:left w:val="nil"/>
              <w:bottom w:val="single" w:color="auto" w:sz="4" w:space="0"/>
              <w:right w:val="single" w:color="auto" w:sz="4" w:space="0"/>
            </w:tcBorders>
            <w:shd w:val="clear" w:color="auto" w:fill="auto"/>
            <w:vAlign w:val="center"/>
          </w:tcPr>
          <w:p w14:paraId="179B5881">
            <w:pPr>
              <w:widowControl/>
              <w:jc w:val="center"/>
              <w:rPr>
                <w:color w:val="000000"/>
                <w:kern w:val="0"/>
              </w:rPr>
            </w:pPr>
            <w:r>
              <w:rPr>
                <w:color w:val="000000"/>
                <w:kern w:val="0"/>
              </w:rPr>
              <w:t>64.16</w:t>
            </w:r>
          </w:p>
        </w:tc>
        <w:tc>
          <w:tcPr>
            <w:tcW w:w="1701" w:type="dxa"/>
            <w:tcBorders>
              <w:top w:val="nil"/>
              <w:left w:val="nil"/>
              <w:bottom w:val="single" w:color="auto" w:sz="4" w:space="0"/>
              <w:right w:val="single" w:color="auto" w:sz="4" w:space="0"/>
            </w:tcBorders>
            <w:shd w:val="clear" w:color="auto" w:fill="auto"/>
            <w:vAlign w:val="center"/>
          </w:tcPr>
          <w:p w14:paraId="3D9F012A">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17FC79DC">
            <w:pPr>
              <w:widowControl/>
              <w:jc w:val="center"/>
              <w:rPr>
                <w:color w:val="000000"/>
                <w:kern w:val="0"/>
              </w:rPr>
            </w:pPr>
            <w:r>
              <w:rPr>
                <w:color w:val="000000"/>
                <w:kern w:val="0"/>
              </w:rPr>
              <w:t>乔木林地</w:t>
            </w:r>
          </w:p>
        </w:tc>
      </w:tr>
      <w:tr w14:paraId="4A5701AF">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4288A788">
            <w:pPr>
              <w:widowControl/>
              <w:jc w:val="center"/>
              <w:rPr>
                <w:color w:val="000000"/>
                <w:kern w:val="0"/>
              </w:rPr>
            </w:pPr>
            <w:r>
              <w:rPr>
                <w:color w:val="000000"/>
                <w:kern w:val="0"/>
              </w:rPr>
              <w:t>N9</w:t>
            </w:r>
          </w:p>
        </w:tc>
        <w:tc>
          <w:tcPr>
            <w:tcW w:w="0" w:type="auto"/>
            <w:tcBorders>
              <w:top w:val="nil"/>
              <w:left w:val="nil"/>
              <w:bottom w:val="single" w:color="auto" w:sz="4" w:space="0"/>
              <w:right w:val="single" w:color="auto" w:sz="4" w:space="0"/>
            </w:tcBorders>
            <w:shd w:val="clear" w:color="auto" w:fill="auto"/>
            <w:vAlign w:val="center"/>
          </w:tcPr>
          <w:p w14:paraId="0F8FD7CA">
            <w:pPr>
              <w:widowControl/>
              <w:jc w:val="center"/>
              <w:rPr>
                <w:color w:val="000000"/>
                <w:kern w:val="0"/>
              </w:rPr>
            </w:pPr>
            <w:r>
              <w:rPr>
                <w:color w:val="000000"/>
                <w:kern w:val="0"/>
              </w:rPr>
              <w:t>35440025</w:t>
            </w:r>
          </w:p>
        </w:tc>
        <w:tc>
          <w:tcPr>
            <w:tcW w:w="0" w:type="auto"/>
            <w:tcBorders>
              <w:top w:val="nil"/>
              <w:left w:val="nil"/>
              <w:bottom w:val="single" w:color="auto" w:sz="4" w:space="0"/>
              <w:right w:val="single" w:color="auto" w:sz="4" w:space="0"/>
            </w:tcBorders>
            <w:shd w:val="clear" w:color="auto" w:fill="auto"/>
            <w:vAlign w:val="center"/>
          </w:tcPr>
          <w:p w14:paraId="1C560985">
            <w:pPr>
              <w:widowControl/>
              <w:jc w:val="center"/>
              <w:rPr>
                <w:color w:val="000000"/>
                <w:kern w:val="0"/>
              </w:rPr>
            </w:pPr>
            <w:r>
              <w:rPr>
                <w:color w:val="000000"/>
                <w:kern w:val="0"/>
              </w:rPr>
              <w:t>2815777.2</w:t>
            </w:r>
          </w:p>
        </w:tc>
        <w:tc>
          <w:tcPr>
            <w:tcW w:w="1237" w:type="dxa"/>
            <w:tcBorders>
              <w:top w:val="nil"/>
              <w:left w:val="nil"/>
              <w:bottom w:val="single" w:color="auto" w:sz="4" w:space="0"/>
              <w:right w:val="single" w:color="auto" w:sz="4" w:space="0"/>
            </w:tcBorders>
            <w:shd w:val="clear" w:color="auto" w:fill="auto"/>
            <w:vAlign w:val="center"/>
          </w:tcPr>
          <w:p w14:paraId="2BB80271">
            <w:pPr>
              <w:widowControl/>
              <w:jc w:val="center"/>
              <w:rPr>
                <w:color w:val="000000"/>
                <w:kern w:val="0"/>
              </w:rPr>
            </w:pPr>
            <w:r>
              <w:rPr>
                <w:color w:val="000000"/>
                <w:kern w:val="0"/>
              </w:rPr>
              <w:t>2047.898</w:t>
            </w:r>
          </w:p>
        </w:tc>
        <w:tc>
          <w:tcPr>
            <w:tcW w:w="1276" w:type="dxa"/>
            <w:tcBorders>
              <w:top w:val="nil"/>
              <w:left w:val="nil"/>
              <w:bottom w:val="single" w:color="auto" w:sz="4" w:space="0"/>
              <w:right w:val="single" w:color="auto" w:sz="4" w:space="0"/>
            </w:tcBorders>
            <w:shd w:val="clear" w:color="auto" w:fill="auto"/>
            <w:vAlign w:val="center"/>
          </w:tcPr>
          <w:p w14:paraId="4D427BB2">
            <w:pPr>
              <w:widowControl/>
              <w:jc w:val="center"/>
              <w:rPr>
                <w:color w:val="000000"/>
                <w:kern w:val="0"/>
              </w:rPr>
            </w:pPr>
            <w:r>
              <w:rPr>
                <w:color w:val="000000"/>
                <w:kern w:val="0"/>
              </w:rPr>
              <w:t>1B1Y6-Z1</w:t>
            </w:r>
          </w:p>
        </w:tc>
        <w:tc>
          <w:tcPr>
            <w:tcW w:w="1134" w:type="dxa"/>
            <w:tcBorders>
              <w:top w:val="nil"/>
              <w:left w:val="nil"/>
              <w:bottom w:val="single" w:color="auto" w:sz="4" w:space="0"/>
              <w:right w:val="single" w:color="auto" w:sz="4" w:space="0"/>
            </w:tcBorders>
            <w:shd w:val="clear" w:color="auto" w:fill="auto"/>
            <w:vAlign w:val="center"/>
          </w:tcPr>
          <w:p w14:paraId="0A9042EB">
            <w:pPr>
              <w:widowControl/>
              <w:jc w:val="center"/>
              <w:rPr>
                <w:color w:val="000000"/>
                <w:kern w:val="0"/>
              </w:rPr>
            </w:pPr>
            <w:r>
              <w:rPr>
                <w:color w:val="000000"/>
                <w:kern w:val="0"/>
              </w:rPr>
              <w:t>39</w:t>
            </w:r>
          </w:p>
        </w:tc>
        <w:tc>
          <w:tcPr>
            <w:tcW w:w="1842" w:type="dxa"/>
            <w:tcBorders>
              <w:top w:val="nil"/>
              <w:left w:val="nil"/>
              <w:bottom w:val="single" w:color="auto" w:sz="4" w:space="0"/>
              <w:right w:val="single" w:color="auto" w:sz="4" w:space="0"/>
            </w:tcBorders>
            <w:shd w:val="clear" w:color="auto" w:fill="auto"/>
            <w:vAlign w:val="center"/>
          </w:tcPr>
          <w:p w14:paraId="5B63F062">
            <w:pPr>
              <w:widowControl/>
              <w:jc w:val="center"/>
              <w:rPr>
                <w:color w:val="000000"/>
                <w:kern w:val="0"/>
              </w:rPr>
            </w:pPr>
            <w:r>
              <w:rPr>
                <w:color w:val="000000"/>
                <w:kern w:val="0"/>
              </w:rPr>
              <w:t>10358</w:t>
            </w:r>
          </w:p>
        </w:tc>
        <w:tc>
          <w:tcPr>
            <w:tcW w:w="1843" w:type="dxa"/>
            <w:tcBorders>
              <w:top w:val="nil"/>
              <w:left w:val="nil"/>
              <w:bottom w:val="single" w:color="auto" w:sz="4" w:space="0"/>
              <w:right w:val="single" w:color="auto" w:sz="4" w:space="0"/>
            </w:tcBorders>
            <w:shd w:val="clear" w:color="auto" w:fill="auto"/>
            <w:vAlign w:val="center"/>
          </w:tcPr>
          <w:p w14:paraId="2409D697">
            <w:pPr>
              <w:widowControl/>
              <w:jc w:val="center"/>
              <w:rPr>
                <w:color w:val="000000"/>
                <w:kern w:val="0"/>
              </w:rPr>
            </w:pPr>
            <w:r>
              <w:rPr>
                <w:color w:val="000000"/>
                <w:kern w:val="0"/>
              </w:rPr>
              <w:t>54.58</w:t>
            </w:r>
          </w:p>
        </w:tc>
        <w:tc>
          <w:tcPr>
            <w:tcW w:w="1701" w:type="dxa"/>
            <w:tcBorders>
              <w:top w:val="nil"/>
              <w:left w:val="nil"/>
              <w:bottom w:val="single" w:color="auto" w:sz="4" w:space="0"/>
              <w:right w:val="single" w:color="auto" w:sz="4" w:space="0"/>
            </w:tcBorders>
            <w:shd w:val="clear" w:color="auto" w:fill="auto"/>
            <w:vAlign w:val="center"/>
          </w:tcPr>
          <w:p w14:paraId="287A236B">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70AD7B10">
            <w:pPr>
              <w:widowControl/>
              <w:jc w:val="center"/>
              <w:rPr>
                <w:color w:val="000000"/>
                <w:kern w:val="0"/>
              </w:rPr>
            </w:pPr>
            <w:r>
              <w:rPr>
                <w:color w:val="000000"/>
                <w:kern w:val="0"/>
              </w:rPr>
              <w:t>乔木林地</w:t>
            </w:r>
          </w:p>
        </w:tc>
      </w:tr>
      <w:tr w14:paraId="0B69FD21">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06E86D92">
            <w:pPr>
              <w:widowControl/>
              <w:jc w:val="center"/>
              <w:rPr>
                <w:color w:val="000000"/>
                <w:kern w:val="0"/>
              </w:rPr>
            </w:pPr>
            <w:r>
              <w:rPr>
                <w:color w:val="000000"/>
                <w:kern w:val="0"/>
              </w:rPr>
              <w:t>N10</w:t>
            </w:r>
          </w:p>
        </w:tc>
        <w:tc>
          <w:tcPr>
            <w:tcW w:w="0" w:type="auto"/>
            <w:tcBorders>
              <w:top w:val="nil"/>
              <w:left w:val="nil"/>
              <w:bottom w:val="single" w:color="auto" w:sz="4" w:space="0"/>
              <w:right w:val="single" w:color="auto" w:sz="4" w:space="0"/>
            </w:tcBorders>
            <w:shd w:val="clear" w:color="auto" w:fill="auto"/>
            <w:vAlign w:val="center"/>
          </w:tcPr>
          <w:p w14:paraId="1DC02919">
            <w:pPr>
              <w:widowControl/>
              <w:jc w:val="center"/>
              <w:rPr>
                <w:color w:val="000000"/>
                <w:kern w:val="0"/>
              </w:rPr>
            </w:pPr>
            <w:r>
              <w:rPr>
                <w:color w:val="000000"/>
                <w:kern w:val="0"/>
              </w:rPr>
              <w:t>35439882</w:t>
            </w:r>
          </w:p>
        </w:tc>
        <w:tc>
          <w:tcPr>
            <w:tcW w:w="0" w:type="auto"/>
            <w:tcBorders>
              <w:top w:val="nil"/>
              <w:left w:val="nil"/>
              <w:bottom w:val="single" w:color="auto" w:sz="4" w:space="0"/>
              <w:right w:val="single" w:color="auto" w:sz="4" w:space="0"/>
            </w:tcBorders>
            <w:shd w:val="clear" w:color="auto" w:fill="auto"/>
            <w:vAlign w:val="center"/>
          </w:tcPr>
          <w:p w14:paraId="6FF55A41">
            <w:pPr>
              <w:widowControl/>
              <w:jc w:val="center"/>
              <w:rPr>
                <w:color w:val="000000"/>
                <w:kern w:val="0"/>
              </w:rPr>
            </w:pPr>
            <w:r>
              <w:rPr>
                <w:color w:val="000000"/>
                <w:kern w:val="0"/>
              </w:rPr>
              <w:t>2815771.5</w:t>
            </w:r>
          </w:p>
        </w:tc>
        <w:tc>
          <w:tcPr>
            <w:tcW w:w="1237" w:type="dxa"/>
            <w:tcBorders>
              <w:top w:val="nil"/>
              <w:left w:val="nil"/>
              <w:bottom w:val="single" w:color="auto" w:sz="4" w:space="0"/>
              <w:right w:val="single" w:color="auto" w:sz="4" w:space="0"/>
            </w:tcBorders>
            <w:shd w:val="clear" w:color="auto" w:fill="auto"/>
            <w:vAlign w:val="center"/>
          </w:tcPr>
          <w:p w14:paraId="329455F7">
            <w:pPr>
              <w:widowControl/>
              <w:jc w:val="center"/>
              <w:rPr>
                <w:color w:val="000000"/>
                <w:kern w:val="0"/>
              </w:rPr>
            </w:pPr>
            <w:r>
              <w:rPr>
                <w:color w:val="000000"/>
                <w:kern w:val="0"/>
              </w:rPr>
              <w:t>2043.836</w:t>
            </w:r>
          </w:p>
        </w:tc>
        <w:tc>
          <w:tcPr>
            <w:tcW w:w="1276" w:type="dxa"/>
            <w:tcBorders>
              <w:top w:val="nil"/>
              <w:left w:val="nil"/>
              <w:bottom w:val="single" w:color="auto" w:sz="4" w:space="0"/>
              <w:right w:val="single" w:color="auto" w:sz="4" w:space="0"/>
            </w:tcBorders>
            <w:shd w:val="clear" w:color="auto" w:fill="auto"/>
            <w:vAlign w:val="center"/>
          </w:tcPr>
          <w:p w14:paraId="7FB2C35D">
            <w:pPr>
              <w:widowControl/>
              <w:jc w:val="center"/>
              <w:rPr>
                <w:color w:val="000000"/>
                <w:kern w:val="0"/>
              </w:rPr>
            </w:pPr>
            <w:r>
              <w:rPr>
                <w:color w:val="000000"/>
                <w:kern w:val="0"/>
              </w:rPr>
              <w:t>1B1Y6-J2</w:t>
            </w:r>
          </w:p>
        </w:tc>
        <w:tc>
          <w:tcPr>
            <w:tcW w:w="1134" w:type="dxa"/>
            <w:tcBorders>
              <w:top w:val="nil"/>
              <w:left w:val="nil"/>
              <w:bottom w:val="single" w:color="auto" w:sz="4" w:space="0"/>
              <w:right w:val="single" w:color="auto" w:sz="4" w:space="0"/>
            </w:tcBorders>
            <w:shd w:val="clear" w:color="auto" w:fill="auto"/>
            <w:vAlign w:val="center"/>
          </w:tcPr>
          <w:p w14:paraId="07FDB070">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2A6670A9">
            <w:pPr>
              <w:widowControl/>
              <w:jc w:val="center"/>
              <w:rPr>
                <w:color w:val="000000"/>
                <w:kern w:val="0"/>
              </w:rPr>
            </w:pPr>
            <w:r>
              <w:rPr>
                <w:color w:val="000000"/>
                <w:kern w:val="0"/>
              </w:rPr>
              <w:t>12141</w:t>
            </w:r>
          </w:p>
        </w:tc>
        <w:tc>
          <w:tcPr>
            <w:tcW w:w="1843" w:type="dxa"/>
            <w:tcBorders>
              <w:top w:val="nil"/>
              <w:left w:val="nil"/>
              <w:bottom w:val="single" w:color="auto" w:sz="4" w:space="0"/>
              <w:right w:val="single" w:color="auto" w:sz="4" w:space="0"/>
            </w:tcBorders>
            <w:shd w:val="clear" w:color="auto" w:fill="auto"/>
            <w:vAlign w:val="center"/>
          </w:tcPr>
          <w:p w14:paraId="36FCD12C">
            <w:pPr>
              <w:widowControl/>
              <w:jc w:val="center"/>
              <w:rPr>
                <w:color w:val="000000"/>
                <w:kern w:val="0"/>
              </w:rPr>
            </w:pPr>
            <w:r>
              <w:rPr>
                <w:color w:val="000000"/>
                <w:kern w:val="0"/>
              </w:rPr>
              <w:t>65.77</w:t>
            </w:r>
          </w:p>
        </w:tc>
        <w:tc>
          <w:tcPr>
            <w:tcW w:w="1701" w:type="dxa"/>
            <w:tcBorders>
              <w:top w:val="nil"/>
              <w:left w:val="nil"/>
              <w:bottom w:val="single" w:color="auto" w:sz="4" w:space="0"/>
              <w:right w:val="single" w:color="auto" w:sz="4" w:space="0"/>
            </w:tcBorders>
            <w:shd w:val="clear" w:color="auto" w:fill="auto"/>
            <w:vAlign w:val="center"/>
          </w:tcPr>
          <w:p w14:paraId="1BF14D4B">
            <w:pPr>
              <w:widowControl/>
              <w:jc w:val="center"/>
              <w:rPr>
                <w:color w:val="000000"/>
                <w:kern w:val="0"/>
              </w:rPr>
            </w:pPr>
            <w:r>
              <w:rPr>
                <w:color w:val="000000"/>
                <w:kern w:val="0"/>
              </w:rPr>
              <w:t>园地</w:t>
            </w:r>
          </w:p>
        </w:tc>
        <w:tc>
          <w:tcPr>
            <w:tcW w:w="1843" w:type="dxa"/>
            <w:tcBorders>
              <w:top w:val="nil"/>
              <w:left w:val="nil"/>
              <w:bottom w:val="single" w:color="auto" w:sz="4" w:space="0"/>
              <w:right w:val="single" w:color="auto" w:sz="4" w:space="0"/>
            </w:tcBorders>
            <w:shd w:val="clear" w:color="auto" w:fill="auto"/>
            <w:vAlign w:val="center"/>
          </w:tcPr>
          <w:p w14:paraId="132EF497">
            <w:pPr>
              <w:widowControl/>
              <w:jc w:val="center"/>
              <w:rPr>
                <w:color w:val="000000"/>
                <w:kern w:val="0"/>
              </w:rPr>
            </w:pPr>
            <w:r>
              <w:rPr>
                <w:color w:val="000000"/>
                <w:kern w:val="0"/>
              </w:rPr>
              <w:t>果园</w:t>
            </w:r>
          </w:p>
        </w:tc>
      </w:tr>
      <w:tr w14:paraId="3FDC4104">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7C209E45">
            <w:pPr>
              <w:widowControl/>
              <w:jc w:val="center"/>
              <w:rPr>
                <w:color w:val="000000"/>
                <w:kern w:val="0"/>
              </w:rPr>
            </w:pPr>
            <w:r>
              <w:rPr>
                <w:color w:val="000000"/>
                <w:kern w:val="0"/>
              </w:rPr>
              <w:t>N11</w:t>
            </w:r>
          </w:p>
        </w:tc>
        <w:tc>
          <w:tcPr>
            <w:tcW w:w="0" w:type="auto"/>
            <w:tcBorders>
              <w:top w:val="nil"/>
              <w:left w:val="nil"/>
              <w:bottom w:val="single" w:color="auto" w:sz="4" w:space="0"/>
              <w:right w:val="single" w:color="auto" w:sz="4" w:space="0"/>
            </w:tcBorders>
            <w:shd w:val="clear" w:color="auto" w:fill="auto"/>
            <w:vAlign w:val="center"/>
          </w:tcPr>
          <w:p w14:paraId="0A64C19E">
            <w:pPr>
              <w:widowControl/>
              <w:jc w:val="center"/>
              <w:rPr>
                <w:color w:val="000000"/>
                <w:kern w:val="0"/>
              </w:rPr>
            </w:pPr>
            <w:r>
              <w:rPr>
                <w:color w:val="000000"/>
                <w:kern w:val="0"/>
              </w:rPr>
              <w:t>35439623</w:t>
            </w:r>
          </w:p>
        </w:tc>
        <w:tc>
          <w:tcPr>
            <w:tcW w:w="0" w:type="auto"/>
            <w:tcBorders>
              <w:top w:val="nil"/>
              <w:left w:val="nil"/>
              <w:bottom w:val="single" w:color="auto" w:sz="4" w:space="0"/>
              <w:right w:val="single" w:color="auto" w:sz="4" w:space="0"/>
            </w:tcBorders>
            <w:shd w:val="clear" w:color="auto" w:fill="auto"/>
            <w:vAlign w:val="center"/>
          </w:tcPr>
          <w:p w14:paraId="56648A50">
            <w:pPr>
              <w:widowControl/>
              <w:jc w:val="center"/>
              <w:rPr>
                <w:color w:val="000000"/>
                <w:kern w:val="0"/>
              </w:rPr>
            </w:pPr>
            <w:r>
              <w:rPr>
                <w:color w:val="000000"/>
                <w:kern w:val="0"/>
              </w:rPr>
              <w:t>2815684</w:t>
            </w:r>
          </w:p>
        </w:tc>
        <w:tc>
          <w:tcPr>
            <w:tcW w:w="1237" w:type="dxa"/>
            <w:tcBorders>
              <w:top w:val="nil"/>
              <w:left w:val="nil"/>
              <w:bottom w:val="single" w:color="auto" w:sz="4" w:space="0"/>
              <w:right w:val="single" w:color="auto" w:sz="4" w:space="0"/>
            </w:tcBorders>
            <w:shd w:val="clear" w:color="auto" w:fill="auto"/>
            <w:vAlign w:val="center"/>
          </w:tcPr>
          <w:p w14:paraId="6A1AF694">
            <w:pPr>
              <w:widowControl/>
              <w:jc w:val="center"/>
              <w:rPr>
                <w:color w:val="000000"/>
                <w:kern w:val="0"/>
              </w:rPr>
            </w:pPr>
            <w:r>
              <w:rPr>
                <w:color w:val="000000"/>
                <w:kern w:val="0"/>
              </w:rPr>
              <w:t>2025.39</w:t>
            </w:r>
          </w:p>
        </w:tc>
        <w:tc>
          <w:tcPr>
            <w:tcW w:w="1276" w:type="dxa"/>
            <w:tcBorders>
              <w:top w:val="nil"/>
              <w:left w:val="nil"/>
              <w:bottom w:val="single" w:color="auto" w:sz="4" w:space="0"/>
              <w:right w:val="single" w:color="auto" w:sz="4" w:space="0"/>
            </w:tcBorders>
            <w:shd w:val="clear" w:color="auto" w:fill="auto"/>
            <w:vAlign w:val="center"/>
          </w:tcPr>
          <w:p w14:paraId="27726B9A">
            <w:pPr>
              <w:widowControl/>
              <w:jc w:val="center"/>
              <w:rPr>
                <w:color w:val="000000"/>
                <w:kern w:val="0"/>
              </w:rPr>
            </w:pPr>
            <w:r>
              <w:rPr>
                <w:color w:val="000000"/>
                <w:kern w:val="0"/>
              </w:rPr>
              <w:t>1B1Y6-J2</w:t>
            </w:r>
          </w:p>
        </w:tc>
        <w:tc>
          <w:tcPr>
            <w:tcW w:w="1134" w:type="dxa"/>
            <w:tcBorders>
              <w:top w:val="nil"/>
              <w:left w:val="nil"/>
              <w:bottom w:val="single" w:color="auto" w:sz="4" w:space="0"/>
              <w:right w:val="single" w:color="auto" w:sz="4" w:space="0"/>
            </w:tcBorders>
            <w:shd w:val="clear" w:color="auto" w:fill="auto"/>
            <w:vAlign w:val="center"/>
          </w:tcPr>
          <w:p w14:paraId="6B96B2A2">
            <w:pPr>
              <w:widowControl/>
              <w:jc w:val="center"/>
              <w:rPr>
                <w:color w:val="000000"/>
                <w:kern w:val="0"/>
              </w:rPr>
            </w:pPr>
            <w:r>
              <w:rPr>
                <w:color w:val="000000"/>
                <w:kern w:val="0"/>
              </w:rPr>
              <w:t>30</w:t>
            </w:r>
          </w:p>
        </w:tc>
        <w:tc>
          <w:tcPr>
            <w:tcW w:w="1842" w:type="dxa"/>
            <w:tcBorders>
              <w:top w:val="nil"/>
              <w:left w:val="nil"/>
              <w:bottom w:val="single" w:color="auto" w:sz="4" w:space="0"/>
              <w:right w:val="single" w:color="auto" w:sz="4" w:space="0"/>
            </w:tcBorders>
            <w:shd w:val="clear" w:color="auto" w:fill="auto"/>
            <w:vAlign w:val="center"/>
          </w:tcPr>
          <w:p w14:paraId="0F4FD9D4">
            <w:pPr>
              <w:widowControl/>
              <w:jc w:val="center"/>
              <w:rPr>
                <w:color w:val="000000"/>
                <w:kern w:val="0"/>
              </w:rPr>
            </w:pPr>
            <w:r>
              <w:rPr>
                <w:color w:val="000000"/>
                <w:kern w:val="0"/>
              </w:rPr>
              <w:t>10556</w:t>
            </w:r>
          </w:p>
        </w:tc>
        <w:tc>
          <w:tcPr>
            <w:tcW w:w="1843" w:type="dxa"/>
            <w:tcBorders>
              <w:top w:val="nil"/>
              <w:left w:val="nil"/>
              <w:bottom w:val="single" w:color="auto" w:sz="4" w:space="0"/>
              <w:right w:val="single" w:color="auto" w:sz="4" w:space="0"/>
            </w:tcBorders>
            <w:shd w:val="clear" w:color="auto" w:fill="auto"/>
            <w:vAlign w:val="center"/>
          </w:tcPr>
          <w:p w14:paraId="05645FED">
            <w:pPr>
              <w:widowControl/>
              <w:jc w:val="center"/>
              <w:rPr>
                <w:color w:val="000000"/>
                <w:kern w:val="0"/>
              </w:rPr>
            </w:pPr>
            <w:r>
              <w:rPr>
                <w:color w:val="000000"/>
                <w:kern w:val="0"/>
              </w:rPr>
              <w:t>49.42</w:t>
            </w:r>
          </w:p>
        </w:tc>
        <w:tc>
          <w:tcPr>
            <w:tcW w:w="1701" w:type="dxa"/>
            <w:tcBorders>
              <w:top w:val="nil"/>
              <w:left w:val="nil"/>
              <w:bottom w:val="single" w:color="auto" w:sz="4" w:space="0"/>
              <w:right w:val="single" w:color="auto" w:sz="4" w:space="0"/>
            </w:tcBorders>
            <w:shd w:val="clear" w:color="auto" w:fill="auto"/>
            <w:vAlign w:val="center"/>
          </w:tcPr>
          <w:p w14:paraId="76C0CCA1">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5D772BE8">
            <w:pPr>
              <w:widowControl/>
              <w:jc w:val="center"/>
              <w:rPr>
                <w:color w:val="000000"/>
                <w:kern w:val="0"/>
              </w:rPr>
            </w:pPr>
            <w:r>
              <w:rPr>
                <w:color w:val="000000"/>
                <w:kern w:val="0"/>
              </w:rPr>
              <w:t>其他草地</w:t>
            </w:r>
          </w:p>
        </w:tc>
      </w:tr>
      <w:tr w14:paraId="1DF37021">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7FB71934">
            <w:pPr>
              <w:widowControl/>
              <w:jc w:val="center"/>
              <w:rPr>
                <w:color w:val="000000"/>
                <w:kern w:val="0"/>
              </w:rPr>
            </w:pPr>
            <w:r>
              <w:rPr>
                <w:color w:val="000000"/>
                <w:kern w:val="0"/>
              </w:rPr>
              <w:t>N12</w:t>
            </w:r>
          </w:p>
        </w:tc>
        <w:tc>
          <w:tcPr>
            <w:tcW w:w="0" w:type="auto"/>
            <w:tcBorders>
              <w:top w:val="nil"/>
              <w:left w:val="nil"/>
              <w:bottom w:val="single" w:color="auto" w:sz="4" w:space="0"/>
              <w:right w:val="single" w:color="auto" w:sz="4" w:space="0"/>
            </w:tcBorders>
            <w:shd w:val="clear" w:color="auto" w:fill="auto"/>
            <w:vAlign w:val="center"/>
          </w:tcPr>
          <w:p w14:paraId="2E4EEF88">
            <w:pPr>
              <w:widowControl/>
              <w:jc w:val="center"/>
              <w:rPr>
                <w:color w:val="000000"/>
                <w:kern w:val="0"/>
              </w:rPr>
            </w:pPr>
            <w:r>
              <w:rPr>
                <w:color w:val="000000"/>
                <w:kern w:val="0"/>
              </w:rPr>
              <w:t>35439374</w:t>
            </w:r>
          </w:p>
        </w:tc>
        <w:tc>
          <w:tcPr>
            <w:tcW w:w="0" w:type="auto"/>
            <w:tcBorders>
              <w:top w:val="nil"/>
              <w:left w:val="nil"/>
              <w:bottom w:val="single" w:color="auto" w:sz="4" w:space="0"/>
              <w:right w:val="single" w:color="auto" w:sz="4" w:space="0"/>
            </w:tcBorders>
            <w:shd w:val="clear" w:color="auto" w:fill="auto"/>
            <w:vAlign w:val="center"/>
          </w:tcPr>
          <w:p w14:paraId="2547EFD4">
            <w:pPr>
              <w:widowControl/>
              <w:jc w:val="center"/>
              <w:rPr>
                <w:color w:val="000000"/>
                <w:kern w:val="0"/>
              </w:rPr>
            </w:pPr>
            <w:r>
              <w:rPr>
                <w:color w:val="000000"/>
                <w:kern w:val="0"/>
              </w:rPr>
              <w:t>2815639.5</w:t>
            </w:r>
          </w:p>
        </w:tc>
        <w:tc>
          <w:tcPr>
            <w:tcW w:w="1237" w:type="dxa"/>
            <w:tcBorders>
              <w:top w:val="nil"/>
              <w:left w:val="nil"/>
              <w:bottom w:val="single" w:color="auto" w:sz="4" w:space="0"/>
              <w:right w:val="single" w:color="auto" w:sz="4" w:space="0"/>
            </w:tcBorders>
            <w:shd w:val="clear" w:color="auto" w:fill="auto"/>
            <w:vAlign w:val="center"/>
          </w:tcPr>
          <w:p w14:paraId="53C84D10">
            <w:pPr>
              <w:widowControl/>
              <w:jc w:val="center"/>
              <w:rPr>
                <w:color w:val="000000"/>
                <w:kern w:val="0"/>
              </w:rPr>
            </w:pPr>
            <w:r>
              <w:rPr>
                <w:color w:val="000000"/>
                <w:kern w:val="0"/>
              </w:rPr>
              <w:t>2052.345</w:t>
            </w:r>
          </w:p>
        </w:tc>
        <w:tc>
          <w:tcPr>
            <w:tcW w:w="1276" w:type="dxa"/>
            <w:tcBorders>
              <w:top w:val="nil"/>
              <w:left w:val="nil"/>
              <w:bottom w:val="single" w:color="auto" w:sz="4" w:space="0"/>
              <w:right w:val="single" w:color="auto" w:sz="4" w:space="0"/>
            </w:tcBorders>
            <w:shd w:val="clear" w:color="auto" w:fill="auto"/>
            <w:vAlign w:val="center"/>
          </w:tcPr>
          <w:p w14:paraId="46414FBB">
            <w:pPr>
              <w:widowControl/>
              <w:jc w:val="center"/>
              <w:rPr>
                <w:color w:val="000000"/>
                <w:kern w:val="0"/>
              </w:rPr>
            </w:pPr>
            <w:r>
              <w:rPr>
                <w:color w:val="000000"/>
                <w:kern w:val="0"/>
              </w:rPr>
              <w:t>1B1Y6-Z2</w:t>
            </w:r>
          </w:p>
        </w:tc>
        <w:tc>
          <w:tcPr>
            <w:tcW w:w="1134" w:type="dxa"/>
            <w:tcBorders>
              <w:top w:val="nil"/>
              <w:left w:val="nil"/>
              <w:bottom w:val="single" w:color="auto" w:sz="4" w:space="0"/>
              <w:right w:val="single" w:color="auto" w:sz="4" w:space="0"/>
            </w:tcBorders>
            <w:shd w:val="clear" w:color="auto" w:fill="auto"/>
            <w:vAlign w:val="center"/>
          </w:tcPr>
          <w:p w14:paraId="529C8882">
            <w:pPr>
              <w:widowControl/>
              <w:jc w:val="center"/>
              <w:rPr>
                <w:color w:val="000000"/>
                <w:kern w:val="0"/>
              </w:rPr>
            </w:pPr>
            <w:r>
              <w:rPr>
                <w:color w:val="000000"/>
                <w:kern w:val="0"/>
              </w:rPr>
              <w:t>39</w:t>
            </w:r>
          </w:p>
        </w:tc>
        <w:tc>
          <w:tcPr>
            <w:tcW w:w="1842" w:type="dxa"/>
            <w:tcBorders>
              <w:top w:val="nil"/>
              <w:left w:val="nil"/>
              <w:bottom w:val="single" w:color="auto" w:sz="4" w:space="0"/>
              <w:right w:val="single" w:color="auto" w:sz="4" w:space="0"/>
            </w:tcBorders>
            <w:shd w:val="clear" w:color="auto" w:fill="auto"/>
            <w:vAlign w:val="center"/>
          </w:tcPr>
          <w:p w14:paraId="5A2DB951">
            <w:pPr>
              <w:widowControl/>
              <w:jc w:val="center"/>
              <w:rPr>
                <w:color w:val="000000"/>
                <w:kern w:val="0"/>
              </w:rPr>
            </w:pPr>
            <w:r>
              <w:rPr>
                <w:color w:val="000000"/>
                <w:kern w:val="0"/>
              </w:rPr>
              <w:t>11087</w:t>
            </w:r>
          </w:p>
        </w:tc>
        <w:tc>
          <w:tcPr>
            <w:tcW w:w="1843" w:type="dxa"/>
            <w:tcBorders>
              <w:top w:val="nil"/>
              <w:left w:val="nil"/>
              <w:bottom w:val="single" w:color="auto" w:sz="4" w:space="0"/>
              <w:right w:val="single" w:color="auto" w:sz="4" w:space="0"/>
            </w:tcBorders>
            <w:shd w:val="clear" w:color="auto" w:fill="auto"/>
            <w:vAlign w:val="center"/>
          </w:tcPr>
          <w:p w14:paraId="272B4D51">
            <w:pPr>
              <w:widowControl/>
              <w:jc w:val="center"/>
              <w:rPr>
                <w:color w:val="000000"/>
                <w:kern w:val="0"/>
              </w:rPr>
            </w:pPr>
            <w:r>
              <w:rPr>
                <w:color w:val="000000"/>
                <w:kern w:val="0"/>
              </w:rPr>
              <w:t>56.85</w:t>
            </w:r>
          </w:p>
        </w:tc>
        <w:tc>
          <w:tcPr>
            <w:tcW w:w="1701" w:type="dxa"/>
            <w:tcBorders>
              <w:top w:val="nil"/>
              <w:left w:val="nil"/>
              <w:bottom w:val="single" w:color="auto" w:sz="4" w:space="0"/>
              <w:right w:val="single" w:color="auto" w:sz="4" w:space="0"/>
            </w:tcBorders>
            <w:shd w:val="clear" w:color="auto" w:fill="auto"/>
            <w:vAlign w:val="center"/>
          </w:tcPr>
          <w:p w14:paraId="4341DDB0">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50E28ACB">
            <w:pPr>
              <w:widowControl/>
              <w:jc w:val="center"/>
              <w:rPr>
                <w:color w:val="000000"/>
                <w:kern w:val="0"/>
              </w:rPr>
            </w:pPr>
            <w:r>
              <w:rPr>
                <w:color w:val="000000"/>
                <w:kern w:val="0"/>
              </w:rPr>
              <w:t>乔木林地</w:t>
            </w:r>
          </w:p>
        </w:tc>
      </w:tr>
      <w:tr w14:paraId="4DEB045A">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1F21686C">
            <w:pPr>
              <w:widowControl/>
              <w:jc w:val="center"/>
              <w:rPr>
                <w:color w:val="000000"/>
                <w:kern w:val="0"/>
              </w:rPr>
            </w:pPr>
            <w:r>
              <w:rPr>
                <w:color w:val="000000"/>
                <w:kern w:val="0"/>
              </w:rPr>
              <w:t>N13</w:t>
            </w:r>
          </w:p>
        </w:tc>
        <w:tc>
          <w:tcPr>
            <w:tcW w:w="0" w:type="auto"/>
            <w:tcBorders>
              <w:top w:val="nil"/>
              <w:left w:val="nil"/>
              <w:bottom w:val="single" w:color="auto" w:sz="4" w:space="0"/>
              <w:right w:val="single" w:color="auto" w:sz="4" w:space="0"/>
            </w:tcBorders>
            <w:shd w:val="clear" w:color="auto" w:fill="auto"/>
            <w:vAlign w:val="center"/>
          </w:tcPr>
          <w:p w14:paraId="5FAFC72E">
            <w:pPr>
              <w:widowControl/>
              <w:jc w:val="center"/>
              <w:rPr>
                <w:color w:val="000000"/>
                <w:kern w:val="0"/>
              </w:rPr>
            </w:pPr>
            <w:r>
              <w:rPr>
                <w:color w:val="000000"/>
                <w:kern w:val="0"/>
              </w:rPr>
              <w:t>35439099</w:t>
            </w:r>
          </w:p>
        </w:tc>
        <w:tc>
          <w:tcPr>
            <w:tcW w:w="0" w:type="auto"/>
            <w:tcBorders>
              <w:top w:val="nil"/>
              <w:left w:val="nil"/>
              <w:bottom w:val="single" w:color="auto" w:sz="4" w:space="0"/>
              <w:right w:val="single" w:color="auto" w:sz="4" w:space="0"/>
            </w:tcBorders>
            <w:shd w:val="clear" w:color="auto" w:fill="auto"/>
            <w:vAlign w:val="center"/>
          </w:tcPr>
          <w:p w14:paraId="757928A4">
            <w:pPr>
              <w:widowControl/>
              <w:jc w:val="center"/>
              <w:rPr>
                <w:color w:val="000000"/>
                <w:kern w:val="0"/>
              </w:rPr>
            </w:pPr>
            <w:r>
              <w:rPr>
                <w:color w:val="000000"/>
                <w:kern w:val="0"/>
              </w:rPr>
              <w:t>2815590</w:t>
            </w:r>
          </w:p>
        </w:tc>
        <w:tc>
          <w:tcPr>
            <w:tcW w:w="1237" w:type="dxa"/>
            <w:tcBorders>
              <w:top w:val="nil"/>
              <w:left w:val="nil"/>
              <w:bottom w:val="single" w:color="auto" w:sz="4" w:space="0"/>
              <w:right w:val="single" w:color="auto" w:sz="4" w:space="0"/>
            </w:tcBorders>
            <w:shd w:val="clear" w:color="auto" w:fill="auto"/>
            <w:vAlign w:val="center"/>
          </w:tcPr>
          <w:p w14:paraId="44192239">
            <w:pPr>
              <w:widowControl/>
              <w:jc w:val="center"/>
              <w:rPr>
                <w:color w:val="000000"/>
                <w:kern w:val="0"/>
              </w:rPr>
            </w:pPr>
            <w:r>
              <w:rPr>
                <w:color w:val="000000"/>
                <w:kern w:val="0"/>
              </w:rPr>
              <w:t>2053.332</w:t>
            </w:r>
          </w:p>
        </w:tc>
        <w:tc>
          <w:tcPr>
            <w:tcW w:w="1276" w:type="dxa"/>
            <w:tcBorders>
              <w:top w:val="nil"/>
              <w:left w:val="nil"/>
              <w:bottom w:val="single" w:color="auto" w:sz="4" w:space="0"/>
              <w:right w:val="single" w:color="auto" w:sz="4" w:space="0"/>
            </w:tcBorders>
            <w:shd w:val="clear" w:color="auto" w:fill="auto"/>
            <w:vAlign w:val="center"/>
          </w:tcPr>
          <w:p w14:paraId="1342CE49">
            <w:pPr>
              <w:widowControl/>
              <w:jc w:val="center"/>
              <w:rPr>
                <w:color w:val="000000"/>
                <w:kern w:val="0"/>
              </w:rPr>
            </w:pPr>
            <w:r>
              <w:rPr>
                <w:color w:val="000000"/>
                <w:kern w:val="0"/>
              </w:rPr>
              <w:t>1B1Z4G-J3</w:t>
            </w:r>
          </w:p>
        </w:tc>
        <w:tc>
          <w:tcPr>
            <w:tcW w:w="1134" w:type="dxa"/>
            <w:tcBorders>
              <w:top w:val="nil"/>
              <w:left w:val="nil"/>
              <w:bottom w:val="single" w:color="auto" w:sz="4" w:space="0"/>
              <w:right w:val="single" w:color="auto" w:sz="4" w:space="0"/>
            </w:tcBorders>
            <w:shd w:val="clear" w:color="auto" w:fill="auto"/>
            <w:vAlign w:val="center"/>
          </w:tcPr>
          <w:p w14:paraId="04F07760">
            <w:pPr>
              <w:widowControl/>
              <w:jc w:val="center"/>
              <w:rPr>
                <w:color w:val="000000"/>
                <w:kern w:val="0"/>
              </w:rPr>
            </w:pPr>
            <w:r>
              <w:rPr>
                <w:color w:val="000000"/>
                <w:kern w:val="0"/>
              </w:rPr>
              <w:t>30</w:t>
            </w:r>
          </w:p>
        </w:tc>
        <w:tc>
          <w:tcPr>
            <w:tcW w:w="1842" w:type="dxa"/>
            <w:tcBorders>
              <w:top w:val="nil"/>
              <w:left w:val="nil"/>
              <w:bottom w:val="single" w:color="auto" w:sz="4" w:space="0"/>
              <w:right w:val="single" w:color="auto" w:sz="4" w:space="0"/>
            </w:tcBorders>
            <w:shd w:val="clear" w:color="auto" w:fill="auto"/>
            <w:vAlign w:val="center"/>
          </w:tcPr>
          <w:p w14:paraId="182061D6">
            <w:pPr>
              <w:widowControl/>
              <w:jc w:val="center"/>
              <w:rPr>
                <w:color w:val="000000"/>
                <w:kern w:val="0"/>
              </w:rPr>
            </w:pPr>
            <w:r>
              <w:rPr>
                <w:color w:val="000000"/>
                <w:kern w:val="0"/>
              </w:rPr>
              <w:t>20122.7</w:t>
            </w:r>
          </w:p>
        </w:tc>
        <w:tc>
          <w:tcPr>
            <w:tcW w:w="1843" w:type="dxa"/>
            <w:tcBorders>
              <w:top w:val="nil"/>
              <w:left w:val="nil"/>
              <w:bottom w:val="single" w:color="auto" w:sz="4" w:space="0"/>
              <w:right w:val="single" w:color="auto" w:sz="4" w:space="0"/>
            </w:tcBorders>
            <w:shd w:val="clear" w:color="auto" w:fill="auto"/>
            <w:vAlign w:val="center"/>
          </w:tcPr>
          <w:p w14:paraId="2D561EEB">
            <w:pPr>
              <w:widowControl/>
              <w:jc w:val="center"/>
              <w:rPr>
                <w:color w:val="000000"/>
                <w:kern w:val="0"/>
              </w:rPr>
            </w:pPr>
            <w:r>
              <w:rPr>
                <w:color w:val="000000"/>
                <w:kern w:val="0"/>
              </w:rPr>
              <w:t>58.49</w:t>
            </w:r>
          </w:p>
        </w:tc>
        <w:tc>
          <w:tcPr>
            <w:tcW w:w="1701" w:type="dxa"/>
            <w:tcBorders>
              <w:top w:val="nil"/>
              <w:left w:val="nil"/>
              <w:bottom w:val="single" w:color="auto" w:sz="4" w:space="0"/>
              <w:right w:val="single" w:color="auto" w:sz="4" w:space="0"/>
            </w:tcBorders>
            <w:shd w:val="clear" w:color="auto" w:fill="auto"/>
            <w:vAlign w:val="center"/>
          </w:tcPr>
          <w:p w14:paraId="5BECDE7B">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29200EF8">
            <w:pPr>
              <w:widowControl/>
              <w:jc w:val="center"/>
              <w:rPr>
                <w:color w:val="000000"/>
                <w:kern w:val="0"/>
              </w:rPr>
            </w:pPr>
            <w:r>
              <w:rPr>
                <w:color w:val="000000"/>
                <w:kern w:val="0"/>
              </w:rPr>
              <w:t>乔木林地</w:t>
            </w:r>
          </w:p>
        </w:tc>
      </w:tr>
      <w:tr w14:paraId="5D7A6A55">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4C12DCBE">
            <w:pPr>
              <w:widowControl/>
              <w:jc w:val="center"/>
              <w:rPr>
                <w:color w:val="000000"/>
                <w:kern w:val="0"/>
              </w:rPr>
            </w:pPr>
            <w:r>
              <w:rPr>
                <w:color w:val="000000"/>
                <w:kern w:val="0"/>
              </w:rPr>
              <w:t>N14</w:t>
            </w:r>
          </w:p>
        </w:tc>
        <w:tc>
          <w:tcPr>
            <w:tcW w:w="0" w:type="auto"/>
            <w:tcBorders>
              <w:top w:val="nil"/>
              <w:left w:val="nil"/>
              <w:bottom w:val="single" w:color="auto" w:sz="4" w:space="0"/>
              <w:right w:val="single" w:color="auto" w:sz="4" w:space="0"/>
            </w:tcBorders>
            <w:shd w:val="clear" w:color="auto" w:fill="auto"/>
            <w:vAlign w:val="center"/>
          </w:tcPr>
          <w:p w14:paraId="0AAB3C05">
            <w:pPr>
              <w:widowControl/>
              <w:jc w:val="center"/>
              <w:rPr>
                <w:color w:val="000000"/>
                <w:kern w:val="0"/>
              </w:rPr>
            </w:pPr>
            <w:r>
              <w:rPr>
                <w:color w:val="000000"/>
                <w:kern w:val="0"/>
              </w:rPr>
              <w:t>35438873</w:t>
            </w:r>
          </w:p>
        </w:tc>
        <w:tc>
          <w:tcPr>
            <w:tcW w:w="0" w:type="auto"/>
            <w:tcBorders>
              <w:top w:val="nil"/>
              <w:left w:val="nil"/>
              <w:bottom w:val="single" w:color="auto" w:sz="4" w:space="0"/>
              <w:right w:val="single" w:color="auto" w:sz="4" w:space="0"/>
            </w:tcBorders>
            <w:shd w:val="clear" w:color="auto" w:fill="auto"/>
            <w:vAlign w:val="center"/>
          </w:tcPr>
          <w:p w14:paraId="662A3ADF">
            <w:pPr>
              <w:widowControl/>
              <w:jc w:val="center"/>
              <w:rPr>
                <w:color w:val="000000"/>
                <w:kern w:val="0"/>
              </w:rPr>
            </w:pPr>
            <w:r>
              <w:rPr>
                <w:color w:val="000000"/>
                <w:kern w:val="0"/>
              </w:rPr>
              <w:t>2815596.7</w:t>
            </w:r>
          </w:p>
        </w:tc>
        <w:tc>
          <w:tcPr>
            <w:tcW w:w="1237" w:type="dxa"/>
            <w:tcBorders>
              <w:top w:val="nil"/>
              <w:left w:val="nil"/>
              <w:bottom w:val="single" w:color="auto" w:sz="4" w:space="0"/>
              <w:right w:val="single" w:color="auto" w:sz="4" w:space="0"/>
            </w:tcBorders>
            <w:shd w:val="clear" w:color="auto" w:fill="auto"/>
            <w:vAlign w:val="center"/>
          </w:tcPr>
          <w:p w14:paraId="7D21598B">
            <w:pPr>
              <w:widowControl/>
              <w:jc w:val="center"/>
              <w:rPr>
                <w:color w:val="000000"/>
                <w:kern w:val="0"/>
              </w:rPr>
            </w:pPr>
            <w:r>
              <w:rPr>
                <w:color w:val="000000"/>
                <w:kern w:val="0"/>
              </w:rPr>
              <w:t>2111.031</w:t>
            </w:r>
          </w:p>
        </w:tc>
        <w:tc>
          <w:tcPr>
            <w:tcW w:w="1276" w:type="dxa"/>
            <w:tcBorders>
              <w:top w:val="nil"/>
              <w:left w:val="nil"/>
              <w:bottom w:val="single" w:color="auto" w:sz="4" w:space="0"/>
              <w:right w:val="single" w:color="auto" w:sz="4" w:space="0"/>
            </w:tcBorders>
            <w:shd w:val="clear" w:color="auto" w:fill="auto"/>
            <w:vAlign w:val="center"/>
          </w:tcPr>
          <w:p w14:paraId="03753637">
            <w:pPr>
              <w:widowControl/>
              <w:jc w:val="center"/>
              <w:rPr>
                <w:color w:val="000000"/>
                <w:kern w:val="0"/>
              </w:rPr>
            </w:pPr>
            <w:r>
              <w:rPr>
                <w:color w:val="000000"/>
                <w:kern w:val="0"/>
              </w:rPr>
              <w:t>1B1Z4G-J3</w:t>
            </w:r>
          </w:p>
        </w:tc>
        <w:tc>
          <w:tcPr>
            <w:tcW w:w="1134" w:type="dxa"/>
            <w:tcBorders>
              <w:top w:val="nil"/>
              <w:left w:val="nil"/>
              <w:bottom w:val="single" w:color="auto" w:sz="4" w:space="0"/>
              <w:right w:val="single" w:color="auto" w:sz="4" w:space="0"/>
            </w:tcBorders>
            <w:shd w:val="clear" w:color="auto" w:fill="auto"/>
            <w:vAlign w:val="center"/>
          </w:tcPr>
          <w:p w14:paraId="42AD9440">
            <w:pPr>
              <w:widowControl/>
              <w:jc w:val="center"/>
              <w:rPr>
                <w:color w:val="000000"/>
                <w:kern w:val="0"/>
              </w:rPr>
            </w:pPr>
            <w:r>
              <w:rPr>
                <w:color w:val="000000"/>
                <w:kern w:val="0"/>
              </w:rPr>
              <w:t>30</w:t>
            </w:r>
          </w:p>
        </w:tc>
        <w:tc>
          <w:tcPr>
            <w:tcW w:w="1842" w:type="dxa"/>
            <w:tcBorders>
              <w:top w:val="nil"/>
              <w:left w:val="nil"/>
              <w:bottom w:val="single" w:color="auto" w:sz="4" w:space="0"/>
              <w:right w:val="single" w:color="auto" w:sz="4" w:space="0"/>
            </w:tcBorders>
            <w:shd w:val="clear" w:color="auto" w:fill="auto"/>
            <w:vAlign w:val="center"/>
          </w:tcPr>
          <w:p w14:paraId="181D44E7">
            <w:pPr>
              <w:widowControl/>
              <w:jc w:val="center"/>
              <w:rPr>
                <w:color w:val="000000"/>
                <w:kern w:val="0"/>
              </w:rPr>
            </w:pPr>
            <w:r>
              <w:rPr>
                <w:color w:val="000000"/>
                <w:kern w:val="0"/>
              </w:rPr>
              <w:t>20122.7</w:t>
            </w:r>
          </w:p>
        </w:tc>
        <w:tc>
          <w:tcPr>
            <w:tcW w:w="1843" w:type="dxa"/>
            <w:tcBorders>
              <w:top w:val="nil"/>
              <w:left w:val="nil"/>
              <w:bottom w:val="single" w:color="auto" w:sz="4" w:space="0"/>
              <w:right w:val="single" w:color="auto" w:sz="4" w:space="0"/>
            </w:tcBorders>
            <w:shd w:val="clear" w:color="auto" w:fill="auto"/>
            <w:vAlign w:val="center"/>
          </w:tcPr>
          <w:p w14:paraId="35E909BE">
            <w:pPr>
              <w:widowControl/>
              <w:jc w:val="center"/>
              <w:rPr>
                <w:color w:val="000000"/>
                <w:kern w:val="0"/>
              </w:rPr>
            </w:pPr>
            <w:r>
              <w:rPr>
                <w:color w:val="000000"/>
                <w:kern w:val="0"/>
              </w:rPr>
              <w:t>58.49</w:t>
            </w:r>
          </w:p>
        </w:tc>
        <w:tc>
          <w:tcPr>
            <w:tcW w:w="1701" w:type="dxa"/>
            <w:tcBorders>
              <w:top w:val="nil"/>
              <w:left w:val="nil"/>
              <w:bottom w:val="single" w:color="auto" w:sz="4" w:space="0"/>
              <w:right w:val="single" w:color="auto" w:sz="4" w:space="0"/>
            </w:tcBorders>
            <w:shd w:val="clear" w:color="auto" w:fill="auto"/>
            <w:vAlign w:val="center"/>
          </w:tcPr>
          <w:p w14:paraId="48277DDD">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2E1457D6">
            <w:pPr>
              <w:widowControl/>
              <w:jc w:val="center"/>
              <w:rPr>
                <w:color w:val="000000"/>
                <w:kern w:val="0"/>
              </w:rPr>
            </w:pPr>
            <w:r>
              <w:rPr>
                <w:color w:val="000000"/>
                <w:kern w:val="0"/>
              </w:rPr>
              <w:t>乔木林地</w:t>
            </w:r>
          </w:p>
        </w:tc>
      </w:tr>
      <w:tr w14:paraId="173C8596">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3C4E248F">
            <w:pPr>
              <w:widowControl/>
              <w:jc w:val="center"/>
              <w:rPr>
                <w:color w:val="000000"/>
                <w:kern w:val="0"/>
              </w:rPr>
            </w:pPr>
            <w:r>
              <w:rPr>
                <w:color w:val="000000"/>
                <w:kern w:val="0"/>
              </w:rPr>
              <w:t>N15</w:t>
            </w:r>
          </w:p>
        </w:tc>
        <w:tc>
          <w:tcPr>
            <w:tcW w:w="0" w:type="auto"/>
            <w:tcBorders>
              <w:top w:val="nil"/>
              <w:left w:val="nil"/>
              <w:bottom w:val="single" w:color="auto" w:sz="4" w:space="0"/>
              <w:right w:val="single" w:color="auto" w:sz="4" w:space="0"/>
            </w:tcBorders>
            <w:shd w:val="clear" w:color="auto" w:fill="auto"/>
            <w:vAlign w:val="center"/>
          </w:tcPr>
          <w:p w14:paraId="1CDD4816">
            <w:pPr>
              <w:widowControl/>
              <w:jc w:val="center"/>
              <w:rPr>
                <w:color w:val="000000"/>
                <w:kern w:val="0"/>
              </w:rPr>
            </w:pPr>
            <w:r>
              <w:rPr>
                <w:color w:val="000000"/>
                <w:kern w:val="0"/>
              </w:rPr>
              <w:t>35438742</w:t>
            </w:r>
          </w:p>
        </w:tc>
        <w:tc>
          <w:tcPr>
            <w:tcW w:w="0" w:type="auto"/>
            <w:tcBorders>
              <w:top w:val="nil"/>
              <w:left w:val="nil"/>
              <w:bottom w:val="single" w:color="auto" w:sz="4" w:space="0"/>
              <w:right w:val="single" w:color="auto" w:sz="4" w:space="0"/>
            </w:tcBorders>
            <w:shd w:val="clear" w:color="auto" w:fill="auto"/>
            <w:vAlign w:val="center"/>
          </w:tcPr>
          <w:p w14:paraId="70232811">
            <w:pPr>
              <w:widowControl/>
              <w:jc w:val="center"/>
              <w:rPr>
                <w:color w:val="000000"/>
                <w:kern w:val="0"/>
              </w:rPr>
            </w:pPr>
            <w:r>
              <w:rPr>
                <w:color w:val="000000"/>
                <w:kern w:val="0"/>
              </w:rPr>
              <w:t>2815638.7</w:t>
            </w:r>
          </w:p>
        </w:tc>
        <w:tc>
          <w:tcPr>
            <w:tcW w:w="1237" w:type="dxa"/>
            <w:tcBorders>
              <w:top w:val="nil"/>
              <w:left w:val="nil"/>
              <w:bottom w:val="single" w:color="auto" w:sz="4" w:space="0"/>
              <w:right w:val="single" w:color="auto" w:sz="4" w:space="0"/>
            </w:tcBorders>
            <w:shd w:val="clear" w:color="auto" w:fill="auto"/>
            <w:vAlign w:val="center"/>
          </w:tcPr>
          <w:p w14:paraId="0FC4F73C">
            <w:pPr>
              <w:widowControl/>
              <w:jc w:val="center"/>
              <w:rPr>
                <w:color w:val="000000"/>
                <w:kern w:val="0"/>
              </w:rPr>
            </w:pPr>
            <w:r>
              <w:rPr>
                <w:color w:val="000000"/>
                <w:kern w:val="0"/>
              </w:rPr>
              <w:t>2071.53</w:t>
            </w:r>
          </w:p>
        </w:tc>
        <w:tc>
          <w:tcPr>
            <w:tcW w:w="1276" w:type="dxa"/>
            <w:tcBorders>
              <w:top w:val="nil"/>
              <w:left w:val="nil"/>
              <w:bottom w:val="single" w:color="auto" w:sz="4" w:space="0"/>
              <w:right w:val="single" w:color="auto" w:sz="4" w:space="0"/>
            </w:tcBorders>
            <w:shd w:val="clear" w:color="auto" w:fill="auto"/>
            <w:vAlign w:val="center"/>
          </w:tcPr>
          <w:p w14:paraId="124D715F">
            <w:pPr>
              <w:widowControl/>
              <w:jc w:val="center"/>
              <w:rPr>
                <w:color w:val="000000"/>
                <w:kern w:val="0"/>
              </w:rPr>
            </w:pPr>
            <w:r>
              <w:rPr>
                <w:color w:val="000000"/>
                <w:kern w:val="0"/>
              </w:rPr>
              <w:t>1B1Z4G-Z2</w:t>
            </w:r>
          </w:p>
        </w:tc>
        <w:tc>
          <w:tcPr>
            <w:tcW w:w="1134" w:type="dxa"/>
            <w:tcBorders>
              <w:top w:val="nil"/>
              <w:left w:val="nil"/>
              <w:bottom w:val="single" w:color="auto" w:sz="4" w:space="0"/>
              <w:right w:val="single" w:color="auto" w:sz="4" w:space="0"/>
            </w:tcBorders>
            <w:shd w:val="clear" w:color="auto" w:fill="auto"/>
            <w:vAlign w:val="center"/>
          </w:tcPr>
          <w:p w14:paraId="4003024F">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4E7C5E66">
            <w:pPr>
              <w:widowControl/>
              <w:jc w:val="center"/>
              <w:rPr>
                <w:color w:val="000000"/>
                <w:kern w:val="0"/>
              </w:rPr>
            </w:pPr>
            <w:r>
              <w:rPr>
                <w:color w:val="000000"/>
                <w:kern w:val="0"/>
              </w:rPr>
              <w:t>12962.8</w:t>
            </w:r>
          </w:p>
        </w:tc>
        <w:tc>
          <w:tcPr>
            <w:tcW w:w="1843" w:type="dxa"/>
            <w:tcBorders>
              <w:top w:val="nil"/>
              <w:left w:val="nil"/>
              <w:bottom w:val="single" w:color="auto" w:sz="4" w:space="0"/>
              <w:right w:val="single" w:color="auto" w:sz="4" w:space="0"/>
            </w:tcBorders>
            <w:shd w:val="clear" w:color="auto" w:fill="auto"/>
            <w:vAlign w:val="center"/>
          </w:tcPr>
          <w:p w14:paraId="143E56C2">
            <w:pPr>
              <w:widowControl/>
              <w:jc w:val="center"/>
              <w:rPr>
                <w:color w:val="000000"/>
                <w:kern w:val="0"/>
              </w:rPr>
            </w:pPr>
            <w:r>
              <w:rPr>
                <w:color w:val="000000"/>
                <w:kern w:val="0"/>
              </w:rPr>
              <w:t>41.27</w:t>
            </w:r>
          </w:p>
        </w:tc>
        <w:tc>
          <w:tcPr>
            <w:tcW w:w="1701" w:type="dxa"/>
            <w:tcBorders>
              <w:top w:val="nil"/>
              <w:left w:val="nil"/>
              <w:bottom w:val="single" w:color="auto" w:sz="4" w:space="0"/>
              <w:right w:val="single" w:color="auto" w:sz="4" w:space="0"/>
            </w:tcBorders>
            <w:shd w:val="clear" w:color="auto" w:fill="auto"/>
            <w:vAlign w:val="center"/>
          </w:tcPr>
          <w:p w14:paraId="369312F0">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434A5F73">
            <w:pPr>
              <w:widowControl/>
              <w:jc w:val="center"/>
              <w:rPr>
                <w:color w:val="000000"/>
                <w:kern w:val="0"/>
              </w:rPr>
            </w:pPr>
            <w:r>
              <w:rPr>
                <w:color w:val="000000"/>
                <w:kern w:val="0"/>
              </w:rPr>
              <w:t>乔木林地</w:t>
            </w:r>
          </w:p>
        </w:tc>
      </w:tr>
      <w:tr w14:paraId="7F0C8D99">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07DD97EC">
            <w:pPr>
              <w:widowControl/>
              <w:jc w:val="center"/>
              <w:rPr>
                <w:color w:val="000000"/>
                <w:kern w:val="0"/>
              </w:rPr>
            </w:pPr>
            <w:r>
              <w:rPr>
                <w:color w:val="000000"/>
                <w:kern w:val="0"/>
              </w:rPr>
              <w:t>N16</w:t>
            </w:r>
          </w:p>
        </w:tc>
        <w:tc>
          <w:tcPr>
            <w:tcW w:w="0" w:type="auto"/>
            <w:tcBorders>
              <w:top w:val="nil"/>
              <w:left w:val="nil"/>
              <w:bottom w:val="single" w:color="auto" w:sz="4" w:space="0"/>
              <w:right w:val="single" w:color="auto" w:sz="4" w:space="0"/>
            </w:tcBorders>
            <w:shd w:val="clear" w:color="auto" w:fill="auto"/>
            <w:vAlign w:val="center"/>
          </w:tcPr>
          <w:p w14:paraId="5B19F6B3">
            <w:pPr>
              <w:widowControl/>
              <w:jc w:val="center"/>
              <w:rPr>
                <w:color w:val="000000"/>
                <w:kern w:val="0"/>
              </w:rPr>
            </w:pPr>
            <w:r>
              <w:rPr>
                <w:color w:val="000000"/>
                <w:kern w:val="0"/>
              </w:rPr>
              <w:t>35438517</w:t>
            </w:r>
          </w:p>
        </w:tc>
        <w:tc>
          <w:tcPr>
            <w:tcW w:w="0" w:type="auto"/>
            <w:tcBorders>
              <w:top w:val="nil"/>
              <w:left w:val="nil"/>
              <w:bottom w:val="single" w:color="auto" w:sz="4" w:space="0"/>
              <w:right w:val="single" w:color="auto" w:sz="4" w:space="0"/>
            </w:tcBorders>
            <w:shd w:val="clear" w:color="auto" w:fill="auto"/>
            <w:vAlign w:val="center"/>
          </w:tcPr>
          <w:p w14:paraId="0E1A1330">
            <w:pPr>
              <w:widowControl/>
              <w:jc w:val="center"/>
              <w:rPr>
                <w:color w:val="000000"/>
                <w:kern w:val="0"/>
              </w:rPr>
            </w:pPr>
            <w:r>
              <w:rPr>
                <w:color w:val="000000"/>
                <w:kern w:val="0"/>
              </w:rPr>
              <w:t>2815711.3</w:t>
            </w:r>
          </w:p>
        </w:tc>
        <w:tc>
          <w:tcPr>
            <w:tcW w:w="1237" w:type="dxa"/>
            <w:tcBorders>
              <w:top w:val="nil"/>
              <w:left w:val="nil"/>
              <w:bottom w:val="single" w:color="auto" w:sz="4" w:space="0"/>
              <w:right w:val="single" w:color="auto" w:sz="4" w:space="0"/>
            </w:tcBorders>
            <w:shd w:val="clear" w:color="auto" w:fill="auto"/>
            <w:vAlign w:val="center"/>
          </w:tcPr>
          <w:p w14:paraId="195EC9F8">
            <w:pPr>
              <w:widowControl/>
              <w:jc w:val="center"/>
              <w:rPr>
                <w:color w:val="000000"/>
                <w:kern w:val="0"/>
              </w:rPr>
            </w:pPr>
            <w:r>
              <w:rPr>
                <w:color w:val="000000"/>
                <w:kern w:val="0"/>
              </w:rPr>
              <w:t>2055.016</w:t>
            </w:r>
          </w:p>
        </w:tc>
        <w:tc>
          <w:tcPr>
            <w:tcW w:w="1276" w:type="dxa"/>
            <w:tcBorders>
              <w:top w:val="nil"/>
              <w:left w:val="nil"/>
              <w:bottom w:val="single" w:color="auto" w:sz="4" w:space="0"/>
              <w:right w:val="single" w:color="auto" w:sz="4" w:space="0"/>
            </w:tcBorders>
            <w:shd w:val="clear" w:color="auto" w:fill="auto"/>
            <w:vAlign w:val="center"/>
          </w:tcPr>
          <w:p w14:paraId="6476E50A">
            <w:pPr>
              <w:widowControl/>
              <w:jc w:val="center"/>
              <w:rPr>
                <w:color w:val="000000"/>
                <w:kern w:val="0"/>
              </w:rPr>
            </w:pPr>
            <w:r>
              <w:rPr>
                <w:color w:val="000000"/>
                <w:kern w:val="0"/>
              </w:rPr>
              <w:t>1B1Y6-JD</w:t>
            </w:r>
          </w:p>
        </w:tc>
        <w:tc>
          <w:tcPr>
            <w:tcW w:w="1134" w:type="dxa"/>
            <w:tcBorders>
              <w:top w:val="nil"/>
              <w:left w:val="nil"/>
              <w:bottom w:val="single" w:color="auto" w:sz="4" w:space="0"/>
              <w:right w:val="single" w:color="auto" w:sz="4" w:space="0"/>
            </w:tcBorders>
            <w:shd w:val="clear" w:color="auto" w:fill="auto"/>
            <w:vAlign w:val="center"/>
          </w:tcPr>
          <w:p w14:paraId="403DA872">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1873E1E7">
            <w:pPr>
              <w:widowControl/>
              <w:jc w:val="center"/>
              <w:rPr>
                <w:color w:val="000000"/>
                <w:kern w:val="0"/>
              </w:rPr>
            </w:pPr>
            <w:r>
              <w:rPr>
                <w:color w:val="000000"/>
                <w:kern w:val="0"/>
              </w:rPr>
              <w:t>13199</w:t>
            </w:r>
          </w:p>
        </w:tc>
        <w:tc>
          <w:tcPr>
            <w:tcW w:w="1843" w:type="dxa"/>
            <w:tcBorders>
              <w:top w:val="nil"/>
              <w:left w:val="nil"/>
              <w:bottom w:val="single" w:color="auto" w:sz="4" w:space="0"/>
              <w:right w:val="single" w:color="auto" w:sz="4" w:space="0"/>
            </w:tcBorders>
            <w:shd w:val="clear" w:color="auto" w:fill="auto"/>
            <w:vAlign w:val="center"/>
          </w:tcPr>
          <w:p w14:paraId="30AE0F25">
            <w:pPr>
              <w:widowControl/>
              <w:jc w:val="center"/>
              <w:rPr>
                <w:color w:val="000000"/>
                <w:kern w:val="0"/>
              </w:rPr>
            </w:pPr>
            <w:r>
              <w:rPr>
                <w:color w:val="000000"/>
                <w:kern w:val="0"/>
              </w:rPr>
              <w:t>68.89</w:t>
            </w:r>
          </w:p>
        </w:tc>
        <w:tc>
          <w:tcPr>
            <w:tcW w:w="1701" w:type="dxa"/>
            <w:tcBorders>
              <w:top w:val="nil"/>
              <w:left w:val="nil"/>
              <w:bottom w:val="single" w:color="auto" w:sz="4" w:space="0"/>
              <w:right w:val="single" w:color="auto" w:sz="4" w:space="0"/>
            </w:tcBorders>
            <w:shd w:val="clear" w:color="auto" w:fill="auto"/>
            <w:vAlign w:val="center"/>
          </w:tcPr>
          <w:p w14:paraId="2087C912">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14398E16">
            <w:pPr>
              <w:widowControl/>
              <w:jc w:val="center"/>
              <w:rPr>
                <w:color w:val="000000"/>
                <w:kern w:val="0"/>
              </w:rPr>
            </w:pPr>
            <w:r>
              <w:rPr>
                <w:color w:val="000000"/>
                <w:kern w:val="0"/>
              </w:rPr>
              <w:t>乔木林地</w:t>
            </w:r>
          </w:p>
        </w:tc>
      </w:tr>
      <w:tr w14:paraId="665A7746">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1FA11BD9">
            <w:pPr>
              <w:widowControl/>
              <w:jc w:val="center"/>
              <w:rPr>
                <w:color w:val="000000"/>
                <w:kern w:val="0"/>
              </w:rPr>
            </w:pPr>
            <w:r>
              <w:rPr>
                <w:color w:val="000000"/>
                <w:kern w:val="0"/>
              </w:rPr>
              <w:t>N17</w:t>
            </w:r>
          </w:p>
        </w:tc>
        <w:tc>
          <w:tcPr>
            <w:tcW w:w="0" w:type="auto"/>
            <w:tcBorders>
              <w:top w:val="nil"/>
              <w:left w:val="nil"/>
              <w:bottom w:val="single" w:color="auto" w:sz="4" w:space="0"/>
              <w:right w:val="single" w:color="auto" w:sz="4" w:space="0"/>
            </w:tcBorders>
            <w:shd w:val="clear" w:color="auto" w:fill="auto"/>
            <w:vAlign w:val="center"/>
          </w:tcPr>
          <w:p w14:paraId="02B611A7">
            <w:pPr>
              <w:widowControl/>
              <w:jc w:val="center"/>
              <w:rPr>
                <w:color w:val="000000"/>
                <w:kern w:val="0"/>
              </w:rPr>
            </w:pPr>
            <w:r>
              <w:rPr>
                <w:color w:val="000000"/>
                <w:kern w:val="0"/>
              </w:rPr>
              <w:t>35438324</w:t>
            </w:r>
          </w:p>
        </w:tc>
        <w:tc>
          <w:tcPr>
            <w:tcW w:w="0" w:type="auto"/>
            <w:tcBorders>
              <w:top w:val="nil"/>
              <w:left w:val="nil"/>
              <w:bottom w:val="single" w:color="auto" w:sz="4" w:space="0"/>
              <w:right w:val="single" w:color="auto" w:sz="4" w:space="0"/>
            </w:tcBorders>
            <w:shd w:val="clear" w:color="auto" w:fill="auto"/>
            <w:vAlign w:val="center"/>
          </w:tcPr>
          <w:p w14:paraId="1DCFE187">
            <w:pPr>
              <w:widowControl/>
              <w:jc w:val="center"/>
              <w:rPr>
                <w:color w:val="000000"/>
                <w:kern w:val="0"/>
              </w:rPr>
            </w:pPr>
            <w:r>
              <w:rPr>
                <w:color w:val="000000"/>
                <w:kern w:val="0"/>
              </w:rPr>
              <w:t>2815824</w:t>
            </w:r>
          </w:p>
        </w:tc>
        <w:tc>
          <w:tcPr>
            <w:tcW w:w="1237" w:type="dxa"/>
            <w:tcBorders>
              <w:top w:val="nil"/>
              <w:left w:val="nil"/>
              <w:bottom w:val="single" w:color="auto" w:sz="4" w:space="0"/>
              <w:right w:val="single" w:color="auto" w:sz="4" w:space="0"/>
            </w:tcBorders>
            <w:shd w:val="clear" w:color="auto" w:fill="auto"/>
            <w:vAlign w:val="center"/>
          </w:tcPr>
          <w:p w14:paraId="4B0BB1D1">
            <w:pPr>
              <w:widowControl/>
              <w:jc w:val="center"/>
              <w:rPr>
                <w:color w:val="000000"/>
                <w:kern w:val="0"/>
              </w:rPr>
            </w:pPr>
            <w:r>
              <w:rPr>
                <w:color w:val="000000"/>
                <w:kern w:val="0"/>
              </w:rPr>
              <w:t>2077.557</w:t>
            </w:r>
          </w:p>
        </w:tc>
        <w:tc>
          <w:tcPr>
            <w:tcW w:w="1276" w:type="dxa"/>
            <w:tcBorders>
              <w:top w:val="nil"/>
              <w:left w:val="nil"/>
              <w:bottom w:val="single" w:color="auto" w:sz="4" w:space="0"/>
              <w:right w:val="single" w:color="auto" w:sz="4" w:space="0"/>
            </w:tcBorders>
            <w:shd w:val="clear" w:color="auto" w:fill="auto"/>
            <w:vAlign w:val="center"/>
          </w:tcPr>
          <w:p w14:paraId="1AB16B21">
            <w:pPr>
              <w:widowControl/>
              <w:jc w:val="center"/>
              <w:rPr>
                <w:color w:val="000000"/>
                <w:kern w:val="0"/>
              </w:rPr>
            </w:pPr>
            <w:r>
              <w:rPr>
                <w:color w:val="000000"/>
                <w:kern w:val="0"/>
              </w:rPr>
              <w:t>1B1Y6-J2</w:t>
            </w:r>
          </w:p>
        </w:tc>
        <w:tc>
          <w:tcPr>
            <w:tcW w:w="1134" w:type="dxa"/>
            <w:tcBorders>
              <w:top w:val="nil"/>
              <w:left w:val="nil"/>
              <w:bottom w:val="single" w:color="auto" w:sz="4" w:space="0"/>
              <w:right w:val="single" w:color="auto" w:sz="4" w:space="0"/>
            </w:tcBorders>
            <w:shd w:val="clear" w:color="auto" w:fill="auto"/>
            <w:vAlign w:val="center"/>
          </w:tcPr>
          <w:p w14:paraId="2367A06A">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5981CAAA">
            <w:pPr>
              <w:widowControl/>
              <w:jc w:val="center"/>
              <w:rPr>
                <w:color w:val="000000"/>
                <w:kern w:val="0"/>
              </w:rPr>
            </w:pPr>
            <w:r>
              <w:rPr>
                <w:color w:val="000000"/>
                <w:kern w:val="0"/>
              </w:rPr>
              <w:t>11294</w:t>
            </w:r>
          </w:p>
        </w:tc>
        <w:tc>
          <w:tcPr>
            <w:tcW w:w="1843" w:type="dxa"/>
            <w:tcBorders>
              <w:top w:val="nil"/>
              <w:left w:val="nil"/>
              <w:bottom w:val="single" w:color="auto" w:sz="4" w:space="0"/>
              <w:right w:val="single" w:color="auto" w:sz="4" w:space="0"/>
            </w:tcBorders>
            <w:shd w:val="clear" w:color="auto" w:fill="auto"/>
            <w:vAlign w:val="center"/>
          </w:tcPr>
          <w:p w14:paraId="6348B286">
            <w:pPr>
              <w:widowControl/>
              <w:jc w:val="center"/>
              <w:rPr>
                <w:color w:val="000000"/>
                <w:kern w:val="0"/>
              </w:rPr>
            </w:pPr>
            <w:r>
              <w:rPr>
                <w:color w:val="000000"/>
                <w:kern w:val="0"/>
              </w:rPr>
              <w:t>57.3</w:t>
            </w:r>
          </w:p>
        </w:tc>
        <w:tc>
          <w:tcPr>
            <w:tcW w:w="1701" w:type="dxa"/>
            <w:tcBorders>
              <w:top w:val="nil"/>
              <w:left w:val="nil"/>
              <w:bottom w:val="single" w:color="auto" w:sz="4" w:space="0"/>
              <w:right w:val="single" w:color="auto" w:sz="4" w:space="0"/>
            </w:tcBorders>
            <w:shd w:val="clear" w:color="auto" w:fill="auto"/>
            <w:vAlign w:val="center"/>
          </w:tcPr>
          <w:p w14:paraId="76F5A58E">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48DD217C">
            <w:pPr>
              <w:widowControl/>
              <w:jc w:val="center"/>
              <w:rPr>
                <w:color w:val="000000"/>
                <w:kern w:val="0"/>
              </w:rPr>
            </w:pPr>
            <w:r>
              <w:rPr>
                <w:color w:val="000000"/>
                <w:kern w:val="0"/>
              </w:rPr>
              <w:t>乔木林地</w:t>
            </w:r>
          </w:p>
        </w:tc>
      </w:tr>
      <w:tr w14:paraId="58179F0F">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379EA17B">
            <w:pPr>
              <w:widowControl/>
              <w:jc w:val="center"/>
              <w:rPr>
                <w:color w:val="000000"/>
                <w:kern w:val="0"/>
              </w:rPr>
            </w:pPr>
            <w:r>
              <w:rPr>
                <w:color w:val="000000"/>
                <w:kern w:val="0"/>
              </w:rPr>
              <w:t>N18</w:t>
            </w:r>
          </w:p>
        </w:tc>
        <w:tc>
          <w:tcPr>
            <w:tcW w:w="0" w:type="auto"/>
            <w:tcBorders>
              <w:top w:val="nil"/>
              <w:left w:val="nil"/>
              <w:bottom w:val="single" w:color="auto" w:sz="4" w:space="0"/>
              <w:right w:val="single" w:color="auto" w:sz="4" w:space="0"/>
            </w:tcBorders>
            <w:shd w:val="clear" w:color="auto" w:fill="auto"/>
            <w:vAlign w:val="center"/>
          </w:tcPr>
          <w:p w14:paraId="5BA5B87C">
            <w:pPr>
              <w:widowControl/>
              <w:jc w:val="center"/>
              <w:rPr>
                <w:color w:val="000000"/>
                <w:kern w:val="0"/>
              </w:rPr>
            </w:pPr>
            <w:r>
              <w:rPr>
                <w:color w:val="000000"/>
                <w:kern w:val="0"/>
              </w:rPr>
              <w:t>35438157</w:t>
            </w:r>
          </w:p>
        </w:tc>
        <w:tc>
          <w:tcPr>
            <w:tcW w:w="0" w:type="auto"/>
            <w:tcBorders>
              <w:top w:val="nil"/>
              <w:left w:val="nil"/>
              <w:bottom w:val="single" w:color="auto" w:sz="4" w:space="0"/>
              <w:right w:val="single" w:color="auto" w:sz="4" w:space="0"/>
            </w:tcBorders>
            <w:shd w:val="clear" w:color="auto" w:fill="auto"/>
            <w:vAlign w:val="center"/>
          </w:tcPr>
          <w:p w14:paraId="7FA34DDA">
            <w:pPr>
              <w:widowControl/>
              <w:jc w:val="center"/>
              <w:rPr>
                <w:color w:val="000000"/>
                <w:kern w:val="0"/>
              </w:rPr>
            </w:pPr>
            <w:r>
              <w:rPr>
                <w:color w:val="000000"/>
                <w:kern w:val="0"/>
              </w:rPr>
              <w:t>2816000.5</w:t>
            </w:r>
          </w:p>
        </w:tc>
        <w:tc>
          <w:tcPr>
            <w:tcW w:w="1237" w:type="dxa"/>
            <w:tcBorders>
              <w:top w:val="nil"/>
              <w:left w:val="nil"/>
              <w:bottom w:val="single" w:color="auto" w:sz="4" w:space="0"/>
              <w:right w:val="single" w:color="auto" w:sz="4" w:space="0"/>
            </w:tcBorders>
            <w:shd w:val="clear" w:color="auto" w:fill="auto"/>
            <w:vAlign w:val="center"/>
          </w:tcPr>
          <w:p w14:paraId="36EE981C">
            <w:pPr>
              <w:widowControl/>
              <w:jc w:val="center"/>
              <w:rPr>
                <w:color w:val="000000"/>
                <w:kern w:val="0"/>
              </w:rPr>
            </w:pPr>
            <w:r>
              <w:rPr>
                <w:color w:val="000000"/>
                <w:kern w:val="0"/>
              </w:rPr>
              <w:t>2061.968</w:t>
            </w:r>
          </w:p>
        </w:tc>
        <w:tc>
          <w:tcPr>
            <w:tcW w:w="1276" w:type="dxa"/>
            <w:tcBorders>
              <w:top w:val="nil"/>
              <w:left w:val="nil"/>
              <w:bottom w:val="single" w:color="auto" w:sz="4" w:space="0"/>
              <w:right w:val="single" w:color="auto" w:sz="4" w:space="0"/>
            </w:tcBorders>
            <w:shd w:val="clear" w:color="auto" w:fill="auto"/>
            <w:vAlign w:val="center"/>
          </w:tcPr>
          <w:p w14:paraId="7A4E4402">
            <w:pPr>
              <w:widowControl/>
              <w:jc w:val="center"/>
              <w:rPr>
                <w:color w:val="000000"/>
                <w:kern w:val="0"/>
              </w:rPr>
            </w:pPr>
            <w:r>
              <w:rPr>
                <w:color w:val="000000"/>
                <w:kern w:val="0"/>
              </w:rPr>
              <w:t>1B1Y6-J2</w:t>
            </w:r>
          </w:p>
        </w:tc>
        <w:tc>
          <w:tcPr>
            <w:tcW w:w="1134" w:type="dxa"/>
            <w:tcBorders>
              <w:top w:val="nil"/>
              <w:left w:val="nil"/>
              <w:bottom w:val="single" w:color="auto" w:sz="4" w:space="0"/>
              <w:right w:val="single" w:color="auto" w:sz="4" w:space="0"/>
            </w:tcBorders>
            <w:shd w:val="clear" w:color="auto" w:fill="auto"/>
            <w:vAlign w:val="center"/>
          </w:tcPr>
          <w:p w14:paraId="2793F8C3">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72BB2A60">
            <w:pPr>
              <w:widowControl/>
              <w:jc w:val="center"/>
              <w:rPr>
                <w:color w:val="000000"/>
                <w:kern w:val="0"/>
              </w:rPr>
            </w:pPr>
            <w:r>
              <w:rPr>
                <w:color w:val="000000"/>
                <w:kern w:val="0"/>
              </w:rPr>
              <w:t>12141</w:t>
            </w:r>
          </w:p>
        </w:tc>
        <w:tc>
          <w:tcPr>
            <w:tcW w:w="1843" w:type="dxa"/>
            <w:tcBorders>
              <w:top w:val="nil"/>
              <w:left w:val="nil"/>
              <w:bottom w:val="single" w:color="auto" w:sz="4" w:space="0"/>
              <w:right w:val="single" w:color="auto" w:sz="4" w:space="0"/>
            </w:tcBorders>
            <w:shd w:val="clear" w:color="auto" w:fill="auto"/>
            <w:vAlign w:val="center"/>
          </w:tcPr>
          <w:p w14:paraId="1155A767">
            <w:pPr>
              <w:widowControl/>
              <w:jc w:val="center"/>
              <w:rPr>
                <w:color w:val="000000"/>
                <w:kern w:val="0"/>
              </w:rPr>
            </w:pPr>
            <w:r>
              <w:rPr>
                <w:color w:val="000000"/>
                <w:kern w:val="0"/>
              </w:rPr>
              <w:t>65.77</w:t>
            </w:r>
          </w:p>
        </w:tc>
        <w:tc>
          <w:tcPr>
            <w:tcW w:w="1701" w:type="dxa"/>
            <w:tcBorders>
              <w:top w:val="nil"/>
              <w:left w:val="nil"/>
              <w:bottom w:val="single" w:color="auto" w:sz="4" w:space="0"/>
              <w:right w:val="single" w:color="auto" w:sz="4" w:space="0"/>
            </w:tcBorders>
            <w:shd w:val="clear" w:color="auto" w:fill="auto"/>
            <w:vAlign w:val="center"/>
          </w:tcPr>
          <w:p w14:paraId="1E03DE15">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156B7FEF">
            <w:pPr>
              <w:widowControl/>
              <w:jc w:val="center"/>
              <w:rPr>
                <w:color w:val="000000"/>
                <w:kern w:val="0"/>
              </w:rPr>
            </w:pPr>
            <w:r>
              <w:rPr>
                <w:color w:val="000000"/>
                <w:kern w:val="0"/>
              </w:rPr>
              <w:t>灌木林地</w:t>
            </w:r>
          </w:p>
        </w:tc>
      </w:tr>
      <w:tr w14:paraId="22D24EF4">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1D3DD4DF">
            <w:pPr>
              <w:widowControl/>
              <w:jc w:val="center"/>
              <w:rPr>
                <w:color w:val="000000"/>
                <w:kern w:val="0"/>
              </w:rPr>
            </w:pPr>
            <w:r>
              <w:rPr>
                <w:color w:val="000000"/>
                <w:kern w:val="0"/>
              </w:rPr>
              <w:t>N19</w:t>
            </w:r>
          </w:p>
        </w:tc>
        <w:tc>
          <w:tcPr>
            <w:tcW w:w="0" w:type="auto"/>
            <w:tcBorders>
              <w:top w:val="nil"/>
              <w:left w:val="nil"/>
              <w:bottom w:val="single" w:color="auto" w:sz="4" w:space="0"/>
              <w:right w:val="single" w:color="auto" w:sz="4" w:space="0"/>
            </w:tcBorders>
            <w:shd w:val="clear" w:color="auto" w:fill="auto"/>
            <w:vAlign w:val="center"/>
          </w:tcPr>
          <w:p w14:paraId="681C415B">
            <w:pPr>
              <w:widowControl/>
              <w:jc w:val="center"/>
              <w:rPr>
                <w:color w:val="000000"/>
                <w:kern w:val="0"/>
              </w:rPr>
            </w:pPr>
            <w:r>
              <w:rPr>
                <w:color w:val="000000"/>
                <w:kern w:val="0"/>
              </w:rPr>
              <w:t>35437970</w:t>
            </w:r>
          </w:p>
        </w:tc>
        <w:tc>
          <w:tcPr>
            <w:tcW w:w="0" w:type="auto"/>
            <w:tcBorders>
              <w:top w:val="nil"/>
              <w:left w:val="nil"/>
              <w:bottom w:val="single" w:color="auto" w:sz="4" w:space="0"/>
              <w:right w:val="single" w:color="auto" w:sz="4" w:space="0"/>
            </w:tcBorders>
            <w:shd w:val="clear" w:color="auto" w:fill="auto"/>
            <w:vAlign w:val="center"/>
          </w:tcPr>
          <w:p w14:paraId="1F0431CD">
            <w:pPr>
              <w:widowControl/>
              <w:jc w:val="center"/>
              <w:rPr>
                <w:color w:val="000000"/>
                <w:kern w:val="0"/>
              </w:rPr>
            </w:pPr>
            <w:r>
              <w:rPr>
                <w:color w:val="000000"/>
                <w:kern w:val="0"/>
              </w:rPr>
              <w:t>2816029.8</w:t>
            </w:r>
          </w:p>
        </w:tc>
        <w:tc>
          <w:tcPr>
            <w:tcW w:w="1237" w:type="dxa"/>
            <w:tcBorders>
              <w:top w:val="nil"/>
              <w:left w:val="nil"/>
              <w:bottom w:val="single" w:color="auto" w:sz="4" w:space="0"/>
              <w:right w:val="single" w:color="auto" w:sz="4" w:space="0"/>
            </w:tcBorders>
            <w:shd w:val="clear" w:color="auto" w:fill="auto"/>
            <w:vAlign w:val="center"/>
          </w:tcPr>
          <w:p w14:paraId="7EF754F8">
            <w:pPr>
              <w:widowControl/>
              <w:jc w:val="center"/>
              <w:rPr>
                <w:color w:val="000000"/>
                <w:kern w:val="0"/>
              </w:rPr>
            </w:pPr>
            <w:r>
              <w:rPr>
                <w:color w:val="000000"/>
                <w:kern w:val="0"/>
              </w:rPr>
              <w:t>2019.032</w:t>
            </w:r>
          </w:p>
        </w:tc>
        <w:tc>
          <w:tcPr>
            <w:tcW w:w="1276" w:type="dxa"/>
            <w:tcBorders>
              <w:top w:val="nil"/>
              <w:left w:val="nil"/>
              <w:bottom w:val="single" w:color="auto" w:sz="4" w:space="0"/>
              <w:right w:val="single" w:color="auto" w:sz="4" w:space="0"/>
            </w:tcBorders>
            <w:shd w:val="clear" w:color="auto" w:fill="auto"/>
            <w:vAlign w:val="center"/>
          </w:tcPr>
          <w:p w14:paraId="7183A394">
            <w:pPr>
              <w:widowControl/>
              <w:jc w:val="center"/>
              <w:rPr>
                <w:color w:val="000000"/>
                <w:kern w:val="0"/>
              </w:rPr>
            </w:pPr>
            <w:r>
              <w:rPr>
                <w:color w:val="000000"/>
                <w:kern w:val="0"/>
              </w:rPr>
              <w:t>1B1Y6-J3</w:t>
            </w:r>
          </w:p>
        </w:tc>
        <w:tc>
          <w:tcPr>
            <w:tcW w:w="1134" w:type="dxa"/>
            <w:tcBorders>
              <w:top w:val="nil"/>
              <w:left w:val="nil"/>
              <w:bottom w:val="single" w:color="auto" w:sz="4" w:space="0"/>
              <w:right w:val="single" w:color="auto" w:sz="4" w:space="0"/>
            </w:tcBorders>
            <w:shd w:val="clear" w:color="auto" w:fill="auto"/>
            <w:vAlign w:val="center"/>
          </w:tcPr>
          <w:p w14:paraId="62275DC6">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1B455C42">
            <w:pPr>
              <w:widowControl/>
              <w:jc w:val="center"/>
              <w:rPr>
                <w:color w:val="000000"/>
                <w:kern w:val="0"/>
              </w:rPr>
            </w:pPr>
            <w:r>
              <w:rPr>
                <w:color w:val="000000"/>
                <w:kern w:val="0"/>
              </w:rPr>
              <w:t>13761</w:t>
            </w:r>
          </w:p>
        </w:tc>
        <w:tc>
          <w:tcPr>
            <w:tcW w:w="1843" w:type="dxa"/>
            <w:tcBorders>
              <w:top w:val="nil"/>
              <w:left w:val="nil"/>
              <w:bottom w:val="single" w:color="auto" w:sz="4" w:space="0"/>
              <w:right w:val="single" w:color="auto" w:sz="4" w:space="0"/>
            </w:tcBorders>
            <w:shd w:val="clear" w:color="auto" w:fill="auto"/>
            <w:vAlign w:val="center"/>
          </w:tcPr>
          <w:p w14:paraId="4EF115F6">
            <w:pPr>
              <w:widowControl/>
              <w:jc w:val="center"/>
              <w:rPr>
                <w:color w:val="000000"/>
                <w:kern w:val="0"/>
              </w:rPr>
            </w:pPr>
            <w:r>
              <w:rPr>
                <w:color w:val="000000"/>
                <w:kern w:val="0"/>
              </w:rPr>
              <w:t>79.21</w:t>
            </w:r>
          </w:p>
        </w:tc>
        <w:tc>
          <w:tcPr>
            <w:tcW w:w="1701" w:type="dxa"/>
            <w:tcBorders>
              <w:top w:val="nil"/>
              <w:left w:val="nil"/>
              <w:bottom w:val="single" w:color="auto" w:sz="4" w:space="0"/>
              <w:right w:val="single" w:color="auto" w:sz="4" w:space="0"/>
            </w:tcBorders>
            <w:shd w:val="clear" w:color="auto" w:fill="auto"/>
            <w:vAlign w:val="center"/>
          </w:tcPr>
          <w:p w14:paraId="11E44ADF">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7E1911F1">
            <w:pPr>
              <w:widowControl/>
              <w:jc w:val="center"/>
              <w:rPr>
                <w:color w:val="000000"/>
                <w:kern w:val="0"/>
              </w:rPr>
            </w:pPr>
            <w:r>
              <w:rPr>
                <w:color w:val="000000"/>
                <w:kern w:val="0"/>
              </w:rPr>
              <w:t>乔木林地</w:t>
            </w:r>
          </w:p>
        </w:tc>
      </w:tr>
      <w:tr w14:paraId="4FBD1585">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792B989D">
            <w:pPr>
              <w:widowControl/>
              <w:jc w:val="center"/>
              <w:rPr>
                <w:color w:val="000000"/>
                <w:kern w:val="0"/>
              </w:rPr>
            </w:pPr>
            <w:r>
              <w:rPr>
                <w:color w:val="000000"/>
                <w:kern w:val="0"/>
              </w:rPr>
              <w:t>N20</w:t>
            </w:r>
          </w:p>
        </w:tc>
        <w:tc>
          <w:tcPr>
            <w:tcW w:w="0" w:type="auto"/>
            <w:tcBorders>
              <w:top w:val="nil"/>
              <w:left w:val="nil"/>
              <w:bottom w:val="single" w:color="auto" w:sz="4" w:space="0"/>
              <w:right w:val="single" w:color="auto" w:sz="4" w:space="0"/>
            </w:tcBorders>
            <w:shd w:val="clear" w:color="auto" w:fill="auto"/>
            <w:vAlign w:val="center"/>
          </w:tcPr>
          <w:p w14:paraId="188AC529">
            <w:pPr>
              <w:widowControl/>
              <w:jc w:val="center"/>
              <w:rPr>
                <w:color w:val="000000"/>
                <w:kern w:val="0"/>
              </w:rPr>
            </w:pPr>
            <w:r>
              <w:rPr>
                <w:color w:val="000000"/>
                <w:kern w:val="0"/>
              </w:rPr>
              <w:t>35437656</w:t>
            </w:r>
          </w:p>
        </w:tc>
        <w:tc>
          <w:tcPr>
            <w:tcW w:w="0" w:type="auto"/>
            <w:tcBorders>
              <w:top w:val="nil"/>
              <w:left w:val="nil"/>
              <w:bottom w:val="single" w:color="auto" w:sz="4" w:space="0"/>
              <w:right w:val="single" w:color="auto" w:sz="4" w:space="0"/>
            </w:tcBorders>
            <w:shd w:val="clear" w:color="auto" w:fill="auto"/>
            <w:vAlign w:val="center"/>
          </w:tcPr>
          <w:p w14:paraId="1EBA6EC4">
            <w:pPr>
              <w:widowControl/>
              <w:jc w:val="center"/>
              <w:rPr>
                <w:color w:val="000000"/>
                <w:kern w:val="0"/>
              </w:rPr>
            </w:pPr>
            <w:r>
              <w:rPr>
                <w:color w:val="000000"/>
                <w:kern w:val="0"/>
              </w:rPr>
              <w:t>2815948.3</w:t>
            </w:r>
          </w:p>
        </w:tc>
        <w:tc>
          <w:tcPr>
            <w:tcW w:w="1237" w:type="dxa"/>
            <w:tcBorders>
              <w:top w:val="nil"/>
              <w:left w:val="nil"/>
              <w:bottom w:val="single" w:color="auto" w:sz="4" w:space="0"/>
              <w:right w:val="single" w:color="auto" w:sz="4" w:space="0"/>
            </w:tcBorders>
            <w:shd w:val="clear" w:color="auto" w:fill="auto"/>
            <w:vAlign w:val="center"/>
          </w:tcPr>
          <w:p w14:paraId="713829DF">
            <w:pPr>
              <w:widowControl/>
              <w:jc w:val="center"/>
              <w:rPr>
                <w:color w:val="000000"/>
                <w:kern w:val="0"/>
              </w:rPr>
            </w:pPr>
            <w:r>
              <w:rPr>
                <w:color w:val="000000"/>
                <w:kern w:val="0"/>
              </w:rPr>
              <w:t>1933.299</w:t>
            </w:r>
          </w:p>
        </w:tc>
        <w:tc>
          <w:tcPr>
            <w:tcW w:w="1276" w:type="dxa"/>
            <w:tcBorders>
              <w:top w:val="nil"/>
              <w:left w:val="nil"/>
              <w:bottom w:val="single" w:color="auto" w:sz="4" w:space="0"/>
              <w:right w:val="single" w:color="auto" w:sz="4" w:space="0"/>
            </w:tcBorders>
            <w:shd w:val="clear" w:color="auto" w:fill="auto"/>
            <w:vAlign w:val="center"/>
          </w:tcPr>
          <w:p w14:paraId="12AB3398">
            <w:pPr>
              <w:widowControl/>
              <w:jc w:val="center"/>
              <w:rPr>
                <w:color w:val="000000"/>
                <w:kern w:val="0"/>
              </w:rPr>
            </w:pPr>
            <w:r>
              <w:rPr>
                <w:color w:val="000000"/>
                <w:kern w:val="0"/>
              </w:rPr>
              <w:t>1B1Y6-Z2</w:t>
            </w:r>
          </w:p>
        </w:tc>
        <w:tc>
          <w:tcPr>
            <w:tcW w:w="1134" w:type="dxa"/>
            <w:tcBorders>
              <w:top w:val="nil"/>
              <w:left w:val="nil"/>
              <w:bottom w:val="single" w:color="auto" w:sz="4" w:space="0"/>
              <w:right w:val="single" w:color="auto" w:sz="4" w:space="0"/>
            </w:tcBorders>
            <w:shd w:val="clear" w:color="auto" w:fill="auto"/>
            <w:vAlign w:val="center"/>
          </w:tcPr>
          <w:p w14:paraId="4CE71121">
            <w:pPr>
              <w:widowControl/>
              <w:jc w:val="center"/>
              <w:rPr>
                <w:color w:val="000000"/>
                <w:kern w:val="0"/>
              </w:rPr>
            </w:pPr>
            <w:r>
              <w:rPr>
                <w:color w:val="000000"/>
                <w:kern w:val="0"/>
              </w:rPr>
              <w:t>42</w:t>
            </w:r>
          </w:p>
        </w:tc>
        <w:tc>
          <w:tcPr>
            <w:tcW w:w="1842" w:type="dxa"/>
            <w:tcBorders>
              <w:top w:val="nil"/>
              <w:left w:val="nil"/>
              <w:bottom w:val="single" w:color="auto" w:sz="4" w:space="0"/>
              <w:right w:val="single" w:color="auto" w:sz="4" w:space="0"/>
            </w:tcBorders>
            <w:shd w:val="clear" w:color="auto" w:fill="auto"/>
            <w:vAlign w:val="center"/>
          </w:tcPr>
          <w:p w14:paraId="578900B2">
            <w:pPr>
              <w:widowControl/>
              <w:jc w:val="center"/>
              <w:rPr>
                <w:color w:val="000000"/>
                <w:kern w:val="0"/>
              </w:rPr>
            </w:pPr>
            <w:r>
              <w:rPr>
                <w:color w:val="000000"/>
                <w:kern w:val="0"/>
              </w:rPr>
              <w:t>11882</w:t>
            </w:r>
          </w:p>
        </w:tc>
        <w:tc>
          <w:tcPr>
            <w:tcW w:w="1843" w:type="dxa"/>
            <w:tcBorders>
              <w:top w:val="nil"/>
              <w:left w:val="nil"/>
              <w:bottom w:val="single" w:color="auto" w:sz="4" w:space="0"/>
              <w:right w:val="single" w:color="auto" w:sz="4" w:space="0"/>
            </w:tcBorders>
            <w:shd w:val="clear" w:color="auto" w:fill="auto"/>
            <w:vAlign w:val="center"/>
          </w:tcPr>
          <w:p w14:paraId="3DEC811C">
            <w:pPr>
              <w:widowControl/>
              <w:jc w:val="center"/>
              <w:rPr>
                <w:color w:val="000000"/>
                <w:kern w:val="0"/>
              </w:rPr>
            </w:pPr>
            <w:r>
              <w:rPr>
                <w:color w:val="000000"/>
                <w:kern w:val="0"/>
              </w:rPr>
              <w:t>64.32</w:t>
            </w:r>
          </w:p>
        </w:tc>
        <w:tc>
          <w:tcPr>
            <w:tcW w:w="1701" w:type="dxa"/>
            <w:tcBorders>
              <w:top w:val="nil"/>
              <w:left w:val="nil"/>
              <w:bottom w:val="single" w:color="auto" w:sz="4" w:space="0"/>
              <w:right w:val="single" w:color="auto" w:sz="4" w:space="0"/>
            </w:tcBorders>
            <w:shd w:val="clear" w:color="auto" w:fill="auto"/>
            <w:vAlign w:val="center"/>
          </w:tcPr>
          <w:p w14:paraId="3521DDD9">
            <w:pPr>
              <w:widowControl/>
              <w:jc w:val="center"/>
              <w:rPr>
                <w:color w:val="000000"/>
                <w:kern w:val="0"/>
              </w:rPr>
            </w:pPr>
            <w:r>
              <w:rPr>
                <w:color w:val="000000"/>
                <w:kern w:val="0"/>
              </w:rPr>
              <w:t>旱地</w:t>
            </w:r>
          </w:p>
        </w:tc>
        <w:tc>
          <w:tcPr>
            <w:tcW w:w="1843" w:type="dxa"/>
            <w:tcBorders>
              <w:top w:val="nil"/>
              <w:left w:val="nil"/>
              <w:bottom w:val="single" w:color="auto" w:sz="4" w:space="0"/>
              <w:right w:val="single" w:color="auto" w:sz="4" w:space="0"/>
            </w:tcBorders>
            <w:shd w:val="clear" w:color="auto" w:fill="auto"/>
            <w:vAlign w:val="center"/>
          </w:tcPr>
          <w:p w14:paraId="6F489D07">
            <w:pPr>
              <w:widowControl/>
              <w:jc w:val="center"/>
              <w:rPr>
                <w:color w:val="000000"/>
                <w:kern w:val="0"/>
              </w:rPr>
            </w:pPr>
            <w:r>
              <w:rPr>
                <w:color w:val="000000"/>
                <w:kern w:val="0"/>
              </w:rPr>
              <w:t>旱地</w:t>
            </w:r>
          </w:p>
        </w:tc>
      </w:tr>
      <w:tr w14:paraId="6C872FBD">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23EF7273">
            <w:pPr>
              <w:widowControl/>
              <w:jc w:val="center"/>
              <w:rPr>
                <w:color w:val="000000"/>
                <w:kern w:val="0"/>
              </w:rPr>
            </w:pPr>
            <w:r>
              <w:rPr>
                <w:color w:val="000000"/>
                <w:kern w:val="0"/>
              </w:rPr>
              <w:t>N21</w:t>
            </w:r>
          </w:p>
        </w:tc>
        <w:tc>
          <w:tcPr>
            <w:tcW w:w="0" w:type="auto"/>
            <w:tcBorders>
              <w:top w:val="nil"/>
              <w:left w:val="nil"/>
              <w:bottom w:val="single" w:color="auto" w:sz="4" w:space="0"/>
              <w:right w:val="single" w:color="auto" w:sz="4" w:space="0"/>
            </w:tcBorders>
            <w:shd w:val="clear" w:color="auto" w:fill="auto"/>
            <w:vAlign w:val="center"/>
          </w:tcPr>
          <w:p w14:paraId="3406652B">
            <w:pPr>
              <w:widowControl/>
              <w:jc w:val="center"/>
              <w:rPr>
                <w:color w:val="000000"/>
                <w:kern w:val="0"/>
              </w:rPr>
            </w:pPr>
            <w:r>
              <w:rPr>
                <w:color w:val="000000"/>
                <w:kern w:val="0"/>
              </w:rPr>
              <w:t>35437504</w:t>
            </w:r>
          </w:p>
        </w:tc>
        <w:tc>
          <w:tcPr>
            <w:tcW w:w="0" w:type="auto"/>
            <w:tcBorders>
              <w:top w:val="nil"/>
              <w:left w:val="nil"/>
              <w:bottom w:val="single" w:color="auto" w:sz="4" w:space="0"/>
              <w:right w:val="single" w:color="auto" w:sz="4" w:space="0"/>
            </w:tcBorders>
            <w:shd w:val="clear" w:color="auto" w:fill="auto"/>
            <w:vAlign w:val="center"/>
          </w:tcPr>
          <w:p w14:paraId="7463EFB8">
            <w:pPr>
              <w:widowControl/>
              <w:jc w:val="center"/>
              <w:rPr>
                <w:color w:val="000000"/>
                <w:kern w:val="0"/>
              </w:rPr>
            </w:pPr>
            <w:r>
              <w:rPr>
                <w:color w:val="000000"/>
                <w:kern w:val="0"/>
              </w:rPr>
              <w:t>2815908.8</w:t>
            </w:r>
          </w:p>
        </w:tc>
        <w:tc>
          <w:tcPr>
            <w:tcW w:w="1237" w:type="dxa"/>
            <w:tcBorders>
              <w:top w:val="nil"/>
              <w:left w:val="nil"/>
              <w:bottom w:val="single" w:color="auto" w:sz="4" w:space="0"/>
              <w:right w:val="single" w:color="auto" w:sz="4" w:space="0"/>
            </w:tcBorders>
            <w:shd w:val="clear" w:color="auto" w:fill="auto"/>
            <w:vAlign w:val="center"/>
          </w:tcPr>
          <w:p w14:paraId="38F06286">
            <w:pPr>
              <w:widowControl/>
              <w:jc w:val="center"/>
              <w:rPr>
                <w:color w:val="000000"/>
                <w:kern w:val="0"/>
              </w:rPr>
            </w:pPr>
            <w:r>
              <w:rPr>
                <w:color w:val="000000"/>
                <w:kern w:val="0"/>
              </w:rPr>
              <w:t>1908.164</w:t>
            </w:r>
          </w:p>
        </w:tc>
        <w:tc>
          <w:tcPr>
            <w:tcW w:w="1276" w:type="dxa"/>
            <w:tcBorders>
              <w:top w:val="nil"/>
              <w:left w:val="nil"/>
              <w:bottom w:val="single" w:color="auto" w:sz="4" w:space="0"/>
              <w:right w:val="single" w:color="auto" w:sz="4" w:space="0"/>
            </w:tcBorders>
            <w:shd w:val="clear" w:color="auto" w:fill="auto"/>
            <w:vAlign w:val="center"/>
          </w:tcPr>
          <w:p w14:paraId="7900921B">
            <w:pPr>
              <w:widowControl/>
              <w:jc w:val="center"/>
              <w:rPr>
                <w:color w:val="000000"/>
                <w:kern w:val="0"/>
              </w:rPr>
            </w:pPr>
            <w:r>
              <w:rPr>
                <w:color w:val="000000"/>
                <w:kern w:val="0"/>
              </w:rPr>
              <w:t>1B1Y6-J3</w:t>
            </w:r>
          </w:p>
        </w:tc>
        <w:tc>
          <w:tcPr>
            <w:tcW w:w="1134" w:type="dxa"/>
            <w:tcBorders>
              <w:top w:val="nil"/>
              <w:left w:val="nil"/>
              <w:bottom w:val="single" w:color="auto" w:sz="4" w:space="0"/>
              <w:right w:val="single" w:color="auto" w:sz="4" w:space="0"/>
            </w:tcBorders>
            <w:shd w:val="clear" w:color="auto" w:fill="auto"/>
            <w:vAlign w:val="center"/>
          </w:tcPr>
          <w:p w14:paraId="25F21770">
            <w:pPr>
              <w:widowControl/>
              <w:jc w:val="center"/>
              <w:rPr>
                <w:color w:val="000000"/>
                <w:kern w:val="0"/>
              </w:rPr>
            </w:pPr>
            <w:r>
              <w:rPr>
                <w:color w:val="000000"/>
                <w:kern w:val="0"/>
              </w:rPr>
              <w:t>36</w:t>
            </w:r>
          </w:p>
        </w:tc>
        <w:tc>
          <w:tcPr>
            <w:tcW w:w="1842" w:type="dxa"/>
            <w:tcBorders>
              <w:top w:val="nil"/>
              <w:left w:val="nil"/>
              <w:bottom w:val="single" w:color="auto" w:sz="4" w:space="0"/>
              <w:right w:val="single" w:color="auto" w:sz="4" w:space="0"/>
            </w:tcBorders>
            <w:shd w:val="clear" w:color="auto" w:fill="auto"/>
            <w:vAlign w:val="center"/>
          </w:tcPr>
          <w:p w14:paraId="5379E074">
            <w:pPr>
              <w:widowControl/>
              <w:jc w:val="center"/>
              <w:rPr>
                <w:color w:val="000000"/>
                <w:kern w:val="0"/>
              </w:rPr>
            </w:pPr>
            <w:r>
              <w:rPr>
                <w:color w:val="000000"/>
                <w:kern w:val="0"/>
              </w:rPr>
              <w:t>13761</w:t>
            </w:r>
          </w:p>
        </w:tc>
        <w:tc>
          <w:tcPr>
            <w:tcW w:w="1843" w:type="dxa"/>
            <w:tcBorders>
              <w:top w:val="nil"/>
              <w:left w:val="nil"/>
              <w:bottom w:val="single" w:color="auto" w:sz="4" w:space="0"/>
              <w:right w:val="single" w:color="auto" w:sz="4" w:space="0"/>
            </w:tcBorders>
            <w:shd w:val="clear" w:color="auto" w:fill="auto"/>
            <w:vAlign w:val="center"/>
          </w:tcPr>
          <w:p w14:paraId="05A4A7E6">
            <w:pPr>
              <w:widowControl/>
              <w:jc w:val="center"/>
              <w:rPr>
                <w:color w:val="000000"/>
                <w:kern w:val="0"/>
              </w:rPr>
            </w:pPr>
            <w:r>
              <w:rPr>
                <w:color w:val="000000"/>
                <w:kern w:val="0"/>
              </w:rPr>
              <w:t>79.21</w:t>
            </w:r>
          </w:p>
        </w:tc>
        <w:tc>
          <w:tcPr>
            <w:tcW w:w="1701" w:type="dxa"/>
            <w:tcBorders>
              <w:top w:val="nil"/>
              <w:left w:val="nil"/>
              <w:bottom w:val="single" w:color="auto" w:sz="4" w:space="0"/>
              <w:right w:val="single" w:color="auto" w:sz="4" w:space="0"/>
            </w:tcBorders>
            <w:shd w:val="clear" w:color="auto" w:fill="auto"/>
            <w:vAlign w:val="center"/>
          </w:tcPr>
          <w:p w14:paraId="18C9C94C">
            <w:pPr>
              <w:widowControl/>
              <w:jc w:val="center"/>
              <w:rPr>
                <w:color w:val="000000"/>
                <w:kern w:val="0"/>
              </w:rPr>
            </w:pPr>
            <w:r>
              <w:rPr>
                <w:color w:val="000000"/>
                <w:kern w:val="0"/>
              </w:rPr>
              <w:t>林地</w:t>
            </w:r>
          </w:p>
        </w:tc>
        <w:tc>
          <w:tcPr>
            <w:tcW w:w="1843" w:type="dxa"/>
            <w:tcBorders>
              <w:top w:val="nil"/>
              <w:left w:val="nil"/>
              <w:bottom w:val="single" w:color="auto" w:sz="4" w:space="0"/>
              <w:right w:val="single" w:color="auto" w:sz="4" w:space="0"/>
            </w:tcBorders>
            <w:shd w:val="clear" w:color="auto" w:fill="auto"/>
            <w:vAlign w:val="center"/>
          </w:tcPr>
          <w:p w14:paraId="103C1891">
            <w:pPr>
              <w:widowControl/>
              <w:jc w:val="center"/>
              <w:rPr>
                <w:color w:val="000000"/>
                <w:kern w:val="0"/>
              </w:rPr>
            </w:pPr>
            <w:r>
              <w:rPr>
                <w:color w:val="000000"/>
                <w:kern w:val="0"/>
              </w:rPr>
              <w:t>乔木林地</w:t>
            </w:r>
          </w:p>
        </w:tc>
      </w:tr>
      <w:tr w14:paraId="0728CDB5">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193F674A">
            <w:pPr>
              <w:widowControl/>
              <w:jc w:val="center"/>
              <w:rPr>
                <w:color w:val="000000"/>
                <w:kern w:val="0"/>
              </w:rPr>
            </w:pPr>
            <w:r>
              <w:rPr>
                <w:color w:val="000000"/>
                <w:kern w:val="0"/>
              </w:rPr>
              <w:t>N22</w:t>
            </w:r>
          </w:p>
        </w:tc>
        <w:tc>
          <w:tcPr>
            <w:tcW w:w="0" w:type="auto"/>
            <w:tcBorders>
              <w:top w:val="nil"/>
              <w:left w:val="nil"/>
              <w:bottom w:val="single" w:color="auto" w:sz="4" w:space="0"/>
              <w:right w:val="single" w:color="auto" w:sz="4" w:space="0"/>
            </w:tcBorders>
            <w:shd w:val="clear" w:color="auto" w:fill="auto"/>
            <w:vAlign w:val="center"/>
          </w:tcPr>
          <w:p w14:paraId="306A3EA7">
            <w:pPr>
              <w:widowControl/>
              <w:jc w:val="center"/>
              <w:rPr>
                <w:color w:val="000000"/>
                <w:kern w:val="0"/>
              </w:rPr>
            </w:pPr>
            <w:r>
              <w:rPr>
                <w:color w:val="000000"/>
                <w:kern w:val="0"/>
              </w:rPr>
              <w:t>35437273</w:t>
            </w:r>
          </w:p>
        </w:tc>
        <w:tc>
          <w:tcPr>
            <w:tcW w:w="0" w:type="auto"/>
            <w:tcBorders>
              <w:top w:val="nil"/>
              <w:left w:val="nil"/>
              <w:bottom w:val="single" w:color="auto" w:sz="4" w:space="0"/>
              <w:right w:val="single" w:color="auto" w:sz="4" w:space="0"/>
            </w:tcBorders>
            <w:shd w:val="clear" w:color="auto" w:fill="auto"/>
            <w:vAlign w:val="center"/>
          </w:tcPr>
          <w:p w14:paraId="76F24C0E">
            <w:pPr>
              <w:widowControl/>
              <w:jc w:val="center"/>
              <w:rPr>
                <w:color w:val="000000"/>
                <w:kern w:val="0"/>
              </w:rPr>
            </w:pPr>
            <w:r>
              <w:rPr>
                <w:color w:val="000000"/>
                <w:kern w:val="0"/>
              </w:rPr>
              <w:t>2816091.6</w:t>
            </w:r>
          </w:p>
        </w:tc>
        <w:tc>
          <w:tcPr>
            <w:tcW w:w="1237" w:type="dxa"/>
            <w:tcBorders>
              <w:top w:val="nil"/>
              <w:left w:val="nil"/>
              <w:bottom w:val="single" w:color="auto" w:sz="4" w:space="0"/>
              <w:right w:val="single" w:color="auto" w:sz="4" w:space="0"/>
            </w:tcBorders>
            <w:shd w:val="clear" w:color="auto" w:fill="auto"/>
            <w:vAlign w:val="center"/>
          </w:tcPr>
          <w:p w14:paraId="485CA88D">
            <w:pPr>
              <w:widowControl/>
              <w:jc w:val="center"/>
              <w:rPr>
                <w:color w:val="000000"/>
                <w:kern w:val="0"/>
              </w:rPr>
            </w:pPr>
            <w:r>
              <w:rPr>
                <w:color w:val="000000"/>
                <w:kern w:val="0"/>
              </w:rPr>
              <w:t>1899.606</w:t>
            </w:r>
          </w:p>
        </w:tc>
        <w:tc>
          <w:tcPr>
            <w:tcW w:w="1276" w:type="dxa"/>
            <w:tcBorders>
              <w:top w:val="nil"/>
              <w:left w:val="nil"/>
              <w:bottom w:val="single" w:color="auto" w:sz="4" w:space="0"/>
              <w:right w:val="single" w:color="auto" w:sz="4" w:space="0"/>
            </w:tcBorders>
            <w:shd w:val="clear" w:color="auto" w:fill="auto"/>
            <w:vAlign w:val="center"/>
          </w:tcPr>
          <w:p w14:paraId="25BAFF9E">
            <w:pPr>
              <w:widowControl/>
              <w:jc w:val="center"/>
              <w:rPr>
                <w:color w:val="000000"/>
                <w:kern w:val="0"/>
              </w:rPr>
            </w:pPr>
            <w:r>
              <w:rPr>
                <w:color w:val="000000"/>
                <w:kern w:val="0"/>
              </w:rPr>
              <w:t>1B1Y6-J3</w:t>
            </w:r>
          </w:p>
        </w:tc>
        <w:tc>
          <w:tcPr>
            <w:tcW w:w="1134" w:type="dxa"/>
            <w:tcBorders>
              <w:top w:val="nil"/>
              <w:left w:val="nil"/>
              <w:bottom w:val="single" w:color="auto" w:sz="4" w:space="0"/>
              <w:right w:val="single" w:color="auto" w:sz="4" w:space="0"/>
            </w:tcBorders>
            <w:shd w:val="clear" w:color="auto" w:fill="auto"/>
            <w:vAlign w:val="center"/>
          </w:tcPr>
          <w:p w14:paraId="11ED1470">
            <w:pPr>
              <w:widowControl/>
              <w:jc w:val="center"/>
              <w:rPr>
                <w:color w:val="000000"/>
                <w:kern w:val="0"/>
              </w:rPr>
            </w:pPr>
            <w:r>
              <w:rPr>
                <w:color w:val="000000"/>
                <w:kern w:val="0"/>
              </w:rPr>
              <w:t>33</w:t>
            </w:r>
          </w:p>
        </w:tc>
        <w:tc>
          <w:tcPr>
            <w:tcW w:w="1842" w:type="dxa"/>
            <w:tcBorders>
              <w:top w:val="nil"/>
              <w:left w:val="nil"/>
              <w:bottom w:val="single" w:color="auto" w:sz="4" w:space="0"/>
              <w:right w:val="single" w:color="auto" w:sz="4" w:space="0"/>
            </w:tcBorders>
            <w:shd w:val="clear" w:color="auto" w:fill="auto"/>
            <w:vAlign w:val="center"/>
          </w:tcPr>
          <w:p w14:paraId="4F35BD77">
            <w:pPr>
              <w:widowControl/>
              <w:jc w:val="center"/>
              <w:rPr>
                <w:color w:val="000000"/>
                <w:kern w:val="0"/>
              </w:rPr>
            </w:pPr>
            <w:r>
              <w:rPr>
                <w:color w:val="000000"/>
                <w:kern w:val="0"/>
              </w:rPr>
              <w:t>12740</w:t>
            </w:r>
          </w:p>
        </w:tc>
        <w:tc>
          <w:tcPr>
            <w:tcW w:w="1843" w:type="dxa"/>
            <w:tcBorders>
              <w:top w:val="nil"/>
              <w:left w:val="nil"/>
              <w:bottom w:val="single" w:color="auto" w:sz="4" w:space="0"/>
              <w:right w:val="single" w:color="auto" w:sz="4" w:space="0"/>
            </w:tcBorders>
            <w:shd w:val="clear" w:color="auto" w:fill="auto"/>
            <w:vAlign w:val="center"/>
          </w:tcPr>
          <w:p w14:paraId="5BB26196">
            <w:pPr>
              <w:widowControl/>
              <w:jc w:val="center"/>
              <w:rPr>
                <w:color w:val="000000"/>
                <w:kern w:val="0"/>
              </w:rPr>
            </w:pPr>
            <w:r>
              <w:rPr>
                <w:color w:val="000000"/>
                <w:kern w:val="0"/>
              </w:rPr>
              <w:t>68.89</w:t>
            </w:r>
          </w:p>
        </w:tc>
        <w:tc>
          <w:tcPr>
            <w:tcW w:w="1701" w:type="dxa"/>
            <w:tcBorders>
              <w:top w:val="nil"/>
              <w:left w:val="nil"/>
              <w:bottom w:val="single" w:color="auto" w:sz="4" w:space="0"/>
              <w:right w:val="single" w:color="auto" w:sz="4" w:space="0"/>
            </w:tcBorders>
            <w:shd w:val="clear" w:color="auto" w:fill="auto"/>
            <w:vAlign w:val="center"/>
          </w:tcPr>
          <w:p w14:paraId="65568BC9">
            <w:pPr>
              <w:widowControl/>
              <w:jc w:val="center"/>
              <w:rPr>
                <w:color w:val="000000"/>
                <w:kern w:val="0"/>
              </w:rPr>
            </w:pPr>
            <w:r>
              <w:rPr>
                <w:color w:val="000000"/>
                <w:kern w:val="0"/>
              </w:rPr>
              <w:t>园地</w:t>
            </w:r>
          </w:p>
        </w:tc>
        <w:tc>
          <w:tcPr>
            <w:tcW w:w="1843" w:type="dxa"/>
            <w:tcBorders>
              <w:top w:val="nil"/>
              <w:left w:val="nil"/>
              <w:bottom w:val="single" w:color="auto" w:sz="4" w:space="0"/>
              <w:right w:val="single" w:color="auto" w:sz="4" w:space="0"/>
            </w:tcBorders>
            <w:shd w:val="clear" w:color="auto" w:fill="auto"/>
            <w:vAlign w:val="center"/>
          </w:tcPr>
          <w:p w14:paraId="443D851F">
            <w:pPr>
              <w:widowControl/>
              <w:jc w:val="center"/>
              <w:rPr>
                <w:color w:val="000000"/>
                <w:kern w:val="0"/>
              </w:rPr>
            </w:pPr>
            <w:r>
              <w:rPr>
                <w:color w:val="000000"/>
                <w:kern w:val="0"/>
              </w:rPr>
              <w:t>果园</w:t>
            </w:r>
          </w:p>
        </w:tc>
      </w:tr>
      <w:tr w14:paraId="7F203286">
        <w:tblPrEx>
          <w:tblCellMar>
            <w:top w:w="0" w:type="dxa"/>
            <w:left w:w="108" w:type="dxa"/>
            <w:bottom w:w="0" w:type="dxa"/>
            <w:right w:w="108"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shd w:val="clear" w:color="auto" w:fill="auto"/>
            <w:vAlign w:val="center"/>
          </w:tcPr>
          <w:p w14:paraId="43684B41">
            <w:pPr>
              <w:widowControl/>
              <w:jc w:val="center"/>
              <w:rPr>
                <w:color w:val="000000"/>
                <w:kern w:val="0"/>
              </w:rPr>
            </w:pPr>
            <w:r>
              <w:rPr>
                <w:color w:val="000000"/>
                <w:kern w:val="0"/>
              </w:rPr>
              <w:t>N23</w:t>
            </w:r>
          </w:p>
        </w:tc>
        <w:tc>
          <w:tcPr>
            <w:tcW w:w="0" w:type="auto"/>
            <w:tcBorders>
              <w:top w:val="nil"/>
              <w:left w:val="nil"/>
              <w:bottom w:val="single" w:color="auto" w:sz="4" w:space="0"/>
              <w:right w:val="single" w:color="auto" w:sz="4" w:space="0"/>
            </w:tcBorders>
            <w:shd w:val="clear" w:color="auto" w:fill="auto"/>
            <w:vAlign w:val="center"/>
          </w:tcPr>
          <w:p w14:paraId="131BE6CA">
            <w:pPr>
              <w:widowControl/>
              <w:jc w:val="center"/>
              <w:rPr>
                <w:color w:val="000000"/>
                <w:kern w:val="0"/>
              </w:rPr>
            </w:pPr>
            <w:r>
              <w:rPr>
                <w:color w:val="000000"/>
                <w:kern w:val="0"/>
              </w:rPr>
              <w:t>35437259</w:t>
            </w:r>
          </w:p>
        </w:tc>
        <w:tc>
          <w:tcPr>
            <w:tcW w:w="0" w:type="auto"/>
            <w:tcBorders>
              <w:top w:val="nil"/>
              <w:left w:val="nil"/>
              <w:bottom w:val="single" w:color="auto" w:sz="4" w:space="0"/>
              <w:right w:val="single" w:color="auto" w:sz="4" w:space="0"/>
            </w:tcBorders>
            <w:shd w:val="clear" w:color="auto" w:fill="auto"/>
            <w:vAlign w:val="center"/>
          </w:tcPr>
          <w:p w14:paraId="3071959F">
            <w:pPr>
              <w:widowControl/>
              <w:jc w:val="center"/>
              <w:rPr>
                <w:color w:val="000000"/>
                <w:kern w:val="0"/>
              </w:rPr>
            </w:pPr>
            <w:r>
              <w:rPr>
                <w:color w:val="000000"/>
                <w:kern w:val="0"/>
              </w:rPr>
              <w:t>2816155.5</w:t>
            </w:r>
          </w:p>
        </w:tc>
        <w:tc>
          <w:tcPr>
            <w:tcW w:w="1237" w:type="dxa"/>
            <w:tcBorders>
              <w:top w:val="nil"/>
              <w:left w:val="nil"/>
              <w:bottom w:val="single" w:color="auto" w:sz="4" w:space="0"/>
              <w:right w:val="single" w:color="auto" w:sz="4" w:space="0"/>
            </w:tcBorders>
            <w:shd w:val="clear" w:color="auto" w:fill="auto"/>
            <w:vAlign w:val="center"/>
          </w:tcPr>
          <w:p w14:paraId="1085BE1F">
            <w:pPr>
              <w:widowControl/>
              <w:jc w:val="center"/>
              <w:rPr>
                <w:color w:val="000000"/>
                <w:kern w:val="0"/>
              </w:rPr>
            </w:pPr>
            <w:r>
              <w:rPr>
                <w:color w:val="000000"/>
                <w:kern w:val="0"/>
              </w:rPr>
              <w:t>1912.063</w:t>
            </w:r>
          </w:p>
        </w:tc>
        <w:tc>
          <w:tcPr>
            <w:tcW w:w="1276" w:type="dxa"/>
            <w:tcBorders>
              <w:top w:val="nil"/>
              <w:left w:val="nil"/>
              <w:bottom w:val="single" w:color="auto" w:sz="4" w:space="0"/>
              <w:right w:val="single" w:color="auto" w:sz="4" w:space="0"/>
            </w:tcBorders>
            <w:shd w:val="clear" w:color="auto" w:fill="auto"/>
            <w:vAlign w:val="center"/>
          </w:tcPr>
          <w:p w14:paraId="75DB5811">
            <w:pPr>
              <w:widowControl/>
              <w:jc w:val="center"/>
              <w:rPr>
                <w:color w:val="000000"/>
                <w:kern w:val="0"/>
              </w:rPr>
            </w:pPr>
            <w:r>
              <w:rPr>
                <w:color w:val="000000"/>
                <w:kern w:val="0"/>
              </w:rPr>
              <w:t>1B1Y6-JD</w:t>
            </w:r>
          </w:p>
        </w:tc>
        <w:tc>
          <w:tcPr>
            <w:tcW w:w="1134" w:type="dxa"/>
            <w:tcBorders>
              <w:top w:val="nil"/>
              <w:left w:val="nil"/>
              <w:bottom w:val="single" w:color="auto" w:sz="4" w:space="0"/>
              <w:right w:val="single" w:color="auto" w:sz="4" w:space="0"/>
            </w:tcBorders>
            <w:shd w:val="clear" w:color="auto" w:fill="auto"/>
            <w:vAlign w:val="center"/>
          </w:tcPr>
          <w:p w14:paraId="7ACE75D7">
            <w:pPr>
              <w:widowControl/>
              <w:jc w:val="center"/>
              <w:rPr>
                <w:color w:val="000000"/>
                <w:kern w:val="0"/>
              </w:rPr>
            </w:pPr>
            <w:r>
              <w:rPr>
                <w:color w:val="000000"/>
                <w:kern w:val="0"/>
              </w:rPr>
              <w:t>30</w:t>
            </w:r>
          </w:p>
        </w:tc>
        <w:tc>
          <w:tcPr>
            <w:tcW w:w="1842" w:type="dxa"/>
            <w:tcBorders>
              <w:top w:val="nil"/>
              <w:left w:val="nil"/>
              <w:bottom w:val="single" w:color="auto" w:sz="4" w:space="0"/>
              <w:right w:val="single" w:color="auto" w:sz="4" w:space="0"/>
            </w:tcBorders>
            <w:shd w:val="clear" w:color="auto" w:fill="auto"/>
            <w:vAlign w:val="center"/>
          </w:tcPr>
          <w:p w14:paraId="5D8BA813">
            <w:pPr>
              <w:widowControl/>
              <w:jc w:val="center"/>
              <w:rPr>
                <w:color w:val="000000"/>
                <w:kern w:val="0"/>
              </w:rPr>
            </w:pPr>
            <w:r>
              <w:rPr>
                <w:color w:val="000000"/>
                <w:kern w:val="0"/>
              </w:rPr>
              <w:t>11991</w:t>
            </w:r>
          </w:p>
        </w:tc>
        <w:tc>
          <w:tcPr>
            <w:tcW w:w="1843" w:type="dxa"/>
            <w:tcBorders>
              <w:top w:val="nil"/>
              <w:left w:val="nil"/>
              <w:bottom w:val="single" w:color="auto" w:sz="4" w:space="0"/>
              <w:right w:val="single" w:color="auto" w:sz="4" w:space="0"/>
            </w:tcBorders>
            <w:shd w:val="clear" w:color="auto" w:fill="auto"/>
            <w:vAlign w:val="center"/>
          </w:tcPr>
          <w:p w14:paraId="51BBBB31">
            <w:pPr>
              <w:widowControl/>
              <w:jc w:val="center"/>
              <w:rPr>
                <w:color w:val="000000"/>
                <w:kern w:val="0"/>
              </w:rPr>
            </w:pPr>
            <w:r>
              <w:rPr>
                <w:color w:val="000000"/>
                <w:kern w:val="0"/>
              </w:rPr>
              <w:t>59.29</w:t>
            </w:r>
          </w:p>
        </w:tc>
        <w:tc>
          <w:tcPr>
            <w:tcW w:w="1701" w:type="dxa"/>
            <w:tcBorders>
              <w:top w:val="nil"/>
              <w:left w:val="nil"/>
              <w:bottom w:val="single" w:color="auto" w:sz="4" w:space="0"/>
              <w:right w:val="single" w:color="auto" w:sz="4" w:space="0"/>
            </w:tcBorders>
            <w:shd w:val="clear" w:color="auto" w:fill="auto"/>
            <w:vAlign w:val="center"/>
          </w:tcPr>
          <w:p w14:paraId="2A091BEC">
            <w:pPr>
              <w:widowControl/>
              <w:jc w:val="center"/>
              <w:rPr>
                <w:color w:val="000000"/>
                <w:kern w:val="0"/>
              </w:rPr>
            </w:pPr>
            <w:r>
              <w:rPr>
                <w:color w:val="000000"/>
                <w:kern w:val="0"/>
              </w:rPr>
              <w:t>园地</w:t>
            </w:r>
          </w:p>
        </w:tc>
        <w:tc>
          <w:tcPr>
            <w:tcW w:w="1843" w:type="dxa"/>
            <w:tcBorders>
              <w:top w:val="nil"/>
              <w:left w:val="nil"/>
              <w:bottom w:val="single" w:color="auto" w:sz="4" w:space="0"/>
              <w:right w:val="single" w:color="auto" w:sz="4" w:space="0"/>
            </w:tcBorders>
            <w:shd w:val="clear" w:color="auto" w:fill="auto"/>
            <w:vAlign w:val="center"/>
          </w:tcPr>
          <w:p w14:paraId="3A80ED66">
            <w:pPr>
              <w:widowControl/>
              <w:jc w:val="center"/>
              <w:rPr>
                <w:color w:val="000000"/>
                <w:kern w:val="0"/>
              </w:rPr>
            </w:pPr>
            <w:r>
              <w:rPr>
                <w:color w:val="000000"/>
                <w:kern w:val="0"/>
              </w:rPr>
              <w:t>果园</w:t>
            </w:r>
          </w:p>
        </w:tc>
      </w:tr>
    </w:tbl>
    <w:p w14:paraId="01CA763A">
      <w:pPr>
        <w:pStyle w:val="190"/>
        <w:jc w:val="both"/>
        <w:rPr>
          <w:sz w:val="24"/>
          <w:lang w:val="en-US"/>
        </w:rPr>
        <w:sectPr>
          <w:pgSz w:w="16838" w:h="11906" w:orient="landscape"/>
          <w:pgMar w:top="1800" w:right="1440" w:bottom="1800" w:left="1440" w:header="851" w:footer="1077" w:gutter="0"/>
          <w:cols w:space="720" w:num="1"/>
          <w:docGrid w:linePitch="312" w:charSpace="0"/>
        </w:sectPr>
      </w:pPr>
    </w:p>
    <w:p w14:paraId="2A967545">
      <w:pPr>
        <w:pStyle w:val="176"/>
        <w:spacing w:before="20" w:after="20" w:line="360" w:lineRule="auto"/>
        <w:outlineLvl w:val="9"/>
        <w:rPr>
          <w:rFonts w:eastAsia="宋体"/>
          <w:b/>
        </w:rPr>
      </w:pPr>
      <w:bookmarkStart w:id="203" w:name="_Toc15922"/>
      <w:bookmarkStart w:id="204" w:name="_Toc3932"/>
      <w:bookmarkStart w:id="205" w:name="_Toc798"/>
      <w:bookmarkStart w:id="206" w:name="_Toc17322"/>
      <w:bookmarkStart w:id="207" w:name="_Toc32011"/>
      <w:bookmarkStart w:id="208" w:name="_Toc11222"/>
      <w:bookmarkStart w:id="209" w:name="_Toc21118"/>
      <w:bookmarkStart w:id="210" w:name="_Toc227764350"/>
      <w:bookmarkStart w:id="211" w:name="_Toc18930"/>
      <w:r>
        <w:rPr>
          <w:rFonts w:eastAsia="宋体"/>
          <w:b/>
        </w:rPr>
        <w:t>3.1.2线路交叉跨越情况</w:t>
      </w:r>
      <w:bookmarkEnd w:id="203"/>
      <w:bookmarkEnd w:id="204"/>
      <w:bookmarkEnd w:id="205"/>
      <w:bookmarkEnd w:id="206"/>
      <w:bookmarkEnd w:id="207"/>
      <w:bookmarkEnd w:id="208"/>
      <w:bookmarkEnd w:id="209"/>
      <w:bookmarkEnd w:id="210"/>
      <w:bookmarkEnd w:id="211"/>
    </w:p>
    <w:p w14:paraId="077230A0">
      <w:pPr>
        <w:pStyle w:val="190"/>
        <w:jc w:val="both"/>
        <w:rPr>
          <w:sz w:val="24"/>
          <w:lang w:val="en-US"/>
        </w:rPr>
      </w:pPr>
      <w:r>
        <w:rPr>
          <w:rFonts w:hint="eastAsia"/>
          <w:sz w:val="24"/>
          <w:lang w:val="en-US"/>
        </w:rPr>
        <w:t>南冲风电场110kV送出线路工程交叉跨越共计40次，其中跨35kV线4次、跨10kV线10次、跨380V线8次、跨220V线5次、跨通信线10次、跨S204省道3次。</w:t>
      </w:r>
      <w:r>
        <w:rPr>
          <w:sz w:val="24"/>
          <w:lang w:val="en-US"/>
        </w:rPr>
        <w:t>本工程主要交叉跨越见表3-2。</w:t>
      </w:r>
    </w:p>
    <w:p w14:paraId="42C00F5D">
      <w:pPr>
        <w:spacing w:line="360" w:lineRule="auto"/>
        <w:ind w:firstLine="480" w:firstLineChars="200"/>
        <w:rPr>
          <w:sz w:val="24"/>
        </w:rPr>
      </w:pPr>
      <w:r>
        <w:rPr>
          <w:sz w:val="24"/>
        </w:rPr>
        <w:t>线路对地及交叉跨越物的最小距离根据《110kV～750kV架空输电线路设计规范》（GB50545-2010）规定，项目110kV输电线路导线与各交叉跨越物的距离不小于表3-3所列数值。</w:t>
      </w:r>
    </w:p>
    <w:p w14:paraId="5D1A4730">
      <w:pPr>
        <w:pStyle w:val="190"/>
        <w:ind w:firstLine="0"/>
        <w:jc w:val="center"/>
        <w:rPr>
          <w:rFonts w:eastAsia="黑体"/>
          <w:sz w:val="24"/>
          <w:lang w:val="en-US"/>
        </w:rPr>
      </w:pPr>
      <w:r>
        <w:rPr>
          <w:rFonts w:eastAsia="黑体"/>
          <w:sz w:val="24"/>
          <w:lang w:val="en-US"/>
        </w:rPr>
        <w:t>表3-2本工程主要交叉跨越情况一览表</w:t>
      </w:r>
    </w:p>
    <w:tbl>
      <w:tblPr>
        <w:tblStyle w:val="279"/>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5"/>
        <w:gridCol w:w="2369"/>
        <w:gridCol w:w="1226"/>
        <w:gridCol w:w="1984"/>
        <w:gridCol w:w="1985"/>
      </w:tblGrid>
      <w:tr w14:paraId="7D7C7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5" w:type="dxa"/>
            <w:vAlign w:val="center"/>
          </w:tcPr>
          <w:p w14:paraId="66589915">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序号</w:t>
            </w:r>
          </w:p>
        </w:tc>
        <w:tc>
          <w:tcPr>
            <w:tcW w:w="2369" w:type="dxa"/>
            <w:vAlign w:val="center"/>
          </w:tcPr>
          <w:p w14:paraId="6FF59750">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名称</w:t>
            </w:r>
          </w:p>
        </w:tc>
        <w:tc>
          <w:tcPr>
            <w:tcW w:w="1226" w:type="dxa"/>
            <w:vAlign w:val="center"/>
          </w:tcPr>
          <w:p w14:paraId="083E6EF1">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跨(穿)越次数</w:t>
            </w:r>
          </w:p>
        </w:tc>
        <w:tc>
          <w:tcPr>
            <w:tcW w:w="1984" w:type="dxa"/>
            <w:vAlign w:val="center"/>
          </w:tcPr>
          <w:p w14:paraId="5E32C9A6">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备注</w:t>
            </w:r>
          </w:p>
        </w:tc>
        <w:tc>
          <w:tcPr>
            <w:tcW w:w="1985" w:type="dxa"/>
            <w:vAlign w:val="center"/>
          </w:tcPr>
          <w:p w14:paraId="5D6EC4B0">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地点</w:t>
            </w:r>
          </w:p>
        </w:tc>
      </w:tr>
      <w:tr w14:paraId="36A4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5" w:type="dxa"/>
            <w:vAlign w:val="center"/>
          </w:tcPr>
          <w:p w14:paraId="2ADC8DD6">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1</w:t>
            </w:r>
          </w:p>
        </w:tc>
        <w:tc>
          <w:tcPr>
            <w:tcW w:w="2369" w:type="dxa"/>
            <w:vAlign w:val="center"/>
          </w:tcPr>
          <w:p w14:paraId="6A3A0E66">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35kV</w:t>
            </w:r>
            <w:r>
              <w:rPr>
                <w:rFonts w:ascii="Times New Roman" w:hAnsi="Times New Roman" w:cs="Times New Roman"/>
                <w:spacing w:val="-2"/>
                <w:sz w:val="21"/>
                <w:szCs w:val="21"/>
                <w:lang w:eastAsia="zh-CN"/>
              </w:rPr>
              <w:t xml:space="preserve"> </w:t>
            </w:r>
            <w:r>
              <w:rPr>
                <w:rFonts w:ascii="Times New Roman" w:hAnsi="Times New Roman" w:cs="Times New Roman"/>
                <w:sz w:val="21"/>
                <w:szCs w:val="21"/>
                <w:lang w:eastAsia="zh-CN"/>
              </w:rPr>
              <w:t>老得富线(改建)</w:t>
            </w:r>
          </w:p>
        </w:tc>
        <w:tc>
          <w:tcPr>
            <w:tcW w:w="1226" w:type="dxa"/>
            <w:vAlign w:val="center"/>
          </w:tcPr>
          <w:p w14:paraId="5D3DD739">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2</w:t>
            </w:r>
            <w:r>
              <w:rPr>
                <w:rFonts w:ascii="Times New Roman" w:hAnsi="Times New Roman" w:cs="Times New Roman"/>
                <w:sz w:val="21"/>
                <w:szCs w:val="21"/>
                <w:lang w:eastAsia="zh-CN"/>
              </w:rPr>
              <w:t>次</w:t>
            </w:r>
          </w:p>
        </w:tc>
        <w:tc>
          <w:tcPr>
            <w:tcW w:w="1984" w:type="dxa"/>
            <w:vAlign w:val="center"/>
          </w:tcPr>
          <w:p w14:paraId="28769E7E">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现场未施工建成</w:t>
            </w:r>
          </w:p>
        </w:tc>
        <w:tc>
          <w:tcPr>
            <w:tcW w:w="1985" w:type="dxa"/>
            <w:vAlign w:val="center"/>
          </w:tcPr>
          <w:p w14:paraId="6415E2A3">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小河边附近</w:t>
            </w:r>
          </w:p>
        </w:tc>
      </w:tr>
      <w:tr w14:paraId="04E8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5" w:type="dxa"/>
            <w:vAlign w:val="center"/>
          </w:tcPr>
          <w:p w14:paraId="5F5F3763">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2</w:t>
            </w:r>
          </w:p>
        </w:tc>
        <w:tc>
          <w:tcPr>
            <w:tcW w:w="2369" w:type="dxa"/>
            <w:vAlign w:val="center"/>
          </w:tcPr>
          <w:p w14:paraId="62DCC9F9">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35kV</w:t>
            </w:r>
            <w:r>
              <w:rPr>
                <w:rFonts w:ascii="Times New Roman" w:hAnsi="Times New Roman" w:cs="Times New Roman"/>
                <w:spacing w:val="-2"/>
                <w:sz w:val="21"/>
                <w:szCs w:val="21"/>
                <w:lang w:eastAsia="zh-CN"/>
              </w:rPr>
              <w:t xml:space="preserve"> </w:t>
            </w:r>
            <w:r>
              <w:rPr>
                <w:rFonts w:ascii="Times New Roman" w:hAnsi="Times New Roman" w:cs="Times New Roman"/>
                <w:sz w:val="21"/>
                <w:szCs w:val="21"/>
                <w:lang w:eastAsia="zh-CN"/>
              </w:rPr>
              <w:t>富得祖线(改建)</w:t>
            </w:r>
          </w:p>
        </w:tc>
        <w:tc>
          <w:tcPr>
            <w:tcW w:w="1226" w:type="dxa"/>
            <w:vAlign w:val="center"/>
          </w:tcPr>
          <w:p w14:paraId="074ED123">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2</w:t>
            </w:r>
            <w:r>
              <w:rPr>
                <w:rFonts w:ascii="Times New Roman" w:hAnsi="Times New Roman" w:cs="Times New Roman"/>
                <w:sz w:val="21"/>
                <w:szCs w:val="21"/>
                <w:lang w:eastAsia="zh-CN"/>
              </w:rPr>
              <w:t>次</w:t>
            </w:r>
          </w:p>
        </w:tc>
        <w:tc>
          <w:tcPr>
            <w:tcW w:w="1984" w:type="dxa"/>
            <w:vAlign w:val="center"/>
          </w:tcPr>
          <w:p w14:paraId="75B9D5F9">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现场未施工建成</w:t>
            </w:r>
          </w:p>
        </w:tc>
        <w:tc>
          <w:tcPr>
            <w:tcW w:w="1985" w:type="dxa"/>
            <w:vAlign w:val="center"/>
          </w:tcPr>
          <w:p w14:paraId="7D4616DE">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小河边附近</w:t>
            </w:r>
          </w:p>
        </w:tc>
      </w:tr>
      <w:tr w14:paraId="4FDB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795" w:type="dxa"/>
            <w:vAlign w:val="center"/>
          </w:tcPr>
          <w:p w14:paraId="5B820C26">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3</w:t>
            </w:r>
          </w:p>
        </w:tc>
        <w:tc>
          <w:tcPr>
            <w:tcW w:w="2369" w:type="dxa"/>
            <w:vAlign w:val="center"/>
          </w:tcPr>
          <w:p w14:paraId="271905D7">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S204</w:t>
            </w:r>
            <w:r>
              <w:rPr>
                <w:rFonts w:ascii="Times New Roman" w:hAnsi="Times New Roman" w:cs="Times New Roman"/>
                <w:spacing w:val="-1"/>
                <w:sz w:val="21"/>
                <w:szCs w:val="21"/>
                <w:lang w:eastAsia="zh-CN"/>
              </w:rPr>
              <w:t xml:space="preserve"> </w:t>
            </w:r>
            <w:r>
              <w:rPr>
                <w:rFonts w:ascii="Times New Roman" w:hAnsi="Times New Roman" w:cs="Times New Roman"/>
                <w:sz w:val="21"/>
                <w:szCs w:val="21"/>
                <w:lang w:eastAsia="zh-CN"/>
              </w:rPr>
              <w:t>省道</w:t>
            </w:r>
          </w:p>
        </w:tc>
        <w:tc>
          <w:tcPr>
            <w:tcW w:w="1226" w:type="dxa"/>
            <w:vAlign w:val="center"/>
          </w:tcPr>
          <w:p w14:paraId="115AF05D">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跨越</w:t>
            </w:r>
            <w:r>
              <w:rPr>
                <w:rFonts w:ascii="Times New Roman" w:hAnsi="Times New Roman" w:cs="Times New Roman"/>
                <w:w w:val="95"/>
                <w:sz w:val="21"/>
                <w:szCs w:val="21"/>
                <w:lang w:eastAsia="zh-CN"/>
              </w:rPr>
              <w:t>3</w:t>
            </w:r>
            <w:r>
              <w:rPr>
                <w:rFonts w:ascii="Times New Roman" w:hAnsi="Times New Roman" w:cs="Times New Roman"/>
                <w:sz w:val="21"/>
                <w:szCs w:val="21"/>
                <w:lang w:eastAsia="zh-CN"/>
              </w:rPr>
              <w:t>次</w:t>
            </w:r>
          </w:p>
        </w:tc>
        <w:tc>
          <w:tcPr>
            <w:tcW w:w="1984" w:type="dxa"/>
            <w:vAlign w:val="center"/>
          </w:tcPr>
          <w:p w14:paraId="68C3EB89">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满足跨越要求</w:t>
            </w:r>
          </w:p>
        </w:tc>
        <w:tc>
          <w:tcPr>
            <w:tcW w:w="1985" w:type="dxa"/>
            <w:vAlign w:val="center"/>
          </w:tcPr>
          <w:p w14:paraId="29A8E80E">
            <w:pPr>
              <w:pStyle w:val="175"/>
              <w:rPr>
                <w:rFonts w:ascii="Times New Roman" w:hAnsi="Times New Roman" w:cs="Times New Roman"/>
                <w:sz w:val="21"/>
                <w:szCs w:val="21"/>
                <w:lang w:eastAsia="zh-CN"/>
              </w:rPr>
            </w:pPr>
            <w:r>
              <w:rPr>
                <w:rFonts w:ascii="Times New Roman" w:hAnsi="Times New Roman" w:cs="Times New Roman"/>
                <w:sz w:val="21"/>
                <w:szCs w:val="21"/>
                <w:lang w:eastAsia="zh-CN"/>
              </w:rPr>
              <w:t>大山口附近</w:t>
            </w:r>
          </w:p>
        </w:tc>
      </w:tr>
    </w:tbl>
    <w:p w14:paraId="6D332FF1">
      <w:pPr>
        <w:spacing w:line="360" w:lineRule="auto"/>
        <w:ind w:firstLine="464" w:firstLineChars="200"/>
        <w:rPr>
          <w:spacing w:val="-4"/>
          <w:sz w:val="24"/>
        </w:rPr>
      </w:pPr>
    </w:p>
    <w:p w14:paraId="613F612F">
      <w:pPr>
        <w:spacing w:line="360" w:lineRule="auto"/>
        <w:ind w:firstLine="464" w:firstLineChars="200"/>
        <w:rPr>
          <w:bCs/>
          <w:sz w:val="24"/>
        </w:rPr>
      </w:pPr>
      <w:r>
        <w:rPr>
          <w:spacing w:val="-4"/>
          <w:sz w:val="24"/>
        </w:rPr>
        <w:t>本</w:t>
      </w:r>
      <w:r>
        <w:rPr>
          <w:bCs/>
          <w:sz w:val="24"/>
        </w:rPr>
        <w:t>项目拟建线路与交叉跨越物间的最小设计距离严格按照《110kV~750kV架空输电线路设计规范》（GB50545-2010）的相关规定，见表3-3。</w:t>
      </w:r>
    </w:p>
    <w:p w14:paraId="57802C41">
      <w:pPr>
        <w:spacing w:line="360" w:lineRule="auto"/>
        <w:jc w:val="center"/>
        <w:rPr>
          <w:rFonts w:eastAsia="黑体"/>
          <w:sz w:val="24"/>
        </w:rPr>
      </w:pPr>
      <w:r>
        <w:rPr>
          <w:rFonts w:eastAsia="黑体"/>
          <w:sz w:val="24"/>
        </w:rPr>
        <w:t>表3-3项目拟建线路与交叉跨越物间的最小设计距离一览表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2784"/>
        <w:gridCol w:w="2132"/>
        <w:gridCol w:w="2134"/>
      </w:tblGrid>
      <w:tr w14:paraId="528C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51" w:type="pct"/>
            <w:vMerge w:val="restart"/>
            <w:vAlign w:val="center"/>
          </w:tcPr>
          <w:p w14:paraId="6B2E8DD5">
            <w:pPr>
              <w:snapToGrid w:val="0"/>
              <w:jc w:val="center"/>
              <w:rPr>
                <w:spacing w:val="-4"/>
              </w:rPr>
            </w:pPr>
            <w:r>
              <w:t>序号</w:t>
            </w:r>
          </w:p>
        </w:tc>
        <w:tc>
          <w:tcPr>
            <w:tcW w:w="1678" w:type="pct"/>
            <w:vMerge w:val="restart"/>
            <w:vAlign w:val="center"/>
          </w:tcPr>
          <w:p w14:paraId="74040482">
            <w:pPr>
              <w:snapToGrid w:val="0"/>
              <w:jc w:val="center"/>
              <w:rPr>
                <w:spacing w:val="-4"/>
              </w:rPr>
            </w:pPr>
            <w:r>
              <w:t>跨越物名称</w:t>
            </w:r>
          </w:p>
        </w:tc>
        <w:tc>
          <w:tcPr>
            <w:tcW w:w="2571" w:type="pct"/>
            <w:gridSpan w:val="2"/>
            <w:vAlign w:val="center"/>
          </w:tcPr>
          <w:p w14:paraId="592DF13A">
            <w:pPr>
              <w:snapToGrid w:val="0"/>
              <w:jc w:val="center"/>
            </w:pPr>
            <w:r>
              <w:t>拟建线路与交叉跨越物间距离（m）</w:t>
            </w:r>
          </w:p>
        </w:tc>
      </w:tr>
      <w:tr w14:paraId="1257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51" w:type="pct"/>
            <w:vMerge w:val="continue"/>
            <w:vAlign w:val="center"/>
          </w:tcPr>
          <w:p w14:paraId="64588D7C">
            <w:pPr>
              <w:snapToGrid w:val="0"/>
              <w:jc w:val="center"/>
            </w:pPr>
          </w:p>
        </w:tc>
        <w:tc>
          <w:tcPr>
            <w:tcW w:w="1678" w:type="pct"/>
            <w:vMerge w:val="continue"/>
            <w:vAlign w:val="center"/>
          </w:tcPr>
          <w:p w14:paraId="3438C782">
            <w:pPr>
              <w:snapToGrid w:val="0"/>
              <w:jc w:val="center"/>
            </w:pPr>
          </w:p>
        </w:tc>
        <w:tc>
          <w:tcPr>
            <w:tcW w:w="1285" w:type="pct"/>
            <w:vAlign w:val="center"/>
          </w:tcPr>
          <w:p w14:paraId="014A8A91">
            <w:pPr>
              <w:snapToGrid w:val="0"/>
              <w:jc w:val="center"/>
            </w:pPr>
            <w:r>
              <w:t>垂直距离</w:t>
            </w:r>
          </w:p>
        </w:tc>
        <w:tc>
          <w:tcPr>
            <w:tcW w:w="1286" w:type="pct"/>
            <w:vAlign w:val="center"/>
          </w:tcPr>
          <w:p w14:paraId="23B282F7">
            <w:pPr>
              <w:snapToGrid w:val="0"/>
              <w:jc w:val="center"/>
            </w:pPr>
            <w:r>
              <w:t>水平距离</w:t>
            </w:r>
          </w:p>
        </w:tc>
      </w:tr>
      <w:tr w14:paraId="10D4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124C53E">
            <w:pPr>
              <w:snapToGrid w:val="0"/>
              <w:jc w:val="center"/>
            </w:pPr>
            <w:r>
              <w:t>1</w:t>
            </w:r>
          </w:p>
        </w:tc>
        <w:tc>
          <w:tcPr>
            <w:tcW w:w="1678" w:type="pct"/>
            <w:vAlign w:val="center"/>
          </w:tcPr>
          <w:p w14:paraId="6AAF9CD2">
            <w:pPr>
              <w:snapToGrid w:val="0"/>
              <w:jc w:val="center"/>
            </w:pPr>
            <w:r>
              <w:t>居民区</w:t>
            </w:r>
          </w:p>
        </w:tc>
        <w:tc>
          <w:tcPr>
            <w:tcW w:w="1285" w:type="pct"/>
            <w:vAlign w:val="center"/>
          </w:tcPr>
          <w:p w14:paraId="6E201CCF">
            <w:pPr>
              <w:snapToGrid w:val="0"/>
              <w:jc w:val="center"/>
            </w:pPr>
            <w:r>
              <w:rPr>
                <w:spacing w:val="-4"/>
              </w:rPr>
              <w:t>7</w:t>
            </w:r>
          </w:p>
        </w:tc>
        <w:tc>
          <w:tcPr>
            <w:tcW w:w="1286" w:type="pct"/>
            <w:vAlign w:val="center"/>
          </w:tcPr>
          <w:p w14:paraId="60FE24BD">
            <w:pPr>
              <w:snapToGrid w:val="0"/>
              <w:jc w:val="center"/>
              <w:rPr>
                <w:spacing w:val="-4"/>
              </w:rPr>
            </w:pPr>
          </w:p>
        </w:tc>
      </w:tr>
      <w:tr w14:paraId="3B66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A4539F7">
            <w:pPr>
              <w:snapToGrid w:val="0"/>
              <w:jc w:val="center"/>
            </w:pPr>
            <w:r>
              <w:t>2</w:t>
            </w:r>
          </w:p>
        </w:tc>
        <w:tc>
          <w:tcPr>
            <w:tcW w:w="1678" w:type="pct"/>
            <w:vAlign w:val="center"/>
          </w:tcPr>
          <w:p w14:paraId="0CCD8C21">
            <w:pPr>
              <w:snapToGrid w:val="0"/>
              <w:jc w:val="center"/>
            </w:pPr>
            <w:r>
              <w:t>非居民区</w:t>
            </w:r>
          </w:p>
        </w:tc>
        <w:tc>
          <w:tcPr>
            <w:tcW w:w="1285" w:type="pct"/>
            <w:vAlign w:val="center"/>
          </w:tcPr>
          <w:p w14:paraId="448587D5">
            <w:pPr>
              <w:snapToGrid w:val="0"/>
              <w:jc w:val="center"/>
            </w:pPr>
            <w:r>
              <w:rPr>
                <w:spacing w:val="-4"/>
              </w:rPr>
              <w:t>6</w:t>
            </w:r>
          </w:p>
        </w:tc>
        <w:tc>
          <w:tcPr>
            <w:tcW w:w="1286" w:type="pct"/>
            <w:vAlign w:val="center"/>
          </w:tcPr>
          <w:p w14:paraId="51B8D8E9">
            <w:pPr>
              <w:snapToGrid w:val="0"/>
              <w:jc w:val="center"/>
              <w:rPr>
                <w:spacing w:val="-4"/>
              </w:rPr>
            </w:pPr>
          </w:p>
        </w:tc>
      </w:tr>
      <w:tr w14:paraId="628B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5B595C28">
            <w:pPr>
              <w:jc w:val="center"/>
              <w:rPr>
                <w:spacing w:val="-4"/>
              </w:rPr>
            </w:pPr>
            <w:r>
              <w:rPr>
                <w:spacing w:val="-4"/>
              </w:rPr>
              <w:t>3</w:t>
            </w:r>
          </w:p>
        </w:tc>
        <w:tc>
          <w:tcPr>
            <w:tcW w:w="1678" w:type="pct"/>
            <w:vAlign w:val="center"/>
          </w:tcPr>
          <w:p w14:paraId="0E316438">
            <w:pPr>
              <w:snapToGrid w:val="0"/>
              <w:jc w:val="center"/>
            </w:pPr>
            <w:r>
              <w:t>交通困难地区</w:t>
            </w:r>
          </w:p>
        </w:tc>
        <w:tc>
          <w:tcPr>
            <w:tcW w:w="1285" w:type="pct"/>
            <w:vAlign w:val="center"/>
          </w:tcPr>
          <w:p w14:paraId="17DE6B39">
            <w:pPr>
              <w:jc w:val="center"/>
              <w:rPr>
                <w:spacing w:val="-4"/>
              </w:rPr>
            </w:pPr>
            <w:r>
              <w:rPr>
                <w:spacing w:val="-4"/>
              </w:rPr>
              <w:t>5</w:t>
            </w:r>
          </w:p>
        </w:tc>
        <w:tc>
          <w:tcPr>
            <w:tcW w:w="1286" w:type="pct"/>
            <w:vAlign w:val="center"/>
          </w:tcPr>
          <w:p w14:paraId="4AC429FF">
            <w:pPr>
              <w:jc w:val="center"/>
              <w:rPr>
                <w:spacing w:val="-4"/>
              </w:rPr>
            </w:pPr>
          </w:p>
        </w:tc>
      </w:tr>
      <w:tr w14:paraId="24FD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2D74E515">
            <w:pPr>
              <w:jc w:val="center"/>
              <w:rPr>
                <w:spacing w:val="-4"/>
              </w:rPr>
            </w:pPr>
            <w:r>
              <w:rPr>
                <w:spacing w:val="-4"/>
              </w:rPr>
              <w:t>4</w:t>
            </w:r>
          </w:p>
        </w:tc>
        <w:tc>
          <w:tcPr>
            <w:tcW w:w="1678" w:type="pct"/>
            <w:vAlign w:val="center"/>
          </w:tcPr>
          <w:p w14:paraId="78851830">
            <w:pPr>
              <w:snapToGrid w:val="0"/>
              <w:jc w:val="center"/>
            </w:pPr>
            <w:r>
              <w:t>步行可到达的山坡</w:t>
            </w:r>
          </w:p>
        </w:tc>
        <w:tc>
          <w:tcPr>
            <w:tcW w:w="1285" w:type="pct"/>
            <w:vAlign w:val="center"/>
          </w:tcPr>
          <w:p w14:paraId="24FDE72B">
            <w:pPr>
              <w:jc w:val="center"/>
              <w:rPr>
                <w:spacing w:val="-4"/>
              </w:rPr>
            </w:pPr>
            <w:r>
              <w:rPr>
                <w:spacing w:val="-4"/>
              </w:rPr>
              <w:t>5</w:t>
            </w:r>
          </w:p>
        </w:tc>
        <w:tc>
          <w:tcPr>
            <w:tcW w:w="1286" w:type="pct"/>
            <w:vAlign w:val="center"/>
          </w:tcPr>
          <w:p w14:paraId="3B9A2EAB">
            <w:pPr>
              <w:jc w:val="center"/>
              <w:rPr>
                <w:spacing w:val="-4"/>
              </w:rPr>
            </w:pPr>
            <w:r>
              <w:rPr>
                <w:spacing w:val="-4"/>
              </w:rPr>
              <w:t>5</w:t>
            </w:r>
          </w:p>
        </w:tc>
      </w:tr>
      <w:tr w14:paraId="1D02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1F8D68E5">
            <w:pPr>
              <w:jc w:val="center"/>
              <w:rPr>
                <w:spacing w:val="-4"/>
              </w:rPr>
            </w:pPr>
            <w:r>
              <w:rPr>
                <w:spacing w:val="-4"/>
              </w:rPr>
              <w:t>5</w:t>
            </w:r>
          </w:p>
        </w:tc>
        <w:tc>
          <w:tcPr>
            <w:tcW w:w="1678" w:type="pct"/>
            <w:vAlign w:val="center"/>
          </w:tcPr>
          <w:p w14:paraId="0EFDE6D2">
            <w:pPr>
              <w:snapToGrid w:val="0"/>
              <w:jc w:val="center"/>
            </w:pPr>
            <w:r>
              <w:t>步行不能到达的山坡，峭壁、岩石</w:t>
            </w:r>
          </w:p>
        </w:tc>
        <w:tc>
          <w:tcPr>
            <w:tcW w:w="1285" w:type="pct"/>
            <w:vAlign w:val="center"/>
          </w:tcPr>
          <w:p w14:paraId="3D8CC0A9">
            <w:pPr>
              <w:jc w:val="center"/>
              <w:rPr>
                <w:spacing w:val="-4"/>
              </w:rPr>
            </w:pPr>
            <w:r>
              <w:rPr>
                <w:spacing w:val="-4"/>
              </w:rPr>
              <w:t>3</w:t>
            </w:r>
          </w:p>
        </w:tc>
        <w:tc>
          <w:tcPr>
            <w:tcW w:w="1286" w:type="pct"/>
            <w:vAlign w:val="center"/>
          </w:tcPr>
          <w:p w14:paraId="5BC7D9FA">
            <w:pPr>
              <w:jc w:val="center"/>
              <w:rPr>
                <w:spacing w:val="-4"/>
              </w:rPr>
            </w:pPr>
            <w:r>
              <w:rPr>
                <w:spacing w:val="-4"/>
              </w:rPr>
              <w:t>3</w:t>
            </w:r>
          </w:p>
        </w:tc>
      </w:tr>
      <w:tr w14:paraId="01B7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7706CF14">
            <w:pPr>
              <w:jc w:val="center"/>
              <w:rPr>
                <w:spacing w:val="-4"/>
              </w:rPr>
            </w:pPr>
            <w:r>
              <w:rPr>
                <w:spacing w:val="-4"/>
              </w:rPr>
              <w:t>6</w:t>
            </w:r>
          </w:p>
        </w:tc>
        <w:tc>
          <w:tcPr>
            <w:tcW w:w="1678" w:type="pct"/>
            <w:vAlign w:val="center"/>
          </w:tcPr>
          <w:p w14:paraId="5B4339A9">
            <w:pPr>
              <w:snapToGrid w:val="0"/>
              <w:jc w:val="center"/>
            </w:pPr>
            <w:r>
              <w:t>果树及经济作物</w:t>
            </w:r>
          </w:p>
        </w:tc>
        <w:tc>
          <w:tcPr>
            <w:tcW w:w="1285" w:type="pct"/>
            <w:vAlign w:val="center"/>
          </w:tcPr>
          <w:p w14:paraId="3D07EAED">
            <w:pPr>
              <w:jc w:val="center"/>
              <w:rPr>
                <w:spacing w:val="-4"/>
              </w:rPr>
            </w:pPr>
            <w:r>
              <w:rPr>
                <w:spacing w:val="-4"/>
              </w:rPr>
              <w:t>3</w:t>
            </w:r>
          </w:p>
        </w:tc>
        <w:tc>
          <w:tcPr>
            <w:tcW w:w="1286" w:type="pct"/>
            <w:vAlign w:val="center"/>
          </w:tcPr>
          <w:p w14:paraId="73CC5A77">
            <w:pPr>
              <w:jc w:val="center"/>
              <w:rPr>
                <w:spacing w:val="-4"/>
              </w:rPr>
            </w:pPr>
          </w:p>
        </w:tc>
      </w:tr>
      <w:tr w14:paraId="3AD8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761BDE5D">
            <w:pPr>
              <w:jc w:val="center"/>
              <w:rPr>
                <w:spacing w:val="-4"/>
              </w:rPr>
            </w:pPr>
            <w:r>
              <w:rPr>
                <w:spacing w:val="-4"/>
              </w:rPr>
              <w:t>7</w:t>
            </w:r>
          </w:p>
        </w:tc>
        <w:tc>
          <w:tcPr>
            <w:tcW w:w="1678" w:type="pct"/>
            <w:vAlign w:val="center"/>
          </w:tcPr>
          <w:p w14:paraId="262E9C5C">
            <w:pPr>
              <w:snapToGrid w:val="0"/>
              <w:jc w:val="center"/>
            </w:pPr>
            <w:r>
              <w:t>耐火屋顶的建筑物</w:t>
            </w:r>
          </w:p>
        </w:tc>
        <w:tc>
          <w:tcPr>
            <w:tcW w:w="1285" w:type="pct"/>
            <w:vAlign w:val="center"/>
          </w:tcPr>
          <w:p w14:paraId="653148AA">
            <w:pPr>
              <w:jc w:val="center"/>
              <w:rPr>
                <w:spacing w:val="-4"/>
              </w:rPr>
            </w:pPr>
            <w:r>
              <w:rPr>
                <w:spacing w:val="-4"/>
              </w:rPr>
              <w:t>5</w:t>
            </w:r>
          </w:p>
        </w:tc>
        <w:tc>
          <w:tcPr>
            <w:tcW w:w="1286" w:type="pct"/>
            <w:vAlign w:val="center"/>
          </w:tcPr>
          <w:p w14:paraId="2EBD9A65">
            <w:pPr>
              <w:jc w:val="center"/>
              <w:rPr>
                <w:spacing w:val="-4"/>
              </w:rPr>
            </w:pPr>
            <w:r>
              <w:rPr>
                <w:spacing w:val="-4"/>
              </w:rPr>
              <w:t>4</w:t>
            </w:r>
          </w:p>
        </w:tc>
      </w:tr>
      <w:tr w14:paraId="784A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2C0D8E11">
            <w:pPr>
              <w:jc w:val="center"/>
              <w:rPr>
                <w:spacing w:val="-4"/>
              </w:rPr>
            </w:pPr>
            <w:r>
              <w:rPr>
                <w:spacing w:val="-4"/>
              </w:rPr>
              <w:t>8</w:t>
            </w:r>
          </w:p>
        </w:tc>
        <w:tc>
          <w:tcPr>
            <w:tcW w:w="1678" w:type="pct"/>
            <w:vAlign w:val="center"/>
          </w:tcPr>
          <w:p w14:paraId="1F0FF0EE">
            <w:pPr>
              <w:snapToGrid w:val="0"/>
              <w:jc w:val="center"/>
            </w:pPr>
            <w:r>
              <w:t>窄轨铁路轨顶</w:t>
            </w:r>
          </w:p>
        </w:tc>
        <w:tc>
          <w:tcPr>
            <w:tcW w:w="1285" w:type="pct"/>
            <w:vAlign w:val="center"/>
          </w:tcPr>
          <w:p w14:paraId="419A8A44">
            <w:pPr>
              <w:jc w:val="center"/>
              <w:rPr>
                <w:spacing w:val="-4"/>
              </w:rPr>
            </w:pPr>
            <w:r>
              <w:rPr>
                <w:spacing w:val="-4"/>
              </w:rPr>
              <w:t>7.5</w:t>
            </w:r>
          </w:p>
        </w:tc>
        <w:tc>
          <w:tcPr>
            <w:tcW w:w="1286" w:type="pct"/>
            <w:vMerge w:val="restart"/>
            <w:vAlign w:val="center"/>
          </w:tcPr>
          <w:p w14:paraId="60B72832">
            <w:pPr>
              <w:jc w:val="center"/>
              <w:rPr>
                <w:spacing w:val="-4"/>
              </w:rPr>
            </w:pPr>
            <w:r>
              <w:rPr>
                <w:spacing w:val="-4"/>
              </w:rPr>
              <w:t>交叉：30m</w:t>
            </w:r>
          </w:p>
          <w:p w14:paraId="6D8DE9AB">
            <w:pPr>
              <w:jc w:val="center"/>
              <w:rPr>
                <w:spacing w:val="-4"/>
              </w:rPr>
            </w:pPr>
            <w:r>
              <w:rPr>
                <w:spacing w:val="-4"/>
              </w:rPr>
              <w:t>平行：最高杆塔加3m</w:t>
            </w:r>
          </w:p>
        </w:tc>
      </w:tr>
      <w:tr w14:paraId="6095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4FD486A1">
            <w:pPr>
              <w:jc w:val="center"/>
              <w:rPr>
                <w:spacing w:val="-4"/>
              </w:rPr>
            </w:pPr>
            <w:r>
              <w:rPr>
                <w:spacing w:val="-4"/>
              </w:rPr>
              <w:t>9</w:t>
            </w:r>
          </w:p>
        </w:tc>
        <w:tc>
          <w:tcPr>
            <w:tcW w:w="1678" w:type="pct"/>
            <w:vAlign w:val="center"/>
          </w:tcPr>
          <w:p w14:paraId="273DADB9">
            <w:pPr>
              <w:snapToGrid w:val="0"/>
              <w:jc w:val="center"/>
            </w:pPr>
            <w:r>
              <w:t>电气化铁路承力索</w:t>
            </w:r>
          </w:p>
        </w:tc>
        <w:tc>
          <w:tcPr>
            <w:tcW w:w="1285" w:type="pct"/>
            <w:vAlign w:val="center"/>
          </w:tcPr>
          <w:p w14:paraId="043E66E1">
            <w:pPr>
              <w:jc w:val="center"/>
              <w:rPr>
                <w:spacing w:val="-4"/>
              </w:rPr>
            </w:pPr>
            <w:r>
              <w:rPr>
                <w:spacing w:val="-4"/>
              </w:rPr>
              <w:t>3</w:t>
            </w:r>
          </w:p>
        </w:tc>
        <w:tc>
          <w:tcPr>
            <w:tcW w:w="1286" w:type="pct"/>
            <w:vMerge w:val="continue"/>
            <w:vAlign w:val="center"/>
          </w:tcPr>
          <w:p w14:paraId="68FD82F4">
            <w:pPr>
              <w:jc w:val="center"/>
              <w:rPr>
                <w:spacing w:val="-4"/>
              </w:rPr>
            </w:pPr>
          </w:p>
        </w:tc>
      </w:tr>
      <w:tr w14:paraId="3798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6A2119D7">
            <w:pPr>
              <w:jc w:val="center"/>
              <w:rPr>
                <w:spacing w:val="-4"/>
              </w:rPr>
            </w:pPr>
            <w:r>
              <w:rPr>
                <w:spacing w:val="-4"/>
              </w:rPr>
              <w:t>10</w:t>
            </w:r>
          </w:p>
        </w:tc>
        <w:tc>
          <w:tcPr>
            <w:tcW w:w="1678" w:type="pct"/>
            <w:vAlign w:val="center"/>
          </w:tcPr>
          <w:p w14:paraId="12E94C09">
            <w:pPr>
              <w:snapToGrid w:val="0"/>
              <w:jc w:val="center"/>
            </w:pPr>
            <w:r>
              <w:t>公路（高速公路、二级公路、四级公路）</w:t>
            </w:r>
          </w:p>
        </w:tc>
        <w:tc>
          <w:tcPr>
            <w:tcW w:w="1285" w:type="pct"/>
            <w:vAlign w:val="center"/>
          </w:tcPr>
          <w:p w14:paraId="1B16C392">
            <w:pPr>
              <w:jc w:val="center"/>
              <w:rPr>
                <w:spacing w:val="-4"/>
              </w:rPr>
            </w:pPr>
            <w:r>
              <w:rPr>
                <w:spacing w:val="-4"/>
              </w:rPr>
              <w:t>7</w:t>
            </w:r>
          </w:p>
        </w:tc>
        <w:tc>
          <w:tcPr>
            <w:tcW w:w="1286" w:type="pct"/>
            <w:vAlign w:val="center"/>
          </w:tcPr>
          <w:p w14:paraId="53598AC2">
            <w:pPr>
              <w:jc w:val="center"/>
              <w:rPr>
                <w:spacing w:val="-4"/>
              </w:rPr>
            </w:pPr>
            <w:r>
              <w:rPr>
                <w:spacing w:val="-4"/>
              </w:rPr>
              <w:t>交叉：15</w:t>
            </w:r>
          </w:p>
          <w:p w14:paraId="2D2D22B3">
            <w:pPr>
              <w:jc w:val="center"/>
              <w:rPr>
                <w:spacing w:val="-4"/>
              </w:rPr>
            </w:pPr>
            <w:r>
              <w:rPr>
                <w:spacing w:val="-4"/>
              </w:rPr>
              <w:t>平行：最高杆塔</w:t>
            </w:r>
          </w:p>
        </w:tc>
      </w:tr>
      <w:tr w14:paraId="7508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000619BC">
            <w:pPr>
              <w:jc w:val="center"/>
              <w:rPr>
                <w:spacing w:val="-4"/>
              </w:rPr>
            </w:pPr>
            <w:r>
              <w:rPr>
                <w:spacing w:val="-4"/>
              </w:rPr>
              <w:t>11</w:t>
            </w:r>
          </w:p>
        </w:tc>
        <w:tc>
          <w:tcPr>
            <w:tcW w:w="1678" w:type="pct"/>
            <w:vAlign w:val="center"/>
          </w:tcPr>
          <w:p w14:paraId="05160257">
            <w:pPr>
              <w:snapToGrid w:val="0"/>
              <w:jc w:val="center"/>
            </w:pPr>
            <w:r>
              <w:t>电力线路（电压较高的线路架设在电压较低线路的上方，同一等级电压的电网公用线架设在专用线上方）</w:t>
            </w:r>
          </w:p>
        </w:tc>
        <w:tc>
          <w:tcPr>
            <w:tcW w:w="1285" w:type="pct"/>
            <w:vAlign w:val="center"/>
          </w:tcPr>
          <w:p w14:paraId="38646A32">
            <w:pPr>
              <w:jc w:val="center"/>
              <w:rPr>
                <w:spacing w:val="-4"/>
              </w:rPr>
            </w:pPr>
            <w:r>
              <w:rPr>
                <w:spacing w:val="-4"/>
              </w:rPr>
              <w:t>4.0</w:t>
            </w:r>
          </w:p>
        </w:tc>
        <w:tc>
          <w:tcPr>
            <w:tcW w:w="1286" w:type="pct"/>
            <w:vAlign w:val="center"/>
          </w:tcPr>
          <w:p w14:paraId="7F4AD632">
            <w:pPr>
              <w:jc w:val="center"/>
              <w:rPr>
                <w:spacing w:val="-4"/>
              </w:rPr>
            </w:pPr>
            <w:r>
              <w:rPr>
                <w:spacing w:val="-4"/>
              </w:rPr>
              <w:t>拥挤地区：5.0</w:t>
            </w:r>
          </w:p>
        </w:tc>
      </w:tr>
      <w:tr w14:paraId="51DF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59D53EE4">
            <w:pPr>
              <w:jc w:val="center"/>
              <w:rPr>
                <w:spacing w:val="-4"/>
              </w:rPr>
            </w:pPr>
            <w:r>
              <w:rPr>
                <w:spacing w:val="-4"/>
              </w:rPr>
              <w:t>12</w:t>
            </w:r>
          </w:p>
        </w:tc>
        <w:tc>
          <w:tcPr>
            <w:tcW w:w="1678" w:type="pct"/>
            <w:vAlign w:val="center"/>
          </w:tcPr>
          <w:p w14:paraId="64DA84AC">
            <w:pPr>
              <w:snapToGrid w:val="0"/>
              <w:jc w:val="center"/>
            </w:pPr>
            <w:r>
              <w:t>弱电线路（输电线路架设在上方）</w:t>
            </w:r>
          </w:p>
        </w:tc>
        <w:tc>
          <w:tcPr>
            <w:tcW w:w="1285" w:type="pct"/>
            <w:vAlign w:val="center"/>
          </w:tcPr>
          <w:p w14:paraId="2E209E24">
            <w:pPr>
              <w:jc w:val="center"/>
              <w:rPr>
                <w:spacing w:val="-4"/>
              </w:rPr>
            </w:pPr>
            <w:r>
              <w:rPr>
                <w:spacing w:val="-4"/>
              </w:rPr>
              <w:t>3.0</w:t>
            </w:r>
          </w:p>
        </w:tc>
        <w:tc>
          <w:tcPr>
            <w:tcW w:w="1286" w:type="pct"/>
            <w:vAlign w:val="center"/>
          </w:tcPr>
          <w:p w14:paraId="345F94E2">
            <w:pPr>
              <w:jc w:val="center"/>
              <w:rPr>
                <w:spacing w:val="-4"/>
              </w:rPr>
            </w:pPr>
            <w:r>
              <w:rPr>
                <w:spacing w:val="-4"/>
              </w:rPr>
              <w:t>拥挤地区：4.0</w:t>
            </w:r>
          </w:p>
        </w:tc>
      </w:tr>
    </w:tbl>
    <w:p w14:paraId="4677853E">
      <w:pPr>
        <w:tabs>
          <w:tab w:val="left" w:pos="3874"/>
        </w:tabs>
        <w:spacing w:line="360" w:lineRule="auto"/>
        <w:ind w:firstLine="480" w:firstLineChars="200"/>
        <w:rPr>
          <w:sz w:val="24"/>
        </w:rPr>
      </w:pPr>
    </w:p>
    <w:p w14:paraId="4EAA61F5">
      <w:pPr>
        <w:tabs>
          <w:tab w:val="left" w:pos="3874"/>
        </w:tabs>
        <w:spacing w:line="360" w:lineRule="auto"/>
        <w:ind w:firstLine="480" w:firstLineChars="200"/>
        <w:rPr>
          <w:sz w:val="24"/>
        </w:rPr>
      </w:pPr>
      <w:r>
        <w:rPr>
          <w:sz w:val="24"/>
        </w:rPr>
        <w:t>根据项目拟建线路设计方案，本工程不涉及通航河道，拟建线路与交叉跨越物间最小距离均符合《110kV～750kV架空输电线路设计规范》（GB50545-2010）规定的设计</w:t>
      </w:r>
      <w:r>
        <w:rPr>
          <w:rFonts w:hint="eastAsia"/>
          <w:sz w:val="24"/>
        </w:rPr>
        <w:t>限值</w:t>
      </w:r>
      <w:r>
        <w:rPr>
          <w:sz w:val="24"/>
        </w:rPr>
        <w:t>要求。</w:t>
      </w:r>
    </w:p>
    <w:p w14:paraId="797CE42B">
      <w:pPr>
        <w:pStyle w:val="168"/>
        <w:spacing w:before="0" w:after="0" w:line="360" w:lineRule="auto"/>
        <w:outlineLvl w:val="9"/>
        <w:rPr>
          <w:rFonts w:eastAsia="宋体"/>
          <w:b/>
        </w:rPr>
      </w:pPr>
      <w:bookmarkStart w:id="212" w:name="_Toc7731"/>
      <w:bookmarkStart w:id="213" w:name="_Toc14627"/>
      <w:bookmarkStart w:id="214" w:name="_Toc26135"/>
      <w:bookmarkStart w:id="215" w:name="_Toc12266"/>
      <w:bookmarkStart w:id="216" w:name="_Toc25142"/>
      <w:bookmarkStart w:id="217" w:name="_Toc227764351"/>
      <w:bookmarkStart w:id="218" w:name="_Toc32505"/>
      <w:r>
        <w:rPr>
          <w:rFonts w:eastAsia="宋体"/>
          <w:b/>
        </w:rPr>
        <w:t>3.2电磁环境影响因素识别</w:t>
      </w:r>
      <w:bookmarkEnd w:id="212"/>
      <w:bookmarkEnd w:id="213"/>
      <w:bookmarkEnd w:id="214"/>
      <w:bookmarkEnd w:id="215"/>
      <w:bookmarkEnd w:id="216"/>
      <w:bookmarkEnd w:id="217"/>
      <w:bookmarkEnd w:id="218"/>
    </w:p>
    <w:p w14:paraId="474A429A">
      <w:pPr>
        <w:pStyle w:val="141"/>
        <w:spacing w:line="360" w:lineRule="auto"/>
        <w:ind w:left="-84" w:right="-84" w:firstLine="480"/>
      </w:pPr>
      <w:r>
        <w:t>1、施工期</w:t>
      </w:r>
    </w:p>
    <w:p w14:paraId="06E9E6E4">
      <w:pPr>
        <w:pStyle w:val="141"/>
        <w:spacing w:line="360" w:lineRule="auto"/>
        <w:ind w:left="-84" w:right="-84" w:firstLine="480"/>
      </w:pPr>
      <w:r>
        <w:t>施工期间，本工程施工内容主要为铁塔组立及挂线，线路不带电，无电磁影响。</w:t>
      </w:r>
    </w:p>
    <w:p w14:paraId="564B5D3E">
      <w:pPr>
        <w:pStyle w:val="141"/>
        <w:spacing w:line="360" w:lineRule="auto"/>
        <w:ind w:left="-84" w:right="-84" w:firstLine="480"/>
      </w:pPr>
      <w:r>
        <w:t>2、运行期</w:t>
      </w:r>
    </w:p>
    <w:p w14:paraId="2444F801">
      <w:pPr>
        <w:pStyle w:val="141"/>
        <w:spacing w:line="360" w:lineRule="auto"/>
        <w:ind w:left="-84" w:right="-84" w:firstLine="480"/>
      </w:pPr>
      <w:r>
        <w:t>项目运行过程中将会产生电磁环境影响。由于稳定的电压、电流持续存在，高压线路附近产生工频电场、工频磁场；或者系统在暂态过程中（如开关操作、雷击等）的高电压、大电流及其快速变化的特点均能产生工频电场、工频磁场。</w:t>
      </w:r>
    </w:p>
    <w:p w14:paraId="04EB0819">
      <w:pPr>
        <w:pStyle w:val="168"/>
        <w:spacing w:before="0" w:after="0" w:line="360" w:lineRule="auto"/>
        <w:outlineLvl w:val="9"/>
        <w:rPr>
          <w:rFonts w:eastAsia="宋体"/>
          <w:b/>
        </w:rPr>
      </w:pPr>
      <w:bookmarkStart w:id="219" w:name="_Toc2969"/>
      <w:bookmarkStart w:id="220" w:name="_Toc32121"/>
      <w:bookmarkStart w:id="221" w:name="_Toc227764352"/>
      <w:r>
        <w:rPr>
          <w:rFonts w:eastAsia="宋体"/>
          <w:b/>
        </w:rPr>
        <w:t>3.3可研环保对策措施</w:t>
      </w:r>
      <w:bookmarkEnd w:id="219"/>
      <w:bookmarkEnd w:id="220"/>
      <w:bookmarkEnd w:id="221"/>
    </w:p>
    <w:p w14:paraId="47A2505E">
      <w:pPr>
        <w:pStyle w:val="141"/>
        <w:spacing w:line="360" w:lineRule="auto"/>
        <w:ind w:left="-84" w:right="-84" w:firstLine="480"/>
      </w:pPr>
      <w:r>
        <w:t>针对施工活动和运行期可能造成的环境影响，本工程可行性研究报告提出如下环境保护对策措施：</w:t>
      </w:r>
    </w:p>
    <w:p w14:paraId="38F20336">
      <w:pPr>
        <w:pStyle w:val="141"/>
        <w:spacing w:line="360" w:lineRule="auto"/>
        <w:ind w:left="-84" w:right="-84" w:firstLine="480"/>
      </w:pPr>
      <w:r>
        <w:rPr>
          <w:rFonts w:hint="eastAsia"/>
        </w:rPr>
        <w:t>（1）</w:t>
      </w:r>
      <w:r>
        <w:t>避开城镇规划区、开发区、居民区、军事设施、厂矿、炸药库、大型采石场等重要区域，将区域环境影响控制在最小限度。</w:t>
      </w:r>
    </w:p>
    <w:p w14:paraId="3771F906">
      <w:pPr>
        <w:pStyle w:val="141"/>
        <w:spacing w:line="360" w:lineRule="auto"/>
        <w:ind w:left="-84" w:right="-84" w:firstLine="480"/>
      </w:pPr>
      <w:r>
        <w:rPr>
          <w:rFonts w:hint="eastAsia"/>
        </w:rPr>
        <w:t>（2）</w:t>
      </w:r>
      <w:r>
        <w:t>在路径选择时尽量避开林区，无法避让的林区，条件允许下，尽量考虑采用高塔跨越方式，以减少林木砍伐，保护生态环境。</w:t>
      </w:r>
    </w:p>
    <w:p w14:paraId="2A6B1CD2">
      <w:pPr>
        <w:pStyle w:val="141"/>
        <w:spacing w:line="360" w:lineRule="auto"/>
        <w:ind w:left="-84" w:right="-84" w:firstLine="480"/>
      </w:pPr>
      <w:r>
        <w:rPr>
          <w:rFonts w:hint="eastAsia"/>
        </w:rPr>
        <w:t>（3）</w:t>
      </w:r>
      <w:r>
        <w:t>合理进行绝缘配合设计，使线路能在工频过电压、操作过电压和雷电过电压等各种情况下安全可靠地运行。</w:t>
      </w:r>
    </w:p>
    <w:p w14:paraId="6A3D5C42">
      <w:pPr>
        <w:pStyle w:val="141"/>
        <w:spacing w:line="360" w:lineRule="auto"/>
        <w:ind w:left="-84" w:right="-84" w:firstLine="480"/>
      </w:pPr>
      <w:r>
        <w:rPr>
          <w:rFonts w:hint="eastAsia"/>
        </w:rPr>
        <w:t>（4）</w:t>
      </w:r>
      <w:r>
        <w:t>输电线路的防雷设计，应根据线路电压、负荷性质和系统运行方式，结合当地已有线路的运行经验、地区雷电活动的强弱、地形地貌特点及土壤电阻率高低等情况，在计算耐雷水平后，通过技术经济的比较，采用合理的防雷方式。</w:t>
      </w:r>
    </w:p>
    <w:p w14:paraId="4F09441D">
      <w:pPr>
        <w:pStyle w:val="141"/>
        <w:spacing w:line="360" w:lineRule="auto"/>
        <w:ind w:left="-84" w:right="-84" w:firstLine="480"/>
      </w:pPr>
      <w:r>
        <w:rPr>
          <w:rFonts w:hint="eastAsia"/>
        </w:rPr>
        <w:t>（5）</w:t>
      </w:r>
      <w:r>
        <w:t>通过耕地的输电线路，其接地体应埋设在耕作深度以下；位于居民区和水田的接地应敷设成形。</w:t>
      </w:r>
    </w:p>
    <w:p w14:paraId="3186FB35">
      <w:pPr>
        <w:pStyle w:val="141"/>
        <w:spacing w:line="360" w:lineRule="auto"/>
        <w:ind w:left="-84" w:right="-84" w:firstLine="480"/>
      </w:pPr>
    </w:p>
    <w:p w14:paraId="225FDE99">
      <w:pPr>
        <w:pStyle w:val="141"/>
        <w:spacing w:line="360" w:lineRule="auto"/>
        <w:ind w:left="-84" w:right="-84" w:firstLine="480"/>
      </w:pPr>
    </w:p>
    <w:p w14:paraId="52EB4BDA">
      <w:pPr>
        <w:pStyle w:val="39"/>
        <w:widowControl w:val="0"/>
        <w:spacing w:before="0" w:beforeAutospacing="0" w:after="0" w:afterAutospacing="0" w:line="360" w:lineRule="auto"/>
        <w:outlineLvl w:val="1"/>
        <w:rPr>
          <w:rFonts w:ascii="Times New Roman" w:hAnsi="Times New Roman"/>
          <w:b/>
          <w:kern w:val="44"/>
          <w:sz w:val="30"/>
          <w:szCs w:val="30"/>
        </w:rPr>
      </w:pPr>
      <w:bookmarkStart w:id="222" w:name="_Toc32041"/>
      <w:bookmarkStart w:id="223" w:name="_Toc17101550"/>
      <w:bookmarkStart w:id="224" w:name="_Toc31194"/>
      <w:bookmarkStart w:id="225" w:name="_Toc9846"/>
      <w:bookmarkStart w:id="226" w:name="_Toc14731"/>
      <w:bookmarkStart w:id="227" w:name="_Toc29589"/>
      <w:bookmarkStart w:id="228" w:name="_Toc202"/>
      <w:r>
        <w:rPr>
          <w:rFonts w:ascii="Times New Roman" w:hAnsi="Times New Roman"/>
          <w:b/>
          <w:kern w:val="44"/>
          <w:sz w:val="30"/>
          <w:szCs w:val="30"/>
          <w:lang w:bidi="ar"/>
        </w:rPr>
        <w:br w:type="page"/>
      </w:r>
      <w:bookmarkStart w:id="229" w:name="_Toc227764353"/>
      <w:bookmarkStart w:id="230" w:name="_Toc225952999"/>
      <w:r>
        <w:rPr>
          <w:rFonts w:ascii="Times New Roman" w:hAnsi="Times New Roman"/>
          <w:b/>
          <w:kern w:val="44"/>
          <w:sz w:val="30"/>
          <w:szCs w:val="30"/>
          <w:lang w:bidi="ar"/>
        </w:rPr>
        <w:t>4、评价因子、评价范围、评价标准和评价方法</w:t>
      </w:r>
      <w:bookmarkEnd w:id="222"/>
      <w:bookmarkEnd w:id="223"/>
      <w:bookmarkEnd w:id="224"/>
      <w:bookmarkEnd w:id="225"/>
      <w:bookmarkEnd w:id="226"/>
      <w:bookmarkEnd w:id="227"/>
      <w:bookmarkEnd w:id="228"/>
      <w:bookmarkEnd w:id="229"/>
      <w:bookmarkEnd w:id="230"/>
    </w:p>
    <w:p w14:paraId="27C9D3D9">
      <w:pPr>
        <w:pStyle w:val="39"/>
        <w:keepNext/>
        <w:keepLines/>
        <w:widowControl w:val="0"/>
        <w:spacing w:before="120" w:beforeLines="50" w:beforeAutospacing="0" w:after="0" w:afterAutospacing="0" w:line="360" w:lineRule="auto"/>
        <w:jc w:val="both"/>
        <w:rPr>
          <w:rFonts w:ascii="Times New Roman" w:hAnsi="Times New Roman"/>
        </w:rPr>
      </w:pPr>
      <w:bookmarkStart w:id="231" w:name="_Toc31188"/>
      <w:bookmarkStart w:id="232" w:name="_Toc24325"/>
      <w:bookmarkStart w:id="233" w:name="_Toc227764354"/>
      <w:bookmarkStart w:id="234" w:name="_Toc17101551"/>
      <w:bookmarkStart w:id="235" w:name="_Toc30042"/>
      <w:bookmarkStart w:id="236" w:name="_Toc28376"/>
      <w:bookmarkStart w:id="237" w:name="_Toc22576"/>
      <w:bookmarkStart w:id="238" w:name="_Toc12002"/>
      <w:r>
        <w:rPr>
          <w:rFonts w:ascii="Times New Roman" w:hAnsi="Times New Roman"/>
          <w:b/>
          <w:kern w:val="44"/>
          <w:sz w:val="30"/>
          <w:szCs w:val="30"/>
          <w:lang w:bidi="ar"/>
        </w:rPr>
        <w:t>4.1评价因子</w:t>
      </w:r>
      <w:bookmarkEnd w:id="231"/>
      <w:bookmarkEnd w:id="232"/>
      <w:bookmarkEnd w:id="233"/>
      <w:bookmarkEnd w:id="234"/>
      <w:bookmarkEnd w:id="235"/>
      <w:bookmarkEnd w:id="236"/>
      <w:bookmarkEnd w:id="237"/>
      <w:bookmarkEnd w:id="238"/>
    </w:p>
    <w:p w14:paraId="04D0E3A8">
      <w:pPr>
        <w:pStyle w:val="39"/>
        <w:widowControl w:val="0"/>
        <w:spacing w:before="0" w:beforeAutospacing="0" w:after="0" w:afterAutospacing="0" w:line="360" w:lineRule="auto"/>
        <w:ind w:firstLine="480" w:firstLineChars="200"/>
        <w:jc w:val="both"/>
        <w:rPr>
          <w:rFonts w:ascii="Times New Roman" w:hAnsi="Times New Roman"/>
        </w:rPr>
      </w:pPr>
      <w:r>
        <w:rPr>
          <w:rFonts w:ascii="Times New Roman" w:hAnsi="Times New Roman"/>
          <w:kern w:val="2"/>
          <w:lang w:bidi="ar"/>
        </w:rPr>
        <w:t>本工程建设期间无电磁环境影响。根据工程所在地环境特征、环境影响因素识别结果，确定项目电磁环境评价因子见表4-1。</w:t>
      </w:r>
    </w:p>
    <w:p w14:paraId="5CBA63DE">
      <w:pPr>
        <w:spacing w:line="360" w:lineRule="auto"/>
        <w:ind w:firstLine="480" w:firstLineChars="200"/>
        <w:jc w:val="center"/>
        <w:rPr>
          <w:rFonts w:eastAsia="黑体"/>
          <w:bCs/>
          <w:sz w:val="24"/>
          <w:lang w:bidi="ar"/>
        </w:rPr>
      </w:pPr>
      <w:r>
        <w:rPr>
          <w:rFonts w:eastAsia="黑体"/>
          <w:bCs/>
          <w:sz w:val="24"/>
          <w:lang w:bidi="ar"/>
        </w:rPr>
        <w:t>表4-1电磁环境公众曝露控制限值</w:t>
      </w:r>
    </w:p>
    <w:tbl>
      <w:tblPr>
        <w:tblStyle w:val="4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1554"/>
        <w:gridCol w:w="2995"/>
        <w:gridCol w:w="2887"/>
      </w:tblGrid>
      <w:tr w14:paraId="749B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4" w:type="dxa"/>
            <w:vMerge w:val="restart"/>
            <w:tcBorders>
              <w:top w:val="single" w:color="auto" w:sz="4" w:space="0"/>
              <w:left w:val="single" w:color="auto" w:sz="4" w:space="0"/>
              <w:bottom w:val="single" w:color="auto" w:sz="4" w:space="0"/>
              <w:right w:val="single" w:color="auto" w:sz="4" w:space="0"/>
            </w:tcBorders>
            <w:vAlign w:val="center"/>
          </w:tcPr>
          <w:p w14:paraId="7596328F">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时段</w:t>
            </w:r>
          </w:p>
        </w:tc>
        <w:tc>
          <w:tcPr>
            <w:tcW w:w="1554" w:type="dxa"/>
            <w:vMerge w:val="restart"/>
            <w:tcBorders>
              <w:top w:val="single" w:color="auto" w:sz="4" w:space="0"/>
              <w:left w:val="single" w:color="auto" w:sz="4" w:space="0"/>
              <w:bottom w:val="single" w:color="auto" w:sz="4" w:space="0"/>
              <w:right w:val="single" w:color="auto" w:sz="4" w:space="0"/>
            </w:tcBorders>
            <w:vAlign w:val="center"/>
          </w:tcPr>
          <w:p w14:paraId="1E1E7BE8">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环境要素</w:t>
            </w:r>
          </w:p>
        </w:tc>
        <w:tc>
          <w:tcPr>
            <w:tcW w:w="5882" w:type="dxa"/>
            <w:gridSpan w:val="2"/>
            <w:tcBorders>
              <w:top w:val="single" w:color="auto" w:sz="4" w:space="0"/>
              <w:left w:val="single" w:color="auto" w:sz="4" w:space="0"/>
              <w:bottom w:val="single" w:color="auto" w:sz="4" w:space="0"/>
              <w:right w:val="single" w:color="auto" w:sz="4" w:space="0"/>
            </w:tcBorders>
            <w:vAlign w:val="center"/>
          </w:tcPr>
          <w:p w14:paraId="128432C0">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评价因子</w:t>
            </w:r>
          </w:p>
        </w:tc>
      </w:tr>
      <w:tr w14:paraId="0546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vMerge w:val="continue"/>
            <w:tcBorders>
              <w:top w:val="single" w:color="auto" w:sz="4" w:space="0"/>
              <w:left w:val="single" w:color="auto" w:sz="4" w:space="0"/>
              <w:bottom w:val="single" w:color="auto" w:sz="4" w:space="0"/>
              <w:right w:val="single" w:color="auto" w:sz="4" w:space="0"/>
            </w:tcBorders>
            <w:vAlign w:val="center"/>
          </w:tcPr>
          <w:p w14:paraId="10F463B4">
            <w:pPr>
              <w:rPr>
                <w:sz w:val="20"/>
                <w:szCs w:val="20"/>
              </w:rPr>
            </w:pPr>
          </w:p>
        </w:tc>
        <w:tc>
          <w:tcPr>
            <w:tcW w:w="1554" w:type="dxa"/>
            <w:vMerge w:val="continue"/>
            <w:tcBorders>
              <w:top w:val="single" w:color="auto" w:sz="4" w:space="0"/>
              <w:left w:val="single" w:color="auto" w:sz="4" w:space="0"/>
              <w:bottom w:val="single" w:color="auto" w:sz="4" w:space="0"/>
              <w:right w:val="single" w:color="auto" w:sz="4" w:space="0"/>
            </w:tcBorders>
            <w:vAlign w:val="center"/>
          </w:tcPr>
          <w:p w14:paraId="0AA1ADE9">
            <w:pPr>
              <w:rPr>
                <w:sz w:val="20"/>
                <w:szCs w:val="20"/>
              </w:rPr>
            </w:pPr>
          </w:p>
        </w:tc>
        <w:tc>
          <w:tcPr>
            <w:tcW w:w="2995" w:type="dxa"/>
            <w:tcBorders>
              <w:top w:val="single" w:color="auto" w:sz="4" w:space="0"/>
              <w:left w:val="single" w:color="auto" w:sz="4" w:space="0"/>
              <w:bottom w:val="single" w:color="auto" w:sz="4" w:space="0"/>
              <w:right w:val="single" w:color="auto" w:sz="4" w:space="0"/>
            </w:tcBorders>
            <w:vAlign w:val="center"/>
          </w:tcPr>
          <w:p w14:paraId="77997BFD">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现状评价因子</w:t>
            </w:r>
          </w:p>
        </w:tc>
        <w:tc>
          <w:tcPr>
            <w:tcW w:w="2887" w:type="dxa"/>
            <w:tcBorders>
              <w:top w:val="single" w:color="auto" w:sz="4" w:space="0"/>
              <w:left w:val="single" w:color="auto" w:sz="4" w:space="0"/>
              <w:bottom w:val="single" w:color="auto" w:sz="4" w:space="0"/>
              <w:right w:val="single" w:color="auto" w:sz="4" w:space="0"/>
            </w:tcBorders>
            <w:vAlign w:val="center"/>
          </w:tcPr>
          <w:p w14:paraId="56368987">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预测评价因子</w:t>
            </w:r>
          </w:p>
        </w:tc>
      </w:tr>
      <w:tr w14:paraId="753B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tcBorders>
              <w:top w:val="single" w:color="auto" w:sz="4" w:space="0"/>
              <w:left w:val="single" w:color="auto" w:sz="4" w:space="0"/>
              <w:bottom w:val="single" w:color="auto" w:sz="4" w:space="0"/>
              <w:right w:val="single" w:color="auto" w:sz="4" w:space="0"/>
            </w:tcBorders>
            <w:vAlign w:val="center"/>
          </w:tcPr>
          <w:p w14:paraId="0A2D0442">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运营期</w:t>
            </w:r>
          </w:p>
        </w:tc>
        <w:tc>
          <w:tcPr>
            <w:tcW w:w="1554" w:type="dxa"/>
            <w:tcBorders>
              <w:top w:val="single" w:color="auto" w:sz="4" w:space="0"/>
              <w:left w:val="single" w:color="auto" w:sz="4" w:space="0"/>
              <w:bottom w:val="single" w:color="auto" w:sz="4" w:space="0"/>
              <w:right w:val="single" w:color="auto" w:sz="4" w:space="0"/>
            </w:tcBorders>
            <w:vAlign w:val="center"/>
          </w:tcPr>
          <w:p w14:paraId="7C0920E1">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电磁环境影响</w:t>
            </w:r>
          </w:p>
        </w:tc>
        <w:tc>
          <w:tcPr>
            <w:tcW w:w="2995" w:type="dxa"/>
            <w:tcBorders>
              <w:top w:val="single" w:color="auto" w:sz="4" w:space="0"/>
              <w:left w:val="single" w:color="auto" w:sz="4" w:space="0"/>
              <w:bottom w:val="single" w:color="auto" w:sz="4" w:space="0"/>
              <w:right w:val="single" w:color="auto" w:sz="4" w:space="0"/>
            </w:tcBorders>
            <w:vAlign w:val="center"/>
          </w:tcPr>
          <w:p w14:paraId="053F4DD4">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工频电场强度（V/m）</w:t>
            </w:r>
          </w:p>
          <w:p w14:paraId="68997BAE">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工频磁感应强度（μT）</w:t>
            </w:r>
          </w:p>
        </w:tc>
        <w:tc>
          <w:tcPr>
            <w:tcW w:w="2887" w:type="dxa"/>
            <w:tcBorders>
              <w:top w:val="single" w:color="auto" w:sz="4" w:space="0"/>
              <w:left w:val="single" w:color="auto" w:sz="4" w:space="0"/>
              <w:bottom w:val="single" w:color="auto" w:sz="4" w:space="0"/>
              <w:right w:val="single" w:color="auto" w:sz="4" w:space="0"/>
            </w:tcBorders>
            <w:vAlign w:val="center"/>
          </w:tcPr>
          <w:p w14:paraId="632AAEDB">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工频电场强度（V/m）</w:t>
            </w:r>
          </w:p>
          <w:p w14:paraId="7782EFEE">
            <w:pPr>
              <w:pStyle w:val="39"/>
              <w:widowControl w:val="0"/>
              <w:spacing w:before="0" w:beforeAutospacing="0" w:after="0" w:afterAutospacing="0"/>
              <w:jc w:val="center"/>
              <w:rPr>
                <w:rFonts w:ascii="Times New Roman" w:hAnsi="Times New Roman"/>
                <w:sz w:val="21"/>
              </w:rPr>
            </w:pPr>
            <w:r>
              <w:rPr>
                <w:rFonts w:ascii="Times New Roman" w:hAnsi="Times New Roman"/>
                <w:kern w:val="2"/>
                <w:sz w:val="21"/>
                <w:lang w:bidi="ar"/>
              </w:rPr>
              <w:t>工频磁感应强度（μT）</w:t>
            </w:r>
          </w:p>
        </w:tc>
      </w:tr>
    </w:tbl>
    <w:p w14:paraId="067612C1">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39" w:name="_Toc488"/>
      <w:bookmarkStart w:id="240" w:name="_Toc227764355"/>
      <w:bookmarkStart w:id="241" w:name="_Toc17101552"/>
      <w:bookmarkStart w:id="242" w:name="_Toc3642"/>
      <w:bookmarkStart w:id="243" w:name="_Toc14541"/>
      <w:bookmarkStart w:id="244" w:name="_Toc31030"/>
      <w:bookmarkStart w:id="245" w:name="_Toc22898"/>
      <w:bookmarkStart w:id="246" w:name="_Toc18581"/>
      <w:r>
        <w:rPr>
          <w:rFonts w:ascii="Times New Roman" w:hAnsi="Times New Roman"/>
          <w:b/>
          <w:kern w:val="44"/>
          <w:sz w:val="30"/>
          <w:szCs w:val="30"/>
          <w:lang w:bidi="ar"/>
        </w:rPr>
        <w:t>4.2评价工作等级</w:t>
      </w:r>
      <w:bookmarkEnd w:id="239"/>
      <w:bookmarkEnd w:id="240"/>
      <w:bookmarkEnd w:id="241"/>
      <w:bookmarkEnd w:id="242"/>
      <w:bookmarkEnd w:id="243"/>
      <w:bookmarkEnd w:id="244"/>
      <w:bookmarkEnd w:id="245"/>
      <w:bookmarkEnd w:id="246"/>
    </w:p>
    <w:p w14:paraId="7ABA1A00">
      <w:pPr>
        <w:spacing w:line="360" w:lineRule="auto"/>
        <w:ind w:firstLine="480" w:firstLineChars="200"/>
        <w:rPr>
          <w:sz w:val="24"/>
          <w:lang w:bidi="ar"/>
        </w:rPr>
      </w:pPr>
      <w:bookmarkStart w:id="247" w:name="_Toc17101553"/>
      <w:r>
        <w:rPr>
          <w:sz w:val="24"/>
          <w:lang w:bidi="ar"/>
        </w:rPr>
        <w:t>根据《环境影响评价技术导则输变电》（HJ24-2020）可知，电磁环境评价工作等级划分见表4-2。</w:t>
      </w:r>
    </w:p>
    <w:p w14:paraId="5084726D">
      <w:pPr>
        <w:spacing w:line="360" w:lineRule="auto"/>
        <w:ind w:firstLine="480" w:firstLineChars="200"/>
        <w:jc w:val="center"/>
        <w:rPr>
          <w:rFonts w:eastAsia="黑体"/>
          <w:bCs/>
          <w:sz w:val="24"/>
          <w:lang w:bidi="ar"/>
        </w:rPr>
      </w:pPr>
      <w:r>
        <w:rPr>
          <w:rFonts w:eastAsia="黑体"/>
          <w:bCs/>
          <w:sz w:val="24"/>
          <w:lang w:bidi="ar"/>
        </w:rPr>
        <w:t>表4-2电磁环境评价工作等级划分表</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54"/>
        <w:gridCol w:w="1020"/>
        <w:gridCol w:w="4050"/>
        <w:gridCol w:w="1215"/>
      </w:tblGrid>
      <w:tr w14:paraId="6C9B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Align w:val="center"/>
          </w:tcPr>
          <w:p w14:paraId="0426A654">
            <w:pPr>
              <w:jc w:val="center"/>
              <w:rPr>
                <w:lang w:bidi="ar"/>
              </w:rPr>
            </w:pPr>
            <w:r>
              <w:rPr>
                <w:lang w:bidi="ar"/>
              </w:rPr>
              <w:t>分类</w:t>
            </w:r>
          </w:p>
        </w:tc>
        <w:tc>
          <w:tcPr>
            <w:tcW w:w="756" w:type="pct"/>
            <w:vAlign w:val="center"/>
          </w:tcPr>
          <w:p w14:paraId="59C7991D">
            <w:pPr>
              <w:jc w:val="center"/>
              <w:rPr>
                <w:lang w:bidi="ar"/>
              </w:rPr>
            </w:pPr>
            <w:r>
              <w:rPr>
                <w:lang w:bidi="ar"/>
              </w:rPr>
              <w:t>电压等级</w:t>
            </w:r>
          </w:p>
        </w:tc>
        <w:tc>
          <w:tcPr>
            <w:tcW w:w="615" w:type="pct"/>
            <w:vAlign w:val="center"/>
          </w:tcPr>
          <w:p w14:paraId="5949DB01">
            <w:pPr>
              <w:jc w:val="center"/>
              <w:rPr>
                <w:lang w:bidi="ar"/>
              </w:rPr>
            </w:pPr>
            <w:r>
              <w:rPr>
                <w:lang w:bidi="ar"/>
              </w:rPr>
              <w:t>工程</w:t>
            </w:r>
          </w:p>
        </w:tc>
        <w:tc>
          <w:tcPr>
            <w:tcW w:w="2441" w:type="pct"/>
            <w:vAlign w:val="center"/>
          </w:tcPr>
          <w:p w14:paraId="01639DAB">
            <w:pPr>
              <w:jc w:val="center"/>
              <w:rPr>
                <w:lang w:bidi="ar"/>
              </w:rPr>
            </w:pPr>
            <w:r>
              <w:rPr>
                <w:lang w:bidi="ar"/>
              </w:rPr>
              <w:t>条件</w:t>
            </w:r>
          </w:p>
        </w:tc>
        <w:tc>
          <w:tcPr>
            <w:tcW w:w="732" w:type="pct"/>
            <w:vAlign w:val="center"/>
          </w:tcPr>
          <w:p w14:paraId="65A4569A">
            <w:pPr>
              <w:jc w:val="center"/>
              <w:rPr>
                <w:lang w:bidi="ar"/>
              </w:rPr>
            </w:pPr>
            <w:r>
              <w:rPr>
                <w:lang w:bidi="ar"/>
              </w:rPr>
              <w:t>评价等级</w:t>
            </w:r>
          </w:p>
        </w:tc>
      </w:tr>
      <w:tr w14:paraId="13F8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restart"/>
            <w:vAlign w:val="center"/>
          </w:tcPr>
          <w:p w14:paraId="19642A37">
            <w:pPr>
              <w:jc w:val="center"/>
              <w:rPr>
                <w:lang w:bidi="ar"/>
              </w:rPr>
            </w:pPr>
            <w:r>
              <w:rPr>
                <w:lang w:bidi="ar"/>
              </w:rPr>
              <w:t>交流</w:t>
            </w:r>
          </w:p>
        </w:tc>
        <w:tc>
          <w:tcPr>
            <w:tcW w:w="756" w:type="pct"/>
            <w:vMerge w:val="restart"/>
            <w:vAlign w:val="center"/>
          </w:tcPr>
          <w:p w14:paraId="32B44EBB">
            <w:pPr>
              <w:jc w:val="center"/>
              <w:rPr>
                <w:lang w:bidi="ar"/>
              </w:rPr>
            </w:pPr>
            <w:r>
              <w:rPr>
                <w:lang w:bidi="ar"/>
              </w:rPr>
              <w:t>220kV</w:t>
            </w:r>
          </w:p>
        </w:tc>
        <w:tc>
          <w:tcPr>
            <w:tcW w:w="615" w:type="pct"/>
            <w:vMerge w:val="restart"/>
            <w:vAlign w:val="center"/>
          </w:tcPr>
          <w:p w14:paraId="4A3D321A">
            <w:pPr>
              <w:jc w:val="center"/>
              <w:rPr>
                <w:lang w:bidi="ar"/>
              </w:rPr>
            </w:pPr>
            <w:r>
              <w:rPr>
                <w:lang w:bidi="ar"/>
              </w:rPr>
              <w:t>变电站</w:t>
            </w:r>
          </w:p>
        </w:tc>
        <w:tc>
          <w:tcPr>
            <w:tcW w:w="2441" w:type="pct"/>
            <w:vAlign w:val="center"/>
          </w:tcPr>
          <w:p w14:paraId="28B7E4F1">
            <w:pPr>
              <w:jc w:val="center"/>
              <w:rPr>
                <w:lang w:bidi="ar"/>
              </w:rPr>
            </w:pPr>
            <w:r>
              <w:rPr>
                <w:lang w:bidi="ar"/>
              </w:rPr>
              <w:t>户内式、地下式</w:t>
            </w:r>
          </w:p>
        </w:tc>
        <w:tc>
          <w:tcPr>
            <w:tcW w:w="732" w:type="pct"/>
            <w:vAlign w:val="center"/>
          </w:tcPr>
          <w:p w14:paraId="31D6AEB2">
            <w:pPr>
              <w:jc w:val="center"/>
              <w:rPr>
                <w:lang w:bidi="ar"/>
              </w:rPr>
            </w:pPr>
            <w:r>
              <w:rPr>
                <w:lang w:bidi="ar"/>
              </w:rPr>
              <w:t>三级</w:t>
            </w:r>
          </w:p>
        </w:tc>
      </w:tr>
      <w:tr w14:paraId="2651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vAlign w:val="center"/>
          </w:tcPr>
          <w:p w14:paraId="43E6A644">
            <w:pPr>
              <w:jc w:val="center"/>
              <w:rPr>
                <w:lang w:bidi="ar"/>
              </w:rPr>
            </w:pPr>
          </w:p>
        </w:tc>
        <w:tc>
          <w:tcPr>
            <w:tcW w:w="756" w:type="pct"/>
            <w:vMerge w:val="continue"/>
            <w:vAlign w:val="center"/>
          </w:tcPr>
          <w:p w14:paraId="028556E6">
            <w:pPr>
              <w:jc w:val="center"/>
              <w:rPr>
                <w:lang w:bidi="ar"/>
              </w:rPr>
            </w:pPr>
          </w:p>
        </w:tc>
        <w:tc>
          <w:tcPr>
            <w:tcW w:w="615" w:type="pct"/>
            <w:vMerge w:val="continue"/>
            <w:vAlign w:val="center"/>
          </w:tcPr>
          <w:p w14:paraId="50636103">
            <w:pPr>
              <w:jc w:val="center"/>
              <w:rPr>
                <w:lang w:bidi="ar"/>
              </w:rPr>
            </w:pPr>
          </w:p>
        </w:tc>
        <w:tc>
          <w:tcPr>
            <w:tcW w:w="2441" w:type="pct"/>
            <w:vAlign w:val="center"/>
          </w:tcPr>
          <w:p w14:paraId="0F8D976C">
            <w:pPr>
              <w:jc w:val="center"/>
              <w:rPr>
                <w:lang w:bidi="ar"/>
              </w:rPr>
            </w:pPr>
            <w:r>
              <w:rPr>
                <w:lang w:bidi="ar"/>
              </w:rPr>
              <w:t>户外式</w:t>
            </w:r>
          </w:p>
        </w:tc>
        <w:tc>
          <w:tcPr>
            <w:tcW w:w="732" w:type="pct"/>
            <w:vAlign w:val="center"/>
          </w:tcPr>
          <w:p w14:paraId="45F6C0DB">
            <w:pPr>
              <w:jc w:val="center"/>
              <w:rPr>
                <w:lang w:bidi="ar"/>
              </w:rPr>
            </w:pPr>
            <w:r>
              <w:rPr>
                <w:lang w:bidi="ar"/>
              </w:rPr>
              <w:t>二级</w:t>
            </w:r>
          </w:p>
        </w:tc>
      </w:tr>
      <w:tr w14:paraId="1BCD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vAlign w:val="center"/>
          </w:tcPr>
          <w:p w14:paraId="1EF63E2F">
            <w:pPr>
              <w:jc w:val="center"/>
              <w:rPr>
                <w:lang w:bidi="ar"/>
              </w:rPr>
            </w:pPr>
          </w:p>
        </w:tc>
        <w:tc>
          <w:tcPr>
            <w:tcW w:w="756" w:type="pct"/>
            <w:vMerge w:val="continue"/>
            <w:vAlign w:val="center"/>
          </w:tcPr>
          <w:p w14:paraId="67BC48AB">
            <w:pPr>
              <w:jc w:val="center"/>
              <w:rPr>
                <w:lang w:bidi="ar"/>
              </w:rPr>
            </w:pPr>
          </w:p>
        </w:tc>
        <w:tc>
          <w:tcPr>
            <w:tcW w:w="615" w:type="pct"/>
            <w:vMerge w:val="restart"/>
            <w:vAlign w:val="center"/>
          </w:tcPr>
          <w:p w14:paraId="3D3CBFC8">
            <w:pPr>
              <w:jc w:val="center"/>
              <w:rPr>
                <w:lang w:bidi="ar"/>
              </w:rPr>
            </w:pPr>
            <w:r>
              <w:rPr>
                <w:lang w:bidi="ar"/>
              </w:rPr>
              <w:t>输电线路</w:t>
            </w:r>
          </w:p>
        </w:tc>
        <w:tc>
          <w:tcPr>
            <w:tcW w:w="2441" w:type="pct"/>
            <w:vAlign w:val="center"/>
          </w:tcPr>
          <w:p w14:paraId="5E963891">
            <w:pPr>
              <w:jc w:val="center"/>
              <w:rPr>
                <w:lang w:bidi="ar"/>
              </w:rPr>
            </w:pPr>
            <w:r>
              <w:rPr>
                <w:lang w:bidi="ar"/>
              </w:rPr>
              <w:t>1、地下电缆</w:t>
            </w:r>
          </w:p>
          <w:p w14:paraId="4404F582">
            <w:pPr>
              <w:jc w:val="center"/>
              <w:rPr>
                <w:lang w:bidi="ar"/>
              </w:rPr>
            </w:pPr>
            <w:r>
              <w:rPr>
                <w:lang w:bidi="ar"/>
              </w:rPr>
              <w:t>2、边导线地面投影外两侧各15m范围内无电磁环境敏感目标的架空线路</w:t>
            </w:r>
          </w:p>
        </w:tc>
        <w:tc>
          <w:tcPr>
            <w:tcW w:w="732" w:type="pct"/>
            <w:vAlign w:val="center"/>
          </w:tcPr>
          <w:p w14:paraId="0D4B461C">
            <w:pPr>
              <w:jc w:val="center"/>
              <w:rPr>
                <w:lang w:bidi="ar"/>
              </w:rPr>
            </w:pPr>
            <w:r>
              <w:rPr>
                <w:lang w:bidi="ar"/>
              </w:rPr>
              <w:t>三级</w:t>
            </w:r>
          </w:p>
        </w:tc>
      </w:tr>
      <w:tr w14:paraId="5AAF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pct"/>
            <w:vMerge w:val="continue"/>
            <w:vAlign w:val="center"/>
          </w:tcPr>
          <w:p w14:paraId="2F9E9283">
            <w:pPr>
              <w:jc w:val="center"/>
              <w:rPr>
                <w:lang w:bidi="ar"/>
              </w:rPr>
            </w:pPr>
          </w:p>
        </w:tc>
        <w:tc>
          <w:tcPr>
            <w:tcW w:w="756" w:type="pct"/>
            <w:vMerge w:val="continue"/>
            <w:vAlign w:val="center"/>
          </w:tcPr>
          <w:p w14:paraId="716776BD">
            <w:pPr>
              <w:jc w:val="center"/>
              <w:rPr>
                <w:lang w:bidi="ar"/>
              </w:rPr>
            </w:pPr>
          </w:p>
        </w:tc>
        <w:tc>
          <w:tcPr>
            <w:tcW w:w="615" w:type="pct"/>
            <w:vMerge w:val="continue"/>
            <w:vAlign w:val="center"/>
          </w:tcPr>
          <w:p w14:paraId="294337FB">
            <w:pPr>
              <w:jc w:val="center"/>
              <w:rPr>
                <w:lang w:bidi="ar"/>
              </w:rPr>
            </w:pPr>
          </w:p>
        </w:tc>
        <w:tc>
          <w:tcPr>
            <w:tcW w:w="2441" w:type="pct"/>
            <w:vAlign w:val="center"/>
          </w:tcPr>
          <w:p w14:paraId="12C773D3">
            <w:pPr>
              <w:jc w:val="center"/>
              <w:rPr>
                <w:lang w:bidi="ar"/>
              </w:rPr>
            </w:pPr>
            <w:r>
              <w:rPr>
                <w:lang w:bidi="ar"/>
              </w:rPr>
              <w:t>边导线地面投影外两侧各15m范围有电磁环境敏感目标的架空线路</w:t>
            </w:r>
          </w:p>
        </w:tc>
        <w:tc>
          <w:tcPr>
            <w:tcW w:w="732" w:type="pct"/>
            <w:vAlign w:val="center"/>
          </w:tcPr>
          <w:p w14:paraId="08B31EC0">
            <w:pPr>
              <w:jc w:val="center"/>
              <w:rPr>
                <w:lang w:bidi="ar"/>
              </w:rPr>
            </w:pPr>
            <w:r>
              <w:rPr>
                <w:lang w:bidi="ar"/>
              </w:rPr>
              <w:t>二级</w:t>
            </w:r>
          </w:p>
        </w:tc>
      </w:tr>
      <w:tr w14:paraId="2C7A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6" w:type="pct"/>
            <w:vMerge w:val="continue"/>
            <w:vAlign w:val="center"/>
          </w:tcPr>
          <w:p w14:paraId="1740AA96">
            <w:pPr>
              <w:jc w:val="center"/>
              <w:rPr>
                <w:lang w:bidi="ar"/>
              </w:rPr>
            </w:pPr>
          </w:p>
        </w:tc>
        <w:tc>
          <w:tcPr>
            <w:tcW w:w="756" w:type="pct"/>
            <w:vMerge w:val="restart"/>
            <w:vAlign w:val="center"/>
          </w:tcPr>
          <w:p w14:paraId="26DD0074">
            <w:pPr>
              <w:jc w:val="center"/>
              <w:rPr>
                <w:lang w:bidi="ar"/>
              </w:rPr>
            </w:pPr>
            <w:r>
              <w:rPr>
                <w:lang w:bidi="ar"/>
              </w:rPr>
              <w:t>110kV</w:t>
            </w:r>
          </w:p>
        </w:tc>
        <w:tc>
          <w:tcPr>
            <w:tcW w:w="615" w:type="pct"/>
            <w:vMerge w:val="restart"/>
            <w:vAlign w:val="center"/>
          </w:tcPr>
          <w:p w14:paraId="07673251">
            <w:pPr>
              <w:jc w:val="center"/>
              <w:rPr>
                <w:lang w:bidi="ar"/>
              </w:rPr>
            </w:pPr>
            <w:r>
              <w:rPr>
                <w:lang w:bidi="ar"/>
              </w:rPr>
              <w:t>变电站</w:t>
            </w:r>
          </w:p>
        </w:tc>
        <w:tc>
          <w:tcPr>
            <w:tcW w:w="2441" w:type="pct"/>
            <w:vAlign w:val="center"/>
          </w:tcPr>
          <w:p w14:paraId="1D020E8A">
            <w:pPr>
              <w:jc w:val="center"/>
              <w:rPr>
                <w:lang w:bidi="ar"/>
              </w:rPr>
            </w:pPr>
            <w:r>
              <w:rPr>
                <w:lang w:bidi="ar"/>
              </w:rPr>
              <w:t>户内式、地下式</w:t>
            </w:r>
          </w:p>
        </w:tc>
        <w:tc>
          <w:tcPr>
            <w:tcW w:w="732" w:type="pct"/>
            <w:vAlign w:val="center"/>
          </w:tcPr>
          <w:p w14:paraId="72F4980D">
            <w:pPr>
              <w:jc w:val="center"/>
              <w:rPr>
                <w:lang w:bidi="ar"/>
              </w:rPr>
            </w:pPr>
            <w:r>
              <w:rPr>
                <w:lang w:bidi="ar"/>
              </w:rPr>
              <w:t>三级</w:t>
            </w:r>
          </w:p>
        </w:tc>
      </w:tr>
      <w:tr w14:paraId="40D0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456" w:type="pct"/>
            <w:vMerge w:val="continue"/>
            <w:vAlign w:val="center"/>
          </w:tcPr>
          <w:p w14:paraId="6291BD17">
            <w:pPr>
              <w:jc w:val="center"/>
              <w:rPr>
                <w:lang w:bidi="ar"/>
              </w:rPr>
            </w:pPr>
          </w:p>
        </w:tc>
        <w:tc>
          <w:tcPr>
            <w:tcW w:w="756" w:type="pct"/>
            <w:vMerge w:val="continue"/>
            <w:vAlign w:val="center"/>
          </w:tcPr>
          <w:p w14:paraId="0C0FF952">
            <w:pPr>
              <w:jc w:val="center"/>
              <w:rPr>
                <w:lang w:bidi="ar"/>
              </w:rPr>
            </w:pPr>
          </w:p>
        </w:tc>
        <w:tc>
          <w:tcPr>
            <w:tcW w:w="615" w:type="pct"/>
            <w:vMerge w:val="continue"/>
            <w:vAlign w:val="center"/>
          </w:tcPr>
          <w:p w14:paraId="5BDC69B9">
            <w:pPr>
              <w:jc w:val="center"/>
              <w:rPr>
                <w:lang w:bidi="ar"/>
              </w:rPr>
            </w:pPr>
          </w:p>
        </w:tc>
        <w:tc>
          <w:tcPr>
            <w:tcW w:w="2441" w:type="pct"/>
            <w:vAlign w:val="center"/>
          </w:tcPr>
          <w:p w14:paraId="31D0BB1F">
            <w:pPr>
              <w:jc w:val="center"/>
              <w:rPr>
                <w:lang w:bidi="ar"/>
              </w:rPr>
            </w:pPr>
            <w:r>
              <w:rPr>
                <w:lang w:bidi="ar"/>
              </w:rPr>
              <w:t>户外式</w:t>
            </w:r>
          </w:p>
        </w:tc>
        <w:tc>
          <w:tcPr>
            <w:tcW w:w="732" w:type="pct"/>
            <w:vAlign w:val="center"/>
          </w:tcPr>
          <w:p w14:paraId="2FA750BB">
            <w:pPr>
              <w:jc w:val="center"/>
              <w:rPr>
                <w:lang w:bidi="ar"/>
              </w:rPr>
            </w:pPr>
            <w:r>
              <w:rPr>
                <w:lang w:bidi="ar"/>
              </w:rPr>
              <w:t>二级</w:t>
            </w:r>
          </w:p>
        </w:tc>
      </w:tr>
      <w:tr w14:paraId="19AB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6" w:type="pct"/>
            <w:vMerge w:val="continue"/>
            <w:vAlign w:val="center"/>
          </w:tcPr>
          <w:p w14:paraId="28270C26">
            <w:pPr>
              <w:jc w:val="center"/>
              <w:rPr>
                <w:lang w:bidi="ar"/>
              </w:rPr>
            </w:pPr>
          </w:p>
        </w:tc>
        <w:tc>
          <w:tcPr>
            <w:tcW w:w="756" w:type="pct"/>
            <w:vMerge w:val="continue"/>
            <w:vAlign w:val="center"/>
          </w:tcPr>
          <w:p w14:paraId="7D09E29F">
            <w:pPr>
              <w:jc w:val="center"/>
              <w:rPr>
                <w:lang w:bidi="ar"/>
              </w:rPr>
            </w:pPr>
          </w:p>
        </w:tc>
        <w:tc>
          <w:tcPr>
            <w:tcW w:w="615" w:type="pct"/>
            <w:vMerge w:val="restart"/>
            <w:vAlign w:val="center"/>
          </w:tcPr>
          <w:p w14:paraId="7F47DF46">
            <w:pPr>
              <w:jc w:val="center"/>
              <w:rPr>
                <w:lang w:bidi="ar"/>
              </w:rPr>
            </w:pPr>
            <w:r>
              <w:rPr>
                <w:lang w:bidi="ar"/>
              </w:rPr>
              <w:t>输电</w:t>
            </w:r>
          </w:p>
          <w:p w14:paraId="034D87D4">
            <w:pPr>
              <w:jc w:val="center"/>
              <w:rPr>
                <w:lang w:bidi="ar"/>
              </w:rPr>
            </w:pPr>
            <w:r>
              <w:rPr>
                <w:lang w:bidi="ar"/>
              </w:rPr>
              <w:t>线路</w:t>
            </w:r>
          </w:p>
        </w:tc>
        <w:tc>
          <w:tcPr>
            <w:tcW w:w="2441" w:type="pct"/>
            <w:vAlign w:val="center"/>
          </w:tcPr>
          <w:p w14:paraId="50608C2F">
            <w:pPr>
              <w:jc w:val="center"/>
              <w:rPr>
                <w:lang w:bidi="ar"/>
              </w:rPr>
            </w:pPr>
            <w:r>
              <w:rPr>
                <w:lang w:bidi="ar"/>
              </w:rPr>
              <w:t>1、地下电缆</w:t>
            </w:r>
          </w:p>
          <w:p w14:paraId="22EEBB73">
            <w:pPr>
              <w:jc w:val="center"/>
              <w:rPr>
                <w:lang w:bidi="ar"/>
              </w:rPr>
            </w:pPr>
            <w:r>
              <w:rPr>
                <w:lang w:bidi="ar"/>
              </w:rPr>
              <w:t>2、边导线地面投影外两侧各10m范围内无电磁环境敏感目标的架空线路</w:t>
            </w:r>
          </w:p>
        </w:tc>
        <w:tc>
          <w:tcPr>
            <w:tcW w:w="732" w:type="pct"/>
            <w:vAlign w:val="center"/>
          </w:tcPr>
          <w:p w14:paraId="3B99E320">
            <w:pPr>
              <w:jc w:val="center"/>
              <w:rPr>
                <w:lang w:bidi="ar"/>
              </w:rPr>
            </w:pPr>
            <w:r>
              <w:rPr>
                <w:lang w:bidi="ar"/>
              </w:rPr>
              <w:t>三级</w:t>
            </w:r>
          </w:p>
        </w:tc>
      </w:tr>
      <w:tr w14:paraId="51A0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56" w:type="pct"/>
            <w:vMerge w:val="continue"/>
            <w:vAlign w:val="center"/>
          </w:tcPr>
          <w:p w14:paraId="5219EDCD">
            <w:pPr>
              <w:jc w:val="center"/>
              <w:rPr>
                <w:lang w:bidi="ar"/>
              </w:rPr>
            </w:pPr>
          </w:p>
        </w:tc>
        <w:tc>
          <w:tcPr>
            <w:tcW w:w="756" w:type="pct"/>
            <w:vMerge w:val="continue"/>
            <w:vAlign w:val="center"/>
          </w:tcPr>
          <w:p w14:paraId="47C4B80D">
            <w:pPr>
              <w:jc w:val="center"/>
              <w:rPr>
                <w:lang w:bidi="ar"/>
              </w:rPr>
            </w:pPr>
          </w:p>
        </w:tc>
        <w:tc>
          <w:tcPr>
            <w:tcW w:w="615" w:type="pct"/>
            <w:vMerge w:val="continue"/>
            <w:vAlign w:val="center"/>
          </w:tcPr>
          <w:p w14:paraId="60D597BF">
            <w:pPr>
              <w:jc w:val="center"/>
              <w:rPr>
                <w:lang w:bidi="ar"/>
              </w:rPr>
            </w:pPr>
          </w:p>
        </w:tc>
        <w:tc>
          <w:tcPr>
            <w:tcW w:w="2441" w:type="pct"/>
            <w:vAlign w:val="center"/>
          </w:tcPr>
          <w:p w14:paraId="7D2B7018">
            <w:pPr>
              <w:jc w:val="center"/>
              <w:rPr>
                <w:lang w:bidi="ar"/>
              </w:rPr>
            </w:pPr>
            <w:r>
              <w:rPr>
                <w:lang w:bidi="ar"/>
              </w:rPr>
              <w:t>边导线地面投影外两侧各10m范围有电磁环境敏感目标的架空线路</w:t>
            </w:r>
          </w:p>
        </w:tc>
        <w:tc>
          <w:tcPr>
            <w:tcW w:w="732" w:type="pct"/>
            <w:vAlign w:val="center"/>
          </w:tcPr>
          <w:p w14:paraId="067856A3">
            <w:pPr>
              <w:jc w:val="center"/>
              <w:rPr>
                <w:lang w:bidi="ar"/>
              </w:rPr>
            </w:pPr>
            <w:r>
              <w:rPr>
                <w:lang w:bidi="ar"/>
              </w:rPr>
              <w:t>二级</w:t>
            </w:r>
          </w:p>
        </w:tc>
      </w:tr>
    </w:tbl>
    <w:p w14:paraId="108B7BE8">
      <w:pPr>
        <w:spacing w:line="360" w:lineRule="auto"/>
        <w:ind w:firstLine="480" w:firstLineChars="200"/>
        <w:rPr>
          <w:sz w:val="24"/>
          <w:lang w:bidi="ar"/>
        </w:rPr>
      </w:pPr>
      <w:r>
        <w:rPr>
          <w:sz w:val="24"/>
        </w:rPr>
        <w:t>本项目110kV输电线路地面投影外两侧各10m范围内无电磁环境敏感目标，</w:t>
      </w:r>
      <w:r>
        <w:rPr>
          <w:rFonts w:hint="eastAsia"/>
          <w:sz w:val="24"/>
        </w:rPr>
        <w:t>故</w:t>
      </w:r>
      <w:r>
        <w:rPr>
          <w:sz w:val="24"/>
        </w:rPr>
        <w:t>输电线路电磁环境评价等级为三级</w:t>
      </w:r>
      <w:r>
        <w:rPr>
          <w:sz w:val="24"/>
          <w:lang w:bidi="ar"/>
        </w:rPr>
        <w:t>。</w:t>
      </w:r>
    </w:p>
    <w:p w14:paraId="521D3119">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48" w:name="_Toc25659"/>
      <w:bookmarkStart w:id="249" w:name="_Toc227764356"/>
      <w:bookmarkStart w:id="250" w:name="_Toc29656"/>
      <w:bookmarkStart w:id="251" w:name="_Toc8654"/>
      <w:bookmarkStart w:id="252" w:name="_Toc9858"/>
      <w:bookmarkStart w:id="253" w:name="_Toc10367"/>
      <w:bookmarkStart w:id="254" w:name="_Toc29952"/>
      <w:r>
        <w:rPr>
          <w:rFonts w:ascii="Times New Roman" w:hAnsi="Times New Roman"/>
          <w:b/>
          <w:kern w:val="44"/>
          <w:sz w:val="30"/>
          <w:szCs w:val="30"/>
          <w:lang w:bidi="ar"/>
        </w:rPr>
        <w:t>4.3评价范围</w:t>
      </w:r>
      <w:bookmarkEnd w:id="247"/>
      <w:bookmarkEnd w:id="248"/>
      <w:bookmarkEnd w:id="249"/>
      <w:bookmarkEnd w:id="250"/>
      <w:bookmarkEnd w:id="251"/>
      <w:bookmarkEnd w:id="252"/>
      <w:bookmarkEnd w:id="253"/>
      <w:bookmarkEnd w:id="254"/>
    </w:p>
    <w:p w14:paraId="44F1604D">
      <w:pPr>
        <w:spacing w:line="360" w:lineRule="auto"/>
        <w:ind w:firstLine="480" w:firstLineChars="200"/>
        <w:jc w:val="left"/>
        <w:rPr>
          <w:sz w:val="24"/>
        </w:rPr>
      </w:pPr>
      <w:r>
        <w:rPr>
          <w:sz w:val="24"/>
          <w:szCs w:val="24"/>
          <w:lang w:bidi="ar"/>
        </w:rPr>
        <w:t>根据《环境影响评价技术导则 输变电》（HJ24-2020）可知，</w:t>
      </w:r>
      <w:r>
        <w:rPr>
          <w:sz w:val="24"/>
        </w:rPr>
        <w:t>电磁环境评价范围为110kV架空线路边导线地面投影外两侧各30m内的带状区域。</w:t>
      </w:r>
    </w:p>
    <w:p w14:paraId="7B084A1A">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55" w:name="_Toc17101554"/>
      <w:bookmarkStart w:id="256" w:name="_Toc32479"/>
      <w:bookmarkStart w:id="257" w:name="_Toc227764357"/>
      <w:bookmarkStart w:id="258" w:name="_Toc9916"/>
      <w:bookmarkStart w:id="259" w:name="_Toc16766"/>
      <w:bookmarkStart w:id="260" w:name="_Toc11056"/>
      <w:bookmarkStart w:id="261" w:name="_Toc14894"/>
      <w:bookmarkStart w:id="262" w:name="_Toc11442"/>
      <w:r>
        <w:rPr>
          <w:rFonts w:ascii="Times New Roman" w:hAnsi="Times New Roman"/>
          <w:b/>
          <w:kern w:val="44"/>
          <w:sz w:val="30"/>
          <w:szCs w:val="30"/>
          <w:lang w:bidi="ar"/>
        </w:rPr>
        <w:t>4.4评价标准</w:t>
      </w:r>
      <w:bookmarkEnd w:id="255"/>
      <w:bookmarkEnd w:id="256"/>
      <w:bookmarkEnd w:id="257"/>
      <w:bookmarkEnd w:id="258"/>
      <w:bookmarkEnd w:id="259"/>
      <w:bookmarkEnd w:id="260"/>
      <w:bookmarkEnd w:id="261"/>
      <w:bookmarkEnd w:id="262"/>
    </w:p>
    <w:p w14:paraId="080FC960">
      <w:pPr>
        <w:spacing w:line="360" w:lineRule="auto"/>
        <w:ind w:firstLine="480" w:firstLineChars="200"/>
        <w:rPr>
          <w:sz w:val="24"/>
          <w:lang w:bidi="ar"/>
        </w:rPr>
      </w:pPr>
      <w:r>
        <w:rPr>
          <w:sz w:val="24"/>
          <w:lang w:bidi="ar"/>
        </w:rPr>
        <w:t>本项目工频电场强度、工频磁感应强度公众曝露控制限值按照《电磁环境控制限值》（GB8702-2014）执行，本项目110kV线路工程交流电频率为50Hz（f=0.05kHz），标准值见表4-3。</w:t>
      </w:r>
    </w:p>
    <w:p w14:paraId="60AD1A26">
      <w:pPr>
        <w:spacing w:before="120" w:beforeLines="50" w:line="360" w:lineRule="auto"/>
        <w:ind w:firstLine="480" w:firstLineChars="200"/>
        <w:jc w:val="center"/>
        <w:rPr>
          <w:rFonts w:eastAsia="黑体"/>
          <w:bCs/>
          <w:sz w:val="24"/>
          <w:lang w:bidi="ar"/>
        </w:rPr>
      </w:pPr>
      <w:r>
        <w:rPr>
          <w:rFonts w:eastAsia="黑体"/>
          <w:bCs/>
          <w:sz w:val="24"/>
          <w:lang w:bidi="ar"/>
        </w:rPr>
        <w:t>表4-3电磁环境公众曝露控制限值</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0"/>
        <w:gridCol w:w="2492"/>
        <w:gridCol w:w="2764"/>
      </w:tblGrid>
      <w:tr w14:paraId="51DE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pct"/>
            <w:tcBorders>
              <w:top w:val="single" w:color="auto" w:sz="4" w:space="0"/>
              <w:left w:val="single" w:color="auto" w:sz="4" w:space="0"/>
              <w:bottom w:val="single" w:color="auto" w:sz="4" w:space="0"/>
              <w:right w:val="single" w:color="auto" w:sz="4" w:space="0"/>
            </w:tcBorders>
            <w:vAlign w:val="center"/>
          </w:tcPr>
          <w:p w14:paraId="6BD11F6F">
            <w:pPr>
              <w:ind w:firstLine="482"/>
              <w:jc w:val="center"/>
            </w:pPr>
            <w:r>
              <w:rPr>
                <w:lang w:bidi="ar"/>
              </w:rPr>
              <w:t>频率范围</w:t>
            </w:r>
          </w:p>
        </w:tc>
        <w:tc>
          <w:tcPr>
            <w:tcW w:w="1502" w:type="pct"/>
            <w:tcBorders>
              <w:top w:val="single" w:color="auto" w:sz="4" w:space="0"/>
              <w:left w:val="single" w:color="auto" w:sz="4" w:space="0"/>
              <w:bottom w:val="single" w:color="auto" w:sz="4" w:space="0"/>
              <w:right w:val="single" w:color="auto" w:sz="4" w:space="0"/>
            </w:tcBorders>
            <w:vAlign w:val="center"/>
          </w:tcPr>
          <w:p w14:paraId="50AFDA49">
            <w:pPr>
              <w:ind w:firstLine="482"/>
              <w:jc w:val="center"/>
            </w:pPr>
            <w:r>
              <w:rPr>
                <w:lang w:bidi="ar"/>
              </w:rPr>
              <w:t>电场强度E（V/m）</w:t>
            </w:r>
          </w:p>
        </w:tc>
        <w:tc>
          <w:tcPr>
            <w:tcW w:w="1666" w:type="pct"/>
            <w:tcBorders>
              <w:top w:val="single" w:color="auto" w:sz="4" w:space="0"/>
              <w:left w:val="single" w:color="auto" w:sz="4" w:space="0"/>
              <w:bottom w:val="single" w:color="auto" w:sz="4" w:space="0"/>
              <w:right w:val="single" w:color="auto" w:sz="4" w:space="0"/>
            </w:tcBorders>
            <w:vAlign w:val="center"/>
          </w:tcPr>
          <w:p w14:paraId="05561131">
            <w:pPr>
              <w:ind w:firstLine="482"/>
              <w:jc w:val="center"/>
            </w:pPr>
            <w:r>
              <w:rPr>
                <w:lang w:bidi="ar"/>
              </w:rPr>
              <w:t>磁感应强度B（</w:t>
            </w:r>
            <w:r>
              <w:rPr>
                <w:spacing w:val="-20"/>
                <w:lang w:bidi="ar"/>
              </w:rPr>
              <w:t>μT</w:t>
            </w:r>
            <w:r>
              <w:rPr>
                <w:lang w:bidi="ar"/>
              </w:rPr>
              <w:t>）</w:t>
            </w:r>
          </w:p>
        </w:tc>
      </w:tr>
      <w:tr w14:paraId="74DE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pct"/>
            <w:tcBorders>
              <w:top w:val="single" w:color="auto" w:sz="4" w:space="0"/>
              <w:left w:val="single" w:color="auto" w:sz="4" w:space="0"/>
              <w:bottom w:val="single" w:color="auto" w:sz="4" w:space="0"/>
              <w:right w:val="single" w:color="auto" w:sz="4" w:space="0"/>
            </w:tcBorders>
            <w:vAlign w:val="center"/>
          </w:tcPr>
          <w:p w14:paraId="56C29AB6">
            <w:pPr>
              <w:ind w:firstLine="482"/>
              <w:jc w:val="center"/>
            </w:pPr>
            <w:r>
              <w:rPr>
                <w:lang w:bidi="ar"/>
              </w:rPr>
              <w:t>0.025kHz~1.2kHz</w:t>
            </w:r>
          </w:p>
        </w:tc>
        <w:tc>
          <w:tcPr>
            <w:tcW w:w="1502" w:type="pct"/>
            <w:tcBorders>
              <w:top w:val="single" w:color="auto" w:sz="4" w:space="0"/>
              <w:left w:val="single" w:color="auto" w:sz="4" w:space="0"/>
              <w:bottom w:val="single" w:color="auto" w:sz="4" w:space="0"/>
              <w:right w:val="single" w:color="auto" w:sz="4" w:space="0"/>
            </w:tcBorders>
            <w:vAlign w:val="center"/>
          </w:tcPr>
          <w:p w14:paraId="02B621C5">
            <w:pPr>
              <w:ind w:firstLine="482"/>
              <w:jc w:val="center"/>
            </w:pPr>
            <w:r>
              <w:rPr>
                <w:lang w:bidi="ar"/>
              </w:rPr>
              <w:t>200/f</w:t>
            </w:r>
          </w:p>
        </w:tc>
        <w:tc>
          <w:tcPr>
            <w:tcW w:w="1666" w:type="pct"/>
            <w:tcBorders>
              <w:top w:val="single" w:color="auto" w:sz="4" w:space="0"/>
              <w:left w:val="single" w:color="auto" w:sz="4" w:space="0"/>
              <w:bottom w:val="single" w:color="auto" w:sz="4" w:space="0"/>
              <w:right w:val="single" w:color="auto" w:sz="4" w:space="0"/>
            </w:tcBorders>
            <w:vAlign w:val="center"/>
          </w:tcPr>
          <w:p w14:paraId="203A3A64">
            <w:pPr>
              <w:ind w:firstLine="482"/>
              <w:jc w:val="center"/>
            </w:pPr>
            <w:r>
              <w:rPr>
                <w:lang w:bidi="ar"/>
              </w:rPr>
              <w:t>5/f</w:t>
            </w:r>
          </w:p>
        </w:tc>
      </w:tr>
      <w:tr w14:paraId="31A6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2" w:type="pct"/>
            <w:tcBorders>
              <w:top w:val="single" w:color="auto" w:sz="4" w:space="0"/>
              <w:left w:val="single" w:color="auto" w:sz="4" w:space="0"/>
              <w:bottom w:val="single" w:color="auto" w:sz="4" w:space="0"/>
              <w:right w:val="single" w:color="auto" w:sz="4" w:space="0"/>
            </w:tcBorders>
            <w:vAlign w:val="center"/>
          </w:tcPr>
          <w:p w14:paraId="22982F2D">
            <w:pPr>
              <w:jc w:val="center"/>
            </w:pPr>
            <w:r>
              <w:rPr>
                <w:lang w:bidi="ar"/>
              </w:rPr>
              <w:t>输电线路工作频率（0.05kHz）</w:t>
            </w:r>
          </w:p>
        </w:tc>
        <w:tc>
          <w:tcPr>
            <w:tcW w:w="1502" w:type="pct"/>
            <w:tcBorders>
              <w:top w:val="single" w:color="auto" w:sz="4" w:space="0"/>
              <w:left w:val="single" w:color="auto" w:sz="4" w:space="0"/>
              <w:bottom w:val="single" w:color="auto" w:sz="4" w:space="0"/>
              <w:right w:val="single" w:color="auto" w:sz="4" w:space="0"/>
            </w:tcBorders>
            <w:vAlign w:val="center"/>
          </w:tcPr>
          <w:p w14:paraId="43568606">
            <w:pPr>
              <w:ind w:firstLine="482"/>
              <w:jc w:val="center"/>
            </w:pPr>
            <w:r>
              <w:rPr>
                <w:lang w:bidi="ar"/>
              </w:rPr>
              <w:t>4000V/m（4kV/m）</w:t>
            </w:r>
          </w:p>
        </w:tc>
        <w:tc>
          <w:tcPr>
            <w:tcW w:w="1666" w:type="pct"/>
            <w:tcBorders>
              <w:top w:val="single" w:color="auto" w:sz="4" w:space="0"/>
              <w:left w:val="single" w:color="auto" w:sz="4" w:space="0"/>
              <w:bottom w:val="single" w:color="auto" w:sz="4" w:space="0"/>
              <w:right w:val="single" w:color="auto" w:sz="4" w:space="0"/>
            </w:tcBorders>
            <w:vAlign w:val="center"/>
          </w:tcPr>
          <w:p w14:paraId="69606241">
            <w:pPr>
              <w:ind w:firstLine="482"/>
              <w:jc w:val="center"/>
            </w:pPr>
            <w:r>
              <w:rPr>
                <w:lang w:bidi="ar"/>
              </w:rPr>
              <w:t>100μT（0.1mT）</w:t>
            </w:r>
          </w:p>
        </w:tc>
      </w:tr>
      <w:tr w14:paraId="1ECE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vAlign w:val="center"/>
          </w:tcPr>
          <w:p w14:paraId="5150AEF7">
            <w:pPr>
              <w:ind w:firstLine="482"/>
              <w:jc w:val="left"/>
            </w:pPr>
            <w:r>
              <w:rPr>
                <w:lang w:bidi="ar"/>
              </w:rPr>
              <w:t>注：1、频率f的取值为0.05kHz。</w:t>
            </w:r>
          </w:p>
          <w:p w14:paraId="1F5519DE">
            <w:pPr>
              <w:ind w:firstLine="482"/>
              <w:jc w:val="left"/>
            </w:pPr>
            <w:r>
              <w:rPr>
                <w:lang w:bidi="ar"/>
              </w:rPr>
              <w:t>2、架空输电线路线下的耕地、园地、牧草地、畜禽饲养地、养殖水面、道路等场所，其频率50Hz的电场强度控制限值为10kV/m，且应给出警示和防护指示标志。</w:t>
            </w:r>
          </w:p>
        </w:tc>
      </w:tr>
    </w:tbl>
    <w:p w14:paraId="621C7352">
      <w:pPr>
        <w:spacing w:line="360" w:lineRule="auto"/>
        <w:ind w:firstLine="480" w:firstLineChars="200"/>
        <w:rPr>
          <w:sz w:val="24"/>
        </w:rPr>
      </w:pPr>
      <w:r>
        <w:rPr>
          <w:sz w:val="24"/>
          <w:lang w:bidi="ar"/>
        </w:rPr>
        <w:t>①工频电场：以4000V/m作为工频电场强度公众曝露控制限值；架空输电线路线下的耕地、园地、牧草地、道路等场所，其频率50Hz的电场强度控制限值为10kV/m，且应给出警示和防护指示标志。</w:t>
      </w:r>
    </w:p>
    <w:p w14:paraId="7880FE7B">
      <w:pPr>
        <w:spacing w:line="360" w:lineRule="auto"/>
        <w:ind w:firstLine="480" w:firstLineChars="200"/>
        <w:rPr>
          <w:sz w:val="24"/>
          <w:lang w:bidi="ar"/>
        </w:rPr>
      </w:pPr>
      <w:r>
        <w:rPr>
          <w:sz w:val="24"/>
          <w:lang w:bidi="ar"/>
        </w:rPr>
        <w:t>②工频磁场：以100μT作为工频磁感应强度公众曝露控制限值。</w:t>
      </w:r>
    </w:p>
    <w:p w14:paraId="07AFB1E4">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63" w:name="_Toc3318"/>
      <w:bookmarkStart w:id="264" w:name="_Toc11959"/>
      <w:bookmarkStart w:id="265" w:name="_Toc227764358"/>
      <w:r>
        <w:rPr>
          <w:rFonts w:ascii="Times New Roman" w:hAnsi="Times New Roman"/>
          <w:b/>
          <w:kern w:val="44"/>
          <w:sz w:val="30"/>
          <w:szCs w:val="30"/>
          <w:lang w:bidi="ar"/>
        </w:rPr>
        <w:t>4.5评价重点</w:t>
      </w:r>
      <w:bookmarkEnd w:id="263"/>
      <w:bookmarkEnd w:id="264"/>
      <w:bookmarkEnd w:id="265"/>
    </w:p>
    <w:p w14:paraId="7A483F62">
      <w:pPr>
        <w:spacing w:line="360" w:lineRule="auto"/>
        <w:ind w:firstLine="480" w:firstLineChars="200"/>
        <w:rPr>
          <w:sz w:val="24"/>
        </w:rPr>
      </w:pPr>
      <w:r>
        <w:rPr>
          <w:sz w:val="24"/>
          <w:lang w:bidi="ar"/>
        </w:rPr>
        <w:t>电磁环境评价重点为工程运行期产生的工频电场、工频磁场对周围环境的影响，特别是对工程电磁环境敏感目标的影响。</w:t>
      </w:r>
    </w:p>
    <w:p w14:paraId="40B47E59">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66" w:name="_Toc15163"/>
      <w:bookmarkStart w:id="267" w:name="_Toc227764359"/>
      <w:bookmarkStart w:id="268" w:name="_Toc22805"/>
      <w:bookmarkStart w:id="269" w:name="_Toc523382136"/>
      <w:bookmarkStart w:id="270" w:name="_Toc17101555"/>
      <w:bookmarkStart w:id="271" w:name="_Toc27963"/>
      <w:bookmarkStart w:id="272" w:name="_Toc19608"/>
      <w:bookmarkStart w:id="273" w:name="_Toc22975"/>
      <w:bookmarkStart w:id="274" w:name="_Toc20096"/>
      <w:r>
        <w:rPr>
          <w:rFonts w:ascii="Times New Roman" w:hAnsi="Times New Roman"/>
          <w:b/>
          <w:kern w:val="44"/>
          <w:sz w:val="30"/>
          <w:szCs w:val="30"/>
          <w:lang w:bidi="ar"/>
        </w:rPr>
        <w:t>4.6评价方法</w:t>
      </w:r>
      <w:bookmarkEnd w:id="266"/>
      <w:bookmarkEnd w:id="267"/>
      <w:bookmarkEnd w:id="268"/>
      <w:bookmarkEnd w:id="269"/>
      <w:bookmarkEnd w:id="270"/>
      <w:bookmarkEnd w:id="271"/>
      <w:bookmarkEnd w:id="272"/>
      <w:bookmarkEnd w:id="273"/>
      <w:bookmarkEnd w:id="274"/>
    </w:p>
    <w:p w14:paraId="675FFDF6">
      <w:pPr>
        <w:spacing w:line="360" w:lineRule="auto"/>
        <w:ind w:firstLine="480" w:firstLineChars="200"/>
        <w:rPr>
          <w:sz w:val="24"/>
          <w:lang w:bidi="ar"/>
        </w:rPr>
      </w:pPr>
      <w:r>
        <w:rPr>
          <w:sz w:val="24"/>
          <w:lang w:bidi="ar"/>
        </w:rPr>
        <w:t>本项目110kV输电线路属于三级评价，根据《环境影响评价技术导则</w:t>
      </w:r>
      <w:r>
        <w:rPr>
          <w:rFonts w:hint="eastAsia"/>
          <w:sz w:val="24"/>
          <w:lang w:bidi="ar"/>
        </w:rPr>
        <w:t xml:space="preserve"> </w:t>
      </w:r>
      <w:r>
        <w:rPr>
          <w:sz w:val="24"/>
          <w:lang w:bidi="ar"/>
        </w:rPr>
        <w:t>输变电》（HI24-2020）中4.10.3三级评价的基本要求：对于输电线路，其评价范围内具有代表性的电磁环境敏感目标的电磁环境现状应实测，非电磁环境敏感目标处的典型线位电磁环境现状可实测，也可利用评价范围内已有的最近3年内的电磁环境现状监测资料，并对电磁环境现状进行评价。电磁环境影响预测一般采用模式预测的方式，输电线路为地下电缆时，可采用类比监测的方式。</w:t>
      </w:r>
    </w:p>
    <w:p w14:paraId="689EBA34">
      <w:pPr>
        <w:spacing w:line="360" w:lineRule="auto"/>
        <w:ind w:firstLine="480" w:firstLineChars="200"/>
        <w:rPr>
          <w:sz w:val="24"/>
          <w:lang w:bidi="ar"/>
        </w:rPr>
      </w:pPr>
      <w:r>
        <w:rPr>
          <w:sz w:val="24"/>
          <w:lang w:bidi="ar"/>
        </w:rPr>
        <w:t>对于变电站、换流站、开关站、串补站，其评价范围内临近各侧站界的电磁环境敏感目标的电磁环境现状应实测，站界电磁环境现状可实测，也可利用已有的最近3年内的电磁环境现状监测资料，并对电磁环境现状进行评价。电磁环境影响预测应采用类比监测的方式。</w:t>
      </w:r>
    </w:p>
    <w:p w14:paraId="2C5A560D">
      <w:pPr>
        <w:spacing w:line="360" w:lineRule="auto"/>
        <w:ind w:firstLine="480" w:firstLineChars="200"/>
        <w:rPr>
          <w:sz w:val="24"/>
          <w:lang w:bidi="ar"/>
        </w:rPr>
      </w:pPr>
      <w:r>
        <w:rPr>
          <w:sz w:val="24"/>
          <w:lang w:bidi="ar"/>
        </w:rPr>
        <w:t>本次环评对</w:t>
      </w:r>
      <w:r>
        <w:rPr>
          <w:bCs/>
          <w:sz w:val="24"/>
          <w:lang w:bidi="ar"/>
        </w:rPr>
        <w:t>110kV</w:t>
      </w:r>
      <w:r>
        <w:rPr>
          <w:sz w:val="24"/>
          <w:lang w:bidi="ar"/>
        </w:rPr>
        <w:t>输电线路电磁环境现状采用现状实测数据进行评价；运营期输电线路电磁环境影响预测采用《环境影响评价技术导则输变电》（HJ24-2020）附录C、D推荐的计算模式对输电线路的工频电场、磁场进行模式计算预测和类比监测结合的方式，并根据评价标准进行评价。</w:t>
      </w:r>
    </w:p>
    <w:p w14:paraId="20A3FF8D">
      <w:pPr>
        <w:pStyle w:val="39"/>
        <w:keepNext/>
        <w:keepLines/>
        <w:widowControl w:val="0"/>
        <w:spacing w:before="120" w:beforeLines="50" w:beforeAutospacing="0" w:after="0" w:afterAutospacing="0" w:line="360" w:lineRule="auto"/>
        <w:jc w:val="both"/>
        <w:rPr>
          <w:rFonts w:ascii="Times New Roman" w:hAnsi="Times New Roman"/>
          <w:b/>
          <w:kern w:val="44"/>
          <w:sz w:val="30"/>
          <w:szCs w:val="30"/>
          <w:lang w:bidi="ar"/>
        </w:rPr>
      </w:pPr>
      <w:bookmarkStart w:id="275" w:name="_Toc18691"/>
      <w:bookmarkStart w:id="276" w:name="_Toc19343"/>
      <w:bookmarkStart w:id="277" w:name="_Toc15215"/>
      <w:bookmarkStart w:id="278" w:name="_Toc7678"/>
      <w:bookmarkStart w:id="279" w:name="_Toc17101558"/>
      <w:bookmarkStart w:id="280" w:name="_Toc227764360"/>
      <w:bookmarkStart w:id="281" w:name="_Toc10132"/>
      <w:bookmarkStart w:id="282" w:name="_Toc30359"/>
      <w:r>
        <w:rPr>
          <w:rFonts w:ascii="Times New Roman" w:hAnsi="Times New Roman"/>
          <w:b/>
          <w:kern w:val="44"/>
          <w:sz w:val="30"/>
          <w:szCs w:val="30"/>
          <w:lang w:bidi="ar"/>
        </w:rPr>
        <w:t>4.7电磁环境保护目标</w:t>
      </w:r>
      <w:bookmarkEnd w:id="275"/>
      <w:bookmarkEnd w:id="276"/>
      <w:bookmarkEnd w:id="277"/>
      <w:bookmarkEnd w:id="278"/>
      <w:bookmarkEnd w:id="279"/>
      <w:bookmarkEnd w:id="280"/>
      <w:bookmarkEnd w:id="281"/>
      <w:bookmarkEnd w:id="282"/>
    </w:p>
    <w:p w14:paraId="5970F406">
      <w:pPr>
        <w:tabs>
          <w:tab w:val="left" w:pos="3240"/>
        </w:tabs>
        <w:spacing w:line="360" w:lineRule="auto"/>
        <w:ind w:firstLine="480" w:firstLineChars="200"/>
        <w:rPr>
          <w:sz w:val="24"/>
        </w:rPr>
      </w:pPr>
      <w:r>
        <w:rPr>
          <w:sz w:val="24"/>
        </w:rPr>
        <w:t>项目输电线路路径选定时已尽量避让沿线村庄等居民聚居地；根据现场调查，本工程线路无包夹环境敏感目标的情况，项目输电线路边导线地面投影外两侧各30m的电磁环境评价范围</w:t>
      </w:r>
      <w:r>
        <w:rPr>
          <w:rFonts w:hint="eastAsia"/>
          <w:sz w:val="24"/>
        </w:rPr>
        <w:t>内分布有环境保护目标1户，本项目电磁环境保护目标见下表。</w:t>
      </w:r>
    </w:p>
    <w:p w14:paraId="26C96673">
      <w:pPr>
        <w:spacing w:before="120" w:beforeLines="50" w:line="360" w:lineRule="auto"/>
        <w:ind w:firstLine="480" w:firstLineChars="200"/>
        <w:jc w:val="center"/>
        <w:rPr>
          <w:rFonts w:eastAsia="黑体"/>
          <w:bCs/>
          <w:sz w:val="24"/>
          <w:lang w:bidi="ar"/>
        </w:rPr>
      </w:pPr>
      <w:r>
        <w:rPr>
          <w:rFonts w:eastAsia="黑体"/>
          <w:bCs/>
          <w:sz w:val="24"/>
          <w:lang w:bidi="ar"/>
        </w:rPr>
        <w:t>表4-4</w:t>
      </w:r>
      <w:r>
        <w:rPr>
          <w:rFonts w:hint="eastAsia" w:eastAsia="黑体"/>
          <w:bCs/>
          <w:sz w:val="24"/>
          <w:lang w:bidi="ar"/>
        </w:rPr>
        <w:t>电磁环境保护目标一览表</w:t>
      </w:r>
    </w:p>
    <w:tbl>
      <w:tblPr>
        <w:tblStyle w:val="279"/>
        <w:tblW w:w="87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559"/>
        <w:gridCol w:w="1418"/>
        <w:gridCol w:w="2977"/>
        <w:gridCol w:w="1275"/>
      </w:tblGrid>
      <w:tr w14:paraId="47584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560" w:type="dxa"/>
            <w:vAlign w:val="center"/>
          </w:tcPr>
          <w:p w14:paraId="7DF7F595">
            <w:pPr>
              <w:autoSpaceDE w:val="0"/>
              <w:autoSpaceDN w:val="0"/>
              <w:jc w:val="center"/>
              <w:rPr>
                <w:lang w:eastAsia="en-US"/>
              </w:rPr>
            </w:pPr>
            <w:r>
              <w:rPr>
                <w:lang w:eastAsia="en-US"/>
              </w:rPr>
              <w:t>保护目标</w:t>
            </w:r>
          </w:p>
        </w:tc>
        <w:tc>
          <w:tcPr>
            <w:tcW w:w="1559" w:type="dxa"/>
            <w:vAlign w:val="center"/>
          </w:tcPr>
          <w:p w14:paraId="2C954BE4">
            <w:pPr>
              <w:autoSpaceDE w:val="0"/>
              <w:autoSpaceDN w:val="0"/>
              <w:jc w:val="center"/>
              <w:rPr>
                <w:lang w:eastAsia="en-US"/>
              </w:rPr>
            </w:pPr>
            <w:r>
              <w:rPr>
                <w:lang w:eastAsia="en-US"/>
              </w:rPr>
              <w:t>方位距离</w:t>
            </w:r>
          </w:p>
        </w:tc>
        <w:tc>
          <w:tcPr>
            <w:tcW w:w="1418" w:type="dxa"/>
            <w:vAlign w:val="center"/>
          </w:tcPr>
          <w:p w14:paraId="768D3FEB">
            <w:pPr>
              <w:autoSpaceDE w:val="0"/>
              <w:autoSpaceDN w:val="0"/>
              <w:jc w:val="center"/>
              <w:rPr>
                <w:lang w:eastAsia="en-US"/>
              </w:rPr>
            </w:pPr>
            <w:r>
              <w:rPr>
                <w:lang w:eastAsia="en-US"/>
              </w:rPr>
              <w:t>最低导线高度</w:t>
            </w:r>
          </w:p>
        </w:tc>
        <w:tc>
          <w:tcPr>
            <w:tcW w:w="2977" w:type="dxa"/>
            <w:vAlign w:val="center"/>
          </w:tcPr>
          <w:p w14:paraId="23DA0F43">
            <w:pPr>
              <w:autoSpaceDE w:val="0"/>
              <w:autoSpaceDN w:val="0"/>
              <w:jc w:val="center"/>
              <w:rPr>
                <w:lang w:eastAsia="zh-CN"/>
              </w:rPr>
            </w:pPr>
            <w:r>
              <w:rPr>
                <w:lang w:eastAsia="zh-CN"/>
              </w:rPr>
              <w:t>评价范围内保护目标特征、功能</w:t>
            </w:r>
          </w:p>
        </w:tc>
        <w:tc>
          <w:tcPr>
            <w:tcW w:w="1275" w:type="dxa"/>
            <w:vAlign w:val="center"/>
          </w:tcPr>
          <w:p w14:paraId="28D67BCE">
            <w:pPr>
              <w:autoSpaceDE w:val="0"/>
              <w:autoSpaceDN w:val="0"/>
              <w:jc w:val="center"/>
              <w:rPr>
                <w:lang w:eastAsia="en-US"/>
              </w:rPr>
            </w:pPr>
            <w:r>
              <w:rPr>
                <w:lang w:eastAsia="en-US"/>
              </w:rPr>
              <w:t>保护要求</w:t>
            </w:r>
          </w:p>
        </w:tc>
      </w:tr>
      <w:tr w14:paraId="03401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560" w:type="dxa"/>
            <w:vAlign w:val="center"/>
          </w:tcPr>
          <w:p w14:paraId="046B86C2">
            <w:pPr>
              <w:autoSpaceDE w:val="0"/>
              <w:autoSpaceDN w:val="0"/>
              <w:jc w:val="center"/>
              <w:rPr>
                <w:lang w:eastAsia="en-US"/>
              </w:rPr>
            </w:pPr>
            <w:r>
              <w:rPr>
                <w:lang w:eastAsia="en-US"/>
              </w:rPr>
              <w:t>S204公路附近居民</w:t>
            </w:r>
          </w:p>
        </w:tc>
        <w:tc>
          <w:tcPr>
            <w:tcW w:w="1559" w:type="dxa"/>
            <w:vAlign w:val="center"/>
          </w:tcPr>
          <w:p w14:paraId="7FD3D65F">
            <w:pPr>
              <w:autoSpaceDE w:val="0"/>
              <w:autoSpaceDN w:val="0"/>
              <w:jc w:val="center"/>
              <w:rPr>
                <w:lang w:eastAsia="zh-CN"/>
              </w:rPr>
            </w:pPr>
            <w:r>
              <w:rPr>
                <w:lang w:eastAsia="zh-CN"/>
              </w:rPr>
              <w:t>N7塔基东南侧</w:t>
            </w:r>
            <w:r>
              <w:rPr>
                <w:rFonts w:hint="eastAsia"/>
                <w:lang w:eastAsia="zh-CN"/>
              </w:rPr>
              <w:t>1</w:t>
            </w:r>
            <w:r>
              <w:rPr>
                <w:lang w:eastAsia="zh-CN"/>
              </w:rPr>
              <w:t>00</w:t>
            </w:r>
            <w:r>
              <w:rPr>
                <w:rFonts w:hint="eastAsia"/>
                <w:lang w:eastAsia="zh-CN"/>
              </w:rPr>
              <w:t>m</w:t>
            </w:r>
            <w:r>
              <w:rPr>
                <w:lang w:eastAsia="zh-CN"/>
              </w:rPr>
              <w:t>，距线路中心约37m</w:t>
            </w:r>
            <w:r>
              <w:rPr>
                <w:rFonts w:hint="eastAsia"/>
                <w:lang w:eastAsia="zh-CN"/>
              </w:rPr>
              <w:t>，距边导线约3</w:t>
            </w:r>
            <w:r>
              <w:rPr>
                <w:lang w:eastAsia="zh-CN"/>
              </w:rPr>
              <w:t>0</w:t>
            </w:r>
            <w:r>
              <w:rPr>
                <w:rFonts w:hint="eastAsia"/>
                <w:lang w:eastAsia="zh-CN"/>
              </w:rPr>
              <w:t>m</w:t>
            </w:r>
          </w:p>
        </w:tc>
        <w:tc>
          <w:tcPr>
            <w:tcW w:w="1418" w:type="dxa"/>
            <w:vAlign w:val="center"/>
          </w:tcPr>
          <w:p w14:paraId="6A577AE2">
            <w:pPr>
              <w:autoSpaceDE w:val="0"/>
              <w:autoSpaceDN w:val="0"/>
              <w:jc w:val="center"/>
              <w:rPr>
                <w:lang w:eastAsia="en-US"/>
              </w:rPr>
            </w:pPr>
            <w:r>
              <w:rPr>
                <w:lang w:eastAsia="en-US"/>
              </w:rPr>
              <w:t>不低于7m（平行排列）</w:t>
            </w:r>
          </w:p>
        </w:tc>
        <w:tc>
          <w:tcPr>
            <w:tcW w:w="2977" w:type="dxa"/>
            <w:vAlign w:val="center"/>
          </w:tcPr>
          <w:p w14:paraId="0949F838">
            <w:pPr>
              <w:autoSpaceDE w:val="0"/>
              <w:autoSpaceDN w:val="0"/>
              <w:jc w:val="center"/>
              <w:rPr>
                <w:lang w:eastAsia="zh-CN"/>
              </w:rPr>
            </w:pPr>
            <w:r>
              <w:rPr>
                <w:lang w:eastAsia="zh-CN"/>
              </w:rPr>
              <w:t>1户，无人居住，自建房，砖结构，平顶， 3层，高约9m</w:t>
            </w:r>
          </w:p>
        </w:tc>
        <w:tc>
          <w:tcPr>
            <w:tcW w:w="1275" w:type="dxa"/>
            <w:tcBorders>
              <w:top w:val="nil"/>
            </w:tcBorders>
            <w:vAlign w:val="center"/>
          </w:tcPr>
          <w:p w14:paraId="75C4355C">
            <w:pPr>
              <w:autoSpaceDE w:val="0"/>
              <w:autoSpaceDN w:val="0"/>
              <w:jc w:val="center"/>
              <w:rPr>
                <w:lang w:eastAsia="en-US"/>
              </w:rPr>
            </w:pPr>
            <w:r>
              <w:rPr>
                <w:lang w:eastAsia="en-US"/>
              </w:rPr>
              <w:t>EB</w:t>
            </w:r>
          </w:p>
        </w:tc>
      </w:tr>
    </w:tbl>
    <w:p w14:paraId="636F230E">
      <w:pPr>
        <w:pStyle w:val="2"/>
        <w:spacing w:before="0" w:after="0" w:line="360" w:lineRule="auto"/>
        <w:ind w:right="0"/>
      </w:pPr>
      <w:r>
        <w:t>注：</w:t>
      </w:r>
      <w:r>
        <w:rPr>
          <w:rFonts w:hint="eastAsia" w:ascii="宋体" w:hAnsi="宋体" w:cs="宋体"/>
        </w:rPr>
        <w:t>①</w:t>
      </w:r>
      <w:r>
        <w:t>本工程环境保护目标是根据当前设计阶段提供的路径调查确定，方位及最近距离也是根据当前设计阶段提供的路径估算，均可能随工程的不断深化而变化，建议下阶段进一步优化设计线路走线，尽量让线路远离居民敏感目标；</w:t>
      </w:r>
      <w:r>
        <w:rPr>
          <w:rFonts w:hint="eastAsia" w:ascii="宋体" w:hAnsi="宋体" w:cs="宋体"/>
        </w:rPr>
        <w:t>②</w:t>
      </w:r>
      <w:r>
        <w:t>E—工频电场强度，B—工频磁感应强度；E、B 执行《电磁环境控制限值》中公众曝露电场强度 4kV/m、磁感应强度 100μT 的要求。</w:t>
      </w:r>
    </w:p>
    <w:p w14:paraId="2D14EE11">
      <w:pPr>
        <w:tabs>
          <w:tab w:val="left" w:pos="3240"/>
        </w:tabs>
        <w:spacing w:line="360" w:lineRule="auto"/>
        <w:ind w:firstLine="480" w:firstLineChars="200"/>
        <w:rPr>
          <w:sz w:val="24"/>
        </w:rPr>
      </w:pPr>
      <w:r>
        <w:rPr>
          <w:sz w:val="24"/>
        </w:rPr>
        <w:br w:type="page"/>
      </w:r>
    </w:p>
    <w:p w14:paraId="42F59B76">
      <w:pPr>
        <w:pStyle w:val="39"/>
        <w:widowControl w:val="0"/>
        <w:spacing w:before="0" w:beforeAutospacing="0" w:after="0" w:afterAutospacing="0" w:line="360" w:lineRule="auto"/>
        <w:outlineLvl w:val="1"/>
        <w:rPr>
          <w:rFonts w:ascii="Times New Roman" w:hAnsi="Times New Roman"/>
        </w:rPr>
      </w:pPr>
      <w:bookmarkStart w:id="283" w:name="_Toc12499"/>
      <w:bookmarkStart w:id="284" w:name="_Toc6376"/>
      <w:bookmarkStart w:id="285" w:name="_Toc17362"/>
      <w:bookmarkStart w:id="286" w:name="_Toc9020"/>
      <w:bookmarkStart w:id="287" w:name="_Toc227764361"/>
      <w:bookmarkStart w:id="288" w:name="_Toc225953000"/>
      <w:bookmarkStart w:id="289" w:name="_Toc12704"/>
      <w:bookmarkStart w:id="290" w:name="_Toc10992"/>
      <w:r>
        <w:rPr>
          <w:rFonts w:ascii="Times New Roman" w:hAnsi="Times New Roman"/>
          <w:b/>
          <w:kern w:val="44"/>
          <w:sz w:val="30"/>
          <w:szCs w:val="30"/>
          <w:lang w:bidi="ar"/>
        </w:rPr>
        <w:t>5、电磁环境影响现状调查与评价</w:t>
      </w:r>
      <w:bookmarkEnd w:id="283"/>
      <w:bookmarkEnd w:id="284"/>
      <w:bookmarkEnd w:id="285"/>
      <w:bookmarkEnd w:id="286"/>
      <w:bookmarkEnd w:id="287"/>
      <w:bookmarkEnd w:id="288"/>
      <w:bookmarkEnd w:id="289"/>
      <w:bookmarkEnd w:id="290"/>
    </w:p>
    <w:p w14:paraId="6359C6B2">
      <w:pPr>
        <w:pStyle w:val="168"/>
        <w:spacing w:before="24" w:beforeLines="10" w:after="24" w:afterLines="10" w:line="360" w:lineRule="auto"/>
        <w:outlineLvl w:val="9"/>
        <w:rPr>
          <w:rFonts w:eastAsia="宋体"/>
          <w:b/>
        </w:rPr>
      </w:pPr>
      <w:bookmarkStart w:id="291" w:name="_Toc10220"/>
      <w:bookmarkStart w:id="292" w:name="_Toc227764362"/>
      <w:bookmarkStart w:id="293" w:name="_Toc20896"/>
      <w:bookmarkStart w:id="294" w:name="_Toc25040"/>
      <w:bookmarkStart w:id="295" w:name="_Toc17650"/>
      <w:bookmarkStart w:id="296" w:name="_Toc4052"/>
      <w:bookmarkStart w:id="297" w:name="_Toc30893"/>
      <w:r>
        <w:rPr>
          <w:rFonts w:eastAsia="宋体"/>
          <w:b/>
        </w:rPr>
        <w:t>5.1电磁环境现状监测布点</w:t>
      </w:r>
      <w:bookmarkEnd w:id="291"/>
      <w:bookmarkEnd w:id="292"/>
      <w:bookmarkEnd w:id="293"/>
      <w:bookmarkEnd w:id="294"/>
      <w:bookmarkEnd w:id="295"/>
      <w:bookmarkEnd w:id="296"/>
      <w:bookmarkEnd w:id="297"/>
    </w:p>
    <w:p w14:paraId="062889C9">
      <w:pPr>
        <w:spacing w:line="360" w:lineRule="auto"/>
        <w:ind w:firstLine="480" w:firstLineChars="200"/>
        <w:rPr>
          <w:sz w:val="24"/>
        </w:rPr>
      </w:pPr>
      <w:r>
        <w:rPr>
          <w:sz w:val="24"/>
        </w:rPr>
        <w:t>本次环评在进行现场调查期间，评价人员首先根据设计、建设单位人员介绍本项目输电线路布置方式以及输电线路沿线居民分布情况，然后再会同建设单位人员一起到现场进行踏勘调查，最后根据本项目输电线路的外环境关系及周围居民分布情况确立了具体的电磁环境监测点位。</w:t>
      </w:r>
    </w:p>
    <w:p w14:paraId="5C3AA5CE">
      <w:pPr>
        <w:spacing w:line="360" w:lineRule="auto"/>
        <w:ind w:firstLine="352" w:firstLineChars="147"/>
        <w:rPr>
          <w:sz w:val="24"/>
        </w:rPr>
      </w:pPr>
      <w:r>
        <w:rPr>
          <w:sz w:val="24"/>
        </w:rPr>
        <w:t>监测点位置详见表5-1和附图12。</w:t>
      </w:r>
    </w:p>
    <w:p w14:paraId="50F7BC1B">
      <w:pPr>
        <w:spacing w:line="360" w:lineRule="auto"/>
        <w:ind w:firstLine="352" w:firstLineChars="147"/>
        <w:jc w:val="center"/>
        <w:rPr>
          <w:rFonts w:eastAsia="黑体"/>
          <w:bCs/>
          <w:sz w:val="24"/>
        </w:rPr>
      </w:pPr>
      <w:r>
        <w:rPr>
          <w:rFonts w:eastAsia="黑体"/>
          <w:bCs/>
          <w:sz w:val="24"/>
        </w:rPr>
        <w:t>表5-1项目电磁环境监测点位布设一览表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1383"/>
        <w:gridCol w:w="817"/>
        <w:gridCol w:w="1984"/>
        <w:gridCol w:w="1418"/>
        <w:gridCol w:w="2205"/>
      </w:tblGrid>
      <w:tr w14:paraId="4AEB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B701D38">
            <w:pPr>
              <w:pStyle w:val="43"/>
              <w:spacing w:after="0"/>
              <w:ind w:firstLine="0" w:firstLineChars="0"/>
              <w:jc w:val="center"/>
              <w:rPr>
                <w:b/>
                <w:szCs w:val="21"/>
              </w:rPr>
            </w:pPr>
            <w:r>
              <w:rPr>
                <w:szCs w:val="21"/>
              </w:rPr>
              <w:t>编号</w:t>
            </w:r>
          </w:p>
        </w:tc>
        <w:tc>
          <w:tcPr>
            <w:tcW w:w="1383" w:type="dxa"/>
            <w:shd w:val="clear" w:color="auto" w:fill="auto"/>
            <w:vAlign w:val="center"/>
          </w:tcPr>
          <w:p w14:paraId="371DAF22">
            <w:pPr>
              <w:pStyle w:val="43"/>
              <w:spacing w:after="0"/>
              <w:ind w:firstLine="0" w:firstLineChars="0"/>
              <w:jc w:val="center"/>
              <w:rPr>
                <w:b/>
                <w:szCs w:val="21"/>
              </w:rPr>
            </w:pPr>
            <w:r>
              <w:rPr>
                <w:szCs w:val="21"/>
              </w:rPr>
              <w:t>点位名称</w:t>
            </w:r>
          </w:p>
        </w:tc>
        <w:tc>
          <w:tcPr>
            <w:tcW w:w="817" w:type="dxa"/>
            <w:shd w:val="clear" w:color="auto" w:fill="auto"/>
            <w:vAlign w:val="center"/>
          </w:tcPr>
          <w:p w14:paraId="08D47143">
            <w:pPr>
              <w:pStyle w:val="43"/>
              <w:spacing w:after="0"/>
              <w:ind w:firstLine="0" w:firstLineChars="0"/>
              <w:jc w:val="center"/>
              <w:rPr>
                <w:b/>
                <w:szCs w:val="21"/>
              </w:rPr>
            </w:pPr>
            <w:r>
              <w:rPr>
                <w:szCs w:val="21"/>
              </w:rPr>
              <w:t>与</w:t>
            </w:r>
            <w:r>
              <w:rPr>
                <w:rFonts w:hint="eastAsia"/>
                <w:szCs w:val="21"/>
              </w:rPr>
              <w:t>项目</w:t>
            </w:r>
            <w:r>
              <w:rPr>
                <w:szCs w:val="21"/>
              </w:rPr>
              <w:t>位置关系</w:t>
            </w:r>
          </w:p>
        </w:tc>
        <w:tc>
          <w:tcPr>
            <w:tcW w:w="1984" w:type="dxa"/>
            <w:shd w:val="clear" w:color="auto" w:fill="auto"/>
            <w:vAlign w:val="center"/>
          </w:tcPr>
          <w:p w14:paraId="5909DCDF">
            <w:pPr>
              <w:pStyle w:val="43"/>
              <w:spacing w:after="0"/>
              <w:ind w:firstLine="0" w:firstLineChars="0"/>
              <w:jc w:val="center"/>
              <w:rPr>
                <w:b/>
                <w:szCs w:val="21"/>
              </w:rPr>
            </w:pPr>
            <w:r>
              <w:rPr>
                <w:szCs w:val="21"/>
              </w:rPr>
              <w:t>地理坐标</w:t>
            </w:r>
          </w:p>
        </w:tc>
        <w:tc>
          <w:tcPr>
            <w:tcW w:w="1418" w:type="dxa"/>
            <w:shd w:val="clear" w:color="auto" w:fill="auto"/>
            <w:vAlign w:val="center"/>
          </w:tcPr>
          <w:p w14:paraId="6A6B466E">
            <w:pPr>
              <w:pStyle w:val="43"/>
              <w:spacing w:after="0"/>
              <w:ind w:firstLine="0" w:firstLineChars="0"/>
              <w:jc w:val="center"/>
              <w:rPr>
                <w:b/>
                <w:szCs w:val="21"/>
              </w:rPr>
            </w:pPr>
            <w:r>
              <w:rPr>
                <w:szCs w:val="21"/>
              </w:rPr>
              <w:t>备注</w:t>
            </w:r>
          </w:p>
        </w:tc>
        <w:tc>
          <w:tcPr>
            <w:tcW w:w="2205" w:type="dxa"/>
            <w:shd w:val="clear" w:color="auto" w:fill="auto"/>
            <w:vAlign w:val="center"/>
          </w:tcPr>
          <w:p w14:paraId="3079C79F">
            <w:pPr>
              <w:pStyle w:val="43"/>
              <w:spacing w:after="0"/>
              <w:ind w:firstLine="0" w:firstLineChars="0"/>
              <w:jc w:val="center"/>
              <w:rPr>
                <w:b/>
                <w:szCs w:val="21"/>
              </w:rPr>
            </w:pPr>
            <w:r>
              <w:rPr>
                <w:rFonts w:hint="eastAsia"/>
                <w:szCs w:val="21"/>
              </w:rPr>
              <w:t>执行标准</w:t>
            </w:r>
          </w:p>
        </w:tc>
      </w:tr>
      <w:tr w14:paraId="43B5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9F7BA41">
            <w:pPr>
              <w:widowControl/>
              <w:textAlignment w:val="center"/>
            </w:pPr>
            <w:r>
              <w:rPr>
                <w:color w:val="000000"/>
                <w:kern w:val="0"/>
                <w:lang w:bidi="ar"/>
              </w:rPr>
              <w:t>1</w:t>
            </w:r>
            <w:r>
              <w:rPr>
                <w:rStyle w:val="90"/>
                <w:lang w:bidi="ar"/>
              </w:rPr>
              <w:t>#</w:t>
            </w:r>
          </w:p>
        </w:tc>
        <w:tc>
          <w:tcPr>
            <w:tcW w:w="1383" w:type="dxa"/>
            <w:shd w:val="clear" w:color="auto" w:fill="auto"/>
            <w:vAlign w:val="center"/>
          </w:tcPr>
          <w:p w14:paraId="0FB130F3">
            <w:pPr>
              <w:pStyle w:val="43"/>
              <w:spacing w:after="0"/>
              <w:ind w:firstLine="0" w:firstLineChars="0"/>
              <w:jc w:val="center"/>
              <w:rPr>
                <w:b/>
                <w:szCs w:val="21"/>
              </w:rPr>
            </w:pPr>
            <w:r>
              <w:rPr>
                <w:szCs w:val="21"/>
              </w:rPr>
              <w:t>新建</w:t>
            </w:r>
            <w:r>
              <w:rPr>
                <w:rFonts w:hint="eastAsia"/>
                <w:szCs w:val="21"/>
              </w:rPr>
              <w:t>11</w:t>
            </w:r>
            <w:r>
              <w:rPr>
                <w:szCs w:val="21"/>
              </w:rPr>
              <w:t>0kV升压站站址中心</w:t>
            </w:r>
          </w:p>
        </w:tc>
        <w:tc>
          <w:tcPr>
            <w:tcW w:w="817" w:type="dxa"/>
            <w:shd w:val="clear" w:color="auto" w:fill="auto"/>
            <w:vAlign w:val="center"/>
          </w:tcPr>
          <w:p w14:paraId="1BAF8BE2">
            <w:pPr>
              <w:pStyle w:val="43"/>
              <w:spacing w:after="0"/>
              <w:ind w:firstLine="0" w:firstLineChars="0"/>
              <w:jc w:val="center"/>
              <w:rPr>
                <w:b/>
                <w:szCs w:val="21"/>
              </w:rPr>
            </w:pPr>
            <w:r>
              <w:rPr>
                <w:rFonts w:hint="eastAsia"/>
                <w:szCs w:val="21"/>
              </w:rPr>
              <w:t>起点处</w:t>
            </w:r>
          </w:p>
        </w:tc>
        <w:tc>
          <w:tcPr>
            <w:tcW w:w="1984" w:type="dxa"/>
            <w:shd w:val="clear" w:color="auto" w:fill="auto"/>
            <w:vAlign w:val="center"/>
          </w:tcPr>
          <w:p w14:paraId="47F5D0DE">
            <w:pPr>
              <w:pStyle w:val="43"/>
              <w:spacing w:after="0"/>
              <w:ind w:firstLine="0" w:firstLineChars="0"/>
              <w:jc w:val="center"/>
              <w:rPr>
                <w:b/>
                <w:szCs w:val="21"/>
              </w:rPr>
            </w:pPr>
            <w:r>
              <w:rPr>
                <w:szCs w:val="21"/>
              </w:rPr>
              <w:t>E:</w:t>
            </w:r>
            <w:r>
              <w:t xml:space="preserve"> </w:t>
            </w:r>
            <w:r>
              <w:rPr>
                <w:szCs w:val="21"/>
              </w:rPr>
              <w:t>104°25'21.7456"</w:t>
            </w:r>
          </w:p>
          <w:p w14:paraId="7170FF24">
            <w:pPr>
              <w:pStyle w:val="43"/>
              <w:spacing w:after="0"/>
              <w:ind w:firstLine="0" w:firstLineChars="0"/>
              <w:jc w:val="center"/>
              <w:rPr>
                <w:b/>
                <w:szCs w:val="21"/>
              </w:rPr>
            </w:pPr>
            <w:r>
              <w:rPr>
                <w:szCs w:val="21"/>
              </w:rPr>
              <w:t>N:</w:t>
            </w:r>
            <w:r>
              <w:t xml:space="preserve"> </w:t>
            </w:r>
            <w:r>
              <w:rPr>
                <w:szCs w:val="21"/>
              </w:rPr>
              <w:t>25°27'01.0708"</w:t>
            </w:r>
          </w:p>
        </w:tc>
        <w:tc>
          <w:tcPr>
            <w:tcW w:w="1418" w:type="dxa"/>
            <w:shd w:val="clear" w:color="auto" w:fill="auto"/>
            <w:vAlign w:val="center"/>
          </w:tcPr>
          <w:p w14:paraId="16F8F34E">
            <w:pPr>
              <w:pStyle w:val="43"/>
              <w:spacing w:after="0"/>
              <w:ind w:firstLine="0" w:firstLineChars="0"/>
              <w:jc w:val="center"/>
              <w:rPr>
                <w:b/>
                <w:szCs w:val="21"/>
              </w:rPr>
            </w:pPr>
            <w:r>
              <w:rPr>
                <w:rFonts w:hint="eastAsia"/>
                <w:szCs w:val="21"/>
              </w:rPr>
              <w:t>南冲风电场新建升压站</w:t>
            </w:r>
          </w:p>
        </w:tc>
        <w:tc>
          <w:tcPr>
            <w:tcW w:w="2205" w:type="dxa"/>
            <w:vMerge w:val="restart"/>
            <w:shd w:val="clear" w:color="auto" w:fill="auto"/>
            <w:vAlign w:val="center"/>
          </w:tcPr>
          <w:p w14:paraId="679AA81D">
            <w:pPr>
              <w:jc w:val="center"/>
            </w:pPr>
            <w:r>
              <w:t>①工频电场限值</w:t>
            </w:r>
          </w:p>
          <w:p w14:paraId="333043E4">
            <w:pPr>
              <w:jc w:val="center"/>
            </w:pPr>
            <w:r>
              <w:t>根据《电磁环境控制限值》（GB8702-2014），工频电场强度公众曝露控制限值为4kV/m。</w:t>
            </w:r>
          </w:p>
          <w:p w14:paraId="5DA9561F">
            <w:pPr>
              <w:jc w:val="center"/>
            </w:pPr>
            <w:r>
              <w:t>②工频磁场限值</w:t>
            </w:r>
          </w:p>
          <w:p w14:paraId="4459CA5D">
            <w:pPr>
              <w:jc w:val="center"/>
            </w:pPr>
            <w:r>
              <w:t>根据《电磁环境控制限值》（GB8702-2014），工频磁感应强度公众暴露控制限值为100μT。</w:t>
            </w:r>
          </w:p>
        </w:tc>
      </w:tr>
      <w:tr w14:paraId="5ECD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7FB6EF0">
            <w:pPr>
              <w:widowControl/>
              <w:textAlignment w:val="center"/>
              <w:rPr>
                <w:color w:val="000000"/>
                <w:kern w:val="0"/>
                <w:lang w:bidi="ar"/>
              </w:rPr>
            </w:pPr>
            <w:r>
              <w:rPr>
                <w:kern w:val="0"/>
              </w:rPr>
              <w:t>2</w:t>
            </w:r>
            <w:r>
              <w:rPr>
                <w:rStyle w:val="90"/>
                <w:lang w:bidi="ar"/>
              </w:rPr>
              <w:t>#</w:t>
            </w:r>
          </w:p>
        </w:tc>
        <w:tc>
          <w:tcPr>
            <w:tcW w:w="1383" w:type="dxa"/>
            <w:shd w:val="clear" w:color="auto" w:fill="auto"/>
            <w:vAlign w:val="center"/>
          </w:tcPr>
          <w:p w14:paraId="23DBB100">
            <w:pPr>
              <w:pStyle w:val="43"/>
              <w:spacing w:after="0"/>
              <w:ind w:firstLine="0" w:firstLineChars="0"/>
              <w:jc w:val="center"/>
              <w:rPr>
                <w:b/>
                <w:szCs w:val="21"/>
              </w:rPr>
            </w:pPr>
            <w:r>
              <w:rPr>
                <w:rFonts w:hint="eastAsia"/>
                <w:szCs w:val="21"/>
              </w:rPr>
              <w:t>铜厂变</w:t>
            </w:r>
          </w:p>
        </w:tc>
        <w:tc>
          <w:tcPr>
            <w:tcW w:w="817" w:type="dxa"/>
            <w:shd w:val="clear" w:color="auto" w:fill="auto"/>
            <w:vAlign w:val="center"/>
          </w:tcPr>
          <w:p w14:paraId="3E220F3D">
            <w:pPr>
              <w:pStyle w:val="43"/>
              <w:spacing w:after="0"/>
              <w:ind w:firstLine="0" w:firstLineChars="0"/>
              <w:jc w:val="center"/>
              <w:rPr>
                <w:b/>
                <w:szCs w:val="21"/>
              </w:rPr>
            </w:pPr>
            <w:r>
              <w:rPr>
                <w:rFonts w:hint="eastAsia"/>
                <w:szCs w:val="21"/>
              </w:rPr>
              <w:t>西部</w:t>
            </w:r>
          </w:p>
        </w:tc>
        <w:tc>
          <w:tcPr>
            <w:tcW w:w="1984" w:type="dxa"/>
            <w:shd w:val="clear" w:color="auto" w:fill="auto"/>
            <w:vAlign w:val="center"/>
          </w:tcPr>
          <w:p w14:paraId="3BAF6084">
            <w:pPr>
              <w:pStyle w:val="43"/>
              <w:spacing w:after="0"/>
              <w:ind w:firstLine="0" w:firstLineChars="0"/>
              <w:jc w:val="center"/>
              <w:rPr>
                <w:b/>
                <w:szCs w:val="21"/>
              </w:rPr>
            </w:pPr>
            <w:r>
              <w:rPr>
                <w:szCs w:val="21"/>
              </w:rPr>
              <w:t>E:</w:t>
            </w:r>
            <w:r>
              <w:t xml:space="preserve"> </w:t>
            </w:r>
            <w:r>
              <w:rPr>
                <w:szCs w:val="21"/>
              </w:rPr>
              <w:t>104°22'41.5056"</w:t>
            </w:r>
          </w:p>
          <w:p w14:paraId="52167B1F">
            <w:pPr>
              <w:pStyle w:val="43"/>
              <w:spacing w:after="0"/>
              <w:ind w:firstLine="0" w:firstLineChars="0"/>
              <w:jc w:val="center"/>
              <w:rPr>
                <w:b/>
                <w:szCs w:val="21"/>
              </w:rPr>
            </w:pPr>
            <w:r>
              <w:rPr>
                <w:szCs w:val="21"/>
              </w:rPr>
              <w:t>N:</w:t>
            </w:r>
            <w:r>
              <w:t xml:space="preserve"> </w:t>
            </w:r>
            <w:r>
              <w:rPr>
                <w:szCs w:val="21"/>
              </w:rPr>
              <w:t>25°26'54.9884"</w:t>
            </w:r>
          </w:p>
        </w:tc>
        <w:tc>
          <w:tcPr>
            <w:tcW w:w="1418" w:type="dxa"/>
            <w:shd w:val="clear" w:color="auto" w:fill="auto"/>
            <w:vAlign w:val="center"/>
          </w:tcPr>
          <w:p w14:paraId="437E45EE">
            <w:pPr>
              <w:pStyle w:val="43"/>
              <w:spacing w:after="0"/>
              <w:ind w:firstLine="0" w:firstLineChars="0"/>
              <w:jc w:val="center"/>
              <w:rPr>
                <w:b/>
                <w:szCs w:val="21"/>
              </w:rPr>
            </w:pPr>
            <w:r>
              <w:rPr>
                <w:rFonts w:hint="eastAsia"/>
                <w:szCs w:val="21"/>
              </w:rPr>
              <w:t>拟接入升压站</w:t>
            </w:r>
          </w:p>
        </w:tc>
        <w:tc>
          <w:tcPr>
            <w:tcW w:w="2205" w:type="dxa"/>
            <w:vMerge w:val="continue"/>
            <w:shd w:val="clear" w:color="auto" w:fill="auto"/>
            <w:vAlign w:val="center"/>
          </w:tcPr>
          <w:p w14:paraId="5E4D83FD">
            <w:pPr>
              <w:jc w:val="center"/>
            </w:pPr>
          </w:p>
        </w:tc>
      </w:tr>
      <w:tr w14:paraId="785F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BE21297">
            <w:pPr>
              <w:widowControl/>
              <w:textAlignment w:val="center"/>
              <w:rPr>
                <w:kern w:val="0"/>
              </w:rPr>
            </w:pPr>
            <w:r>
              <w:rPr>
                <w:rFonts w:hint="eastAsia"/>
                <w:kern w:val="0"/>
              </w:rPr>
              <w:t>3</w:t>
            </w:r>
            <w:r>
              <w:rPr>
                <w:kern w:val="0"/>
              </w:rPr>
              <w:t>#</w:t>
            </w:r>
          </w:p>
        </w:tc>
        <w:tc>
          <w:tcPr>
            <w:tcW w:w="1383" w:type="dxa"/>
            <w:shd w:val="clear" w:color="auto" w:fill="auto"/>
            <w:vAlign w:val="center"/>
          </w:tcPr>
          <w:p w14:paraId="7AEFEF43">
            <w:pPr>
              <w:pStyle w:val="43"/>
              <w:spacing w:after="0"/>
              <w:ind w:firstLine="0" w:firstLineChars="0"/>
              <w:jc w:val="center"/>
              <w:rPr>
                <w:b/>
                <w:szCs w:val="21"/>
              </w:rPr>
            </w:pPr>
            <w:r>
              <w:rPr>
                <w:rFonts w:hint="eastAsia"/>
                <w:szCs w:val="21"/>
              </w:rPr>
              <w:t>S204公路附近居民</w:t>
            </w:r>
          </w:p>
        </w:tc>
        <w:tc>
          <w:tcPr>
            <w:tcW w:w="817" w:type="dxa"/>
            <w:shd w:val="clear" w:color="auto" w:fill="auto"/>
            <w:vAlign w:val="center"/>
          </w:tcPr>
          <w:p w14:paraId="61BAD752">
            <w:pPr>
              <w:pStyle w:val="43"/>
              <w:spacing w:after="0"/>
              <w:ind w:firstLine="0" w:firstLineChars="0"/>
              <w:jc w:val="center"/>
              <w:rPr>
                <w:b/>
                <w:szCs w:val="21"/>
              </w:rPr>
            </w:pPr>
            <w:r>
              <w:rPr>
                <w:rFonts w:hint="eastAsia"/>
                <w:szCs w:val="21"/>
              </w:rPr>
              <w:t>终点处</w:t>
            </w:r>
          </w:p>
        </w:tc>
        <w:tc>
          <w:tcPr>
            <w:tcW w:w="1984" w:type="dxa"/>
            <w:shd w:val="clear" w:color="auto" w:fill="auto"/>
            <w:vAlign w:val="center"/>
          </w:tcPr>
          <w:p w14:paraId="57E359E7">
            <w:pPr>
              <w:pStyle w:val="43"/>
              <w:spacing w:after="0"/>
              <w:ind w:firstLine="0" w:firstLineChars="0"/>
              <w:jc w:val="center"/>
              <w:rPr>
                <w:b/>
                <w:szCs w:val="21"/>
              </w:rPr>
            </w:pPr>
            <w:r>
              <w:rPr>
                <w:szCs w:val="21"/>
              </w:rPr>
              <w:t>E:</w:t>
            </w:r>
            <w:r>
              <w:t xml:space="preserve"> </w:t>
            </w:r>
            <w:r>
              <w:rPr>
                <w:szCs w:val="21"/>
              </w:rPr>
              <w:t>104°24'36.4432"</w:t>
            </w:r>
          </w:p>
          <w:p w14:paraId="47FCC916">
            <w:pPr>
              <w:pStyle w:val="43"/>
              <w:spacing w:after="0"/>
              <w:ind w:firstLine="0" w:firstLineChars="0"/>
              <w:jc w:val="center"/>
              <w:rPr>
                <w:b/>
                <w:szCs w:val="21"/>
              </w:rPr>
            </w:pPr>
            <w:r>
              <w:rPr>
                <w:szCs w:val="21"/>
              </w:rPr>
              <w:t>N:</w:t>
            </w:r>
            <w:r>
              <w:t xml:space="preserve"> </w:t>
            </w:r>
            <w:r>
              <w:rPr>
                <w:szCs w:val="21"/>
              </w:rPr>
              <w:t>25°26'41.3648"</w:t>
            </w:r>
          </w:p>
        </w:tc>
        <w:tc>
          <w:tcPr>
            <w:tcW w:w="1418" w:type="dxa"/>
            <w:shd w:val="clear" w:color="auto" w:fill="auto"/>
            <w:vAlign w:val="center"/>
          </w:tcPr>
          <w:p w14:paraId="47BB267C">
            <w:pPr>
              <w:pStyle w:val="43"/>
              <w:spacing w:after="0"/>
              <w:ind w:firstLine="0" w:firstLineChars="0"/>
              <w:jc w:val="center"/>
              <w:rPr>
                <w:b/>
                <w:szCs w:val="21"/>
              </w:rPr>
            </w:pPr>
            <w:r>
              <w:rPr>
                <w:rFonts w:hint="eastAsia"/>
                <w:szCs w:val="21"/>
              </w:rPr>
              <w:t>居民点</w:t>
            </w:r>
          </w:p>
        </w:tc>
        <w:tc>
          <w:tcPr>
            <w:tcW w:w="2205" w:type="dxa"/>
            <w:vMerge w:val="continue"/>
            <w:shd w:val="clear" w:color="auto" w:fill="auto"/>
            <w:vAlign w:val="center"/>
          </w:tcPr>
          <w:p w14:paraId="71C0468D">
            <w:pPr>
              <w:jc w:val="center"/>
            </w:pPr>
          </w:p>
        </w:tc>
      </w:tr>
    </w:tbl>
    <w:p w14:paraId="1F72AB9E">
      <w:pPr>
        <w:pStyle w:val="168"/>
        <w:spacing w:before="24" w:beforeLines="10" w:after="24" w:afterLines="10" w:line="360" w:lineRule="auto"/>
        <w:outlineLvl w:val="9"/>
        <w:rPr>
          <w:rFonts w:eastAsia="宋体"/>
          <w:b/>
        </w:rPr>
      </w:pPr>
      <w:bookmarkStart w:id="298" w:name="_Toc227764363"/>
      <w:r>
        <w:rPr>
          <w:rFonts w:eastAsia="宋体"/>
          <w:b/>
        </w:rPr>
        <w:t>5.2监测</w:t>
      </w:r>
      <w:r>
        <w:rPr>
          <w:rFonts w:hint="eastAsia" w:eastAsia="宋体"/>
          <w:b/>
        </w:rPr>
        <w:t>环境</w:t>
      </w:r>
      <w:bookmarkEnd w:id="298"/>
    </w:p>
    <w:p w14:paraId="19A53B18">
      <w:pPr>
        <w:spacing w:line="360" w:lineRule="auto"/>
        <w:jc w:val="center"/>
        <w:rPr>
          <w:rFonts w:eastAsia="黑体"/>
          <w:sz w:val="24"/>
        </w:rPr>
      </w:pPr>
      <w:r>
        <w:rPr>
          <w:rFonts w:eastAsia="黑体"/>
          <w:sz w:val="24"/>
        </w:rPr>
        <w:t>表5-2监测期间气象条件</w:t>
      </w:r>
    </w:p>
    <w:tbl>
      <w:tblPr>
        <w:tblStyle w:val="279"/>
        <w:tblW w:w="8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70"/>
        <w:gridCol w:w="1399"/>
        <w:gridCol w:w="6019"/>
      </w:tblGrid>
      <w:tr w14:paraId="126A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restart"/>
            <w:vAlign w:val="center"/>
          </w:tcPr>
          <w:p w14:paraId="298314A4">
            <w:pPr>
              <w:pStyle w:val="26"/>
              <w:autoSpaceDE w:val="0"/>
              <w:autoSpaceDN w:val="0"/>
              <w:spacing w:line="240" w:lineRule="auto"/>
              <w:jc w:val="center"/>
              <w:rPr>
                <w:rFonts w:ascii="Times New Roman" w:hAnsi="Times New Roman"/>
                <w:b/>
                <w:bCs/>
                <w:color w:val="000000" w:themeColor="text1"/>
                <w:kern w:val="2"/>
                <w:sz w:val="21"/>
                <w:lang w:eastAsia="zh-CN"/>
                <w14:textFill>
                  <w14:solidFill>
                    <w14:schemeClr w14:val="tx1"/>
                  </w14:solidFill>
                </w14:textFill>
              </w:rPr>
            </w:pPr>
            <w:bookmarkStart w:id="299" w:name="_Toc5965"/>
            <w:bookmarkStart w:id="300" w:name="_Toc29421"/>
            <w:bookmarkStart w:id="301" w:name="_Toc19273"/>
            <w:bookmarkStart w:id="302" w:name="_Toc10587"/>
            <w:bookmarkStart w:id="303" w:name="_Toc665"/>
            <w:bookmarkStart w:id="304" w:name="_Toc17418"/>
            <w:r>
              <w:rPr>
                <w:rFonts w:hint="eastAsia" w:ascii="Times New Roman" w:hAnsi="Times New Roman"/>
                <w:b/>
                <w:bCs/>
                <w:color w:val="000000" w:themeColor="text1"/>
                <w:sz w:val="21"/>
                <w:lang w:eastAsia="zh-CN"/>
                <w14:textFill>
                  <w14:solidFill>
                    <w14:schemeClr w14:val="tx1"/>
                  </w14:solidFill>
                </w14:textFill>
              </w:rPr>
              <w:t>环境条件</w:t>
            </w:r>
          </w:p>
        </w:tc>
        <w:tc>
          <w:tcPr>
            <w:tcW w:w="805" w:type="pct"/>
            <w:vAlign w:val="center"/>
          </w:tcPr>
          <w:p w14:paraId="24BB8F7A">
            <w:pPr>
              <w:pStyle w:val="283"/>
              <w:autoSpaceDE w:val="0"/>
              <w:autoSpaceDN w:val="0"/>
              <w:jc w:val="center"/>
              <w:rPr>
                <w:rFonts w:ascii="Times New Roman" w:hAnsi="Times New Roman" w:eastAsia="Times New Roman" w:cs="Times New Roman"/>
                <w:sz w:val="21"/>
                <w:szCs w:val="21"/>
                <w:lang w:eastAsia="zh-CN"/>
              </w:rPr>
            </w:pPr>
            <w:r>
              <w:rPr>
                <w:rFonts w:hint="eastAsia" w:ascii="Times New Roman" w:hAnsi="Times New Roman" w:cs="Times New Roman"/>
                <w:sz w:val="21"/>
                <w:szCs w:val="21"/>
                <w:lang w:eastAsia="zh-CN"/>
              </w:rPr>
              <w:t>监测日期</w:t>
            </w:r>
          </w:p>
        </w:tc>
        <w:tc>
          <w:tcPr>
            <w:tcW w:w="3464" w:type="pct"/>
            <w:vAlign w:val="center"/>
          </w:tcPr>
          <w:p w14:paraId="4A7C0221">
            <w:pPr>
              <w:pStyle w:val="283"/>
              <w:autoSpaceDE w:val="0"/>
              <w:autoSpaceDN w:val="0"/>
              <w:rPr>
                <w:rFonts w:ascii="Times New Roman" w:hAnsi="Times New Roman" w:cs="Times New Roman"/>
                <w:sz w:val="21"/>
                <w:szCs w:val="21"/>
                <w:lang w:eastAsia="zh-CN"/>
              </w:rPr>
            </w:pPr>
            <w:r>
              <w:rPr>
                <w:rFonts w:ascii="Times New Roman" w:hAnsi="Times New Roman" w:cs="Times New Roman"/>
                <w:sz w:val="21"/>
                <w:szCs w:val="21"/>
                <w:lang w:eastAsia="zh-CN"/>
              </w:rPr>
              <w:t>2025</w:t>
            </w:r>
            <w:r>
              <w:rPr>
                <w:rFonts w:hint="eastAsia" w:ascii="Times New Roman" w:hAnsi="Times New Roman" w:cs="Times New Roman"/>
                <w:sz w:val="21"/>
                <w:szCs w:val="21"/>
                <w:lang w:eastAsia="zh-CN"/>
              </w:rPr>
              <w:t>年</w:t>
            </w:r>
            <w:r>
              <w:rPr>
                <w:rFonts w:ascii="Times New Roman" w:hAnsi="Times New Roman" w:cs="Times New Roman"/>
                <w:sz w:val="21"/>
                <w:szCs w:val="21"/>
                <w:lang w:eastAsia="zh-CN"/>
              </w:rPr>
              <w:t>11</w:t>
            </w:r>
            <w:r>
              <w:rPr>
                <w:rFonts w:hint="eastAsia" w:ascii="Times New Roman" w:hAnsi="Times New Roman" w:cs="Times New Roman"/>
                <w:sz w:val="21"/>
                <w:szCs w:val="21"/>
                <w:lang w:eastAsia="zh-CN"/>
              </w:rPr>
              <w:t>月</w:t>
            </w:r>
            <w:r>
              <w:rPr>
                <w:rFonts w:ascii="Times New Roman" w:hAnsi="Times New Roman" w:cs="Times New Roman"/>
                <w:sz w:val="21"/>
                <w:szCs w:val="21"/>
                <w:lang w:eastAsia="zh-CN"/>
              </w:rPr>
              <w:t>20</w:t>
            </w:r>
            <w:r>
              <w:rPr>
                <w:rFonts w:hint="eastAsia" w:ascii="Times New Roman" w:hAnsi="Times New Roman" w:cs="Times New Roman"/>
                <w:sz w:val="21"/>
                <w:szCs w:val="21"/>
                <w:lang w:eastAsia="zh-CN"/>
              </w:rPr>
              <w:t>日</w:t>
            </w:r>
            <w:r>
              <w:rPr>
                <w:rFonts w:ascii="Times New Roman" w:hAnsi="Times New Roman" w:cs="Times New Roman"/>
                <w:sz w:val="21"/>
                <w:szCs w:val="21"/>
                <w:lang w:eastAsia="zh-CN"/>
              </w:rPr>
              <w:t>-2025</w:t>
            </w:r>
            <w:r>
              <w:rPr>
                <w:rFonts w:hint="eastAsia" w:ascii="Times New Roman" w:hAnsi="Times New Roman" w:cs="Times New Roman"/>
                <w:sz w:val="21"/>
                <w:szCs w:val="21"/>
                <w:lang w:eastAsia="zh-CN"/>
              </w:rPr>
              <w:t>年</w:t>
            </w:r>
            <w:r>
              <w:rPr>
                <w:rFonts w:ascii="Times New Roman" w:hAnsi="Times New Roman" w:cs="Times New Roman"/>
                <w:sz w:val="21"/>
                <w:szCs w:val="21"/>
                <w:lang w:eastAsia="zh-CN"/>
              </w:rPr>
              <w:t>11</w:t>
            </w:r>
            <w:r>
              <w:rPr>
                <w:rFonts w:hint="eastAsia" w:ascii="Times New Roman" w:hAnsi="Times New Roman" w:cs="Times New Roman"/>
                <w:sz w:val="21"/>
                <w:szCs w:val="21"/>
                <w:lang w:eastAsia="zh-CN"/>
              </w:rPr>
              <w:t>月</w:t>
            </w:r>
            <w:r>
              <w:rPr>
                <w:rFonts w:ascii="Times New Roman" w:hAnsi="Times New Roman" w:cs="Times New Roman"/>
                <w:sz w:val="21"/>
                <w:szCs w:val="21"/>
                <w:lang w:eastAsia="zh-CN"/>
              </w:rPr>
              <w:t>22</w:t>
            </w:r>
            <w:r>
              <w:rPr>
                <w:rFonts w:hint="eastAsia" w:ascii="Times New Roman" w:hAnsi="Times New Roman" w:cs="Times New Roman"/>
                <w:sz w:val="21"/>
                <w:szCs w:val="21"/>
                <w:lang w:eastAsia="zh-CN"/>
              </w:rPr>
              <w:t>日</w:t>
            </w:r>
          </w:p>
        </w:tc>
      </w:tr>
      <w:tr w14:paraId="672D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31" w:type="pct"/>
            <w:vMerge w:val="continue"/>
            <w:vAlign w:val="center"/>
          </w:tcPr>
          <w:p w14:paraId="199A5ED7">
            <w:pPr>
              <w:widowControl/>
              <w:autoSpaceDE w:val="0"/>
              <w:autoSpaceDN w:val="0"/>
              <w:jc w:val="left"/>
              <w:rPr>
                <w:b/>
                <w:bCs/>
                <w:color w:val="000000" w:themeColor="text1"/>
                <w:lang w:eastAsia="zh-CN"/>
                <w14:textFill>
                  <w14:solidFill>
                    <w14:schemeClr w14:val="tx1"/>
                  </w14:solidFill>
                </w14:textFill>
              </w:rPr>
            </w:pPr>
          </w:p>
        </w:tc>
        <w:tc>
          <w:tcPr>
            <w:tcW w:w="805" w:type="pct"/>
            <w:vAlign w:val="center"/>
          </w:tcPr>
          <w:p w14:paraId="523519E6">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天气</w:t>
            </w:r>
          </w:p>
        </w:tc>
        <w:tc>
          <w:tcPr>
            <w:tcW w:w="3464" w:type="pct"/>
            <w:vAlign w:val="center"/>
          </w:tcPr>
          <w:p w14:paraId="5A2F6472">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多云</w:t>
            </w:r>
          </w:p>
        </w:tc>
      </w:tr>
      <w:tr w14:paraId="0DB3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4ED8C204">
            <w:pPr>
              <w:widowControl/>
              <w:autoSpaceDE w:val="0"/>
              <w:autoSpaceDN w:val="0"/>
              <w:jc w:val="left"/>
              <w:rPr>
                <w:b/>
                <w:bCs/>
                <w:color w:val="000000" w:themeColor="text1"/>
                <w:lang w:eastAsia="zh-CN"/>
                <w14:textFill>
                  <w14:solidFill>
                    <w14:schemeClr w14:val="tx1"/>
                  </w14:solidFill>
                </w14:textFill>
              </w:rPr>
            </w:pPr>
          </w:p>
        </w:tc>
        <w:tc>
          <w:tcPr>
            <w:tcW w:w="805" w:type="pct"/>
            <w:vAlign w:val="center"/>
          </w:tcPr>
          <w:p w14:paraId="6C97FE4C">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风速</w:t>
            </w:r>
          </w:p>
        </w:tc>
        <w:tc>
          <w:tcPr>
            <w:tcW w:w="3464" w:type="pct"/>
            <w:vAlign w:val="center"/>
          </w:tcPr>
          <w:p w14:paraId="1E03AA90">
            <w:pPr>
              <w:autoSpaceDE w:val="0"/>
              <w:autoSpaceDN w:val="0"/>
              <w:rPr>
                <w:lang w:eastAsia="zh-CN"/>
              </w:rPr>
            </w:pPr>
            <w:r>
              <w:rPr>
                <w:spacing w:val="-5"/>
                <w:lang w:eastAsia="zh-CN" w:bidi="he-IL"/>
              </w:rPr>
              <w:t>0.2-1.6m</w:t>
            </w:r>
            <w:r>
              <w:rPr>
                <w:lang w:eastAsia="zh-CN"/>
              </w:rPr>
              <w:t>/s</w:t>
            </w:r>
          </w:p>
        </w:tc>
      </w:tr>
      <w:tr w14:paraId="6D74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2C0673F7">
            <w:pPr>
              <w:widowControl/>
              <w:autoSpaceDE w:val="0"/>
              <w:autoSpaceDN w:val="0"/>
              <w:jc w:val="left"/>
              <w:rPr>
                <w:b/>
                <w:bCs/>
                <w:color w:val="000000" w:themeColor="text1"/>
                <w:lang w:eastAsia="zh-CN"/>
                <w14:textFill>
                  <w14:solidFill>
                    <w14:schemeClr w14:val="tx1"/>
                  </w14:solidFill>
                </w14:textFill>
              </w:rPr>
            </w:pPr>
          </w:p>
        </w:tc>
        <w:tc>
          <w:tcPr>
            <w:tcW w:w="805" w:type="pct"/>
            <w:vAlign w:val="center"/>
          </w:tcPr>
          <w:p w14:paraId="0E9B9896">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风向</w:t>
            </w:r>
          </w:p>
        </w:tc>
        <w:tc>
          <w:tcPr>
            <w:tcW w:w="3464" w:type="pct"/>
            <w:vAlign w:val="center"/>
          </w:tcPr>
          <w:p w14:paraId="02395B68">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东南风</w:t>
            </w:r>
          </w:p>
        </w:tc>
      </w:tr>
      <w:tr w14:paraId="2656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246D6203">
            <w:pPr>
              <w:widowControl/>
              <w:autoSpaceDE w:val="0"/>
              <w:autoSpaceDN w:val="0"/>
              <w:jc w:val="left"/>
              <w:rPr>
                <w:b/>
                <w:bCs/>
                <w:color w:val="000000" w:themeColor="text1"/>
                <w:lang w:eastAsia="zh-CN"/>
                <w14:textFill>
                  <w14:solidFill>
                    <w14:schemeClr w14:val="tx1"/>
                  </w14:solidFill>
                </w14:textFill>
              </w:rPr>
            </w:pPr>
          </w:p>
        </w:tc>
        <w:tc>
          <w:tcPr>
            <w:tcW w:w="805" w:type="pct"/>
            <w:vAlign w:val="center"/>
          </w:tcPr>
          <w:p w14:paraId="1355E3E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温湿度</w:t>
            </w:r>
          </w:p>
        </w:tc>
        <w:tc>
          <w:tcPr>
            <w:tcW w:w="3464" w:type="pct"/>
            <w:vAlign w:val="center"/>
          </w:tcPr>
          <w:p w14:paraId="61160F4E">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sz w:val="21"/>
                <w:szCs w:val="21"/>
                <w:lang w:eastAsia="zh-CN"/>
              </w:rPr>
              <w:t>环境温度：</w:t>
            </w:r>
            <w:r>
              <w:rPr>
                <w:rFonts w:ascii="Times New Roman" w:hAnsi="Times New Roman" w:cs="Times New Roman"/>
                <w:sz w:val="21"/>
                <w:szCs w:val="21"/>
                <w:lang w:eastAsia="zh-CN"/>
              </w:rPr>
              <w:t xml:space="preserve">16.3-29.2℃   </w:t>
            </w:r>
            <w:r>
              <w:rPr>
                <w:rFonts w:hint="eastAsia" w:ascii="Times New Roman" w:hAnsi="Times New Roman" w:cs="Times New Roman"/>
                <w:sz w:val="21"/>
                <w:szCs w:val="21"/>
                <w:lang w:eastAsia="zh-CN"/>
              </w:rPr>
              <w:t>相对湿度：</w:t>
            </w:r>
            <w:r>
              <w:rPr>
                <w:rFonts w:ascii="Times New Roman" w:hAnsi="Times New Roman" w:cs="Times New Roman"/>
                <w:sz w:val="21"/>
                <w:szCs w:val="21"/>
                <w:lang w:eastAsia="zh-CN"/>
              </w:rPr>
              <w:t>61.2%-73.1%RH</w:t>
            </w:r>
          </w:p>
        </w:tc>
      </w:tr>
      <w:tr w14:paraId="413F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4D822623">
            <w:pPr>
              <w:widowControl/>
              <w:autoSpaceDE w:val="0"/>
              <w:autoSpaceDN w:val="0"/>
              <w:jc w:val="left"/>
              <w:rPr>
                <w:b/>
                <w:bCs/>
                <w:color w:val="000000" w:themeColor="text1"/>
                <w:lang w:eastAsia="zh-CN"/>
                <w14:textFill>
                  <w14:solidFill>
                    <w14:schemeClr w14:val="tx1"/>
                  </w14:solidFill>
                </w14:textFill>
              </w:rPr>
            </w:pPr>
          </w:p>
        </w:tc>
        <w:tc>
          <w:tcPr>
            <w:tcW w:w="805" w:type="pct"/>
            <w:vAlign w:val="center"/>
          </w:tcPr>
          <w:p w14:paraId="14FDF23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sz w:val="21"/>
                <w:szCs w:val="21"/>
                <w:lang w:eastAsia="zh-CN"/>
              </w:rPr>
              <w:t>大气压</w:t>
            </w:r>
          </w:p>
        </w:tc>
        <w:tc>
          <w:tcPr>
            <w:tcW w:w="3464" w:type="pct"/>
            <w:vAlign w:val="center"/>
          </w:tcPr>
          <w:p w14:paraId="6D431315">
            <w:pPr>
              <w:pStyle w:val="283"/>
              <w:autoSpaceDE w:val="0"/>
              <w:autoSpaceDN w:val="0"/>
              <w:rPr>
                <w:rFonts w:ascii="Times New Roman" w:hAnsi="Times New Roman" w:cs="Times New Roman"/>
                <w:sz w:val="21"/>
                <w:szCs w:val="21"/>
                <w:lang w:eastAsia="zh-CN"/>
              </w:rPr>
            </w:pPr>
            <w:r>
              <w:rPr>
                <w:rFonts w:ascii="Times New Roman" w:hAnsi="Times New Roman" w:cs="Times New Roman"/>
                <w:sz w:val="21"/>
                <w:szCs w:val="21"/>
                <w:lang w:eastAsia="zh-CN"/>
              </w:rPr>
              <w:t>80.2-80.4kPa</w:t>
            </w:r>
          </w:p>
        </w:tc>
      </w:tr>
      <w:tr w14:paraId="77A9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restart"/>
            <w:vAlign w:val="center"/>
          </w:tcPr>
          <w:p w14:paraId="4CCC8C14">
            <w:pPr>
              <w:pStyle w:val="26"/>
              <w:autoSpaceDE w:val="0"/>
              <w:autoSpaceDN w:val="0"/>
              <w:spacing w:line="240" w:lineRule="auto"/>
              <w:jc w:val="center"/>
              <w:rPr>
                <w:rFonts w:ascii="Times New Roman" w:hAnsi="Times New Roman"/>
                <w:b/>
                <w:bCs/>
                <w:color w:val="000000" w:themeColor="text1"/>
                <w:kern w:val="2"/>
                <w:sz w:val="21"/>
                <w:lang w:eastAsia="zh-CN"/>
                <w14:textFill>
                  <w14:solidFill>
                    <w14:schemeClr w14:val="tx1"/>
                  </w14:solidFill>
                </w14:textFill>
              </w:rPr>
            </w:pPr>
            <w:r>
              <w:rPr>
                <w:rFonts w:hint="eastAsia" w:ascii="Times New Roman" w:hAnsi="Times New Roman"/>
                <w:b/>
                <w:bCs/>
                <w:color w:val="000000" w:themeColor="text1"/>
                <w:sz w:val="21"/>
                <w:lang w:eastAsia="zh-CN"/>
                <w14:textFill>
                  <w14:solidFill>
                    <w14:schemeClr w14:val="tx1"/>
                  </w14:solidFill>
                </w14:textFill>
              </w:rPr>
              <w:t>环境条件</w:t>
            </w:r>
          </w:p>
        </w:tc>
        <w:tc>
          <w:tcPr>
            <w:tcW w:w="805" w:type="pct"/>
            <w:tcBorders>
              <w:top w:val="single" w:color="000000" w:sz="2" w:space="0"/>
              <w:left w:val="single" w:color="000000" w:sz="2" w:space="0"/>
              <w:bottom w:val="single" w:color="000000" w:sz="2" w:space="0"/>
              <w:right w:val="single" w:color="auto" w:sz="4" w:space="0"/>
            </w:tcBorders>
            <w:vAlign w:val="center"/>
          </w:tcPr>
          <w:p w14:paraId="5E26C80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14:textFill>
                  <w14:solidFill>
                    <w14:schemeClr w14:val="tx1"/>
                  </w14:solidFill>
                </w14:textFill>
              </w:rPr>
              <w:t>监测日期</w:t>
            </w:r>
          </w:p>
        </w:tc>
        <w:tc>
          <w:tcPr>
            <w:tcW w:w="3464" w:type="pct"/>
            <w:tcBorders>
              <w:top w:val="single" w:color="000000" w:sz="2" w:space="0"/>
              <w:left w:val="single" w:color="auto" w:sz="4" w:space="0"/>
              <w:bottom w:val="single" w:color="000000" w:sz="2" w:space="0"/>
              <w:right w:val="single" w:color="000000" w:sz="2" w:space="0"/>
            </w:tcBorders>
            <w:vAlign w:val="center"/>
          </w:tcPr>
          <w:p w14:paraId="10D5DDC4">
            <w:pPr>
              <w:pStyle w:val="283"/>
              <w:autoSpaceDE w:val="0"/>
              <w:autoSpaceDN w:val="0"/>
              <w:rPr>
                <w:rFonts w:ascii="Times New Roman" w:hAnsi="Times New Roman" w:cs="Times New Roman"/>
                <w:sz w:val="21"/>
                <w:szCs w:val="21"/>
                <w:lang w:eastAsia="zh-CN"/>
              </w:rPr>
            </w:pPr>
            <w:r>
              <w:rPr>
                <w:rFonts w:ascii="Times New Roman" w:hAnsi="Times New Roman" w:cs="Times New Roman"/>
                <w:color w:val="000000" w:themeColor="text1"/>
                <w:sz w:val="21"/>
                <w:szCs w:val="21"/>
                <w:lang w:eastAsia="zh-CN"/>
                <w14:textFill>
                  <w14:solidFill>
                    <w14:schemeClr w14:val="tx1"/>
                  </w14:solidFill>
                </w14:textFill>
              </w:rPr>
              <w:t>2026</w:t>
            </w:r>
            <w:r>
              <w:rPr>
                <w:rFonts w:hint="eastAsia" w:ascii="Times New Roman" w:hAnsi="Times New Roman" w:cs="Times New Roman"/>
                <w:color w:val="000000" w:themeColor="text1"/>
                <w:sz w:val="21"/>
                <w:szCs w:val="21"/>
                <w:lang w:eastAsia="zh-CN"/>
                <w14:textFill>
                  <w14:solidFill>
                    <w14:schemeClr w14:val="tx1"/>
                  </w14:solidFill>
                </w14:textFill>
              </w:rPr>
              <w:t>年</w:t>
            </w:r>
            <w:r>
              <w:rPr>
                <w:rFonts w:ascii="Times New Roman" w:hAnsi="Times New Roman" w:cs="Times New Roman"/>
                <w:color w:val="000000" w:themeColor="text1"/>
                <w:sz w:val="21"/>
                <w:szCs w:val="21"/>
                <w:lang w:eastAsia="zh-CN"/>
                <w14:textFill>
                  <w14:solidFill>
                    <w14:schemeClr w14:val="tx1"/>
                  </w14:solidFill>
                </w14:textFill>
              </w:rPr>
              <w:t>03</w:t>
            </w:r>
            <w:r>
              <w:rPr>
                <w:rFonts w:hint="eastAsia" w:ascii="Times New Roman" w:hAnsi="Times New Roman" w:cs="Times New Roman"/>
                <w:color w:val="000000" w:themeColor="text1"/>
                <w:sz w:val="21"/>
                <w:szCs w:val="21"/>
                <w:lang w:eastAsia="zh-CN"/>
                <w14:textFill>
                  <w14:solidFill>
                    <w14:schemeClr w14:val="tx1"/>
                  </w14:solidFill>
                </w14:textFill>
              </w:rPr>
              <w:t>月</w:t>
            </w:r>
            <w:r>
              <w:rPr>
                <w:rFonts w:ascii="Times New Roman" w:hAnsi="Times New Roman" w:cs="Times New Roman"/>
                <w:color w:val="000000" w:themeColor="text1"/>
                <w:sz w:val="21"/>
                <w:szCs w:val="21"/>
                <w:lang w:eastAsia="zh-CN"/>
                <w14:textFill>
                  <w14:solidFill>
                    <w14:schemeClr w14:val="tx1"/>
                  </w14:solidFill>
                </w14:textFill>
              </w:rPr>
              <w:t>11</w:t>
            </w:r>
            <w:r>
              <w:rPr>
                <w:rFonts w:hint="eastAsia" w:ascii="Times New Roman" w:hAnsi="Times New Roman" w:cs="Times New Roman"/>
                <w:color w:val="000000" w:themeColor="text1"/>
                <w:sz w:val="21"/>
                <w:szCs w:val="21"/>
                <w:lang w:eastAsia="zh-CN"/>
                <w14:textFill>
                  <w14:solidFill>
                    <w14:schemeClr w14:val="tx1"/>
                  </w14:solidFill>
                </w14:textFill>
              </w:rPr>
              <w:t>日</w:t>
            </w:r>
            <w:r>
              <w:rPr>
                <w:rFonts w:ascii="Times New Roman" w:hAnsi="Times New Roman" w:cs="Times New Roman"/>
                <w:color w:val="000000" w:themeColor="text1"/>
                <w:sz w:val="21"/>
                <w:szCs w:val="21"/>
                <w:lang w:eastAsia="zh-CN"/>
                <w14:textFill>
                  <w14:solidFill>
                    <w14:schemeClr w14:val="tx1"/>
                  </w14:solidFill>
                </w14:textFill>
              </w:rPr>
              <w:t>-2026</w:t>
            </w:r>
            <w:r>
              <w:rPr>
                <w:rFonts w:hint="eastAsia" w:ascii="Times New Roman" w:hAnsi="Times New Roman" w:cs="Times New Roman"/>
                <w:color w:val="000000" w:themeColor="text1"/>
                <w:sz w:val="21"/>
                <w:szCs w:val="21"/>
                <w:lang w:eastAsia="zh-CN"/>
                <w14:textFill>
                  <w14:solidFill>
                    <w14:schemeClr w14:val="tx1"/>
                  </w14:solidFill>
                </w14:textFill>
              </w:rPr>
              <w:t>年</w:t>
            </w:r>
            <w:r>
              <w:rPr>
                <w:rFonts w:ascii="Times New Roman" w:hAnsi="Times New Roman" w:cs="Times New Roman"/>
                <w:color w:val="000000" w:themeColor="text1"/>
                <w:sz w:val="21"/>
                <w:szCs w:val="21"/>
                <w:lang w:eastAsia="zh-CN"/>
                <w14:textFill>
                  <w14:solidFill>
                    <w14:schemeClr w14:val="tx1"/>
                  </w14:solidFill>
                </w14:textFill>
              </w:rPr>
              <w:t>03</w:t>
            </w:r>
            <w:r>
              <w:rPr>
                <w:rFonts w:hint="eastAsia" w:ascii="Times New Roman" w:hAnsi="Times New Roman" w:cs="Times New Roman"/>
                <w:color w:val="000000" w:themeColor="text1"/>
                <w:sz w:val="21"/>
                <w:szCs w:val="21"/>
                <w:lang w:eastAsia="zh-CN"/>
                <w14:textFill>
                  <w14:solidFill>
                    <w14:schemeClr w14:val="tx1"/>
                  </w14:solidFill>
                </w14:textFill>
              </w:rPr>
              <w:t>月</w:t>
            </w:r>
            <w:r>
              <w:rPr>
                <w:rFonts w:ascii="Times New Roman" w:hAnsi="Times New Roman" w:cs="Times New Roman"/>
                <w:color w:val="000000" w:themeColor="text1"/>
                <w:sz w:val="21"/>
                <w:szCs w:val="21"/>
                <w:lang w:eastAsia="zh-CN"/>
                <w14:textFill>
                  <w14:solidFill>
                    <w14:schemeClr w14:val="tx1"/>
                  </w14:solidFill>
                </w14:textFill>
              </w:rPr>
              <w:t>12</w:t>
            </w:r>
            <w:r>
              <w:rPr>
                <w:rFonts w:hint="eastAsia" w:ascii="Times New Roman" w:hAnsi="Times New Roman" w:cs="Times New Roman"/>
                <w:color w:val="000000" w:themeColor="text1"/>
                <w:sz w:val="21"/>
                <w:szCs w:val="21"/>
                <w:lang w:eastAsia="zh-CN"/>
                <w14:textFill>
                  <w14:solidFill>
                    <w14:schemeClr w14:val="tx1"/>
                  </w14:solidFill>
                </w14:textFill>
              </w:rPr>
              <w:t>日</w:t>
            </w:r>
          </w:p>
        </w:tc>
      </w:tr>
      <w:tr w14:paraId="7D8F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3618206E">
            <w:pPr>
              <w:widowControl/>
              <w:autoSpaceDE w:val="0"/>
              <w:autoSpaceDN w:val="0"/>
              <w:jc w:val="left"/>
              <w:rPr>
                <w:b/>
                <w:bCs/>
                <w:color w:val="000000" w:themeColor="text1"/>
                <w:lang w:eastAsia="en-US"/>
                <w14:textFill>
                  <w14:solidFill>
                    <w14:schemeClr w14:val="tx1"/>
                  </w14:solidFill>
                </w14:textFill>
              </w:rPr>
            </w:pPr>
          </w:p>
        </w:tc>
        <w:tc>
          <w:tcPr>
            <w:tcW w:w="805" w:type="pct"/>
            <w:tcBorders>
              <w:top w:val="single" w:color="000000" w:sz="2" w:space="0"/>
              <w:left w:val="single" w:color="000000" w:sz="2" w:space="0"/>
              <w:bottom w:val="single" w:color="000000" w:sz="2" w:space="0"/>
              <w:right w:val="single" w:color="auto" w:sz="4" w:space="0"/>
            </w:tcBorders>
            <w:vAlign w:val="center"/>
          </w:tcPr>
          <w:p w14:paraId="56A0DF2C">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14:textFill>
                  <w14:solidFill>
                    <w14:schemeClr w14:val="tx1"/>
                  </w14:solidFill>
                </w14:textFill>
              </w:rPr>
              <w:t>天气</w:t>
            </w:r>
          </w:p>
        </w:tc>
        <w:tc>
          <w:tcPr>
            <w:tcW w:w="3464" w:type="pct"/>
            <w:tcBorders>
              <w:top w:val="single" w:color="000000" w:sz="2" w:space="0"/>
              <w:left w:val="single" w:color="auto" w:sz="4" w:space="0"/>
              <w:bottom w:val="single" w:color="000000" w:sz="2" w:space="0"/>
              <w:right w:val="single" w:color="000000" w:sz="2" w:space="0"/>
            </w:tcBorders>
            <w:vAlign w:val="center"/>
          </w:tcPr>
          <w:p w14:paraId="749E7233">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阴</w:t>
            </w:r>
          </w:p>
        </w:tc>
      </w:tr>
      <w:tr w14:paraId="37DA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174A9372">
            <w:pPr>
              <w:widowControl/>
              <w:autoSpaceDE w:val="0"/>
              <w:autoSpaceDN w:val="0"/>
              <w:jc w:val="left"/>
              <w:rPr>
                <w:b/>
                <w:bCs/>
                <w:color w:val="000000" w:themeColor="text1"/>
                <w:lang w:eastAsia="en-US"/>
                <w14:textFill>
                  <w14:solidFill>
                    <w14:schemeClr w14:val="tx1"/>
                  </w14:solidFill>
                </w14:textFill>
              </w:rPr>
            </w:pPr>
          </w:p>
        </w:tc>
        <w:tc>
          <w:tcPr>
            <w:tcW w:w="805" w:type="pct"/>
            <w:tcBorders>
              <w:top w:val="single" w:color="000000" w:sz="2" w:space="0"/>
              <w:left w:val="single" w:color="000000" w:sz="2" w:space="0"/>
              <w:bottom w:val="single" w:color="000000" w:sz="2" w:space="0"/>
              <w:right w:val="single" w:color="auto" w:sz="4" w:space="0"/>
            </w:tcBorders>
            <w:vAlign w:val="center"/>
          </w:tcPr>
          <w:p w14:paraId="23074492">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风速</w:t>
            </w:r>
          </w:p>
        </w:tc>
        <w:tc>
          <w:tcPr>
            <w:tcW w:w="3464" w:type="pct"/>
            <w:tcBorders>
              <w:top w:val="single" w:color="000000" w:sz="2" w:space="0"/>
              <w:left w:val="single" w:color="auto" w:sz="4" w:space="0"/>
              <w:bottom w:val="single" w:color="000000" w:sz="2" w:space="0"/>
              <w:right w:val="single" w:color="000000" w:sz="2" w:space="0"/>
            </w:tcBorders>
            <w:vAlign w:val="center"/>
          </w:tcPr>
          <w:p w14:paraId="68DE6BCE">
            <w:pPr>
              <w:pStyle w:val="283"/>
              <w:autoSpaceDE w:val="0"/>
              <w:autoSpaceDN w:val="0"/>
              <w:rPr>
                <w:rFonts w:ascii="Times New Roman" w:hAnsi="Times New Roman" w:cs="Times New Roman"/>
                <w:sz w:val="21"/>
                <w:szCs w:val="21"/>
                <w:lang w:eastAsia="zh-CN"/>
              </w:rPr>
            </w:pPr>
            <w:r>
              <w:rPr>
                <w:rFonts w:ascii="Times New Roman" w:hAnsi="Times New Roman" w:cs="Times New Roman"/>
                <w:color w:val="000000" w:themeColor="text1"/>
                <w:sz w:val="21"/>
                <w:szCs w:val="21"/>
                <w14:textFill>
                  <w14:solidFill>
                    <w14:schemeClr w14:val="tx1"/>
                  </w14:solidFill>
                </w14:textFill>
              </w:rPr>
              <w:t>0.6-1.3m/s</w:t>
            </w:r>
          </w:p>
        </w:tc>
      </w:tr>
      <w:tr w14:paraId="3243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59EDC304">
            <w:pPr>
              <w:widowControl/>
              <w:autoSpaceDE w:val="0"/>
              <w:autoSpaceDN w:val="0"/>
              <w:jc w:val="left"/>
              <w:rPr>
                <w:b/>
                <w:bCs/>
                <w:color w:val="000000" w:themeColor="text1"/>
                <w:lang w:eastAsia="en-US"/>
                <w14:textFill>
                  <w14:solidFill>
                    <w14:schemeClr w14:val="tx1"/>
                  </w14:solidFill>
                </w14:textFill>
              </w:rPr>
            </w:pPr>
          </w:p>
        </w:tc>
        <w:tc>
          <w:tcPr>
            <w:tcW w:w="805" w:type="pct"/>
            <w:tcBorders>
              <w:top w:val="single" w:color="000000" w:sz="2" w:space="0"/>
              <w:left w:val="single" w:color="000000" w:sz="2" w:space="0"/>
              <w:bottom w:val="single" w:color="000000" w:sz="2" w:space="0"/>
              <w:right w:val="single" w:color="auto" w:sz="4" w:space="0"/>
            </w:tcBorders>
            <w:vAlign w:val="center"/>
          </w:tcPr>
          <w:p w14:paraId="115F55AF">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风向</w:t>
            </w:r>
          </w:p>
        </w:tc>
        <w:tc>
          <w:tcPr>
            <w:tcW w:w="3464" w:type="pct"/>
            <w:tcBorders>
              <w:top w:val="single" w:color="000000" w:sz="2" w:space="0"/>
              <w:left w:val="single" w:color="auto" w:sz="4" w:space="0"/>
              <w:bottom w:val="single" w:color="000000" w:sz="2" w:space="0"/>
              <w:right w:val="single" w:color="000000" w:sz="2" w:space="0"/>
            </w:tcBorders>
            <w:vAlign w:val="center"/>
          </w:tcPr>
          <w:p w14:paraId="1166DD43">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东南风</w:t>
            </w:r>
          </w:p>
        </w:tc>
      </w:tr>
      <w:tr w14:paraId="3BC7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5434E5E2">
            <w:pPr>
              <w:widowControl/>
              <w:autoSpaceDE w:val="0"/>
              <w:autoSpaceDN w:val="0"/>
              <w:jc w:val="left"/>
              <w:rPr>
                <w:b/>
                <w:bCs/>
                <w:color w:val="000000" w:themeColor="text1"/>
                <w:lang w:eastAsia="en-US"/>
                <w14:textFill>
                  <w14:solidFill>
                    <w14:schemeClr w14:val="tx1"/>
                  </w14:solidFill>
                </w14:textFill>
              </w:rPr>
            </w:pPr>
          </w:p>
        </w:tc>
        <w:tc>
          <w:tcPr>
            <w:tcW w:w="805" w:type="pct"/>
            <w:tcBorders>
              <w:top w:val="single" w:color="000000" w:sz="2" w:space="0"/>
              <w:left w:val="single" w:color="000000" w:sz="2" w:space="0"/>
              <w:bottom w:val="single" w:color="000000" w:sz="2" w:space="0"/>
              <w:right w:val="single" w:color="auto" w:sz="4" w:space="0"/>
            </w:tcBorders>
            <w:vAlign w:val="center"/>
          </w:tcPr>
          <w:p w14:paraId="0C640305">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温湿度</w:t>
            </w:r>
          </w:p>
        </w:tc>
        <w:tc>
          <w:tcPr>
            <w:tcW w:w="3464" w:type="pct"/>
            <w:tcBorders>
              <w:top w:val="single" w:color="000000" w:sz="2" w:space="0"/>
              <w:left w:val="single" w:color="auto" w:sz="4" w:space="0"/>
              <w:bottom w:val="single" w:color="000000" w:sz="2" w:space="0"/>
              <w:right w:val="single" w:color="000000" w:sz="2" w:space="0"/>
            </w:tcBorders>
            <w:vAlign w:val="center"/>
          </w:tcPr>
          <w:p w14:paraId="73D48A37">
            <w:pPr>
              <w:pStyle w:val="283"/>
              <w:autoSpaceDE w:val="0"/>
              <w:autoSpaceDN w:val="0"/>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环境温度</w:t>
            </w:r>
            <w:r>
              <w:rPr>
                <w:rFonts w:ascii="Times New Roman" w:hAnsi="Times New Roman" w:cs="Times New Roman"/>
                <w:color w:val="000000" w:themeColor="text1"/>
                <w:sz w:val="21"/>
                <w:szCs w:val="21"/>
                <w:lang w:eastAsia="zh-CN"/>
                <w14:textFill>
                  <w14:solidFill>
                    <w14:schemeClr w14:val="tx1"/>
                  </w14:solidFill>
                </w14:textFill>
              </w:rPr>
              <w:t xml:space="preserve">:9.8-15.7℃    </w:t>
            </w:r>
            <w:r>
              <w:rPr>
                <w:rFonts w:hint="eastAsia" w:ascii="Times New Roman" w:hAnsi="Times New Roman" w:cs="Times New Roman"/>
                <w:color w:val="000000" w:themeColor="text1"/>
                <w:sz w:val="21"/>
                <w:szCs w:val="21"/>
                <w:lang w:eastAsia="zh-CN"/>
                <w14:textFill>
                  <w14:solidFill>
                    <w14:schemeClr w14:val="tx1"/>
                  </w14:solidFill>
                </w14:textFill>
              </w:rPr>
              <w:t>相对湿度</w:t>
            </w:r>
            <w:r>
              <w:rPr>
                <w:rFonts w:ascii="Times New Roman" w:hAnsi="Times New Roman" w:cs="Times New Roman"/>
                <w:color w:val="000000" w:themeColor="text1"/>
                <w:sz w:val="21"/>
                <w:szCs w:val="21"/>
                <w:lang w:eastAsia="zh-CN"/>
                <w14:textFill>
                  <w14:solidFill>
                    <w14:schemeClr w14:val="tx1"/>
                  </w14:solidFill>
                </w14:textFill>
              </w:rPr>
              <w:t>:56.1%-63.7%RH</w:t>
            </w:r>
          </w:p>
        </w:tc>
      </w:tr>
      <w:tr w14:paraId="738F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1" w:type="pct"/>
            <w:vMerge w:val="continue"/>
            <w:vAlign w:val="center"/>
          </w:tcPr>
          <w:p w14:paraId="687D16F1">
            <w:pPr>
              <w:widowControl/>
              <w:autoSpaceDE w:val="0"/>
              <w:autoSpaceDN w:val="0"/>
              <w:jc w:val="left"/>
              <w:rPr>
                <w:b/>
                <w:bCs/>
                <w:color w:val="000000" w:themeColor="text1"/>
                <w:lang w:eastAsia="zh-CN"/>
                <w14:textFill>
                  <w14:solidFill>
                    <w14:schemeClr w14:val="tx1"/>
                  </w14:solidFill>
                </w14:textFill>
              </w:rPr>
            </w:pPr>
          </w:p>
        </w:tc>
        <w:tc>
          <w:tcPr>
            <w:tcW w:w="805" w:type="pct"/>
            <w:tcBorders>
              <w:top w:val="single" w:color="000000" w:sz="2" w:space="0"/>
              <w:left w:val="single" w:color="000000" w:sz="2" w:space="0"/>
              <w:bottom w:val="single" w:color="000000" w:sz="2" w:space="0"/>
              <w:right w:val="single" w:color="auto" w:sz="4" w:space="0"/>
            </w:tcBorders>
            <w:vAlign w:val="center"/>
          </w:tcPr>
          <w:p w14:paraId="21E616BC">
            <w:pPr>
              <w:pStyle w:val="283"/>
              <w:autoSpaceDE w:val="0"/>
              <w:autoSpaceDN w:val="0"/>
              <w:jc w:val="center"/>
              <w:rPr>
                <w:rFonts w:ascii="Times New Roman" w:hAnsi="Times New Roman" w:cs="Times New Roman"/>
                <w:sz w:val="21"/>
                <w:szCs w:val="21"/>
                <w:lang w:eastAsia="zh-CN"/>
              </w:rPr>
            </w:pPr>
            <w:r>
              <w:rPr>
                <w:rFonts w:hint="eastAsia" w:ascii="Times New Roman" w:hAnsi="Times New Roman" w:cs="Times New Roman"/>
                <w:color w:val="000000" w:themeColor="text1"/>
                <w:sz w:val="21"/>
                <w:szCs w:val="21"/>
                <w:lang w:eastAsia="zh-CN"/>
                <w14:textFill>
                  <w14:solidFill>
                    <w14:schemeClr w14:val="tx1"/>
                  </w14:solidFill>
                </w14:textFill>
              </w:rPr>
              <w:t>大气压</w:t>
            </w:r>
          </w:p>
        </w:tc>
        <w:tc>
          <w:tcPr>
            <w:tcW w:w="3464" w:type="pct"/>
            <w:tcBorders>
              <w:top w:val="single" w:color="000000" w:sz="2" w:space="0"/>
              <w:left w:val="single" w:color="auto" w:sz="4" w:space="0"/>
              <w:bottom w:val="single" w:color="000000" w:sz="2" w:space="0"/>
              <w:right w:val="single" w:color="000000" w:sz="2" w:space="0"/>
            </w:tcBorders>
            <w:vAlign w:val="center"/>
          </w:tcPr>
          <w:p w14:paraId="1302F574">
            <w:pPr>
              <w:pStyle w:val="283"/>
              <w:autoSpaceDE w:val="0"/>
              <w:autoSpaceDN w:val="0"/>
              <w:rPr>
                <w:rFonts w:ascii="Times New Roman" w:hAnsi="Times New Roman" w:cs="Times New Roman"/>
                <w:sz w:val="21"/>
                <w:szCs w:val="21"/>
                <w:lang w:eastAsia="zh-CN"/>
              </w:rPr>
            </w:pPr>
            <w:r>
              <w:rPr>
                <w:rFonts w:ascii="Times New Roman" w:hAnsi="Times New Roman" w:cs="Times New Roman"/>
                <w:color w:val="000000" w:themeColor="text1"/>
                <w:sz w:val="21"/>
                <w:szCs w:val="21"/>
                <w:lang w:eastAsia="zh-CN"/>
                <w14:textFill>
                  <w14:solidFill>
                    <w14:schemeClr w14:val="tx1"/>
                  </w14:solidFill>
                </w14:textFill>
              </w:rPr>
              <w:t>79.4-79.5kPa</w:t>
            </w:r>
          </w:p>
        </w:tc>
      </w:tr>
    </w:tbl>
    <w:p w14:paraId="73806E01">
      <w:pPr>
        <w:pStyle w:val="168"/>
        <w:spacing w:before="24" w:beforeLines="10" w:after="24" w:afterLines="10" w:line="360" w:lineRule="auto"/>
        <w:outlineLvl w:val="9"/>
        <w:rPr>
          <w:rFonts w:eastAsia="宋体"/>
          <w:b/>
        </w:rPr>
      </w:pPr>
      <w:bookmarkStart w:id="305" w:name="_Toc227764364"/>
      <w:r>
        <w:rPr>
          <w:rFonts w:eastAsia="宋体"/>
          <w:b/>
        </w:rPr>
        <w:t>5.3监测</w:t>
      </w:r>
      <w:r>
        <w:rPr>
          <w:rFonts w:hint="eastAsia" w:eastAsia="宋体"/>
          <w:b/>
        </w:rPr>
        <w:t>方法及仪器</w:t>
      </w:r>
      <w:bookmarkEnd w:id="305"/>
    </w:p>
    <w:p w14:paraId="090C79F0">
      <w:pPr>
        <w:spacing w:line="360" w:lineRule="auto"/>
        <w:jc w:val="center"/>
        <w:rPr>
          <w:rFonts w:eastAsia="黑体"/>
          <w:sz w:val="24"/>
        </w:rPr>
      </w:pPr>
      <w:r>
        <w:rPr>
          <w:rFonts w:eastAsia="黑体"/>
          <w:sz w:val="24"/>
        </w:rPr>
        <w:t>表5-3监测</w:t>
      </w:r>
      <w:r>
        <w:rPr>
          <w:rFonts w:hint="eastAsia" w:eastAsia="黑体"/>
          <w:sz w:val="24"/>
        </w:rPr>
        <w:t>仪器主要参数</w:t>
      </w:r>
    </w:p>
    <w:tbl>
      <w:tblPr>
        <w:tblStyle w:val="45"/>
        <w:tblW w:w="934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26"/>
        <w:gridCol w:w="2127"/>
        <w:gridCol w:w="1984"/>
        <w:gridCol w:w="4111"/>
      </w:tblGrid>
      <w:tr w14:paraId="41DFC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84" w:hRule="exact"/>
          <w:jc w:val="center"/>
        </w:trPr>
        <w:tc>
          <w:tcPr>
            <w:tcW w:w="1126" w:type="dxa"/>
            <w:tcBorders>
              <w:top w:val="single" w:color="auto" w:sz="6" w:space="0"/>
              <w:left w:val="single" w:color="auto" w:sz="6" w:space="0"/>
              <w:bottom w:val="single" w:color="auto" w:sz="6" w:space="0"/>
              <w:right w:val="single" w:color="auto" w:sz="6" w:space="0"/>
            </w:tcBorders>
            <w:vAlign w:val="center"/>
          </w:tcPr>
          <w:p w14:paraId="578702C6">
            <w:pPr>
              <w:jc w:val="center"/>
              <w:rPr>
                <w:b/>
                <w:bCs/>
              </w:rPr>
            </w:pPr>
            <w:r>
              <w:rPr>
                <w:rFonts w:hint="eastAsia"/>
                <w:b/>
                <w:bCs/>
              </w:rPr>
              <w:t>检测项目</w:t>
            </w:r>
          </w:p>
        </w:tc>
        <w:tc>
          <w:tcPr>
            <w:tcW w:w="2127" w:type="dxa"/>
            <w:tcBorders>
              <w:top w:val="single" w:color="auto" w:sz="6" w:space="0"/>
              <w:left w:val="single" w:color="auto" w:sz="6" w:space="0"/>
              <w:bottom w:val="single" w:color="auto" w:sz="6" w:space="0"/>
              <w:right w:val="single" w:color="auto" w:sz="6" w:space="0"/>
            </w:tcBorders>
            <w:vAlign w:val="center"/>
          </w:tcPr>
          <w:p w14:paraId="71823DBE">
            <w:pPr>
              <w:jc w:val="center"/>
              <w:rPr>
                <w:b/>
                <w:bCs/>
              </w:rPr>
            </w:pPr>
            <w:r>
              <w:rPr>
                <w:rFonts w:hint="eastAsia"/>
                <w:b/>
                <w:bCs/>
              </w:rPr>
              <w:t>检测方法依据、标准代号及名称</w:t>
            </w:r>
          </w:p>
        </w:tc>
        <w:tc>
          <w:tcPr>
            <w:tcW w:w="1984" w:type="dxa"/>
            <w:tcBorders>
              <w:top w:val="single" w:color="auto" w:sz="6" w:space="0"/>
              <w:left w:val="single" w:color="auto" w:sz="6" w:space="0"/>
              <w:bottom w:val="single" w:color="auto" w:sz="6" w:space="0"/>
              <w:right w:val="single" w:color="auto" w:sz="6" w:space="0"/>
            </w:tcBorders>
            <w:vAlign w:val="center"/>
          </w:tcPr>
          <w:p w14:paraId="2C879DBB">
            <w:pPr>
              <w:jc w:val="center"/>
              <w:rPr>
                <w:b/>
                <w:bCs/>
              </w:rPr>
            </w:pPr>
            <w:r>
              <w:rPr>
                <w:rFonts w:hint="eastAsia"/>
                <w:b/>
                <w:bCs/>
              </w:rPr>
              <w:t>仪器检出限</w:t>
            </w:r>
          </w:p>
        </w:tc>
        <w:tc>
          <w:tcPr>
            <w:tcW w:w="4111" w:type="dxa"/>
            <w:tcBorders>
              <w:top w:val="single" w:color="auto" w:sz="6" w:space="0"/>
              <w:left w:val="single" w:color="auto" w:sz="6" w:space="0"/>
              <w:bottom w:val="single" w:color="auto" w:sz="6" w:space="0"/>
              <w:right w:val="single" w:color="auto" w:sz="6" w:space="0"/>
            </w:tcBorders>
            <w:vAlign w:val="center"/>
          </w:tcPr>
          <w:p w14:paraId="69BAE493">
            <w:pPr>
              <w:jc w:val="center"/>
              <w:rPr>
                <w:b/>
                <w:bCs/>
              </w:rPr>
            </w:pPr>
            <w:r>
              <w:rPr>
                <w:rFonts w:hint="eastAsia"/>
                <w:b/>
                <w:bCs/>
              </w:rPr>
              <w:t>主要检测仪器设备型号及名称</w:t>
            </w:r>
          </w:p>
        </w:tc>
      </w:tr>
      <w:tr w14:paraId="51953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jc w:val="center"/>
        </w:trPr>
        <w:tc>
          <w:tcPr>
            <w:tcW w:w="1126" w:type="dxa"/>
            <w:tcBorders>
              <w:top w:val="single" w:color="auto" w:sz="6" w:space="0"/>
              <w:left w:val="single" w:color="auto" w:sz="6" w:space="0"/>
              <w:bottom w:val="single" w:color="auto" w:sz="6" w:space="0"/>
              <w:right w:val="single" w:color="auto" w:sz="6" w:space="0"/>
            </w:tcBorders>
            <w:vAlign w:val="center"/>
          </w:tcPr>
          <w:p w14:paraId="41C25475">
            <w:pPr>
              <w:ind w:left="-172" w:leftChars="-82"/>
              <w:jc w:val="center"/>
              <w:rPr>
                <w:b/>
                <w:bCs/>
              </w:rPr>
            </w:pPr>
            <w:r>
              <w:rPr>
                <w:rFonts w:hint="eastAsia"/>
              </w:rPr>
              <w:t>工频电场</w:t>
            </w:r>
          </w:p>
        </w:tc>
        <w:tc>
          <w:tcPr>
            <w:tcW w:w="2127" w:type="dxa"/>
            <w:vMerge w:val="restart"/>
            <w:tcBorders>
              <w:top w:val="single" w:color="auto" w:sz="6" w:space="0"/>
              <w:left w:val="single" w:color="auto" w:sz="6" w:space="0"/>
              <w:bottom w:val="single" w:color="auto" w:sz="6" w:space="0"/>
              <w:right w:val="single" w:color="auto" w:sz="6" w:space="0"/>
            </w:tcBorders>
            <w:vAlign w:val="center"/>
          </w:tcPr>
          <w:p w14:paraId="572EEC1C">
            <w:pPr>
              <w:jc w:val="center"/>
              <w:rPr>
                <w:b/>
                <w:bCs/>
              </w:rPr>
            </w:pPr>
            <w:r>
              <w:rPr>
                <w:rFonts w:hint="eastAsia"/>
              </w:rPr>
              <w:t>《交流输变电工程电磁环境监测方法（试行）》</w:t>
            </w:r>
            <w:r>
              <w:t>HJ 681-2013</w:t>
            </w:r>
          </w:p>
        </w:tc>
        <w:tc>
          <w:tcPr>
            <w:tcW w:w="1984" w:type="dxa"/>
            <w:tcBorders>
              <w:top w:val="single" w:color="auto" w:sz="6" w:space="0"/>
              <w:left w:val="single" w:color="auto" w:sz="6" w:space="0"/>
              <w:bottom w:val="single" w:color="auto" w:sz="6" w:space="0"/>
              <w:right w:val="single" w:color="auto" w:sz="6" w:space="0"/>
            </w:tcBorders>
            <w:vAlign w:val="center"/>
          </w:tcPr>
          <w:p w14:paraId="3E24E5AF">
            <w:pPr>
              <w:jc w:val="center"/>
              <w:rPr>
                <w:b/>
                <w:bCs/>
              </w:rPr>
            </w:pPr>
            <w:r>
              <w:t>0.004V/m</w:t>
            </w:r>
          </w:p>
        </w:tc>
        <w:tc>
          <w:tcPr>
            <w:tcW w:w="4111" w:type="dxa"/>
            <w:vMerge w:val="restart"/>
            <w:tcBorders>
              <w:top w:val="single" w:color="auto" w:sz="6" w:space="0"/>
              <w:left w:val="single" w:color="auto" w:sz="6" w:space="0"/>
              <w:bottom w:val="single" w:color="auto" w:sz="6" w:space="0"/>
              <w:right w:val="single" w:color="auto" w:sz="6" w:space="0"/>
            </w:tcBorders>
            <w:vAlign w:val="center"/>
          </w:tcPr>
          <w:p w14:paraId="288C398D">
            <w:r>
              <w:rPr>
                <w:rFonts w:hint="eastAsia"/>
              </w:rPr>
              <w:t>电磁辐射分析仪</w:t>
            </w:r>
            <w:r>
              <w:t>LF-01D&amp;SEM-600</w:t>
            </w:r>
          </w:p>
          <w:p w14:paraId="26889AEF">
            <w:r>
              <w:rPr>
                <w:rFonts w:hint="eastAsia"/>
              </w:rPr>
              <w:t>仪器编号</w:t>
            </w:r>
            <w:r>
              <w:t>:G-2535/D-2579(KH-126)</w:t>
            </w:r>
          </w:p>
          <w:p w14:paraId="61AC8BF4">
            <w:r>
              <w:rPr>
                <w:rFonts w:hint="eastAsia"/>
              </w:rPr>
              <w:t>检定</w:t>
            </w:r>
            <w:r>
              <w:t>/</w:t>
            </w:r>
            <w:r>
              <w:rPr>
                <w:rFonts w:hint="eastAsia"/>
              </w:rPr>
              <w:t>校准有效期</w:t>
            </w:r>
            <w:r>
              <w:t>:2026</w:t>
            </w:r>
            <w:r>
              <w:rPr>
                <w:rFonts w:hint="eastAsia"/>
              </w:rPr>
              <w:t>年</w:t>
            </w:r>
            <w:r>
              <w:t>09</w:t>
            </w:r>
            <w:r>
              <w:rPr>
                <w:rFonts w:hint="eastAsia"/>
              </w:rPr>
              <w:t>月</w:t>
            </w:r>
            <w:r>
              <w:t>24</w:t>
            </w:r>
            <w:r>
              <w:rPr>
                <w:rFonts w:hint="eastAsia"/>
              </w:rPr>
              <w:t>日</w:t>
            </w:r>
          </w:p>
          <w:p w14:paraId="3381F445">
            <w:r>
              <w:rPr>
                <w:rFonts w:hint="eastAsia"/>
              </w:rPr>
              <w:t>证书编号</w:t>
            </w:r>
            <w:r>
              <w:t>:25J02X009645</w:t>
            </w:r>
          </w:p>
          <w:p w14:paraId="1B84D2BC">
            <w:pPr>
              <w:rPr>
                <w:b/>
                <w:bCs/>
              </w:rPr>
            </w:pPr>
            <w:r>
              <w:rPr>
                <w:rFonts w:hint="eastAsia"/>
              </w:rPr>
              <w:t>检定</w:t>
            </w:r>
            <w:r>
              <w:t>/</w:t>
            </w:r>
            <w:r>
              <w:rPr>
                <w:rFonts w:hint="eastAsia"/>
              </w:rPr>
              <w:t>校准单位</w:t>
            </w:r>
            <w:r>
              <w:t>:</w:t>
            </w:r>
            <w:r>
              <w:rPr>
                <w:rFonts w:hint="eastAsia"/>
              </w:rPr>
              <w:t>中国信息通信研究院泰尔实验室</w:t>
            </w:r>
          </w:p>
        </w:tc>
      </w:tr>
      <w:tr w14:paraId="53F68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0" w:hRule="exact"/>
          <w:jc w:val="center"/>
        </w:trPr>
        <w:tc>
          <w:tcPr>
            <w:tcW w:w="1126" w:type="dxa"/>
            <w:tcBorders>
              <w:top w:val="single" w:color="auto" w:sz="6" w:space="0"/>
              <w:left w:val="single" w:color="auto" w:sz="6" w:space="0"/>
              <w:bottom w:val="single" w:color="auto" w:sz="6" w:space="0"/>
              <w:right w:val="single" w:color="auto" w:sz="6" w:space="0"/>
            </w:tcBorders>
            <w:vAlign w:val="center"/>
          </w:tcPr>
          <w:p w14:paraId="656D0033">
            <w:pPr>
              <w:ind w:left="-172" w:leftChars="-82"/>
              <w:jc w:val="center"/>
              <w:rPr>
                <w:b/>
                <w:bCs/>
              </w:rPr>
            </w:pPr>
            <w:r>
              <w:rPr>
                <w:rFonts w:hint="eastAsia"/>
              </w:rPr>
              <w:t>工频磁场</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21AD8E41">
            <w:pPr>
              <w:widowControl/>
              <w:jc w:val="left"/>
              <w:rPr>
                <w:b/>
                <w:bCs/>
              </w:rPr>
            </w:pPr>
          </w:p>
        </w:tc>
        <w:tc>
          <w:tcPr>
            <w:tcW w:w="1984" w:type="dxa"/>
            <w:tcBorders>
              <w:top w:val="single" w:color="auto" w:sz="6" w:space="0"/>
              <w:left w:val="single" w:color="auto" w:sz="6" w:space="0"/>
              <w:bottom w:val="single" w:color="auto" w:sz="6" w:space="0"/>
              <w:right w:val="single" w:color="auto" w:sz="6" w:space="0"/>
            </w:tcBorders>
            <w:vAlign w:val="center"/>
          </w:tcPr>
          <w:p w14:paraId="1A371268">
            <w:pPr>
              <w:jc w:val="center"/>
              <w:rPr>
                <w:b/>
                <w:bCs/>
              </w:rPr>
            </w:pPr>
            <w:r>
              <w:t>0.0002</w:t>
            </w:r>
            <w:r>
              <w:rPr>
                <w:kern w:val="0"/>
              </w:rPr>
              <w:t>μ</w:t>
            </w:r>
            <w:r>
              <w:t>T</w:t>
            </w:r>
          </w:p>
        </w:tc>
        <w:tc>
          <w:tcPr>
            <w:tcW w:w="0" w:type="auto"/>
            <w:vMerge w:val="continue"/>
            <w:tcBorders>
              <w:top w:val="single" w:color="auto" w:sz="6" w:space="0"/>
              <w:left w:val="single" w:color="auto" w:sz="6" w:space="0"/>
              <w:bottom w:val="single" w:color="auto" w:sz="6" w:space="0"/>
              <w:right w:val="single" w:color="auto" w:sz="6" w:space="0"/>
            </w:tcBorders>
            <w:vAlign w:val="center"/>
          </w:tcPr>
          <w:p w14:paraId="4DC9DB80">
            <w:pPr>
              <w:widowControl/>
              <w:jc w:val="left"/>
              <w:rPr>
                <w:b/>
                <w:bCs/>
              </w:rPr>
            </w:pPr>
          </w:p>
        </w:tc>
      </w:tr>
    </w:tbl>
    <w:p w14:paraId="3A823804">
      <w:pPr>
        <w:pStyle w:val="168"/>
        <w:spacing w:before="20" w:after="20" w:line="360" w:lineRule="auto"/>
        <w:outlineLvl w:val="9"/>
        <w:rPr>
          <w:rFonts w:eastAsia="宋体"/>
          <w:b/>
        </w:rPr>
      </w:pPr>
      <w:bookmarkStart w:id="306" w:name="_Toc227764365"/>
      <w:r>
        <w:rPr>
          <w:rFonts w:eastAsia="宋体"/>
          <w:b/>
        </w:rPr>
        <w:t>5.4电磁环境现状监测结果</w:t>
      </w:r>
      <w:bookmarkEnd w:id="299"/>
      <w:bookmarkEnd w:id="300"/>
      <w:bookmarkEnd w:id="301"/>
      <w:bookmarkEnd w:id="302"/>
      <w:bookmarkEnd w:id="303"/>
      <w:bookmarkEnd w:id="304"/>
      <w:bookmarkEnd w:id="306"/>
    </w:p>
    <w:p w14:paraId="30ABB377">
      <w:pPr>
        <w:spacing w:line="360" w:lineRule="auto"/>
        <w:ind w:firstLine="480" w:firstLineChars="200"/>
        <w:rPr>
          <w:sz w:val="24"/>
        </w:rPr>
      </w:pPr>
      <w:r>
        <w:rPr>
          <w:sz w:val="24"/>
        </w:rPr>
        <w:t>本次电磁环境监测的目的是</w:t>
      </w:r>
      <w:r>
        <w:rPr>
          <w:rFonts w:hint="eastAsia"/>
          <w:sz w:val="24"/>
        </w:rPr>
        <w:t>了</w:t>
      </w:r>
      <w:r>
        <w:rPr>
          <w:sz w:val="24"/>
        </w:rPr>
        <w:t>解项目区电磁环境现状，通过监测得到的电磁环境背景值，对比未来项目建成运营后的电磁环境贡献值分析对居民点的影响程度。监测点位布设见附图12，监测结果见表5-4：</w:t>
      </w:r>
    </w:p>
    <w:p w14:paraId="4610B70B">
      <w:pPr>
        <w:spacing w:line="360" w:lineRule="auto"/>
        <w:ind w:firstLine="480" w:firstLineChars="200"/>
        <w:jc w:val="center"/>
        <w:rPr>
          <w:rFonts w:eastAsia="黑体"/>
          <w:bCs/>
          <w:sz w:val="24"/>
        </w:rPr>
      </w:pPr>
      <w:r>
        <w:rPr>
          <w:rFonts w:eastAsia="黑体"/>
          <w:bCs/>
          <w:sz w:val="24"/>
        </w:rPr>
        <w:t>表5-4工频电场强度、工频磁感应强度现状监测结果</w:t>
      </w:r>
    </w:p>
    <w:tbl>
      <w:tblPr>
        <w:tblStyle w:val="4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3174"/>
        <w:gridCol w:w="1561"/>
        <w:gridCol w:w="1373"/>
        <w:gridCol w:w="1385"/>
      </w:tblGrid>
      <w:tr w14:paraId="72AE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77" w:type="pct"/>
            <w:vMerge w:val="restart"/>
            <w:vAlign w:val="center"/>
          </w:tcPr>
          <w:p w14:paraId="3A5F4B77">
            <w:pPr>
              <w:widowControl/>
              <w:adjustRightInd w:val="0"/>
              <w:snapToGrid w:val="0"/>
              <w:jc w:val="center"/>
              <w:rPr>
                <w:b/>
                <w:bCs/>
              </w:rPr>
            </w:pPr>
            <w:r>
              <w:rPr>
                <w:rFonts w:hint="eastAsia"/>
                <w:b/>
                <w:bCs/>
              </w:rPr>
              <w:t>序号</w:t>
            </w:r>
          </w:p>
        </w:tc>
        <w:tc>
          <w:tcPr>
            <w:tcW w:w="1916" w:type="pct"/>
            <w:vMerge w:val="restart"/>
            <w:vAlign w:val="center"/>
          </w:tcPr>
          <w:p w14:paraId="74DEDA49">
            <w:pPr>
              <w:widowControl/>
              <w:adjustRightInd w:val="0"/>
              <w:snapToGrid w:val="0"/>
              <w:jc w:val="center"/>
              <w:rPr>
                <w:b/>
                <w:bCs/>
              </w:rPr>
            </w:pPr>
            <w:r>
              <w:rPr>
                <w:rFonts w:hint="eastAsia"/>
                <w:b/>
                <w:bCs/>
              </w:rPr>
              <w:t>检测点位</w:t>
            </w:r>
          </w:p>
        </w:tc>
        <w:tc>
          <w:tcPr>
            <w:tcW w:w="942" w:type="pct"/>
            <w:vMerge w:val="restart"/>
            <w:vAlign w:val="center"/>
          </w:tcPr>
          <w:p w14:paraId="24691C5B">
            <w:pPr>
              <w:widowControl/>
              <w:adjustRightInd w:val="0"/>
              <w:snapToGrid w:val="0"/>
              <w:jc w:val="center"/>
              <w:rPr>
                <w:b/>
                <w:bCs/>
              </w:rPr>
            </w:pPr>
            <w:r>
              <w:rPr>
                <w:b/>
                <w:bCs/>
              </w:rPr>
              <w:t>检测日期</w:t>
            </w:r>
          </w:p>
        </w:tc>
        <w:tc>
          <w:tcPr>
            <w:tcW w:w="1666" w:type="pct"/>
            <w:gridSpan w:val="2"/>
            <w:vAlign w:val="center"/>
          </w:tcPr>
          <w:p w14:paraId="6F719005">
            <w:pPr>
              <w:widowControl/>
              <w:adjustRightInd w:val="0"/>
              <w:snapToGrid w:val="0"/>
              <w:jc w:val="center"/>
              <w:rPr>
                <w:b/>
                <w:bCs/>
              </w:rPr>
            </w:pPr>
            <w:r>
              <w:rPr>
                <w:rFonts w:hint="eastAsia" w:cs="宋体"/>
                <w:b/>
                <w:bCs/>
                <w:kern w:val="0"/>
                <w:lang w:bidi="ar"/>
              </w:rPr>
              <w:t>检测结果</w:t>
            </w:r>
          </w:p>
        </w:tc>
      </w:tr>
      <w:tr w14:paraId="197B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77" w:type="pct"/>
            <w:vMerge w:val="continue"/>
            <w:vAlign w:val="center"/>
          </w:tcPr>
          <w:p w14:paraId="3E0CA3E9">
            <w:pPr>
              <w:widowControl/>
              <w:adjustRightInd w:val="0"/>
              <w:snapToGrid w:val="0"/>
              <w:jc w:val="center"/>
            </w:pPr>
          </w:p>
        </w:tc>
        <w:tc>
          <w:tcPr>
            <w:tcW w:w="1916" w:type="pct"/>
            <w:vMerge w:val="continue"/>
            <w:vAlign w:val="center"/>
          </w:tcPr>
          <w:p w14:paraId="05F8F498">
            <w:pPr>
              <w:widowControl/>
              <w:adjustRightInd w:val="0"/>
              <w:snapToGrid w:val="0"/>
              <w:jc w:val="center"/>
            </w:pPr>
          </w:p>
        </w:tc>
        <w:tc>
          <w:tcPr>
            <w:tcW w:w="942" w:type="pct"/>
            <w:vMerge w:val="continue"/>
            <w:vAlign w:val="center"/>
          </w:tcPr>
          <w:p w14:paraId="3ACC219E">
            <w:pPr>
              <w:widowControl/>
              <w:adjustRightInd w:val="0"/>
              <w:snapToGrid w:val="0"/>
              <w:jc w:val="center"/>
            </w:pPr>
          </w:p>
        </w:tc>
        <w:tc>
          <w:tcPr>
            <w:tcW w:w="829" w:type="pct"/>
            <w:vAlign w:val="center"/>
          </w:tcPr>
          <w:p w14:paraId="44327F4B">
            <w:pPr>
              <w:widowControl/>
              <w:adjustRightInd w:val="0"/>
              <w:snapToGrid w:val="0"/>
              <w:jc w:val="center"/>
              <w:rPr>
                <w:b/>
                <w:bCs/>
              </w:rPr>
            </w:pPr>
            <w:r>
              <w:rPr>
                <w:rFonts w:hint="eastAsia" w:cs="宋体"/>
                <w:b/>
                <w:bCs/>
                <w:kern w:val="0"/>
                <w:lang w:bidi="ar"/>
              </w:rPr>
              <w:t>工频电场强度（</w:t>
            </w:r>
            <w:r>
              <w:rPr>
                <w:b/>
                <w:bCs/>
                <w:kern w:val="0"/>
                <w:lang w:bidi="ar"/>
              </w:rPr>
              <w:t>V/m</w:t>
            </w:r>
            <w:r>
              <w:rPr>
                <w:rFonts w:hint="eastAsia" w:cs="宋体"/>
                <w:b/>
                <w:bCs/>
                <w:kern w:val="0"/>
                <w:lang w:bidi="ar"/>
              </w:rPr>
              <w:t>）</w:t>
            </w:r>
          </w:p>
        </w:tc>
        <w:tc>
          <w:tcPr>
            <w:tcW w:w="837" w:type="pct"/>
            <w:vAlign w:val="center"/>
          </w:tcPr>
          <w:p w14:paraId="604A325E">
            <w:pPr>
              <w:widowControl/>
              <w:adjustRightInd w:val="0"/>
              <w:snapToGrid w:val="0"/>
              <w:jc w:val="center"/>
              <w:rPr>
                <w:b/>
                <w:bCs/>
              </w:rPr>
            </w:pPr>
            <w:r>
              <w:rPr>
                <w:rFonts w:hint="eastAsia" w:cs="宋体"/>
                <w:b/>
                <w:bCs/>
                <w:kern w:val="0"/>
                <w:lang w:bidi="ar"/>
              </w:rPr>
              <w:t>工频磁感应强度（</w:t>
            </w:r>
            <w:r>
              <w:rPr>
                <w:rFonts w:cs="宋体"/>
                <w:b/>
                <w:bCs/>
                <w:kern w:val="0"/>
                <w:lang w:bidi="ar"/>
              </w:rPr>
              <w:t>μT</w:t>
            </w:r>
            <w:r>
              <w:rPr>
                <w:rFonts w:hint="eastAsia" w:cs="宋体"/>
                <w:b/>
                <w:bCs/>
                <w:kern w:val="0"/>
                <w:lang w:bidi="ar"/>
              </w:rPr>
              <w:t>）</w:t>
            </w:r>
          </w:p>
        </w:tc>
      </w:tr>
      <w:tr w14:paraId="05A5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shd w:val="clear" w:color="auto" w:fill="auto"/>
            <w:vAlign w:val="center"/>
          </w:tcPr>
          <w:p w14:paraId="2313CB69">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16" w:type="pct"/>
            <w:shd w:val="clear" w:color="auto" w:fill="auto"/>
            <w:vAlign w:val="center"/>
          </w:tcPr>
          <w:p w14:paraId="496F4925">
            <w:pPr>
              <w:pStyle w:val="43"/>
              <w:spacing w:after="0"/>
              <w:ind w:firstLine="210"/>
              <w:jc w:val="center"/>
              <w:rPr>
                <w:color w:val="000000" w:themeColor="text1"/>
                <w:szCs w:val="21"/>
                <w14:textFill>
                  <w14:solidFill>
                    <w14:schemeClr w14:val="tx1"/>
                  </w14:solidFill>
                </w14:textFill>
              </w:rPr>
            </w:pPr>
            <w:r>
              <w:rPr>
                <w:rFonts w:hint="eastAsia"/>
                <w:szCs w:val="21"/>
              </w:rPr>
              <w:t>1#南冲风电场</w:t>
            </w:r>
            <w:r>
              <w:rPr>
                <w:szCs w:val="21"/>
              </w:rPr>
              <w:t>升压站站址中心</w:t>
            </w:r>
          </w:p>
        </w:tc>
        <w:tc>
          <w:tcPr>
            <w:tcW w:w="942" w:type="pct"/>
            <w:shd w:val="clear" w:color="auto" w:fill="auto"/>
            <w:vAlign w:val="center"/>
          </w:tcPr>
          <w:p w14:paraId="4D55EDA7">
            <w:pPr>
              <w:keepLines/>
              <w:adjustRightInd w:val="0"/>
              <w:snapToGrid w:val="0"/>
              <w:jc w:val="center"/>
              <w:rPr>
                <w:rFonts w:cs="宋体"/>
              </w:rPr>
            </w:pPr>
            <w:r>
              <w:rPr>
                <w:rFonts w:hint="eastAsia" w:cs="宋体"/>
                <w:color w:val="000000" w:themeColor="text1"/>
                <w14:textFill>
                  <w14:solidFill>
                    <w14:schemeClr w14:val="tx1"/>
                  </w14:solidFill>
                </w14:textFill>
              </w:rPr>
              <w:t>202</w:t>
            </w:r>
            <w:r>
              <w:rPr>
                <w:rFonts w:cs="宋体"/>
                <w:color w:val="000000" w:themeColor="text1"/>
                <w14:textFill>
                  <w14:solidFill>
                    <w14:schemeClr w14:val="tx1"/>
                  </w14:solidFill>
                </w14:textFill>
              </w:rPr>
              <w:t>6</w:t>
            </w:r>
            <w:r>
              <w:rPr>
                <w:rFonts w:hint="eastAsia" w:cs="宋体"/>
                <w:color w:val="000000" w:themeColor="text1"/>
                <w14:textFill>
                  <w14:solidFill>
                    <w14:schemeClr w14:val="tx1"/>
                  </w14:solidFill>
                </w14:textFill>
              </w:rPr>
              <w:t>.</w:t>
            </w:r>
            <w:r>
              <w:rPr>
                <w:rFonts w:cs="宋体"/>
                <w:color w:val="000000" w:themeColor="text1"/>
                <w14:textFill>
                  <w14:solidFill>
                    <w14:schemeClr w14:val="tx1"/>
                  </w14:solidFill>
                </w14:textFill>
              </w:rPr>
              <w:t>3</w:t>
            </w:r>
            <w:r>
              <w:rPr>
                <w:rFonts w:hint="eastAsia" w:cs="宋体"/>
                <w:color w:val="000000" w:themeColor="text1"/>
                <w14:textFill>
                  <w14:solidFill>
                    <w14:schemeClr w14:val="tx1"/>
                  </w14:solidFill>
                </w14:textFill>
              </w:rPr>
              <w:t>.</w:t>
            </w:r>
            <w:r>
              <w:rPr>
                <w:rFonts w:cs="宋体"/>
                <w:color w:val="000000" w:themeColor="text1"/>
                <w14:textFill>
                  <w14:solidFill>
                    <w14:schemeClr w14:val="tx1"/>
                  </w14:solidFill>
                </w14:textFill>
              </w:rPr>
              <w:t>11</w:t>
            </w:r>
          </w:p>
        </w:tc>
        <w:tc>
          <w:tcPr>
            <w:tcW w:w="829" w:type="pct"/>
            <w:tcBorders>
              <w:top w:val="single" w:color="auto" w:sz="4" w:space="0"/>
              <w:left w:val="single" w:color="auto" w:sz="4" w:space="0"/>
              <w:bottom w:val="single" w:color="auto" w:sz="4" w:space="0"/>
              <w:right w:val="single" w:color="auto" w:sz="4" w:space="0"/>
            </w:tcBorders>
            <w:vAlign w:val="center"/>
          </w:tcPr>
          <w:p w14:paraId="748AF801">
            <w:pPr>
              <w:keepLines/>
              <w:adjustRightInd w:val="0"/>
              <w:snapToGrid w:val="0"/>
              <w:jc w:val="center"/>
              <w:rPr>
                <w:rFonts w:cs="宋体"/>
              </w:rPr>
            </w:pPr>
            <w:r>
              <w:rPr>
                <w:rFonts w:cs="宋体"/>
                <w:color w:val="000000" w:themeColor="text1"/>
                <w14:textFill>
                  <w14:solidFill>
                    <w14:schemeClr w14:val="tx1"/>
                  </w14:solidFill>
                </w14:textFill>
              </w:rPr>
              <w:t>10.598</w:t>
            </w:r>
          </w:p>
        </w:tc>
        <w:tc>
          <w:tcPr>
            <w:tcW w:w="837" w:type="pct"/>
            <w:tcBorders>
              <w:top w:val="single" w:color="auto" w:sz="4" w:space="0"/>
              <w:left w:val="single" w:color="auto" w:sz="4" w:space="0"/>
              <w:bottom w:val="single" w:color="auto" w:sz="4" w:space="0"/>
              <w:right w:val="single" w:color="auto" w:sz="4" w:space="0"/>
            </w:tcBorders>
            <w:vAlign w:val="center"/>
          </w:tcPr>
          <w:p w14:paraId="1259447D">
            <w:pPr>
              <w:keepLines/>
              <w:adjustRightInd w:val="0"/>
              <w:snapToGrid w:val="0"/>
              <w:jc w:val="center"/>
              <w:rPr>
                <w:rFonts w:cs="宋体"/>
              </w:rPr>
            </w:pPr>
            <w:r>
              <w:rPr>
                <w:rFonts w:cs="宋体"/>
                <w:color w:val="000000" w:themeColor="text1"/>
                <w14:textFill>
                  <w14:solidFill>
                    <w14:schemeClr w14:val="tx1"/>
                  </w14:solidFill>
                </w14:textFill>
              </w:rPr>
              <w:t>0.0139</w:t>
            </w:r>
          </w:p>
        </w:tc>
      </w:tr>
      <w:tr w14:paraId="0710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shd w:val="clear" w:color="auto" w:fill="auto"/>
            <w:vAlign w:val="center"/>
          </w:tcPr>
          <w:p w14:paraId="2C0726D4">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16" w:type="pct"/>
            <w:shd w:val="clear" w:color="auto" w:fill="auto"/>
            <w:vAlign w:val="center"/>
          </w:tcPr>
          <w:p w14:paraId="2969503C">
            <w:pPr>
              <w:pStyle w:val="43"/>
              <w:spacing w:after="0"/>
              <w:ind w:firstLine="210"/>
              <w:jc w:val="center"/>
              <w:rPr>
                <w:color w:val="000000" w:themeColor="text1"/>
                <w:szCs w:val="21"/>
                <w14:textFill>
                  <w14:solidFill>
                    <w14:schemeClr w14:val="tx1"/>
                  </w14:solidFill>
                </w14:textFill>
              </w:rPr>
            </w:pPr>
            <w:r>
              <w:rPr>
                <w:rFonts w:hint="eastAsia"/>
                <w:szCs w:val="21"/>
              </w:rPr>
              <w:t>2#</w:t>
            </w:r>
            <w:r>
              <w:rPr>
                <w:szCs w:val="21"/>
              </w:rPr>
              <w:t>铜厂变</w:t>
            </w:r>
          </w:p>
        </w:tc>
        <w:tc>
          <w:tcPr>
            <w:tcW w:w="942" w:type="pct"/>
            <w:shd w:val="clear" w:color="auto" w:fill="auto"/>
            <w:vAlign w:val="center"/>
          </w:tcPr>
          <w:p w14:paraId="4837D0A2">
            <w:pPr>
              <w:keepLines/>
              <w:adjustRightInd w:val="0"/>
              <w:snapToGrid w:val="0"/>
              <w:jc w:val="center"/>
              <w:rPr>
                <w:rFonts w:cs="宋体"/>
              </w:rPr>
            </w:pPr>
            <w:r>
              <w:rPr>
                <w:rFonts w:hint="eastAsia" w:cs="宋体"/>
                <w:color w:val="000000" w:themeColor="text1"/>
                <w14:textFill>
                  <w14:solidFill>
                    <w14:schemeClr w14:val="tx1"/>
                  </w14:solidFill>
                </w14:textFill>
              </w:rPr>
              <w:t>2025.11.20</w:t>
            </w:r>
          </w:p>
        </w:tc>
        <w:tc>
          <w:tcPr>
            <w:tcW w:w="829" w:type="pct"/>
            <w:vAlign w:val="center"/>
          </w:tcPr>
          <w:p w14:paraId="204BB198">
            <w:pPr>
              <w:keepLines/>
              <w:adjustRightInd w:val="0"/>
              <w:snapToGrid w:val="0"/>
              <w:jc w:val="center"/>
              <w:rPr>
                <w:rFonts w:cs="宋体"/>
              </w:rPr>
            </w:pPr>
            <w:r>
              <w:rPr>
                <w:rFonts w:hint="eastAsia" w:cs="宋体"/>
              </w:rPr>
              <w:t>0.509</w:t>
            </w:r>
          </w:p>
        </w:tc>
        <w:tc>
          <w:tcPr>
            <w:tcW w:w="837" w:type="pct"/>
            <w:vAlign w:val="center"/>
          </w:tcPr>
          <w:p w14:paraId="12E8C66C">
            <w:pPr>
              <w:keepLines/>
              <w:adjustRightInd w:val="0"/>
              <w:snapToGrid w:val="0"/>
              <w:jc w:val="center"/>
              <w:rPr>
                <w:rFonts w:cs="宋体"/>
              </w:rPr>
            </w:pPr>
            <w:r>
              <w:rPr>
                <w:rFonts w:hint="eastAsia" w:cs="宋体"/>
              </w:rPr>
              <w:t>0.021</w:t>
            </w:r>
          </w:p>
        </w:tc>
      </w:tr>
      <w:tr w14:paraId="1B9E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shd w:val="clear" w:color="auto" w:fill="auto"/>
            <w:vAlign w:val="center"/>
          </w:tcPr>
          <w:p w14:paraId="2F28B97E">
            <w:pPr>
              <w:keepLines/>
              <w:tabs>
                <w:tab w:val="left" w:pos="0"/>
              </w:tabs>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16" w:type="pct"/>
            <w:shd w:val="clear" w:color="auto" w:fill="auto"/>
            <w:vAlign w:val="center"/>
          </w:tcPr>
          <w:p w14:paraId="4860DEA1">
            <w:pPr>
              <w:pStyle w:val="43"/>
              <w:spacing w:after="0"/>
              <w:ind w:firstLine="210"/>
              <w:jc w:val="center"/>
              <w:rPr>
                <w:color w:val="000000" w:themeColor="text1"/>
                <w:szCs w:val="21"/>
                <w14:textFill>
                  <w14:solidFill>
                    <w14:schemeClr w14:val="tx1"/>
                  </w14:solidFill>
                </w14:textFill>
              </w:rPr>
            </w:pPr>
            <w:r>
              <w:rPr>
                <w:rFonts w:hint="eastAsia"/>
                <w:szCs w:val="21"/>
              </w:rPr>
              <w:t>3#</w:t>
            </w:r>
            <w:r>
              <w:rPr>
                <w:szCs w:val="21"/>
              </w:rPr>
              <w:t>S204公路附近居民</w:t>
            </w:r>
          </w:p>
        </w:tc>
        <w:tc>
          <w:tcPr>
            <w:tcW w:w="942" w:type="pct"/>
            <w:shd w:val="clear" w:color="auto" w:fill="auto"/>
            <w:vAlign w:val="center"/>
          </w:tcPr>
          <w:p w14:paraId="4749A7BF">
            <w:pPr>
              <w:keepLines/>
              <w:adjustRightInd w:val="0"/>
              <w:snapToGrid w:val="0"/>
              <w:jc w:val="center"/>
              <w:rPr>
                <w:rFonts w:cs="宋体"/>
              </w:rPr>
            </w:pPr>
            <w:r>
              <w:rPr>
                <w:rFonts w:hint="eastAsia" w:cs="宋体"/>
                <w:color w:val="000000" w:themeColor="text1"/>
                <w14:textFill>
                  <w14:solidFill>
                    <w14:schemeClr w14:val="tx1"/>
                  </w14:solidFill>
                </w14:textFill>
              </w:rPr>
              <w:t>2025.11.20</w:t>
            </w:r>
          </w:p>
        </w:tc>
        <w:tc>
          <w:tcPr>
            <w:tcW w:w="829" w:type="pct"/>
            <w:vAlign w:val="center"/>
          </w:tcPr>
          <w:p w14:paraId="6FB51B62">
            <w:pPr>
              <w:keepLines/>
              <w:adjustRightInd w:val="0"/>
              <w:snapToGrid w:val="0"/>
              <w:jc w:val="center"/>
              <w:rPr>
                <w:rFonts w:cs="宋体"/>
              </w:rPr>
            </w:pPr>
            <w:r>
              <w:rPr>
                <w:rFonts w:hint="eastAsia" w:cs="宋体"/>
              </w:rPr>
              <w:t>0.694</w:t>
            </w:r>
          </w:p>
        </w:tc>
        <w:tc>
          <w:tcPr>
            <w:tcW w:w="837" w:type="pct"/>
            <w:vAlign w:val="center"/>
          </w:tcPr>
          <w:p w14:paraId="11E86601">
            <w:pPr>
              <w:keepLines/>
              <w:adjustRightInd w:val="0"/>
              <w:snapToGrid w:val="0"/>
              <w:jc w:val="center"/>
              <w:rPr>
                <w:rFonts w:cs="宋体"/>
              </w:rPr>
            </w:pPr>
            <w:r>
              <w:rPr>
                <w:rFonts w:hint="eastAsia" w:cs="宋体"/>
              </w:rPr>
              <w:t>0.019</w:t>
            </w:r>
          </w:p>
        </w:tc>
      </w:tr>
    </w:tbl>
    <w:p w14:paraId="0E51418F">
      <w:pPr>
        <w:spacing w:line="360" w:lineRule="auto"/>
        <w:ind w:firstLine="480" w:firstLineChars="200"/>
        <w:rPr>
          <w:sz w:val="24"/>
        </w:rPr>
      </w:pPr>
      <w:r>
        <w:rPr>
          <w:sz w:val="24"/>
        </w:rPr>
        <w:t>工频电场强度、工频磁感应强度：</w:t>
      </w:r>
    </w:p>
    <w:p w14:paraId="5E4CC338">
      <w:pPr>
        <w:spacing w:line="360" w:lineRule="auto"/>
        <w:ind w:firstLine="480" w:firstLineChars="200"/>
        <w:rPr>
          <w:sz w:val="24"/>
        </w:rPr>
      </w:pPr>
      <w:r>
        <w:rPr>
          <w:sz w:val="24"/>
        </w:rPr>
        <w:t>①工频电场强度：监测表明项目区工频电场强度在0.509V/m～10.598V/m之间，满足</w:t>
      </w:r>
      <w:r>
        <w:rPr>
          <w:sz w:val="24"/>
          <w:lang w:bidi="ar"/>
        </w:rPr>
        <w:t>《电磁环境控制限值》（GB8702-2014）中工频电场强度公众曝露控制限值4000V/m的要求</w:t>
      </w:r>
      <w:r>
        <w:rPr>
          <w:sz w:val="24"/>
        </w:rPr>
        <w:t>；</w:t>
      </w:r>
    </w:p>
    <w:p w14:paraId="41EA24FE">
      <w:pPr>
        <w:spacing w:line="360" w:lineRule="auto"/>
        <w:ind w:firstLine="480" w:firstLineChars="200"/>
        <w:rPr>
          <w:sz w:val="24"/>
        </w:rPr>
      </w:pPr>
      <w:r>
        <w:rPr>
          <w:sz w:val="24"/>
        </w:rPr>
        <w:t>②工频磁感应强度：监测表明项目区工频磁感应强度在0.0139～0.021μT之间，满足《</w:t>
      </w:r>
      <w:r>
        <w:rPr>
          <w:sz w:val="24"/>
          <w:lang w:bidi="ar"/>
        </w:rPr>
        <w:t>电磁环境控制限值》（GB8702-2014）中</w:t>
      </w:r>
      <w:r>
        <w:rPr>
          <w:sz w:val="24"/>
        </w:rPr>
        <w:t>工频磁感应强度</w:t>
      </w:r>
      <w:r>
        <w:rPr>
          <w:sz w:val="24"/>
          <w:lang w:bidi="ar"/>
        </w:rPr>
        <w:t>公众曝露控制限值</w:t>
      </w:r>
      <w:r>
        <w:rPr>
          <w:sz w:val="24"/>
        </w:rPr>
        <w:t>100μT的要求。</w:t>
      </w:r>
    </w:p>
    <w:p w14:paraId="4E9A0275">
      <w:pPr>
        <w:spacing w:line="360" w:lineRule="auto"/>
        <w:ind w:firstLine="480" w:firstLineChars="200"/>
        <w:rPr>
          <w:sz w:val="24"/>
        </w:rPr>
      </w:pPr>
      <w:r>
        <w:rPr>
          <w:sz w:val="24"/>
        </w:rPr>
        <w:t>根据现场监测结果，项目拟建线路所经区域的工频电场强度和工频磁感应强度均满足</w:t>
      </w:r>
      <w:r>
        <w:rPr>
          <w:sz w:val="24"/>
          <w:szCs w:val="24"/>
          <w:lang w:bidi="ar"/>
        </w:rPr>
        <w:t>《电磁环境控制限值》（GB8702-2014）中公众曝露控制限值</w:t>
      </w:r>
      <w:r>
        <w:rPr>
          <w:sz w:val="24"/>
        </w:rPr>
        <w:t>要求；拟建线路附近工频电场强度和工频磁感应强度均为正常本底水平。</w:t>
      </w:r>
    </w:p>
    <w:p w14:paraId="7B18F208">
      <w:pPr>
        <w:pStyle w:val="39"/>
        <w:widowControl w:val="0"/>
        <w:spacing w:before="0" w:beforeAutospacing="0" w:after="0" w:afterAutospacing="0" w:line="360" w:lineRule="auto"/>
        <w:outlineLvl w:val="1"/>
        <w:rPr>
          <w:rFonts w:ascii="Times New Roman" w:hAnsi="Times New Roman"/>
          <w:b/>
          <w:kern w:val="44"/>
          <w:sz w:val="30"/>
          <w:szCs w:val="30"/>
          <w:lang w:bidi="ar"/>
        </w:rPr>
      </w:pPr>
      <w:bookmarkStart w:id="307" w:name="_Toc12131"/>
      <w:bookmarkStart w:id="308" w:name="_Toc14448"/>
      <w:bookmarkStart w:id="309" w:name="_Toc22732"/>
      <w:bookmarkStart w:id="310" w:name="_Toc225953001"/>
      <w:bookmarkStart w:id="311" w:name="_Toc12277"/>
      <w:bookmarkStart w:id="312" w:name="_Toc11907"/>
      <w:bookmarkStart w:id="313" w:name="_Toc227764366"/>
      <w:bookmarkStart w:id="314" w:name="_Toc7869"/>
      <w:r>
        <w:rPr>
          <w:rFonts w:ascii="Times New Roman" w:hAnsi="Times New Roman"/>
          <w:b/>
          <w:kern w:val="44"/>
          <w:sz w:val="30"/>
          <w:szCs w:val="30"/>
          <w:lang w:bidi="ar"/>
        </w:rPr>
        <w:t>6、电磁环境影响预测与评价</w:t>
      </w:r>
      <w:bookmarkEnd w:id="307"/>
      <w:bookmarkEnd w:id="308"/>
      <w:bookmarkEnd w:id="309"/>
      <w:bookmarkEnd w:id="310"/>
      <w:bookmarkEnd w:id="311"/>
      <w:bookmarkEnd w:id="312"/>
      <w:bookmarkEnd w:id="313"/>
      <w:bookmarkEnd w:id="314"/>
    </w:p>
    <w:p w14:paraId="070A2654">
      <w:pPr>
        <w:spacing w:line="360" w:lineRule="auto"/>
        <w:ind w:firstLine="480" w:firstLineChars="200"/>
        <w:jc w:val="left"/>
        <w:rPr>
          <w:sz w:val="24"/>
        </w:rPr>
      </w:pPr>
      <w:r>
        <w:rPr>
          <w:sz w:val="24"/>
        </w:rPr>
        <w:t>本项目输电线路施工期没有电磁环境影响问题，运营期由于电流输送会产生电磁环境影响。电磁环境影响预测评价的因子为工频电场、工频磁场。本项目新建线路工程为架空输电线路，架空输电线路工频电场、工频磁场影响预测参照《环境影响评价技术导则输变电》（HJ24-2020）附录C、D推荐的计算模式</w:t>
      </w:r>
      <w:r>
        <w:rPr>
          <w:sz w:val="24"/>
          <w:lang w:bidi="ar"/>
        </w:rPr>
        <w:t>和类比监测结合的方式</w:t>
      </w:r>
      <w:r>
        <w:rPr>
          <w:sz w:val="24"/>
        </w:rPr>
        <w:t>进行分析。</w:t>
      </w:r>
    </w:p>
    <w:p w14:paraId="2B6D1D17">
      <w:pPr>
        <w:pStyle w:val="168"/>
        <w:spacing w:before="0" w:after="0" w:line="360" w:lineRule="auto"/>
        <w:outlineLvl w:val="9"/>
        <w:rPr>
          <w:rFonts w:eastAsia="宋体"/>
          <w:b/>
        </w:rPr>
      </w:pPr>
      <w:bookmarkStart w:id="315" w:name="_Toc26804"/>
      <w:bookmarkStart w:id="316" w:name="_Toc32307"/>
      <w:bookmarkStart w:id="317" w:name="_Toc15559"/>
      <w:bookmarkStart w:id="318" w:name="_Toc1723"/>
      <w:bookmarkStart w:id="319" w:name="_Toc227764367"/>
      <w:bookmarkStart w:id="320" w:name="_Toc9048"/>
      <w:bookmarkStart w:id="321" w:name="_Toc18686"/>
      <w:r>
        <w:rPr>
          <w:rFonts w:eastAsia="宋体"/>
          <w:b/>
        </w:rPr>
        <w:t>6.1架空输电线路电磁环境影响理论预测分析</w:t>
      </w:r>
      <w:bookmarkEnd w:id="315"/>
      <w:bookmarkEnd w:id="316"/>
      <w:bookmarkEnd w:id="317"/>
      <w:bookmarkEnd w:id="318"/>
      <w:bookmarkEnd w:id="319"/>
      <w:bookmarkEnd w:id="320"/>
      <w:bookmarkEnd w:id="321"/>
    </w:p>
    <w:p w14:paraId="1401B427">
      <w:pPr>
        <w:pStyle w:val="176"/>
        <w:spacing w:before="0" w:after="0" w:line="360" w:lineRule="auto"/>
        <w:outlineLvl w:val="9"/>
        <w:rPr>
          <w:rFonts w:eastAsia="宋体"/>
          <w:b/>
        </w:rPr>
      </w:pPr>
      <w:bookmarkStart w:id="322" w:name="_Toc12235"/>
      <w:bookmarkStart w:id="323" w:name="_Toc26212"/>
      <w:bookmarkStart w:id="324" w:name="_Toc1546"/>
      <w:bookmarkStart w:id="325" w:name="_Toc30820"/>
      <w:bookmarkStart w:id="326" w:name="_Toc31658"/>
      <w:bookmarkStart w:id="327" w:name="_Toc2822"/>
      <w:bookmarkStart w:id="328" w:name="_Toc3499"/>
      <w:bookmarkStart w:id="329" w:name="_Toc21357"/>
      <w:bookmarkStart w:id="330" w:name="_Toc227764368"/>
      <w:r>
        <w:rPr>
          <w:rFonts w:eastAsia="宋体"/>
          <w:b/>
        </w:rPr>
        <w:t>6.1.1预测模型</w:t>
      </w:r>
      <w:bookmarkEnd w:id="322"/>
      <w:bookmarkEnd w:id="323"/>
      <w:bookmarkEnd w:id="324"/>
      <w:bookmarkEnd w:id="325"/>
      <w:bookmarkEnd w:id="326"/>
      <w:bookmarkEnd w:id="327"/>
      <w:bookmarkEnd w:id="328"/>
      <w:bookmarkEnd w:id="329"/>
      <w:bookmarkEnd w:id="330"/>
    </w:p>
    <w:p w14:paraId="206909DF">
      <w:pPr>
        <w:spacing w:line="360" w:lineRule="auto"/>
        <w:ind w:firstLine="480" w:firstLineChars="200"/>
        <w:rPr>
          <w:sz w:val="24"/>
        </w:rPr>
      </w:pPr>
      <w:r>
        <w:rPr>
          <w:sz w:val="24"/>
        </w:rPr>
        <w:t>本工程架空输电线路的工频电场强度、工频磁感应强度预测参照《环境影响评价技术导则输变电》（HJ24-2020）附录C、D推荐的计算模式进行。</w:t>
      </w:r>
    </w:p>
    <w:p w14:paraId="78AC7159">
      <w:pPr>
        <w:spacing w:line="360" w:lineRule="auto"/>
        <w:ind w:firstLine="482" w:firstLineChars="200"/>
        <w:rPr>
          <w:b/>
          <w:bCs/>
          <w:sz w:val="24"/>
        </w:rPr>
      </w:pPr>
      <w:r>
        <w:rPr>
          <w:b/>
          <w:bCs/>
          <w:sz w:val="24"/>
        </w:rPr>
        <w:t>1）输电线路工频电场预测模型</w:t>
      </w:r>
    </w:p>
    <w:p w14:paraId="0A854C29">
      <w:pPr>
        <w:spacing w:line="360" w:lineRule="auto"/>
        <w:ind w:firstLine="480" w:firstLineChars="200"/>
        <w:rPr>
          <w:sz w:val="24"/>
        </w:rPr>
      </w:pPr>
      <w:r>
        <w:rPr>
          <w:sz w:val="24"/>
        </w:rPr>
        <w:t>根据“国际大电网会议第36.01工作组”推荐的方法，利用等效电荷法计算高压输电线路下空间工频电场强度。</w:t>
      </w:r>
    </w:p>
    <w:p w14:paraId="36C778DE">
      <w:pPr>
        <w:spacing w:line="360" w:lineRule="auto"/>
        <w:ind w:firstLine="480" w:firstLineChars="200"/>
        <w:rPr>
          <w:sz w:val="24"/>
        </w:rPr>
      </w:pPr>
      <w:r>
        <w:rPr>
          <w:sz w:val="24"/>
        </w:rPr>
        <w:t>①单位长度导线下等效电荷的计算</w:t>
      </w:r>
    </w:p>
    <w:p w14:paraId="1D74AA6D">
      <w:pPr>
        <w:spacing w:line="360" w:lineRule="auto"/>
        <w:ind w:firstLine="480" w:firstLineChars="200"/>
        <w:rPr>
          <w:sz w:val="24"/>
        </w:rPr>
      </w:pPr>
      <w:r>
        <w:rPr>
          <w:sz w:val="24"/>
        </w:rPr>
        <w:t>高压送电线上的等效电荷是线电荷，由于高压送电线半径r远小于架设高h，因此等效电荷的位置可以认为是在送电导线的几何中心。</w:t>
      </w:r>
    </w:p>
    <w:p w14:paraId="1FBADFE8">
      <w:pPr>
        <w:spacing w:line="360" w:lineRule="auto"/>
        <w:ind w:firstLine="480" w:firstLineChars="200"/>
        <w:rPr>
          <w:sz w:val="24"/>
        </w:rPr>
      </w:pPr>
      <w:r>
        <w:rPr>
          <w:sz w:val="24"/>
        </w:rPr>
        <w:t>假设送电线路为无限长并且平行于地面，地面可视为良导体，利用镜像法计算送电线上的等效电荷。多导线线路中导线上的等效电荷由下列矩阵方程计算：</w:t>
      </w:r>
    </w:p>
    <w:p w14:paraId="5F2C859F">
      <w:pPr>
        <w:spacing w:line="360" w:lineRule="auto"/>
        <w:ind w:firstLine="480" w:firstLineChars="200"/>
        <w:jc w:val="center"/>
        <w:rPr>
          <w:sz w:val="24"/>
        </w:rPr>
      </w:pPr>
      <w:r>
        <w:rPr>
          <w:position w:val="-68"/>
          <w:sz w:val="24"/>
        </w:rPr>
        <w:drawing>
          <wp:inline distT="0" distB="0" distL="0" distR="0">
            <wp:extent cx="1962150" cy="942975"/>
            <wp:effectExtent l="0" t="0" r="0" b="0"/>
            <wp:docPr id="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962150" cy="942975"/>
                    </a:xfrm>
                    <a:prstGeom prst="rect">
                      <a:avLst/>
                    </a:prstGeom>
                    <a:noFill/>
                    <a:ln>
                      <a:noFill/>
                    </a:ln>
                  </pic:spPr>
                </pic:pic>
              </a:graphicData>
            </a:graphic>
          </wp:inline>
        </w:drawing>
      </w:r>
    </w:p>
    <w:p w14:paraId="4A0F0365">
      <w:pPr>
        <w:spacing w:line="360" w:lineRule="auto"/>
        <w:ind w:firstLine="480" w:firstLineChars="200"/>
        <w:rPr>
          <w:sz w:val="24"/>
        </w:rPr>
      </w:pPr>
      <w:r>
        <w:rPr>
          <w:sz w:val="24"/>
        </w:rPr>
        <w:t>式中：U</w:t>
      </w:r>
      <w:r>
        <w:rPr>
          <w:sz w:val="24"/>
          <w:vertAlign w:val="subscript"/>
        </w:rPr>
        <w:t>i</w:t>
      </w:r>
      <w:r>
        <w:rPr>
          <w:sz w:val="24"/>
        </w:rPr>
        <w:t>——各导线对地电压的单列矩阵；</w:t>
      </w:r>
    </w:p>
    <w:p w14:paraId="3D022357">
      <w:pPr>
        <w:spacing w:line="360" w:lineRule="auto"/>
        <w:ind w:firstLine="1200" w:firstLineChars="500"/>
        <w:rPr>
          <w:sz w:val="24"/>
        </w:rPr>
      </w:pPr>
      <w:r>
        <w:rPr>
          <w:sz w:val="24"/>
        </w:rPr>
        <w:t>Q</w:t>
      </w:r>
      <w:r>
        <w:rPr>
          <w:sz w:val="24"/>
          <w:vertAlign w:val="subscript"/>
        </w:rPr>
        <w:t>i</w:t>
      </w:r>
      <w:r>
        <w:rPr>
          <w:sz w:val="24"/>
        </w:rPr>
        <w:t>——各导线上等效电荷的单列矩阵；</w:t>
      </w:r>
    </w:p>
    <w:p w14:paraId="16129ECB">
      <w:pPr>
        <w:spacing w:line="360" w:lineRule="auto"/>
        <w:ind w:firstLine="1200" w:firstLineChars="500"/>
        <w:rPr>
          <w:sz w:val="24"/>
        </w:rPr>
      </w:pPr>
      <w:r>
        <w:rPr>
          <w:sz w:val="24"/>
        </w:rPr>
        <w:t>λ</w:t>
      </w:r>
      <w:r>
        <w:rPr>
          <w:sz w:val="24"/>
          <w:vertAlign w:val="subscript"/>
        </w:rPr>
        <w:t>ij</w:t>
      </w:r>
      <w:r>
        <w:rPr>
          <w:sz w:val="24"/>
        </w:rPr>
        <w:t>——各导线的电位系数组成的n阶方阵（n为导线数目）。</w:t>
      </w:r>
    </w:p>
    <w:p w14:paraId="63629195">
      <w:pPr>
        <w:spacing w:line="360" w:lineRule="auto"/>
        <w:ind w:firstLine="1200" w:firstLineChars="500"/>
        <w:rPr>
          <w:sz w:val="24"/>
        </w:rPr>
      </w:pPr>
      <w:r>
        <w:rPr>
          <w:sz w:val="24"/>
        </w:rPr>
        <w:t>[U]矩阵由镜像原理求得。</w:t>
      </w:r>
    </w:p>
    <w:p w14:paraId="5777F80A">
      <w:pPr>
        <w:spacing w:line="360" w:lineRule="auto"/>
        <w:ind w:firstLine="1200" w:firstLineChars="500"/>
        <w:rPr>
          <w:sz w:val="24"/>
        </w:rPr>
      </w:pPr>
      <w:r>
        <w:rPr>
          <w:sz w:val="24"/>
        </w:rPr>
        <w:t>[λ]矩阵由镜像原理求得。</w:t>
      </w:r>
    </w:p>
    <w:p w14:paraId="30737B97">
      <w:pPr>
        <w:spacing w:line="360" w:lineRule="auto"/>
        <w:ind w:firstLine="480" w:firstLineChars="200"/>
        <w:rPr>
          <w:sz w:val="24"/>
        </w:rPr>
      </w:pPr>
      <w:r>
        <w:rPr>
          <w:sz w:val="24"/>
        </w:rPr>
        <w:t>②计算由等效电荷产生的电场</w:t>
      </w:r>
    </w:p>
    <w:p w14:paraId="59590F2B">
      <w:pPr>
        <w:spacing w:line="360" w:lineRule="auto"/>
        <w:ind w:firstLine="480" w:firstLineChars="200"/>
        <w:rPr>
          <w:sz w:val="24"/>
        </w:rPr>
      </w:pPr>
      <w:r>
        <w:rPr>
          <w:sz w:val="24"/>
        </w:rPr>
        <w:t>为计算地面电场强度的最大值，通常取夏天满负荷有最大弧垂时导线的最小对地高度。因此，所计算的地面场强仅对档距中央一段（该处场强最大）是符合条件的。</w:t>
      </w:r>
    </w:p>
    <w:p w14:paraId="48A7D11E">
      <w:pPr>
        <w:spacing w:line="360" w:lineRule="auto"/>
        <w:ind w:firstLine="480" w:firstLineChars="200"/>
        <w:rPr>
          <w:sz w:val="24"/>
        </w:rPr>
      </w:pPr>
      <w:r>
        <w:rPr>
          <w:sz w:val="24"/>
        </w:rPr>
        <w:t>当各导线单位长度的等效电荷量求出后，空间任意一点的电场强度可根据叠加原理计算得出，在（x，y）点的电场强度分量E</w:t>
      </w:r>
      <w:r>
        <w:rPr>
          <w:sz w:val="24"/>
          <w:vertAlign w:val="subscript"/>
        </w:rPr>
        <w:t>x</w:t>
      </w:r>
      <w:r>
        <w:rPr>
          <w:sz w:val="24"/>
        </w:rPr>
        <w:t>和E</w:t>
      </w:r>
      <w:r>
        <w:rPr>
          <w:sz w:val="24"/>
          <w:vertAlign w:val="subscript"/>
        </w:rPr>
        <w:t>y</w:t>
      </w:r>
      <w:r>
        <w:rPr>
          <w:sz w:val="24"/>
        </w:rPr>
        <w:t>可表示为：</w:t>
      </w:r>
    </w:p>
    <w:p w14:paraId="690E4656">
      <w:pPr>
        <w:spacing w:line="360" w:lineRule="auto"/>
        <w:ind w:firstLine="2160" w:firstLineChars="900"/>
        <w:rPr>
          <w:sz w:val="24"/>
        </w:rPr>
      </w:pPr>
      <w:r>
        <w:rPr>
          <w:position w:val="-66"/>
          <w:sz w:val="24"/>
        </w:rPr>
        <w:drawing>
          <wp:inline distT="0" distB="0" distL="0" distR="0">
            <wp:extent cx="2181225" cy="914400"/>
            <wp:effectExtent l="0" t="0" r="0" b="0"/>
            <wp:docPr id="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181225" cy="914400"/>
                    </a:xfrm>
                    <a:prstGeom prst="rect">
                      <a:avLst/>
                    </a:prstGeom>
                    <a:noFill/>
                    <a:ln>
                      <a:noFill/>
                    </a:ln>
                  </pic:spPr>
                </pic:pic>
              </a:graphicData>
            </a:graphic>
          </wp:inline>
        </w:drawing>
      </w:r>
    </w:p>
    <w:p w14:paraId="63AD344C">
      <w:pPr>
        <w:spacing w:line="360" w:lineRule="auto"/>
        <w:ind w:firstLine="480" w:firstLineChars="200"/>
        <w:rPr>
          <w:sz w:val="24"/>
        </w:rPr>
      </w:pPr>
      <w:r>
        <w:rPr>
          <w:sz w:val="24"/>
        </w:rPr>
        <w:t>式中：x</w:t>
      </w:r>
      <w:r>
        <w:rPr>
          <w:sz w:val="24"/>
          <w:vertAlign w:val="subscript"/>
        </w:rPr>
        <w:t>i</w:t>
      </w:r>
      <w:r>
        <w:rPr>
          <w:sz w:val="24"/>
        </w:rPr>
        <w:t>、y</w:t>
      </w:r>
      <w:r>
        <w:rPr>
          <w:sz w:val="24"/>
          <w:vertAlign w:val="subscript"/>
        </w:rPr>
        <w:t>i</w:t>
      </w:r>
      <w:r>
        <w:rPr>
          <w:sz w:val="24"/>
        </w:rPr>
        <w:t>——导线i的坐标（i=1、2、……m）；</w:t>
      </w:r>
    </w:p>
    <w:p w14:paraId="06BC2666">
      <w:pPr>
        <w:spacing w:line="360" w:lineRule="auto"/>
        <w:ind w:firstLine="1212" w:firstLineChars="505"/>
        <w:rPr>
          <w:sz w:val="24"/>
        </w:rPr>
      </w:pPr>
      <w:r>
        <w:rPr>
          <w:sz w:val="24"/>
        </w:rPr>
        <w:t>m——导线数目；</w:t>
      </w:r>
    </w:p>
    <w:p w14:paraId="7B19C1E9">
      <w:pPr>
        <w:spacing w:line="360" w:lineRule="auto"/>
        <w:ind w:firstLine="1212" w:firstLineChars="505"/>
        <w:rPr>
          <w:sz w:val="24"/>
        </w:rPr>
      </w:pPr>
      <w:r>
        <w:rPr>
          <w:sz w:val="24"/>
        </w:rPr>
        <w:t>ε。——介电常数；</w:t>
      </w:r>
    </w:p>
    <w:p w14:paraId="263103F4">
      <w:pPr>
        <w:spacing w:line="360" w:lineRule="auto"/>
        <w:ind w:firstLine="1212" w:firstLineChars="505"/>
        <w:rPr>
          <w:sz w:val="24"/>
        </w:rPr>
      </w:pPr>
      <w:r>
        <w:rPr>
          <w:sz w:val="24"/>
        </w:rPr>
        <w:t>L</w:t>
      </w:r>
      <w:r>
        <w:rPr>
          <w:sz w:val="24"/>
          <w:vertAlign w:val="subscript"/>
        </w:rPr>
        <w:t>i</w:t>
      </w:r>
      <w:r>
        <w:rPr>
          <w:sz w:val="24"/>
        </w:rPr>
        <w:t>、</w:t>
      </w:r>
      <w:r>
        <w:rPr>
          <w:position w:val="-12"/>
          <w:sz w:val="24"/>
        </w:rPr>
        <w:drawing>
          <wp:inline distT="0" distB="0" distL="0" distR="0">
            <wp:extent cx="219075" cy="247650"/>
            <wp:effectExtent l="0" t="0" r="0" b="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219075" cy="247650"/>
                    </a:xfrm>
                    <a:prstGeom prst="rect">
                      <a:avLst/>
                    </a:prstGeom>
                    <a:noFill/>
                    <a:ln>
                      <a:noFill/>
                    </a:ln>
                  </pic:spPr>
                </pic:pic>
              </a:graphicData>
            </a:graphic>
          </wp:inline>
        </w:drawing>
      </w:r>
      <w:r>
        <w:rPr>
          <w:sz w:val="24"/>
        </w:rPr>
        <w:t>——分别为导线I及镜像至计算点的距离。</w:t>
      </w:r>
    </w:p>
    <w:p w14:paraId="4171684E">
      <w:pPr>
        <w:spacing w:line="360" w:lineRule="auto"/>
        <w:ind w:firstLine="480" w:firstLineChars="200"/>
        <w:rPr>
          <w:sz w:val="24"/>
        </w:rPr>
      </w:pPr>
      <w:r>
        <w:rPr>
          <w:sz w:val="24"/>
        </w:rPr>
        <w:t>由于接地架空线对于地面附近场强的影响很小，对500kV两条并行的单回路水平排列的几种情况计算表明，没有架空地线时较有架空地线时的场强增加约1%～2%，所以常不计架空地线影响而使计算简化。</w:t>
      </w:r>
    </w:p>
    <w:p w14:paraId="36BB48CF">
      <w:pPr>
        <w:spacing w:line="360" w:lineRule="auto"/>
        <w:ind w:firstLine="482" w:firstLineChars="200"/>
        <w:rPr>
          <w:b/>
          <w:bCs/>
          <w:sz w:val="24"/>
        </w:rPr>
      </w:pPr>
      <w:r>
        <w:rPr>
          <w:b/>
          <w:bCs/>
          <w:sz w:val="24"/>
        </w:rPr>
        <w:t>2）输电线路工频磁感应强度预测模型</w:t>
      </w:r>
    </w:p>
    <w:p w14:paraId="49E50A2F">
      <w:pPr>
        <w:spacing w:line="360" w:lineRule="auto"/>
        <w:ind w:firstLine="480" w:firstLineChars="200"/>
        <w:rPr>
          <w:sz w:val="24"/>
        </w:rPr>
      </w:pPr>
      <w:r>
        <w:rPr>
          <w:sz w:val="24"/>
        </w:rPr>
        <w:t>根据“国标大电网会议第36.01工作组”的推荐方法计算同压送电线下空间工频磁感应强度。</w:t>
      </w:r>
    </w:p>
    <w:p w14:paraId="72C496DF">
      <w:pPr>
        <w:spacing w:line="360" w:lineRule="auto"/>
        <w:ind w:firstLine="480" w:firstLineChars="200"/>
        <w:rPr>
          <w:sz w:val="24"/>
        </w:rPr>
      </w:pPr>
      <w:r>
        <w:rPr>
          <w:sz w:val="24"/>
        </w:rPr>
        <w:t>导线下方A点处的磁场强度：</w:t>
      </w:r>
    </w:p>
    <w:p w14:paraId="7ADCD521">
      <w:pPr>
        <w:spacing w:line="360" w:lineRule="auto"/>
        <w:ind w:firstLine="2160" w:firstLineChars="900"/>
        <w:rPr>
          <w:sz w:val="24"/>
        </w:rPr>
      </w:pPr>
      <w:r>
        <w:rPr>
          <w:position w:val="-30"/>
          <w:sz w:val="24"/>
        </w:rPr>
        <w:drawing>
          <wp:inline distT="0" distB="0" distL="0" distR="0">
            <wp:extent cx="1095375" cy="438150"/>
            <wp:effectExtent l="0" t="0" r="0" b="0"/>
            <wp:docPr id="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095375" cy="438150"/>
                    </a:xfrm>
                    <a:prstGeom prst="rect">
                      <a:avLst/>
                    </a:prstGeom>
                    <a:noFill/>
                    <a:ln>
                      <a:noFill/>
                    </a:ln>
                  </pic:spPr>
                </pic:pic>
              </a:graphicData>
            </a:graphic>
          </wp:inline>
        </w:drawing>
      </w:r>
    </w:p>
    <w:p w14:paraId="04E95764">
      <w:pPr>
        <w:spacing w:line="360" w:lineRule="auto"/>
        <w:ind w:firstLine="480" w:firstLineChars="200"/>
        <w:rPr>
          <w:sz w:val="24"/>
        </w:rPr>
      </w:pPr>
      <w:r>
        <w:rPr>
          <w:sz w:val="24"/>
        </w:rPr>
        <w:t>式中：</w:t>
      </w:r>
    </w:p>
    <w:p w14:paraId="06CA494F">
      <w:pPr>
        <w:spacing w:line="360" w:lineRule="auto"/>
        <w:ind w:firstLine="480" w:firstLineChars="200"/>
        <w:rPr>
          <w:sz w:val="24"/>
        </w:rPr>
      </w:pPr>
      <w:r>
        <w:rPr>
          <w:sz w:val="24"/>
        </w:rPr>
        <w:t>I——导线i中的电流值；</w:t>
      </w:r>
    </w:p>
    <w:p w14:paraId="196B1519">
      <w:pPr>
        <w:spacing w:line="360" w:lineRule="auto"/>
        <w:ind w:firstLine="480" w:firstLineChars="200"/>
        <w:rPr>
          <w:sz w:val="24"/>
        </w:rPr>
      </w:pPr>
      <w:r>
        <w:rPr>
          <w:sz w:val="24"/>
        </w:rPr>
        <w:t>h——计算A点距导线的垂直高度；</w:t>
      </w:r>
    </w:p>
    <w:p w14:paraId="3C1518CE">
      <w:pPr>
        <w:spacing w:line="360" w:lineRule="auto"/>
        <w:ind w:firstLine="480" w:firstLineChars="200"/>
        <w:rPr>
          <w:sz w:val="24"/>
        </w:rPr>
      </w:pPr>
      <w:r>
        <w:rPr>
          <w:sz w:val="24"/>
        </w:rPr>
        <w:t>L——计算A点距导线的水平距离。</w:t>
      </w:r>
    </w:p>
    <w:p w14:paraId="10655D92">
      <w:pPr>
        <w:spacing w:line="360" w:lineRule="auto"/>
        <w:ind w:firstLine="480" w:firstLineChars="200"/>
        <w:rPr>
          <w:sz w:val="24"/>
        </w:rPr>
      </w:pPr>
      <w:r>
        <w:rPr>
          <w:rFonts w:hint="eastAsia"/>
          <w:sz w:val="24"/>
        </w:rPr>
        <w:t>对于</w:t>
      </w:r>
      <w:r>
        <w:rPr>
          <w:sz w:val="24"/>
        </w:rPr>
        <w:t>三相线路，须考虑场强的合成，合成后的水平和垂直场强分别为：</w:t>
      </w:r>
    </w:p>
    <w:p w14:paraId="1BC36F80">
      <w:pPr>
        <w:spacing w:line="360" w:lineRule="auto"/>
        <w:ind w:firstLine="2280" w:firstLineChars="950"/>
        <w:rPr>
          <w:sz w:val="24"/>
        </w:rPr>
      </w:pPr>
      <w:r>
        <w:rPr>
          <w:position w:val="-64"/>
          <w:sz w:val="24"/>
        </w:rPr>
        <w:drawing>
          <wp:inline distT="0" distB="0" distL="0" distR="0">
            <wp:extent cx="1409700" cy="790575"/>
            <wp:effectExtent l="0" t="0" r="0" b="0"/>
            <wp:docPr id="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409700" cy="790575"/>
                    </a:xfrm>
                    <a:prstGeom prst="rect">
                      <a:avLst/>
                    </a:prstGeom>
                    <a:noFill/>
                    <a:ln>
                      <a:noFill/>
                    </a:ln>
                  </pic:spPr>
                </pic:pic>
              </a:graphicData>
            </a:graphic>
          </wp:inline>
        </w:drawing>
      </w:r>
    </w:p>
    <w:p w14:paraId="33994396">
      <w:pPr>
        <w:spacing w:line="360" w:lineRule="auto"/>
        <w:ind w:firstLine="480" w:firstLineChars="200"/>
        <w:rPr>
          <w:sz w:val="24"/>
        </w:rPr>
      </w:pPr>
      <w:r>
        <w:rPr>
          <w:sz w:val="24"/>
        </w:rPr>
        <w:t>H</w:t>
      </w:r>
      <w:r>
        <w:rPr>
          <w:sz w:val="24"/>
          <w:vertAlign w:val="subscript"/>
        </w:rPr>
        <w:t>1x</w:t>
      </w:r>
      <w:r>
        <w:rPr>
          <w:sz w:val="24"/>
        </w:rPr>
        <w:t>、H</w:t>
      </w:r>
      <w:r>
        <w:rPr>
          <w:sz w:val="24"/>
          <w:vertAlign w:val="subscript"/>
        </w:rPr>
        <w:t>2x</w:t>
      </w:r>
      <w:r>
        <w:rPr>
          <w:sz w:val="24"/>
        </w:rPr>
        <w:t>、H</w:t>
      </w:r>
      <w:r>
        <w:rPr>
          <w:sz w:val="24"/>
          <w:vertAlign w:val="subscript"/>
        </w:rPr>
        <w:t>3x</w:t>
      </w:r>
      <w:r>
        <w:rPr>
          <w:sz w:val="24"/>
        </w:rPr>
        <w:t>为各相导线的场强的水平分量；</w:t>
      </w:r>
    </w:p>
    <w:p w14:paraId="19C2B347">
      <w:pPr>
        <w:spacing w:line="360" w:lineRule="auto"/>
        <w:ind w:firstLine="480" w:firstLineChars="200"/>
        <w:rPr>
          <w:sz w:val="24"/>
        </w:rPr>
      </w:pPr>
      <w:r>
        <w:rPr>
          <w:sz w:val="24"/>
        </w:rPr>
        <w:t>H</w:t>
      </w:r>
      <w:r>
        <w:rPr>
          <w:sz w:val="24"/>
          <w:vertAlign w:val="subscript"/>
        </w:rPr>
        <w:t>1y</w:t>
      </w:r>
      <w:r>
        <w:rPr>
          <w:sz w:val="24"/>
        </w:rPr>
        <w:t>、H</w:t>
      </w:r>
      <w:r>
        <w:rPr>
          <w:sz w:val="24"/>
          <w:vertAlign w:val="subscript"/>
        </w:rPr>
        <w:t>2y</w:t>
      </w:r>
      <w:r>
        <w:rPr>
          <w:sz w:val="24"/>
        </w:rPr>
        <w:t>、H</w:t>
      </w:r>
      <w:r>
        <w:rPr>
          <w:sz w:val="24"/>
          <w:vertAlign w:val="subscript"/>
        </w:rPr>
        <w:t>3y</w:t>
      </w:r>
      <w:r>
        <w:rPr>
          <w:sz w:val="24"/>
        </w:rPr>
        <w:t>为各相导线的场强的垂直分量；</w:t>
      </w:r>
    </w:p>
    <w:p w14:paraId="5D645FD7">
      <w:pPr>
        <w:spacing w:line="360" w:lineRule="auto"/>
        <w:ind w:firstLine="480" w:firstLineChars="200"/>
        <w:rPr>
          <w:sz w:val="24"/>
        </w:rPr>
      </w:pPr>
      <w:r>
        <w:rPr>
          <w:sz w:val="24"/>
        </w:rPr>
        <w:t>H</w:t>
      </w:r>
      <w:r>
        <w:rPr>
          <w:sz w:val="24"/>
          <w:vertAlign w:val="subscript"/>
        </w:rPr>
        <w:t>x</w:t>
      </w:r>
      <w:r>
        <w:rPr>
          <w:sz w:val="24"/>
        </w:rPr>
        <w:t>、H</w:t>
      </w:r>
      <w:r>
        <w:rPr>
          <w:sz w:val="24"/>
          <w:vertAlign w:val="subscript"/>
        </w:rPr>
        <w:t>y</w:t>
      </w:r>
      <w:r>
        <w:rPr>
          <w:sz w:val="24"/>
        </w:rPr>
        <w:t>为计算点处合成后的水平和垂直分量；</w:t>
      </w:r>
    </w:p>
    <w:p w14:paraId="6EBDAC05">
      <w:pPr>
        <w:spacing w:line="360" w:lineRule="auto"/>
        <w:ind w:firstLine="480" w:firstLineChars="200"/>
        <w:rPr>
          <w:sz w:val="24"/>
        </w:rPr>
      </w:pPr>
      <w:r>
        <w:rPr>
          <w:sz w:val="24"/>
        </w:rPr>
        <w:t>H为计算点处综合磁场强度（A/m）。</w:t>
      </w:r>
    </w:p>
    <w:p w14:paraId="7D7D31C0">
      <w:pPr>
        <w:spacing w:line="360" w:lineRule="auto"/>
        <w:ind w:left="2399" w:leftChars="228" w:hanging="1920" w:hangingChars="800"/>
        <w:rPr>
          <w:sz w:val="24"/>
        </w:rPr>
      </w:pPr>
      <w:r>
        <w:rPr>
          <w:sz w:val="24"/>
        </w:rPr>
        <w:t>为了与环境标准相对应，需要将磁场强度转换为磁感应强度，转换公式为：</w:t>
      </w:r>
      <w:r>
        <w:rPr>
          <w:position w:val="-12"/>
          <w:sz w:val="24"/>
        </w:rPr>
        <w:drawing>
          <wp:inline distT="0" distB="0" distL="0" distR="0">
            <wp:extent cx="600075" cy="228600"/>
            <wp:effectExtent l="0" t="0" r="0" b="0"/>
            <wp:docPr id="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600075" cy="228600"/>
                    </a:xfrm>
                    <a:prstGeom prst="rect">
                      <a:avLst/>
                    </a:prstGeom>
                    <a:noFill/>
                    <a:ln>
                      <a:noFill/>
                    </a:ln>
                  </pic:spPr>
                </pic:pic>
              </a:graphicData>
            </a:graphic>
          </wp:inline>
        </w:drawing>
      </w:r>
      <w:r>
        <w:rPr>
          <w:sz w:val="24"/>
        </w:rPr>
        <w:t>；</w:t>
      </w:r>
    </w:p>
    <w:p w14:paraId="46EA8F5B">
      <w:pPr>
        <w:spacing w:line="360" w:lineRule="auto"/>
        <w:ind w:firstLine="480" w:firstLineChars="200"/>
        <w:rPr>
          <w:sz w:val="24"/>
        </w:rPr>
      </w:pPr>
      <w:r>
        <w:rPr>
          <w:sz w:val="24"/>
        </w:rPr>
        <w:t>式中：B——磁感应强度；</w:t>
      </w:r>
    </w:p>
    <w:p w14:paraId="2F8A7299">
      <w:pPr>
        <w:spacing w:line="360" w:lineRule="auto"/>
        <w:ind w:firstLine="1188" w:firstLineChars="495"/>
        <w:rPr>
          <w:sz w:val="24"/>
        </w:rPr>
      </w:pPr>
      <w:r>
        <w:rPr>
          <w:sz w:val="24"/>
        </w:rPr>
        <w:t>H——磁场强度；</w:t>
      </w:r>
    </w:p>
    <w:p w14:paraId="6D5B1791">
      <w:pPr>
        <w:spacing w:line="360" w:lineRule="auto"/>
        <w:ind w:firstLine="1188" w:firstLineChars="495"/>
        <w:rPr>
          <w:sz w:val="24"/>
        </w:rPr>
      </w:pPr>
      <w:r>
        <w:rPr>
          <w:sz w:val="24"/>
        </w:rPr>
        <w:t>μ</w:t>
      </w:r>
      <w:r>
        <w:rPr>
          <w:sz w:val="24"/>
          <w:vertAlign w:val="subscript"/>
        </w:rPr>
        <w:t>0</w:t>
      </w:r>
      <w:r>
        <w:rPr>
          <w:sz w:val="24"/>
        </w:rPr>
        <w:t>——常数，真空中磁导率（μ</w:t>
      </w:r>
      <w:r>
        <w:rPr>
          <w:sz w:val="24"/>
          <w:vertAlign w:val="subscript"/>
        </w:rPr>
        <w:t>0</w:t>
      </w:r>
      <w:r>
        <w:rPr>
          <w:sz w:val="24"/>
        </w:rPr>
        <w:t>=4π×10</w:t>
      </w:r>
      <w:r>
        <w:rPr>
          <w:sz w:val="24"/>
          <w:vertAlign w:val="superscript"/>
        </w:rPr>
        <w:t>-7</w:t>
      </w:r>
      <w:r>
        <w:rPr>
          <w:sz w:val="24"/>
        </w:rPr>
        <w:t>H/m）。</w:t>
      </w:r>
    </w:p>
    <w:p w14:paraId="5AA41A86">
      <w:pPr>
        <w:pStyle w:val="176"/>
        <w:spacing w:before="0" w:after="0" w:line="360" w:lineRule="auto"/>
        <w:outlineLvl w:val="9"/>
        <w:rPr>
          <w:rFonts w:eastAsia="宋体"/>
          <w:b/>
        </w:rPr>
      </w:pPr>
      <w:bookmarkStart w:id="331" w:name="_Toc3782"/>
      <w:bookmarkStart w:id="332" w:name="_Toc32002"/>
      <w:bookmarkStart w:id="333" w:name="_Toc20513"/>
      <w:bookmarkStart w:id="334" w:name="_Toc5009"/>
      <w:bookmarkStart w:id="335" w:name="_Toc14500"/>
      <w:bookmarkStart w:id="336" w:name="_Toc23739"/>
      <w:bookmarkStart w:id="337" w:name="_Toc227764369"/>
      <w:bookmarkStart w:id="338" w:name="_Toc25815"/>
      <w:bookmarkStart w:id="339" w:name="_Toc26060"/>
      <w:r>
        <w:rPr>
          <w:rFonts w:eastAsia="宋体"/>
          <w:b/>
        </w:rPr>
        <w:t>6.1.2预测参数</w:t>
      </w:r>
      <w:bookmarkEnd w:id="331"/>
      <w:bookmarkEnd w:id="332"/>
      <w:bookmarkEnd w:id="333"/>
      <w:bookmarkEnd w:id="334"/>
      <w:bookmarkEnd w:id="335"/>
      <w:bookmarkEnd w:id="336"/>
      <w:bookmarkEnd w:id="337"/>
      <w:bookmarkEnd w:id="338"/>
      <w:bookmarkEnd w:id="339"/>
    </w:p>
    <w:p w14:paraId="649A6277">
      <w:pPr>
        <w:spacing w:line="360" w:lineRule="auto"/>
        <w:ind w:firstLine="480" w:firstLineChars="200"/>
        <w:rPr>
          <w:sz w:val="24"/>
        </w:rPr>
      </w:pPr>
      <w:r>
        <w:rPr>
          <w:sz w:val="24"/>
        </w:rPr>
        <w:t>输电线路运行产生的工频电场、工频磁场主要由架线形式、架设高度、相序、线间距、导线结构和额定工况等参数决定。根据《环境影响评价技术导则 输变电》（HJ 24-2020），塔型选择时，可主要考虑线路经过居民区时的塔型，也可按保守原则选择电磁环境影响最大的塔型，</w:t>
      </w:r>
      <w:r>
        <w:rPr>
          <w:rFonts w:hint="eastAsia"/>
          <w:sz w:val="24"/>
        </w:rPr>
        <w:t>本项目输电线路导线排列方式包括水平排列和三角排列，但靠近敏感点的N</w:t>
      </w:r>
      <w:r>
        <w:rPr>
          <w:sz w:val="24"/>
        </w:rPr>
        <w:t>7</w:t>
      </w:r>
      <w:r>
        <w:rPr>
          <w:rFonts w:hint="eastAsia"/>
          <w:sz w:val="24"/>
        </w:rPr>
        <w:t>塔基为水平排列，因此</w:t>
      </w:r>
      <w:r>
        <w:rPr>
          <w:sz w:val="24"/>
        </w:rPr>
        <w:t>本次考虑选择电磁环境影响最大的</w:t>
      </w:r>
      <w:r>
        <w:rPr>
          <w:rFonts w:hint="eastAsia"/>
          <w:sz w:val="24"/>
        </w:rPr>
        <w:t>水平排列</w:t>
      </w:r>
      <w:r>
        <w:rPr>
          <w:sz w:val="24"/>
        </w:rPr>
        <w:t>塔型1B1Y6-Z2。</w:t>
      </w:r>
    </w:p>
    <w:p w14:paraId="11C05CA1">
      <w:pPr>
        <w:spacing w:line="360" w:lineRule="auto"/>
        <w:ind w:firstLine="480" w:firstLineChars="200"/>
        <w:rPr>
          <w:sz w:val="24"/>
        </w:rPr>
      </w:pPr>
      <w:r>
        <w:rPr>
          <w:rFonts w:hint="eastAsia"/>
          <w:sz w:val="24"/>
        </w:rPr>
        <w:t>一般来说杆塔横担（导线相间距）越大，其电磁场影响也越大，因此，根据横担大小，选择横担最大的塔型进行预测计算。线路导线及选用计算塔型的有关参数详见下表</w:t>
      </w:r>
      <w:r>
        <w:rPr>
          <w:sz w:val="24"/>
        </w:rPr>
        <w:t>：</w:t>
      </w:r>
    </w:p>
    <w:p w14:paraId="1BAE4776">
      <w:pPr>
        <w:spacing w:line="360" w:lineRule="auto"/>
        <w:jc w:val="center"/>
        <w:rPr>
          <w:rFonts w:eastAsia="黑体"/>
          <w:bCs/>
          <w:sz w:val="24"/>
        </w:rPr>
      </w:pPr>
      <w:r>
        <w:rPr>
          <w:rFonts w:eastAsia="黑体"/>
          <w:bCs/>
          <w:sz w:val="24"/>
        </w:rPr>
        <w:t>表6-1</w:t>
      </w:r>
      <w:r>
        <w:rPr>
          <w:rFonts w:hint="eastAsia" w:eastAsia="黑体"/>
          <w:bCs/>
          <w:sz w:val="24"/>
        </w:rPr>
        <w:t>电磁环境模式预测参数表</w:t>
      </w:r>
    </w:p>
    <w:tbl>
      <w:tblPr>
        <w:tblStyle w:val="279"/>
        <w:tblW w:w="5089" w:type="pct"/>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59"/>
        <w:gridCol w:w="5685"/>
      </w:tblGrid>
      <w:tr w14:paraId="2B7FC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7C66CE02">
            <w:pPr>
              <w:autoSpaceDE w:val="0"/>
              <w:autoSpaceDN w:val="0"/>
              <w:jc w:val="center"/>
              <w:rPr>
                <w:lang w:eastAsia="en-US"/>
              </w:rPr>
            </w:pPr>
            <w:r>
              <w:rPr>
                <w:lang w:eastAsia="en-US"/>
              </w:rPr>
              <w:t>线路参数</w:t>
            </w:r>
          </w:p>
        </w:tc>
        <w:tc>
          <w:tcPr>
            <w:tcW w:w="3366" w:type="pct"/>
            <w:vAlign w:val="center"/>
          </w:tcPr>
          <w:p w14:paraId="0EFA1838">
            <w:pPr>
              <w:autoSpaceDE w:val="0"/>
              <w:autoSpaceDN w:val="0"/>
              <w:jc w:val="center"/>
              <w:rPr>
                <w:lang w:eastAsia="en-US"/>
              </w:rPr>
            </w:pPr>
            <w:r>
              <w:rPr>
                <w:lang w:eastAsia="en-US"/>
              </w:rPr>
              <w:t>架空输电线路</w:t>
            </w:r>
          </w:p>
        </w:tc>
      </w:tr>
      <w:tr w14:paraId="6F804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60408960">
            <w:pPr>
              <w:autoSpaceDE w:val="0"/>
              <w:autoSpaceDN w:val="0"/>
              <w:jc w:val="center"/>
              <w:rPr>
                <w:lang w:eastAsia="en-US"/>
              </w:rPr>
            </w:pPr>
            <w:r>
              <w:rPr>
                <w:lang w:eastAsia="en-US"/>
              </w:rPr>
              <w:t>导线型号</w:t>
            </w:r>
          </w:p>
        </w:tc>
        <w:tc>
          <w:tcPr>
            <w:tcW w:w="3366" w:type="pct"/>
            <w:vAlign w:val="center"/>
          </w:tcPr>
          <w:p w14:paraId="26E30D41">
            <w:pPr>
              <w:autoSpaceDE w:val="0"/>
              <w:autoSpaceDN w:val="0"/>
              <w:jc w:val="center"/>
              <w:rPr>
                <w:lang w:eastAsia="en-US"/>
              </w:rPr>
            </w:pPr>
            <w:r>
              <w:rPr>
                <w:lang w:eastAsia="en-US"/>
              </w:rPr>
              <w:t>JNRLH1/LB20A-240/30</w:t>
            </w:r>
          </w:p>
        </w:tc>
      </w:tr>
      <w:tr w14:paraId="6C7DC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2739B3B9">
            <w:pPr>
              <w:autoSpaceDE w:val="0"/>
              <w:autoSpaceDN w:val="0"/>
              <w:jc w:val="center"/>
              <w:rPr>
                <w:lang w:eastAsia="en-US"/>
              </w:rPr>
            </w:pPr>
            <w:r>
              <w:rPr>
                <w:lang w:eastAsia="en-US"/>
              </w:rPr>
              <w:t>直径</w:t>
            </w:r>
          </w:p>
        </w:tc>
        <w:tc>
          <w:tcPr>
            <w:tcW w:w="3366" w:type="pct"/>
            <w:vAlign w:val="center"/>
          </w:tcPr>
          <w:p w14:paraId="6BB07B79">
            <w:pPr>
              <w:autoSpaceDE w:val="0"/>
              <w:autoSpaceDN w:val="0"/>
              <w:jc w:val="center"/>
              <w:rPr>
                <w:lang w:eastAsia="en-US"/>
              </w:rPr>
            </w:pPr>
            <w:r>
              <w:rPr>
                <w:lang w:eastAsia="en-US"/>
              </w:rPr>
              <w:t>21.6mm</w:t>
            </w:r>
          </w:p>
        </w:tc>
      </w:tr>
      <w:tr w14:paraId="4D35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634" w:type="pct"/>
            <w:vAlign w:val="center"/>
          </w:tcPr>
          <w:p w14:paraId="2FF3990E">
            <w:pPr>
              <w:autoSpaceDE w:val="0"/>
              <w:autoSpaceDN w:val="0"/>
              <w:jc w:val="center"/>
              <w:rPr>
                <w:lang w:eastAsia="en-US"/>
              </w:rPr>
            </w:pPr>
            <w:r>
              <w:rPr>
                <w:lang w:eastAsia="en-US"/>
              </w:rPr>
              <w:t>导线分裂</w:t>
            </w:r>
          </w:p>
        </w:tc>
        <w:tc>
          <w:tcPr>
            <w:tcW w:w="3366" w:type="pct"/>
            <w:vAlign w:val="center"/>
          </w:tcPr>
          <w:p w14:paraId="2F438AEC">
            <w:pPr>
              <w:autoSpaceDE w:val="0"/>
              <w:autoSpaceDN w:val="0"/>
              <w:jc w:val="center"/>
              <w:rPr>
                <w:lang w:eastAsia="en-US"/>
              </w:rPr>
            </w:pPr>
            <w:r>
              <w:rPr>
                <w:lang w:eastAsia="en-US"/>
              </w:rPr>
              <w:t>不分裂</w:t>
            </w:r>
          </w:p>
        </w:tc>
      </w:tr>
      <w:tr w14:paraId="17684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1307CA96">
            <w:pPr>
              <w:autoSpaceDE w:val="0"/>
              <w:autoSpaceDN w:val="0"/>
              <w:jc w:val="center"/>
              <w:rPr>
                <w:lang w:eastAsia="en-US"/>
              </w:rPr>
            </w:pPr>
            <w:r>
              <w:rPr>
                <w:lang w:eastAsia="en-US"/>
              </w:rPr>
              <w:t>分裂间距</w:t>
            </w:r>
          </w:p>
        </w:tc>
        <w:tc>
          <w:tcPr>
            <w:tcW w:w="3366" w:type="pct"/>
            <w:vAlign w:val="center"/>
          </w:tcPr>
          <w:p w14:paraId="2CF39357">
            <w:pPr>
              <w:autoSpaceDE w:val="0"/>
              <w:autoSpaceDN w:val="0"/>
              <w:jc w:val="center"/>
              <w:rPr>
                <w:lang w:eastAsia="en-US"/>
              </w:rPr>
            </w:pPr>
            <w:r>
              <w:rPr>
                <w:lang w:eastAsia="en-US"/>
              </w:rPr>
              <w:t>/</w:t>
            </w:r>
          </w:p>
        </w:tc>
      </w:tr>
      <w:tr w14:paraId="375F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634" w:type="pct"/>
            <w:vAlign w:val="center"/>
          </w:tcPr>
          <w:p w14:paraId="16C34BAD">
            <w:pPr>
              <w:autoSpaceDE w:val="0"/>
              <w:autoSpaceDN w:val="0"/>
              <w:jc w:val="center"/>
              <w:rPr>
                <w:lang w:eastAsia="en-US"/>
              </w:rPr>
            </w:pPr>
            <w:r>
              <w:rPr>
                <w:lang w:eastAsia="en-US"/>
              </w:rPr>
              <w:t>导线电压等级</w:t>
            </w:r>
          </w:p>
        </w:tc>
        <w:tc>
          <w:tcPr>
            <w:tcW w:w="3366" w:type="pct"/>
            <w:vAlign w:val="center"/>
          </w:tcPr>
          <w:p w14:paraId="5D3AE491">
            <w:pPr>
              <w:autoSpaceDE w:val="0"/>
              <w:autoSpaceDN w:val="0"/>
              <w:jc w:val="center"/>
              <w:rPr>
                <w:lang w:eastAsia="zh-CN"/>
              </w:rPr>
            </w:pPr>
            <w:r>
              <w:rPr>
                <w:lang w:eastAsia="zh-CN"/>
              </w:rPr>
              <w:t>115.5kV（额定电压的 1.05 倍）</w:t>
            </w:r>
          </w:p>
        </w:tc>
      </w:tr>
      <w:tr w14:paraId="1919E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651C2063">
            <w:pPr>
              <w:autoSpaceDE w:val="0"/>
              <w:autoSpaceDN w:val="0"/>
              <w:jc w:val="center"/>
              <w:rPr>
                <w:lang w:eastAsia="en-US"/>
              </w:rPr>
            </w:pPr>
            <w:r>
              <w:rPr>
                <w:lang w:eastAsia="en-US"/>
              </w:rPr>
              <w:t>最大载流量</w:t>
            </w:r>
          </w:p>
        </w:tc>
        <w:tc>
          <w:tcPr>
            <w:tcW w:w="3366" w:type="pct"/>
            <w:vAlign w:val="center"/>
          </w:tcPr>
          <w:p w14:paraId="03135E6B">
            <w:pPr>
              <w:autoSpaceDE w:val="0"/>
              <w:autoSpaceDN w:val="0"/>
              <w:jc w:val="center"/>
              <w:rPr>
                <w:lang w:eastAsia="en-US"/>
              </w:rPr>
            </w:pPr>
            <w:r>
              <w:rPr>
                <w:lang w:eastAsia="en-US"/>
              </w:rPr>
              <w:t>726A</w:t>
            </w:r>
          </w:p>
        </w:tc>
      </w:tr>
      <w:tr w14:paraId="3DD55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34" w:type="pct"/>
            <w:vAlign w:val="center"/>
          </w:tcPr>
          <w:p w14:paraId="6DD1E92A">
            <w:pPr>
              <w:autoSpaceDE w:val="0"/>
              <w:autoSpaceDN w:val="0"/>
              <w:jc w:val="center"/>
              <w:rPr>
                <w:lang w:eastAsia="zh-CN"/>
              </w:rPr>
            </w:pPr>
            <w:r>
              <w:rPr>
                <w:lang w:eastAsia="zh-CN"/>
              </w:rPr>
              <w:t>预测导线最低对地距离（h）</w:t>
            </w:r>
          </w:p>
        </w:tc>
        <w:tc>
          <w:tcPr>
            <w:tcW w:w="3366" w:type="pct"/>
            <w:vAlign w:val="center"/>
          </w:tcPr>
          <w:p w14:paraId="033FB37C">
            <w:pPr>
              <w:autoSpaceDE w:val="0"/>
              <w:autoSpaceDN w:val="0"/>
              <w:jc w:val="center"/>
              <w:rPr>
                <w:lang w:eastAsia="zh-CN"/>
              </w:rPr>
            </w:pPr>
            <w:r>
              <w:rPr>
                <w:lang w:eastAsia="zh-CN"/>
              </w:rPr>
              <w:t>6m（非居民区）</w:t>
            </w:r>
            <w:r>
              <w:rPr>
                <w:rFonts w:hint="eastAsia"/>
                <w:lang w:eastAsia="zh-CN"/>
              </w:rPr>
              <w:t>、</w:t>
            </w:r>
            <w:r>
              <w:rPr>
                <w:lang w:eastAsia="zh-CN"/>
              </w:rPr>
              <w:t>7m（居民区）</w:t>
            </w:r>
          </w:p>
        </w:tc>
      </w:tr>
      <w:tr w14:paraId="57630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34" w:type="pct"/>
            <w:vAlign w:val="center"/>
          </w:tcPr>
          <w:p w14:paraId="3D3B83A1">
            <w:pPr>
              <w:autoSpaceDE w:val="0"/>
              <w:autoSpaceDN w:val="0"/>
              <w:jc w:val="center"/>
              <w:rPr>
                <w:lang w:eastAsia="en-US"/>
              </w:rPr>
            </w:pPr>
            <w:r>
              <w:rPr>
                <w:lang w:eastAsia="en-US"/>
              </w:rPr>
              <w:t>塔型</w:t>
            </w:r>
          </w:p>
        </w:tc>
        <w:tc>
          <w:tcPr>
            <w:tcW w:w="3366" w:type="pct"/>
            <w:vAlign w:val="center"/>
          </w:tcPr>
          <w:p w14:paraId="4CF11297">
            <w:pPr>
              <w:autoSpaceDE w:val="0"/>
              <w:autoSpaceDN w:val="0"/>
              <w:jc w:val="center"/>
              <w:rPr>
                <w:lang w:eastAsia="en-US"/>
              </w:rPr>
            </w:pPr>
            <w:r>
              <w:rPr>
                <w:lang w:eastAsia="en-US"/>
              </w:rPr>
              <w:t>单回塔</w:t>
            </w:r>
            <w:bookmarkStart w:id="340" w:name="_Hlk227761224"/>
            <w:r>
              <w:rPr>
                <w:lang w:eastAsia="en-US"/>
              </w:rPr>
              <w:t>1B1Y6-Z2</w:t>
            </w:r>
            <w:bookmarkEnd w:id="340"/>
          </w:p>
        </w:tc>
      </w:tr>
      <w:tr w14:paraId="10677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Merge w:val="restart"/>
            <w:vAlign w:val="center"/>
          </w:tcPr>
          <w:p w14:paraId="42BA1527">
            <w:pPr>
              <w:autoSpaceDE w:val="0"/>
              <w:autoSpaceDN w:val="0"/>
              <w:jc w:val="center"/>
              <w:rPr>
                <w:lang w:eastAsia="en-US"/>
              </w:rPr>
            </w:pPr>
            <w:r>
              <w:rPr>
                <w:lang w:eastAsia="en-US"/>
              </w:rPr>
              <w:t>导线排列方式</w:t>
            </w:r>
          </w:p>
        </w:tc>
        <w:tc>
          <w:tcPr>
            <w:tcW w:w="3366" w:type="pct"/>
            <w:vAlign w:val="center"/>
          </w:tcPr>
          <w:p w14:paraId="264717C4">
            <w:pPr>
              <w:autoSpaceDE w:val="0"/>
              <w:autoSpaceDN w:val="0"/>
              <w:jc w:val="center"/>
              <w:rPr>
                <w:lang w:eastAsia="en-US"/>
              </w:rPr>
            </w:pPr>
            <w:r>
              <w:rPr>
                <w:lang w:eastAsia="en-US"/>
              </w:rPr>
              <w:t>水平排列</w:t>
            </w:r>
          </w:p>
        </w:tc>
      </w:tr>
      <w:tr w14:paraId="06C56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Merge w:val="continue"/>
            <w:vAlign w:val="center"/>
          </w:tcPr>
          <w:p w14:paraId="7E0EAC5A">
            <w:pPr>
              <w:autoSpaceDE w:val="0"/>
              <w:autoSpaceDN w:val="0"/>
              <w:jc w:val="center"/>
              <w:rPr>
                <w:lang w:eastAsia="en-US"/>
              </w:rPr>
            </w:pPr>
          </w:p>
        </w:tc>
        <w:tc>
          <w:tcPr>
            <w:tcW w:w="3366" w:type="pct"/>
            <w:vAlign w:val="center"/>
          </w:tcPr>
          <w:p w14:paraId="13F7069D">
            <w:pPr>
              <w:autoSpaceDE w:val="0"/>
              <w:autoSpaceDN w:val="0"/>
              <w:jc w:val="center"/>
              <w:rPr>
                <w:lang w:eastAsia="zh-CN"/>
              </w:rPr>
            </w:pPr>
            <w:r>
              <w:rPr>
                <w:rFonts w:hint="eastAsia"/>
                <w:lang w:eastAsia="zh-CN"/>
              </w:rPr>
              <w:t>A</w:t>
            </w:r>
            <w:r>
              <w:rPr>
                <w:lang w:eastAsia="zh-CN"/>
              </w:rPr>
              <w:t xml:space="preserve">   B   C</w:t>
            </w:r>
          </w:p>
        </w:tc>
      </w:tr>
      <w:tr w14:paraId="6D4C1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34" w:type="pct"/>
            <w:vAlign w:val="center"/>
          </w:tcPr>
          <w:p w14:paraId="2E6CA168">
            <w:pPr>
              <w:autoSpaceDE w:val="0"/>
              <w:autoSpaceDN w:val="0"/>
              <w:jc w:val="center"/>
              <w:rPr>
                <w:lang w:eastAsia="en-US"/>
              </w:rPr>
            </w:pPr>
            <w:r>
              <w:rPr>
                <w:rFonts w:hint="eastAsia"/>
                <w:lang w:eastAsia="zh-CN"/>
              </w:rPr>
              <w:t>导线坐标</w:t>
            </w:r>
          </w:p>
        </w:tc>
        <w:tc>
          <w:tcPr>
            <w:tcW w:w="3366" w:type="pct"/>
            <w:vAlign w:val="center"/>
          </w:tcPr>
          <w:p w14:paraId="1878CC8E">
            <w:pPr>
              <w:autoSpaceDE w:val="0"/>
              <w:autoSpaceDN w:val="0"/>
              <w:jc w:val="center"/>
              <w:rPr>
                <w:lang w:eastAsia="en-US"/>
              </w:rPr>
            </w:pPr>
            <w:r>
              <w:rPr>
                <w:rFonts w:hint="eastAsia"/>
                <w:lang w:eastAsia="zh-CN"/>
              </w:rPr>
              <w:t>A（-</w:t>
            </w:r>
            <w:r>
              <w:rPr>
                <w:lang w:eastAsia="zh-CN"/>
              </w:rPr>
              <w:t>7</w:t>
            </w:r>
            <w:r>
              <w:rPr>
                <w:rFonts w:hint="eastAsia"/>
                <w:lang w:eastAsia="zh-CN"/>
              </w:rPr>
              <w:t>，h）</w:t>
            </w:r>
            <w:r>
              <w:rPr>
                <w:lang w:eastAsia="zh-CN"/>
              </w:rPr>
              <w:t xml:space="preserve">   B</w:t>
            </w:r>
            <w:r>
              <w:rPr>
                <w:rFonts w:hint="eastAsia"/>
                <w:lang w:eastAsia="zh-CN"/>
              </w:rPr>
              <w:t>（</w:t>
            </w:r>
            <w:r>
              <w:rPr>
                <w:lang w:eastAsia="zh-CN"/>
              </w:rPr>
              <w:t>0</w:t>
            </w:r>
            <w:r>
              <w:rPr>
                <w:rFonts w:hint="eastAsia"/>
                <w:lang w:eastAsia="zh-CN"/>
              </w:rPr>
              <w:t>，h）</w:t>
            </w:r>
            <w:r>
              <w:rPr>
                <w:lang w:eastAsia="zh-CN"/>
              </w:rPr>
              <w:t xml:space="preserve">   C</w:t>
            </w:r>
            <w:r>
              <w:rPr>
                <w:rFonts w:hint="eastAsia"/>
                <w:lang w:eastAsia="zh-CN"/>
              </w:rPr>
              <w:t>（</w:t>
            </w:r>
            <w:r>
              <w:rPr>
                <w:lang w:eastAsia="zh-CN"/>
              </w:rPr>
              <w:t>7</w:t>
            </w:r>
            <w:r>
              <w:rPr>
                <w:rFonts w:hint="eastAsia"/>
                <w:lang w:eastAsia="zh-CN"/>
              </w:rPr>
              <w:t>，h）</w:t>
            </w:r>
          </w:p>
        </w:tc>
      </w:tr>
    </w:tbl>
    <w:p w14:paraId="00DBB4EF">
      <w:pPr>
        <w:spacing w:line="360" w:lineRule="auto"/>
        <w:ind w:firstLine="420" w:firstLineChars="200"/>
        <w:jc w:val="center"/>
        <w:rPr>
          <w:sz w:val="24"/>
        </w:rPr>
      </w:pPr>
      <w:r>
        <w:drawing>
          <wp:inline distT="0" distB="0" distL="0" distR="0">
            <wp:extent cx="1952625" cy="504380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3"/>
                    <a:stretch>
                      <a:fillRect/>
                    </a:stretch>
                  </pic:blipFill>
                  <pic:spPr>
                    <a:xfrm>
                      <a:off x="0" y="0"/>
                      <a:ext cx="1955071" cy="5050601"/>
                    </a:xfrm>
                    <a:prstGeom prst="rect">
                      <a:avLst/>
                    </a:prstGeom>
                  </pic:spPr>
                </pic:pic>
              </a:graphicData>
            </a:graphic>
          </wp:inline>
        </w:drawing>
      </w:r>
    </w:p>
    <w:p w14:paraId="5BC302FF">
      <w:pPr>
        <w:spacing w:line="360" w:lineRule="auto"/>
        <w:jc w:val="center"/>
        <w:rPr>
          <w:rFonts w:eastAsia="黑体"/>
          <w:bCs/>
          <w:sz w:val="24"/>
        </w:rPr>
      </w:pPr>
      <w:r>
        <w:rPr>
          <w:rFonts w:hint="eastAsia" w:eastAsia="黑体"/>
          <w:bCs/>
          <w:sz w:val="24"/>
        </w:rPr>
        <w:t>图</w:t>
      </w:r>
      <w:r>
        <w:rPr>
          <w:rFonts w:eastAsia="黑体"/>
          <w:bCs/>
          <w:sz w:val="24"/>
        </w:rPr>
        <w:t>6-1 有效横担长度最长（1B1Y6-Z2）水平排列</w:t>
      </w:r>
    </w:p>
    <w:p w14:paraId="2E11E3CF">
      <w:pPr>
        <w:pStyle w:val="176"/>
        <w:spacing w:before="0" w:after="0" w:line="360" w:lineRule="auto"/>
        <w:outlineLvl w:val="9"/>
        <w:rPr>
          <w:rFonts w:eastAsia="宋体"/>
          <w:b/>
        </w:rPr>
      </w:pPr>
      <w:bookmarkStart w:id="341" w:name="_Toc19197"/>
      <w:bookmarkStart w:id="342" w:name="_Toc4366"/>
      <w:bookmarkStart w:id="343" w:name="_Toc25016"/>
      <w:bookmarkStart w:id="344" w:name="_Toc12240"/>
      <w:bookmarkStart w:id="345" w:name="_Toc7303"/>
      <w:bookmarkStart w:id="346" w:name="_Toc12057"/>
      <w:bookmarkStart w:id="347" w:name="_Toc28914"/>
      <w:bookmarkStart w:id="348" w:name="_Toc227764370"/>
      <w:bookmarkStart w:id="349" w:name="_Toc5981"/>
      <w:r>
        <w:rPr>
          <w:rFonts w:eastAsia="宋体"/>
          <w:b/>
        </w:rPr>
        <w:t>6.1.3电磁环境影响预测与分析</w:t>
      </w:r>
      <w:bookmarkEnd w:id="341"/>
      <w:bookmarkEnd w:id="342"/>
      <w:bookmarkEnd w:id="343"/>
      <w:bookmarkEnd w:id="344"/>
      <w:bookmarkEnd w:id="345"/>
      <w:bookmarkEnd w:id="346"/>
      <w:bookmarkEnd w:id="347"/>
      <w:bookmarkEnd w:id="348"/>
      <w:bookmarkEnd w:id="349"/>
    </w:p>
    <w:p w14:paraId="38B91119">
      <w:pPr>
        <w:spacing w:line="360" w:lineRule="auto"/>
        <w:ind w:firstLine="480" w:firstLineChars="200"/>
        <w:rPr>
          <w:sz w:val="24"/>
        </w:rPr>
      </w:pPr>
      <w:r>
        <w:rPr>
          <w:rFonts w:hint="eastAsia"/>
          <w:sz w:val="24"/>
        </w:rPr>
        <w:t>（1）工频电场环境影响分析</w:t>
      </w:r>
    </w:p>
    <w:p w14:paraId="17112C02">
      <w:pPr>
        <w:adjustRightInd w:val="0"/>
        <w:snapToGrid w:val="0"/>
        <w:spacing w:line="360" w:lineRule="auto"/>
        <w:ind w:firstLine="480" w:firstLineChars="200"/>
        <w:rPr>
          <w:sz w:val="24"/>
          <w:szCs w:val="24"/>
        </w:rPr>
      </w:pPr>
      <w:r>
        <w:rPr>
          <w:rFonts w:hint="eastAsia"/>
          <w:sz w:val="24"/>
          <w:szCs w:val="24"/>
        </w:rPr>
        <w:t>110kV单回输电线路在最不利塔型段（</w:t>
      </w:r>
      <w:r>
        <w:rPr>
          <w:sz w:val="24"/>
          <w:szCs w:val="24"/>
        </w:rPr>
        <w:t>1B1Y6-Z2</w:t>
      </w:r>
      <w:r>
        <w:rPr>
          <w:rFonts w:hint="eastAsia"/>
          <w:sz w:val="24"/>
          <w:szCs w:val="24"/>
        </w:rPr>
        <w:t>）导线最低允许高度取6m（非居民区）、7m（居民区）时线</w:t>
      </w:r>
      <w:r>
        <w:rPr>
          <w:sz w:val="24"/>
          <w:szCs w:val="24"/>
        </w:rPr>
        <w:t>下距地面1.5m高处工频电场强度分布见图</w:t>
      </w:r>
      <w:r>
        <w:rPr>
          <w:rFonts w:hint="eastAsia"/>
          <w:sz w:val="24"/>
          <w:szCs w:val="24"/>
        </w:rPr>
        <w:t>6-</w:t>
      </w:r>
      <w:r>
        <w:rPr>
          <w:sz w:val="24"/>
          <w:szCs w:val="24"/>
        </w:rPr>
        <w:t>2</w:t>
      </w:r>
      <w:r>
        <w:rPr>
          <w:rFonts w:hint="eastAsia"/>
          <w:sz w:val="24"/>
          <w:szCs w:val="24"/>
        </w:rPr>
        <w:t>，预测结果见表6-</w:t>
      </w:r>
      <w:r>
        <w:rPr>
          <w:sz w:val="24"/>
          <w:szCs w:val="24"/>
        </w:rPr>
        <w:t>2</w:t>
      </w:r>
      <w:r>
        <w:rPr>
          <w:rFonts w:hint="eastAsia"/>
          <w:sz w:val="24"/>
          <w:szCs w:val="24"/>
        </w:rPr>
        <w:t>。</w:t>
      </w:r>
    </w:p>
    <w:p w14:paraId="08D2051F">
      <w:pPr>
        <w:spacing w:line="360" w:lineRule="auto"/>
        <w:jc w:val="center"/>
        <w:rPr>
          <w:sz w:val="24"/>
        </w:rPr>
      </w:pPr>
      <w:r>
        <w:rPr>
          <w:sz w:val="24"/>
        </w:rPr>
        <w:drawing>
          <wp:inline distT="0" distB="0" distL="0" distR="0">
            <wp:extent cx="5141595" cy="3905250"/>
            <wp:effectExtent l="0" t="0" r="190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5160481" cy="3919399"/>
                    </a:xfrm>
                    <a:prstGeom prst="rect">
                      <a:avLst/>
                    </a:prstGeom>
                    <a:noFill/>
                  </pic:spPr>
                </pic:pic>
              </a:graphicData>
            </a:graphic>
          </wp:inline>
        </w:drawing>
      </w:r>
    </w:p>
    <w:p w14:paraId="7C1B392B">
      <w:pPr>
        <w:spacing w:line="360" w:lineRule="auto"/>
        <w:jc w:val="center"/>
        <w:rPr>
          <w:rFonts w:eastAsia="黑体"/>
          <w:bCs/>
          <w:sz w:val="24"/>
        </w:rPr>
      </w:pPr>
      <w:r>
        <w:rPr>
          <w:rFonts w:hint="eastAsia" w:eastAsia="黑体"/>
          <w:bCs/>
          <w:sz w:val="24"/>
        </w:rPr>
        <w:t>图6</w:t>
      </w:r>
      <w:r>
        <w:rPr>
          <w:rFonts w:eastAsia="黑体"/>
          <w:bCs/>
          <w:sz w:val="24"/>
        </w:rPr>
        <w:t>-2</w:t>
      </w:r>
      <w:r>
        <w:rPr>
          <w:rFonts w:hint="eastAsia" w:eastAsia="黑体"/>
          <w:bCs/>
          <w:sz w:val="24"/>
        </w:rPr>
        <w:t xml:space="preserve"> </w:t>
      </w:r>
      <w:r>
        <w:rPr>
          <w:rFonts w:eastAsia="黑体"/>
          <w:bCs/>
          <w:sz w:val="24"/>
        </w:rPr>
        <w:t>1B1Y6-Z2</w:t>
      </w:r>
      <w:r>
        <w:rPr>
          <w:rFonts w:hint="eastAsia" w:eastAsia="黑体"/>
          <w:bCs/>
          <w:sz w:val="24"/>
        </w:rPr>
        <w:t>塔导线最低允许高度分别取6m（非居民区）、7m（居民区）时线下工频电场强度分布曲线</w:t>
      </w:r>
    </w:p>
    <w:p w14:paraId="632AB0B7">
      <w:pPr>
        <w:pStyle w:val="195"/>
        <w:spacing w:before="0" w:line="360" w:lineRule="auto"/>
        <w:jc w:val="center"/>
        <w:rPr>
          <w:rFonts w:eastAsia="宋体"/>
          <w:b/>
          <w:sz w:val="24"/>
          <w:szCs w:val="24"/>
        </w:rPr>
      </w:pPr>
    </w:p>
    <w:p w14:paraId="3B6D2EB1">
      <w:pPr>
        <w:spacing w:line="360" w:lineRule="auto"/>
        <w:jc w:val="center"/>
        <w:rPr>
          <w:rFonts w:eastAsia="黑体"/>
          <w:bCs/>
          <w:sz w:val="24"/>
        </w:rPr>
      </w:pPr>
      <w:r>
        <w:rPr>
          <w:rFonts w:hint="eastAsia" w:eastAsia="黑体"/>
          <w:bCs/>
          <w:sz w:val="24"/>
        </w:rPr>
        <w:t>表6</w:t>
      </w:r>
      <w:r>
        <w:rPr>
          <w:rFonts w:eastAsia="黑体"/>
          <w:bCs/>
          <w:sz w:val="24"/>
        </w:rPr>
        <w:t>-2</w:t>
      </w:r>
      <w:r>
        <w:rPr>
          <w:rFonts w:hint="eastAsia" w:eastAsia="黑体"/>
          <w:bCs/>
          <w:sz w:val="24"/>
        </w:rPr>
        <w:t xml:space="preserve"> </w:t>
      </w:r>
      <w:r>
        <w:rPr>
          <w:rFonts w:eastAsia="黑体"/>
          <w:bCs/>
          <w:sz w:val="24"/>
        </w:rPr>
        <w:t>1B1Y6-Z2</w:t>
      </w:r>
      <w:r>
        <w:rPr>
          <w:rFonts w:hint="eastAsia" w:eastAsia="黑体"/>
          <w:bCs/>
          <w:sz w:val="24"/>
        </w:rPr>
        <w:t>典型塔型段线路工频电场环境预测结果  单位：v/m</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2"/>
        <w:gridCol w:w="2630"/>
        <w:gridCol w:w="2764"/>
      </w:tblGrid>
      <w:tr w14:paraId="5443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749" w:type="pct"/>
            <w:shd w:val="clear" w:color="auto" w:fill="auto"/>
            <w:vAlign w:val="center"/>
          </w:tcPr>
          <w:p w14:paraId="349449F0">
            <w:pPr>
              <w:widowControl/>
              <w:jc w:val="center"/>
              <w:rPr>
                <w:rFonts w:ascii="宋体" w:hAnsi="宋体" w:cs="宋体"/>
                <w:color w:val="000000"/>
                <w:kern w:val="0"/>
              </w:rPr>
            </w:pPr>
            <w:r>
              <w:rPr>
                <w:rFonts w:hint="eastAsia" w:ascii="宋体" w:hAnsi="宋体" w:cs="宋体"/>
                <w:color w:val="000000"/>
                <w:kern w:val="0"/>
              </w:rPr>
              <w:t>最低导线高度（</w:t>
            </w:r>
            <w:r>
              <w:rPr>
                <w:color w:val="000000"/>
                <w:kern w:val="0"/>
              </w:rPr>
              <w:t>m</w:t>
            </w:r>
            <w:r>
              <w:rPr>
                <w:rFonts w:hint="eastAsia" w:ascii="宋体" w:hAnsi="宋体" w:cs="宋体"/>
                <w:color w:val="000000"/>
                <w:kern w:val="0"/>
              </w:rPr>
              <w:t>）</w:t>
            </w:r>
          </w:p>
        </w:tc>
        <w:tc>
          <w:tcPr>
            <w:tcW w:w="1585" w:type="pct"/>
            <w:shd w:val="clear" w:color="auto" w:fill="auto"/>
            <w:vAlign w:val="center"/>
          </w:tcPr>
          <w:p w14:paraId="37E5417F">
            <w:pPr>
              <w:widowControl/>
              <w:jc w:val="center"/>
              <w:rPr>
                <w:color w:val="000000"/>
                <w:kern w:val="0"/>
              </w:rPr>
            </w:pPr>
            <w:r>
              <w:rPr>
                <w:color w:val="000000"/>
                <w:kern w:val="0"/>
              </w:rPr>
              <w:t>6m</w:t>
            </w:r>
            <w:r>
              <w:rPr>
                <w:rFonts w:hint="eastAsia" w:ascii="宋体" w:hAnsi="宋体"/>
                <w:color w:val="000000"/>
                <w:kern w:val="0"/>
              </w:rPr>
              <w:t>（非居民区）</w:t>
            </w:r>
          </w:p>
        </w:tc>
        <w:tc>
          <w:tcPr>
            <w:tcW w:w="1666" w:type="pct"/>
            <w:shd w:val="clear" w:color="auto" w:fill="auto"/>
            <w:vAlign w:val="center"/>
          </w:tcPr>
          <w:p w14:paraId="710E7FA6">
            <w:pPr>
              <w:widowControl/>
              <w:jc w:val="center"/>
              <w:rPr>
                <w:color w:val="000000"/>
                <w:kern w:val="0"/>
              </w:rPr>
            </w:pPr>
            <w:r>
              <w:rPr>
                <w:color w:val="000000"/>
                <w:kern w:val="0"/>
              </w:rPr>
              <w:t>7m</w:t>
            </w:r>
            <w:r>
              <w:rPr>
                <w:rFonts w:hint="eastAsia" w:ascii="宋体" w:hAnsi="宋体"/>
                <w:color w:val="000000"/>
                <w:kern w:val="0"/>
              </w:rPr>
              <w:t>（居民区）</w:t>
            </w:r>
          </w:p>
        </w:tc>
      </w:tr>
      <w:tr w14:paraId="03D7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49" w:type="pct"/>
            <w:shd w:val="clear" w:color="auto" w:fill="auto"/>
            <w:vAlign w:val="center"/>
          </w:tcPr>
          <w:p w14:paraId="4CF48A41">
            <w:pPr>
              <w:widowControl/>
              <w:jc w:val="center"/>
              <w:rPr>
                <w:rFonts w:ascii="宋体" w:hAnsi="宋体" w:cs="宋体"/>
                <w:color w:val="000000"/>
                <w:kern w:val="0"/>
              </w:rPr>
            </w:pPr>
            <w:r>
              <w:rPr>
                <w:rFonts w:hint="eastAsia" w:ascii="宋体" w:hAnsi="宋体" w:cs="宋体"/>
                <w:color w:val="000000"/>
                <w:kern w:val="0"/>
              </w:rPr>
              <w:t>距线路中心距离（</w:t>
            </w:r>
            <w:r>
              <w:rPr>
                <w:color w:val="000000"/>
                <w:kern w:val="0"/>
              </w:rPr>
              <w:t>m</w:t>
            </w:r>
            <w:r>
              <w:rPr>
                <w:rFonts w:hint="eastAsia" w:ascii="宋体" w:hAnsi="宋体" w:cs="宋体"/>
                <w:color w:val="000000"/>
                <w:kern w:val="0"/>
              </w:rPr>
              <w:t>）</w:t>
            </w:r>
          </w:p>
        </w:tc>
        <w:tc>
          <w:tcPr>
            <w:tcW w:w="1585" w:type="pct"/>
            <w:tcBorders>
              <w:bottom w:val="single" w:color="auto" w:sz="4" w:space="0"/>
            </w:tcBorders>
            <w:shd w:val="clear" w:color="auto" w:fill="auto"/>
            <w:vAlign w:val="center"/>
          </w:tcPr>
          <w:p w14:paraId="5C68B82D">
            <w:pPr>
              <w:widowControl/>
              <w:jc w:val="center"/>
              <w:rPr>
                <w:rFonts w:ascii="宋体" w:hAnsi="宋体" w:cs="宋体"/>
                <w:color w:val="000000"/>
                <w:kern w:val="0"/>
              </w:rPr>
            </w:pPr>
            <w:r>
              <w:rPr>
                <w:rFonts w:hint="eastAsia" w:ascii="宋体" w:hAnsi="宋体" w:cs="宋体"/>
                <w:color w:val="000000"/>
                <w:kern w:val="0"/>
              </w:rPr>
              <w:t>离地</w:t>
            </w:r>
            <w:r>
              <w:rPr>
                <w:color w:val="000000"/>
                <w:kern w:val="0"/>
              </w:rPr>
              <w:t>1.5m</w:t>
            </w:r>
          </w:p>
        </w:tc>
        <w:tc>
          <w:tcPr>
            <w:tcW w:w="1666" w:type="pct"/>
            <w:shd w:val="clear" w:color="auto" w:fill="auto"/>
            <w:vAlign w:val="center"/>
          </w:tcPr>
          <w:p w14:paraId="386E8B03">
            <w:pPr>
              <w:widowControl/>
              <w:jc w:val="center"/>
              <w:rPr>
                <w:rFonts w:ascii="宋体" w:hAnsi="宋体" w:cs="宋体"/>
                <w:color w:val="000000"/>
                <w:kern w:val="0"/>
              </w:rPr>
            </w:pPr>
            <w:r>
              <w:rPr>
                <w:rFonts w:hint="eastAsia" w:ascii="宋体" w:hAnsi="宋体" w:cs="宋体"/>
                <w:color w:val="000000"/>
                <w:kern w:val="0"/>
              </w:rPr>
              <w:t>离地</w:t>
            </w:r>
            <w:r>
              <w:rPr>
                <w:color w:val="000000"/>
                <w:kern w:val="0"/>
              </w:rPr>
              <w:t>1.5m</w:t>
            </w:r>
          </w:p>
        </w:tc>
      </w:tr>
      <w:tr w14:paraId="659E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7A6276C">
            <w:pPr>
              <w:widowControl/>
              <w:jc w:val="center"/>
              <w:rPr>
                <w:color w:val="000000"/>
                <w:kern w:val="0"/>
              </w:rPr>
            </w:pPr>
            <w:r>
              <w:rPr>
                <w:color w:val="000000"/>
                <w:kern w:val="0"/>
              </w:rPr>
              <w:t>-40</w:t>
            </w:r>
          </w:p>
        </w:tc>
        <w:tc>
          <w:tcPr>
            <w:tcW w:w="1585" w:type="pct"/>
            <w:tcBorders>
              <w:top w:val="single" w:color="auto" w:sz="4" w:space="0"/>
              <w:left w:val="nil"/>
              <w:bottom w:val="single" w:color="auto" w:sz="4" w:space="0"/>
              <w:right w:val="nil"/>
            </w:tcBorders>
            <w:shd w:val="clear" w:color="auto" w:fill="auto"/>
            <w:vAlign w:val="bottom"/>
          </w:tcPr>
          <w:p w14:paraId="0C431522">
            <w:pPr>
              <w:widowControl/>
              <w:jc w:val="center"/>
              <w:rPr>
                <w:color w:val="000000"/>
                <w:kern w:val="0"/>
              </w:rPr>
            </w:pPr>
            <w:r>
              <w:rPr>
                <w:rFonts w:eastAsia="等线"/>
                <w:color w:val="000000"/>
              </w:rPr>
              <w:t>44.4471</w:t>
            </w:r>
          </w:p>
        </w:tc>
        <w:tc>
          <w:tcPr>
            <w:tcW w:w="1666" w:type="pct"/>
            <w:shd w:val="clear" w:color="auto" w:fill="auto"/>
            <w:vAlign w:val="center"/>
          </w:tcPr>
          <w:p w14:paraId="048E63FD">
            <w:pPr>
              <w:widowControl/>
              <w:jc w:val="center"/>
              <w:rPr>
                <w:color w:val="000000"/>
                <w:kern w:val="0"/>
              </w:rPr>
            </w:pPr>
            <w:r>
              <w:rPr>
                <w:color w:val="000000"/>
                <w:kern w:val="0"/>
              </w:rPr>
              <w:t>50.4278</w:t>
            </w:r>
          </w:p>
        </w:tc>
      </w:tr>
      <w:tr w14:paraId="1A17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1B7B43B">
            <w:pPr>
              <w:widowControl/>
              <w:jc w:val="center"/>
              <w:rPr>
                <w:color w:val="000000"/>
                <w:kern w:val="0"/>
              </w:rPr>
            </w:pPr>
            <w:r>
              <w:rPr>
                <w:color w:val="000000"/>
                <w:kern w:val="0"/>
              </w:rPr>
              <w:t>-39</w:t>
            </w:r>
          </w:p>
        </w:tc>
        <w:tc>
          <w:tcPr>
            <w:tcW w:w="1585" w:type="pct"/>
            <w:tcBorders>
              <w:top w:val="single" w:color="auto" w:sz="4" w:space="0"/>
              <w:left w:val="nil"/>
              <w:bottom w:val="single" w:color="auto" w:sz="4" w:space="0"/>
              <w:right w:val="nil"/>
            </w:tcBorders>
            <w:shd w:val="clear" w:color="auto" w:fill="auto"/>
            <w:vAlign w:val="bottom"/>
          </w:tcPr>
          <w:p w14:paraId="4F8A03D0">
            <w:pPr>
              <w:widowControl/>
              <w:jc w:val="center"/>
              <w:rPr>
                <w:color w:val="000000"/>
                <w:kern w:val="0"/>
              </w:rPr>
            </w:pPr>
            <w:r>
              <w:rPr>
                <w:rFonts w:eastAsia="等线"/>
                <w:color w:val="000000"/>
              </w:rPr>
              <w:t>48.0065</w:t>
            </w:r>
          </w:p>
        </w:tc>
        <w:tc>
          <w:tcPr>
            <w:tcW w:w="1666" w:type="pct"/>
            <w:shd w:val="clear" w:color="auto" w:fill="auto"/>
            <w:vAlign w:val="center"/>
          </w:tcPr>
          <w:p w14:paraId="7CC12E3B">
            <w:pPr>
              <w:widowControl/>
              <w:jc w:val="center"/>
              <w:rPr>
                <w:color w:val="000000"/>
                <w:kern w:val="0"/>
              </w:rPr>
            </w:pPr>
            <w:r>
              <w:rPr>
                <w:color w:val="000000"/>
                <w:kern w:val="0"/>
              </w:rPr>
              <w:t>54.4132</w:t>
            </w:r>
          </w:p>
        </w:tc>
      </w:tr>
      <w:tr w14:paraId="7113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4BB56BA">
            <w:pPr>
              <w:widowControl/>
              <w:jc w:val="center"/>
              <w:rPr>
                <w:color w:val="000000"/>
                <w:kern w:val="0"/>
              </w:rPr>
            </w:pPr>
            <w:r>
              <w:rPr>
                <w:color w:val="000000"/>
                <w:kern w:val="0"/>
              </w:rPr>
              <w:t>-38</w:t>
            </w:r>
          </w:p>
        </w:tc>
        <w:tc>
          <w:tcPr>
            <w:tcW w:w="1585" w:type="pct"/>
            <w:tcBorders>
              <w:top w:val="single" w:color="auto" w:sz="4" w:space="0"/>
              <w:left w:val="nil"/>
              <w:bottom w:val="single" w:color="auto" w:sz="4" w:space="0"/>
              <w:right w:val="nil"/>
            </w:tcBorders>
            <w:shd w:val="clear" w:color="auto" w:fill="auto"/>
            <w:vAlign w:val="bottom"/>
          </w:tcPr>
          <w:p w14:paraId="71FAD1DE">
            <w:pPr>
              <w:widowControl/>
              <w:jc w:val="center"/>
              <w:rPr>
                <w:color w:val="000000"/>
                <w:kern w:val="0"/>
              </w:rPr>
            </w:pPr>
            <w:r>
              <w:rPr>
                <w:rFonts w:eastAsia="等线"/>
                <w:color w:val="000000"/>
              </w:rPr>
              <w:t>51.9564</w:t>
            </w:r>
          </w:p>
        </w:tc>
        <w:tc>
          <w:tcPr>
            <w:tcW w:w="1666" w:type="pct"/>
            <w:shd w:val="clear" w:color="auto" w:fill="auto"/>
            <w:vAlign w:val="center"/>
          </w:tcPr>
          <w:p w14:paraId="3E52299C">
            <w:pPr>
              <w:widowControl/>
              <w:jc w:val="center"/>
              <w:rPr>
                <w:color w:val="000000"/>
                <w:kern w:val="0"/>
              </w:rPr>
            </w:pPr>
            <w:r>
              <w:rPr>
                <w:color w:val="000000"/>
                <w:kern w:val="0"/>
              </w:rPr>
              <w:t>58.8281</w:t>
            </w:r>
          </w:p>
        </w:tc>
      </w:tr>
      <w:tr w14:paraId="12EC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49302F1">
            <w:pPr>
              <w:widowControl/>
              <w:jc w:val="center"/>
              <w:rPr>
                <w:color w:val="000000"/>
                <w:kern w:val="0"/>
              </w:rPr>
            </w:pPr>
            <w:r>
              <w:rPr>
                <w:color w:val="000000"/>
                <w:kern w:val="0"/>
              </w:rPr>
              <w:t>-37</w:t>
            </w:r>
          </w:p>
        </w:tc>
        <w:tc>
          <w:tcPr>
            <w:tcW w:w="1585" w:type="pct"/>
            <w:tcBorders>
              <w:top w:val="single" w:color="auto" w:sz="4" w:space="0"/>
              <w:left w:val="nil"/>
              <w:bottom w:val="single" w:color="auto" w:sz="4" w:space="0"/>
              <w:right w:val="nil"/>
            </w:tcBorders>
            <w:shd w:val="clear" w:color="auto" w:fill="auto"/>
            <w:vAlign w:val="bottom"/>
          </w:tcPr>
          <w:p w14:paraId="16E47872">
            <w:pPr>
              <w:widowControl/>
              <w:jc w:val="center"/>
              <w:rPr>
                <w:color w:val="000000"/>
                <w:kern w:val="0"/>
              </w:rPr>
            </w:pPr>
            <w:r>
              <w:rPr>
                <w:rFonts w:eastAsia="等线"/>
                <w:color w:val="000000"/>
              </w:rPr>
              <w:t>56.3518</w:t>
            </w:r>
          </w:p>
        </w:tc>
        <w:tc>
          <w:tcPr>
            <w:tcW w:w="1666" w:type="pct"/>
            <w:shd w:val="clear" w:color="auto" w:fill="auto"/>
            <w:vAlign w:val="center"/>
          </w:tcPr>
          <w:p w14:paraId="55ED7D49">
            <w:pPr>
              <w:widowControl/>
              <w:jc w:val="center"/>
              <w:rPr>
                <w:color w:val="000000"/>
                <w:kern w:val="0"/>
              </w:rPr>
            </w:pPr>
            <w:r>
              <w:rPr>
                <w:color w:val="000000"/>
                <w:kern w:val="0"/>
              </w:rPr>
              <w:t>63.7317</w:t>
            </w:r>
          </w:p>
        </w:tc>
      </w:tr>
      <w:tr w14:paraId="2BA3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E18B874">
            <w:pPr>
              <w:widowControl/>
              <w:jc w:val="center"/>
              <w:rPr>
                <w:color w:val="000000"/>
                <w:kern w:val="0"/>
              </w:rPr>
            </w:pPr>
            <w:r>
              <w:rPr>
                <w:color w:val="000000"/>
                <w:kern w:val="0"/>
              </w:rPr>
              <w:t>-36</w:t>
            </w:r>
          </w:p>
        </w:tc>
        <w:tc>
          <w:tcPr>
            <w:tcW w:w="1585" w:type="pct"/>
            <w:tcBorders>
              <w:top w:val="single" w:color="auto" w:sz="4" w:space="0"/>
              <w:left w:val="nil"/>
              <w:bottom w:val="single" w:color="auto" w:sz="4" w:space="0"/>
              <w:right w:val="nil"/>
            </w:tcBorders>
            <w:shd w:val="clear" w:color="auto" w:fill="auto"/>
            <w:vAlign w:val="bottom"/>
          </w:tcPr>
          <w:p w14:paraId="6568FCE6">
            <w:pPr>
              <w:widowControl/>
              <w:jc w:val="center"/>
              <w:rPr>
                <w:color w:val="000000"/>
                <w:kern w:val="0"/>
              </w:rPr>
            </w:pPr>
            <w:r>
              <w:rPr>
                <w:rFonts w:eastAsia="等线"/>
                <w:color w:val="000000"/>
              </w:rPr>
              <w:t>61.2571</w:t>
            </w:r>
          </w:p>
        </w:tc>
        <w:tc>
          <w:tcPr>
            <w:tcW w:w="1666" w:type="pct"/>
            <w:shd w:val="clear" w:color="auto" w:fill="auto"/>
            <w:vAlign w:val="center"/>
          </w:tcPr>
          <w:p w14:paraId="07BAFDB1">
            <w:pPr>
              <w:widowControl/>
              <w:jc w:val="center"/>
              <w:rPr>
                <w:color w:val="000000"/>
                <w:kern w:val="0"/>
              </w:rPr>
            </w:pPr>
            <w:r>
              <w:rPr>
                <w:color w:val="000000"/>
                <w:kern w:val="0"/>
              </w:rPr>
              <w:t>69.1929</w:t>
            </w:r>
          </w:p>
        </w:tc>
      </w:tr>
      <w:tr w14:paraId="43C1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CE7390D">
            <w:pPr>
              <w:widowControl/>
              <w:jc w:val="center"/>
              <w:rPr>
                <w:color w:val="000000"/>
                <w:kern w:val="0"/>
              </w:rPr>
            </w:pPr>
            <w:r>
              <w:rPr>
                <w:color w:val="000000"/>
                <w:kern w:val="0"/>
              </w:rPr>
              <w:t>-35</w:t>
            </w:r>
          </w:p>
        </w:tc>
        <w:tc>
          <w:tcPr>
            <w:tcW w:w="1585" w:type="pct"/>
            <w:tcBorders>
              <w:top w:val="single" w:color="auto" w:sz="4" w:space="0"/>
              <w:left w:val="nil"/>
              <w:bottom w:val="single" w:color="auto" w:sz="4" w:space="0"/>
              <w:right w:val="nil"/>
            </w:tcBorders>
            <w:shd w:val="clear" w:color="auto" w:fill="auto"/>
            <w:vAlign w:val="bottom"/>
          </w:tcPr>
          <w:p w14:paraId="3D847DF7">
            <w:pPr>
              <w:widowControl/>
              <w:jc w:val="center"/>
              <w:rPr>
                <w:color w:val="000000"/>
                <w:kern w:val="0"/>
              </w:rPr>
            </w:pPr>
            <w:r>
              <w:rPr>
                <w:rFonts w:eastAsia="等线"/>
                <w:color w:val="000000"/>
              </w:rPr>
              <w:t>66.7483</w:t>
            </w:r>
          </w:p>
        </w:tc>
        <w:tc>
          <w:tcPr>
            <w:tcW w:w="1666" w:type="pct"/>
            <w:shd w:val="clear" w:color="auto" w:fill="auto"/>
            <w:vAlign w:val="center"/>
          </w:tcPr>
          <w:p w14:paraId="1EE14932">
            <w:pPr>
              <w:widowControl/>
              <w:jc w:val="center"/>
              <w:rPr>
                <w:color w:val="000000"/>
                <w:kern w:val="0"/>
              </w:rPr>
            </w:pPr>
            <w:r>
              <w:rPr>
                <w:color w:val="000000"/>
                <w:kern w:val="0"/>
              </w:rPr>
              <w:t>75.2925</w:t>
            </w:r>
          </w:p>
        </w:tc>
      </w:tr>
      <w:tr w14:paraId="52F7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A5D39AD">
            <w:pPr>
              <w:widowControl/>
              <w:jc w:val="center"/>
              <w:rPr>
                <w:color w:val="000000"/>
                <w:kern w:val="0"/>
              </w:rPr>
            </w:pPr>
            <w:r>
              <w:rPr>
                <w:color w:val="000000"/>
                <w:kern w:val="0"/>
              </w:rPr>
              <w:t>-34</w:t>
            </w:r>
          </w:p>
        </w:tc>
        <w:tc>
          <w:tcPr>
            <w:tcW w:w="1585" w:type="pct"/>
            <w:tcBorders>
              <w:top w:val="single" w:color="auto" w:sz="4" w:space="0"/>
              <w:left w:val="nil"/>
              <w:bottom w:val="single" w:color="auto" w:sz="4" w:space="0"/>
              <w:right w:val="nil"/>
            </w:tcBorders>
            <w:shd w:val="clear" w:color="auto" w:fill="auto"/>
            <w:vAlign w:val="bottom"/>
          </w:tcPr>
          <w:p w14:paraId="657AA38C">
            <w:pPr>
              <w:widowControl/>
              <w:jc w:val="center"/>
              <w:rPr>
                <w:color w:val="000000"/>
                <w:kern w:val="0"/>
              </w:rPr>
            </w:pPr>
            <w:r>
              <w:rPr>
                <w:rFonts w:eastAsia="等线"/>
                <w:color w:val="000000"/>
              </w:rPr>
              <w:t>72.915</w:t>
            </w:r>
          </w:p>
        </w:tc>
        <w:tc>
          <w:tcPr>
            <w:tcW w:w="1666" w:type="pct"/>
            <w:shd w:val="clear" w:color="auto" w:fill="auto"/>
            <w:vAlign w:val="center"/>
          </w:tcPr>
          <w:p w14:paraId="2CE11BE2">
            <w:pPr>
              <w:widowControl/>
              <w:jc w:val="center"/>
              <w:rPr>
                <w:color w:val="000000"/>
                <w:kern w:val="0"/>
              </w:rPr>
            </w:pPr>
            <w:r>
              <w:rPr>
                <w:color w:val="000000"/>
                <w:kern w:val="0"/>
              </w:rPr>
              <w:t>82.1256</w:t>
            </w:r>
          </w:p>
        </w:tc>
      </w:tr>
      <w:tr w14:paraId="2B3D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D203BCC">
            <w:pPr>
              <w:widowControl/>
              <w:jc w:val="center"/>
              <w:rPr>
                <w:color w:val="000000"/>
                <w:kern w:val="0"/>
              </w:rPr>
            </w:pPr>
            <w:r>
              <w:rPr>
                <w:color w:val="000000"/>
                <w:kern w:val="0"/>
              </w:rPr>
              <w:t>-33</w:t>
            </w:r>
          </w:p>
        </w:tc>
        <w:tc>
          <w:tcPr>
            <w:tcW w:w="1585" w:type="pct"/>
            <w:tcBorders>
              <w:top w:val="single" w:color="auto" w:sz="4" w:space="0"/>
              <w:left w:val="nil"/>
              <w:bottom w:val="single" w:color="auto" w:sz="4" w:space="0"/>
              <w:right w:val="nil"/>
            </w:tcBorders>
            <w:shd w:val="clear" w:color="auto" w:fill="auto"/>
            <w:vAlign w:val="bottom"/>
          </w:tcPr>
          <w:p w14:paraId="58A2F9E5">
            <w:pPr>
              <w:widowControl/>
              <w:jc w:val="center"/>
              <w:rPr>
                <w:color w:val="000000"/>
                <w:kern w:val="0"/>
              </w:rPr>
            </w:pPr>
            <w:r>
              <w:rPr>
                <w:rFonts w:eastAsia="等线"/>
                <w:color w:val="000000"/>
              </w:rPr>
              <w:t>79.8642</w:t>
            </w:r>
          </w:p>
        </w:tc>
        <w:tc>
          <w:tcPr>
            <w:tcW w:w="1666" w:type="pct"/>
            <w:shd w:val="clear" w:color="auto" w:fill="auto"/>
            <w:vAlign w:val="center"/>
          </w:tcPr>
          <w:p w14:paraId="7F599889">
            <w:pPr>
              <w:widowControl/>
              <w:jc w:val="center"/>
              <w:rPr>
                <w:color w:val="000000"/>
                <w:kern w:val="0"/>
              </w:rPr>
            </w:pPr>
            <w:r>
              <w:rPr>
                <w:color w:val="000000"/>
                <w:kern w:val="0"/>
              </w:rPr>
              <w:t>89.8045</w:t>
            </w:r>
          </w:p>
        </w:tc>
      </w:tr>
      <w:tr w14:paraId="20F7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8CFBE3C">
            <w:pPr>
              <w:widowControl/>
              <w:jc w:val="center"/>
              <w:rPr>
                <w:color w:val="000000"/>
                <w:kern w:val="0"/>
              </w:rPr>
            </w:pPr>
            <w:r>
              <w:rPr>
                <w:color w:val="000000"/>
                <w:kern w:val="0"/>
              </w:rPr>
              <w:t>-32</w:t>
            </w:r>
          </w:p>
        </w:tc>
        <w:tc>
          <w:tcPr>
            <w:tcW w:w="1585" w:type="pct"/>
            <w:tcBorders>
              <w:top w:val="single" w:color="auto" w:sz="4" w:space="0"/>
              <w:left w:val="nil"/>
              <w:bottom w:val="single" w:color="auto" w:sz="4" w:space="0"/>
              <w:right w:val="nil"/>
            </w:tcBorders>
            <w:shd w:val="clear" w:color="auto" w:fill="auto"/>
            <w:vAlign w:val="bottom"/>
          </w:tcPr>
          <w:p w14:paraId="54C20738">
            <w:pPr>
              <w:widowControl/>
              <w:jc w:val="center"/>
              <w:rPr>
                <w:color w:val="000000"/>
                <w:kern w:val="0"/>
              </w:rPr>
            </w:pPr>
            <w:r>
              <w:rPr>
                <w:rFonts w:eastAsia="等线"/>
                <w:color w:val="000000"/>
              </w:rPr>
              <w:t>87.7231</w:t>
            </w:r>
          </w:p>
        </w:tc>
        <w:tc>
          <w:tcPr>
            <w:tcW w:w="1666" w:type="pct"/>
            <w:shd w:val="clear" w:color="auto" w:fill="auto"/>
            <w:vAlign w:val="center"/>
          </w:tcPr>
          <w:p w14:paraId="329BE043">
            <w:pPr>
              <w:widowControl/>
              <w:jc w:val="center"/>
              <w:rPr>
                <w:color w:val="000000"/>
                <w:kern w:val="0"/>
              </w:rPr>
            </w:pPr>
            <w:r>
              <w:rPr>
                <w:color w:val="000000"/>
                <w:kern w:val="0"/>
              </w:rPr>
              <w:t>98.4626</w:t>
            </w:r>
          </w:p>
        </w:tc>
      </w:tr>
      <w:tr w14:paraId="674E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47759C1A">
            <w:pPr>
              <w:widowControl/>
              <w:jc w:val="center"/>
              <w:rPr>
                <w:color w:val="000000"/>
                <w:kern w:val="0"/>
              </w:rPr>
            </w:pPr>
            <w:r>
              <w:rPr>
                <w:color w:val="000000"/>
                <w:kern w:val="0"/>
              </w:rPr>
              <w:t>-31</w:t>
            </w:r>
          </w:p>
        </w:tc>
        <w:tc>
          <w:tcPr>
            <w:tcW w:w="1585" w:type="pct"/>
            <w:tcBorders>
              <w:top w:val="single" w:color="auto" w:sz="4" w:space="0"/>
              <w:left w:val="nil"/>
              <w:bottom w:val="single" w:color="auto" w:sz="4" w:space="0"/>
              <w:right w:val="nil"/>
            </w:tcBorders>
            <w:shd w:val="clear" w:color="auto" w:fill="auto"/>
            <w:vAlign w:val="bottom"/>
          </w:tcPr>
          <w:p w14:paraId="05F25FF9">
            <w:pPr>
              <w:widowControl/>
              <w:jc w:val="center"/>
              <w:rPr>
                <w:color w:val="000000"/>
                <w:kern w:val="0"/>
              </w:rPr>
            </w:pPr>
            <w:r>
              <w:rPr>
                <w:rFonts w:eastAsia="等线"/>
                <w:color w:val="000000"/>
              </w:rPr>
              <w:t>96.6448</w:t>
            </w:r>
          </w:p>
        </w:tc>
        <w:tc>
          <w:tcPr>
            <w:tcW w:w="1666" w:type="pct"/>
            <w:shd w:val="clear" w:color="auto" w:fill="auto"/>
            <w:vAlign w:val="center"/>
          </w:tcPr>
          <w:p w14:paraId="3E5894B8">
            <w:pPr>
              <w:widowControl/>
              <w:jc w:val="center"/>
              <w:rPr>
                <w:color w:val="000000"/>
                <w:kern w:val="0"/>
              </w:rPr>
            </w:pPr>
            <w:r>
              <w:rPr>
                <w:color w:val="000000"/>
                <w:kern w:val="0"/>
              </w:rPr>
              <w:t>108.2587</w:t>
            </w:r>
          </w:p>
        </w:tc>
      </w:tr>
      <w:tr w14:paraId="075A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EE20D69">
            <w:pPr>
              <w:widowControl/>
              <w:jc w:val="center"/>
              <w:rPr>
                <w:color w:val="000000"/>
                <w:kern w:val="0"/>
              </w:rPr>
            </w:pPr>
            <w:r>
              <w:rPr>
                <w:color w:val="000000"/>
                <w:kern w:val="0"/>
              </w:rPr>
              <w:t>-30</w:t>
            </w:r>
          </w:p>
        </w:tc>
        <w:tc>
          <w:tcPr>
            <w:tcW w:w="1585" w:type="pct"/>
            <w:tcBorders>
              <w:top w:val="single" w:color="auto" w:sz="4" w:space="0"/>
              <w:left w:val="nil"/>
              <w:bottom w:val="single" w:color="auto" w:sz="4" w:space="0"/>
              <w:right w:val="nil"/>
            </w:tcBorders>
            <w:shd w:val="clear" w:color="auto" w:fill="auto"/>
            <w:vAlign w:val="bottom"/>
          </w:tcPr>
          <w:p w14:paraId="01293B95">
            <w:pPr>
              <w:widowControl/>
              <w:jc w:val="center"/>
              <w:rPr>
                <w:color w:val="000000"/>
                <w:kern w:val="0"/>
              </w:rPr>
            </w:pPr>
            <w:r>
              <w:rPr>
                <w:rFonts w:eastAsia="等线"/>
                <w:color w:val="000000"/>
              </w:rPr>
              <w:t>106.8138</w:t>
            </w:r>
          </w:p>
        </w:tc>
        <w:tc>
          <w:tcPr>
            <w:tcW w:w="1666" w:type="pct"/>
            <w:shd w:val="clear" w:color="auto" w:fill="auto"/>
            <w:vAlign w:val="center"/>
          </w:tcPr>
          <w:p w14:paraId="25DF6CB7">
            <w:pPr>
              <w:widowControl/>
              <w:jc w:val="center"/>
              <w:rPr>
                <w:color w:val="000000"/>
                <w:kern w:val="0"/>
              </w:rPr>
            </w:pPr>
            <w:r>
              <w:rPr>
                <w:color w:val="000000"/>
                <w:kern w:val="0"/>
              </w:rPr>
              <w:t>119.3828</w:t>
            </w:r>
          </w:p>
        </w:tc>
      </w:tr>
      <w:tr w14:paraId="6638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52F8D82">
            <w:pPr>
              <w:widowControl/>
              <w:jc w:val="center"/>
              <w:rPr>
                <w:color w:val="000000"/>
                <w:kern w:val="0"/>
              </w:rPr>
            </w:pPr>
            <w:r>
              <w:rPr>
                <w:color w:val="000000"/>
                <w:kern w:val="0"/>
              </w:rPr>
              <w:t>-29</w:t>
            </w:r>
          </w:p>
        </w:tc>
        <w:tc>
          <w:tcPr>
            <w:tcW w:w="1585" w:type="pct"/>
            <w:tcBorders>
              <w:top w:val="single" w:color="auto" w:sz="4" w:space="0"/>
              <w:left w:val="nil"/>
              <w:bottom w:val="single" w:color="auto" w:sz="4" w:space="0"/>
              <w:right w:val="nil"/>
            </w:tcBorders>
            <w:shd w:val="clear" w:color="auto" w:fill="auto"/>
            <w:vAlign w:val="bottom"/>
          </w:tcPr>
          <w:p w14:paraId="7C548602">
            <w:pPr>
              <w:widowControl/>
              <w:jc w:val="center"/>
              <w:rPr>
                <w:color w:val="000000"/>
                <w:kern w:val="0"/>
              </w:rPr>
            </w:pPr>
            <w:r>
              <w:rPr>
                <w:rFonts w:eastAsia="等线"/>
                <w:color w:val="000000"/>
              </w:rPr>
              <w:t>118.4539</w:t>
            </w:r>
          </w:p>
        </w:tc>
        <w:tc>
          <w:tcPr>
            <w:tcW w:w="1666" w:type="pct"/>
            <w:shd w:val="clear" w:color="auto" w:fill="auto"/>
            <w:vAlign w:val="center"/>
          </w:tcPr>
          <w:p w14:paraId="51A5F1C0">
            <w:pPr>
              <w:widowControl/>
              <w:jc w:val="center"/>
              <w:rPr>
                <w:color w:val="000000"/>
                <w:kern w:val="0"/>
              </w:rPr>
            </w:pPr>
            <w:r>
              <w:rPr>
                <w:color w:val="000000"/>
                <w:kern w:val="0"/>
              </w:rPr>
              <w:t>132.0634</w:t>
            </w:r>
          </w:p>
        </w:tc>
      </w:tr>
      <w:tr w14:paraId="3912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44CEBF2">
            <w:pPr>
              <w:widowControl/>
              <w:jc w:val="center"/>
              <w:rPr>
                <w:color w:val="000000"/>
                <w:kern w:val="0"/>
              </w:rPr>
            </w:pPr>
            <w:r>
              <w:rPr>
                <w:color w:val="000000"/>
                <w:kern w:val="0"/>
              </w:rPr>
              <w:t>-28</w:t>
            </w:r>
          </w:p>
        </w:tc>
        <w:tc>
          <w:tcPr>
            <w:tcW w:w="1585" w:type="pct"/>
            <w:tcBorders>
              <w:top w:val="single" w:color="auto" w:sz="4" w:space="0"/>
              <w:left w:val="nil"/>
              <w:bottom w:val="single" w:color="auto" w:sz="4" w:space="0"/>
              <w:right w:val="nil"/>
            </w:tcBorders>
            <w:shd w:val="clear" w:color="auto" w:fill="auto"/>
            <w:vAlign w:val="bottom"/>
          </w:tcPr>
          <w:p w14:paraId="6604503E">
            <w:pPr>
              <w:widowControl/>
              <w:jc w:val="center"/>
              <w:rPr>
                <w:color w:val="000000"/>
                <w:kern w:val="0"/>
              </w:rPr>
            </w:pPr>
            <w:r>
              <w:rPr>
                <w:rFonts w:eastAsia="等线"/>
                <w:color w:val="000000"/>
              </w:rPr>
              <w:t>131.8383</w:t>
            </w:r>
          </w:p>
        </w:tc>
        <w:tc>
          <w:tcPr>
            <w:tcW w:w="1666" w:type="pct"/>
            <w:shd w:val="clear" w:color="auto" w:fill="auto"/>
            <w:vAlign w:val="center"/>
          </w:tcPr>
          <w:p w14:paraId="4E87569B">
            <w:pPr>
              <w:widowControl/>
              <w:jc w:val="center"/>
              <w:rPr>
                <w:color w:val="000000"/>
                <w:kern w:val="0"/>
              </w:rPr>
            </w:pPr>
            <w:r>
              <w:rPr>
                <w:color w:val="000000"/>
                <w:kern w:val="0"/>
              </w:rPr>
              <w:t>146.5764</w:t>
            </w:r>
          </w:p>
        </w:tc>
      </w:tr>
      <w:tr w14:paraId="4DBF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DBB5AEE">
            <w:pPr>
              <w:widowControl/>
              <w:jc w:val="center"/>
              <w:rPr>
                <w:color w:val="000000"/>
                <w:kern w:val="0"/>
              </w:rPr>
            </w:pPr>
            <w:r>
              <w:rPr>
                <w:color w:val="000000"/>
                <w:kern w:val="0"/>
              </w:rPr>
              <w:t>-27</w:t>
            </w:r>
          </w:p>
        </w:tc>
        <w:tc>
          <w:tcPr>
            <w:tcW w:w="1585" w:type="pct"/>
            <w:tcBorders>
              <w:top w:val="single" w:color="auto" w:sz="4" w:space="0"/>
              <w:left w:val="nil"/>
              <w:bottom w:val="single" w:color="auto" w:sz="4" w:space="0"/>
              <w:right w:val="nil"/>
            </w:tcBorders>
            <w:shd w:val="clear" w:color="auto" w:fill="auto"/>
            <w:vAlign w:val="bottom"/>
          </w:tcPr>
          <w:p w14:paraId="679C1614">
            <w:pPr>
              <w:widowControl/>
              <w:jc w:val="center"/>
              <w:rPr>
                <w:color w:val="000000"/>
                <w:kern w:val="0"/>
              </w:rPr>
            </w:pPr>
            <w:r>
              <w:rPr>
                <w:rFonts w:eastAsia="等线"/>
                <w:color w:val="000000"/>
              </w:rPr>
              <w:t>147.3021</w:t>
            </w:r>
          </w:p>
        </w:tc>
        <w:tc>
          <w:tcPr>
            <w:tcW w:w="1666" w:type="pct"/>
            <w:shd w:val="clear" w:color="auto" w:fill="auto"/>
            <w:vAlign w:val="center"/>
          </w:tcPr>
          <w:p w14:paraId="6A07F141">
            <w:pPr>
              <w:widowControl/>
              <w:jc w:val="center"/>
              <w:rPr>
                <w:color w:val="000000"/>
                <w:kern w:val="0"/>
              </w:rPr>
            </w:pPr>
            <w:r>
              <w:rPr>
                <w:color w:val="000000"/>
                <w:kern w:val="0"/>
              </w:rPr>
              <w:t>163.2565</w:t>
            </w:r>
          </w:p>
        </w:tc>
      </w:tr>
      <w:tr w14:paraId="0B59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9EEBBEA">
            <w:pPr>
              <w:widowControl/>
              <w:jc w:val="center"/>
              <w:rPr>
                <w:color w:val="000000"/>
                <w:kern w:val="0"/>
              </w:rPr>
            </w:pPr>
            <w:r>
              <w:rPr>
                <w:color w:val="000000"/>
                <w:kern w:val="0"/>
              </w:rPr>
              <w:t>-26</w:t>
            </w:r>
          </w:p>
        </w:tc>
        <w:tc>
          <w:tcPr>
            <w:tcW w:w="1585" w:type="pct"/>
            <w:tcBorders>
              <w:top w:val="single" w:color="auto" w:sz="4" w:space="0"/>
              <w:left w:val="nil"/>
              <w:bottom w:val="single" w:color="auto" w:sz="4" w:space="0"/>
              <w:right w:val="nil"/>
            </w:tcBorders>
            <w:shd w:val="clear" w:color="auto" w:fill="auto"/>
            <w:vAlign w:val="bottom"/>
          </w:tcPr>
          <w:p w14:paraId="16ABDDE5">
            <w:pPr>
              <w:widowControl/>
              <w:jc w:val="center"/>
              <w:rPr>
                <w:color w:val="000000"/>
                <w:kern w:val="0"/>
              </w:rPr>
            </w:pPr>
            <w:r>
              <w:rPr>
                <w:rFonts w:eastAsia="等线"/>
                <w:color w:val="000000"/>
              </w:rPr>
              <w:t>165.2592</w:t>
            </w:r>
          </w:p>
        </w:tc>
        <w:tc>
          <w:tcPr>
            <w:tcW w:w="1666" w:type="pct"/>
            <w:shd w:val="clear" w:color="auto" w:fill="auto"/>
            <w:vAlign w:val="center"/>
          </w:tcPr>
          <w:p w14:paraId="5A6C6485">
            <w:pPr>
              <w:widowControl/>
              <w:jc w:val="center"/>
              <w:rPr>
                <w:color w:val="000000"/>
                <w:kern w:val="0"/>
              </w:rPr>
            </w:pPr>
            <w:r>
              <w:rPr>
                <w:color w:val="000000"/>
                <w:kern w:val="0"/>
              </w:rPr>
              <w:t>182.5114</w:t>
            </w:r>
          </w:p>
        </w:tc>
      </w:tr>
      <w:tr w14:paraId="13BC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5ADEFC9">
            <w:pPr>
              <w:widowControl/>
              <w:jc w:val="center"/>
              <w:rPr>
                <w:color w:val="000000"/>
                <w:kern w:val="0"/>
              </w:rPr>
            </w:pPr>
            <w:r>
              <w:rPr>
                <w:color w:val="000000"/>
                <w:kern w:val="0"/>
              </w:rPr>
              <w:t>-25</w:t>
            </w:r>
          </w:p>
        </w:tc>
        <w:tc>
          <w:tcPr>
            <w:tcW w:w="1585" w:type="pct"/>
            <w:tcBorders>
              <w:top w:val="single" w:color="auto" w:sz="4" w:space="0"/>
              <w:left w:val="nil"/>
              <w:bottom w:val="single" w:color="auto" w:sz="4" w:space="0"/>
              <w:right w:val="nil"/>
            </w:tcBorders>
            <w:shd w:val="clear" w:color="auto" w:fill="auto"/>
            <w:vAlign w:val="bottom"/>
          </w:tcPr>
          <w:p w14:paraId="2CD4E5C9">
            <w:pPr>
              <w:widowControl/>
              <w:jc w:val="center"/>
              <w:rPr>
                <w:color w:val="000000"/>
                <w:kern w:val="0"/>
              </w:rPr>
            </w:pPr>
            <w:r>
              <w:rPr>
                <w:rFonts w:eastAsia="等线"/>
                <w:color w:val="000000"/>
              </w:rPr>
              <w:t>186.2236</w:t>
            </w:r>
          </w:p>
        </w:tc>
        <w:tc>
          <w:tcPr>
            <w:tcW w:w="1666" w:type="pct"/>
            <w:shd w:val="clear" w:color="auto" w:fill="auto"/>
            <w:vAlign w:val="center"/>
          </w:tcPr>
          <w:p w14:paraId="7E801BEB">
            <w:pPr>
              <w:widowControl/>
              <w:jc w:val="center"/>
              <w:rPr>
                <w:color w:val="000000"/>
                <w:kern w:val="0"/>
              </w:rPr>
            </w:pPr>
            <w:r>
              <w:rPr>
                <w:color w:val="000000"/>
                <w:kern w:val="0"/>
              </w:rPr>
              <w:t>204.84</w:t>
            </w:r>
          </w:p>
        </w:tc>
      </w:tr>
      <w:tr w14:paraId="4DFB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F57E6F2">
            <w:pPr>
              <w:widowControl/>
              <w:jc w:val="center"/>
              <w:rPr>
                <w:color w:val="000000"/>
                <w:kern w:val="0"/>
              </w:rPr>
            </w:pPr>
            <w:r>
              <w:rPr>
                <w:color w:val="000000"/>
                <w:kern w:val="0"/>
              </w:rPr>
              <w:t>-24</w:t>
            </w:r>
          </w:p>
        </w:tc>
        <w:tc>
          <w:tcPr>
            <w:tcW w:w="1585" w:type="pct"/>
            <w:tcBorders>
              <w:top w:val="single" w:color="auto" w:sz="4" w:space="0"/>
              <w:left w:val="nil"/>
              <w:bottom w:val="single" w:color="auto" w:sz="4" w:space="0"/>
              <w:right w:val="nil"/>
            </w:tcBorders>
            <w:shd w:val="clear" w:color="auto" w:fill="auto"/>
            <w:vAlign w:val="bottom"/>
          </w:tcPr>
          <w:p w14:paraId="5A43A72E">
            <w:pPr>
              <w:widowControl/>
              <w:jc w:val="center"/>
              <w:rPr>
                <w:color w:val="000000"/>
                <w:kern w:val="0"/>
              </w:rPr>
            </w:pPr>
            <w:r>
              <w:rPr>
                <w:rFonts w:eastAsia="等线"/>
                <w:color w:val="000000"/>
              </w:rPr>
              <w:t>210.838</w:t>
            </w:r>
          </w:p>
        </w:tc>
        <w:tc>
          <w:tcPr>
            <w:tcW w:w="1666" w:type="pct"/>
            <w:shd w:val="clear" w:color="auto" w:fill="auto"/>
            <w:vAlign w:val="center"/>
          </w:tcPr>
          <w:p w14:paraId="707184AC">
            <w:pPr>
              <w:widowControl/>
              <w:jc w:val="center"/>
              <w:rPr>
                <w:color w:val="000000"/>
                <w:kern w:val="0"/>
              </w:rPr>
            </w:pPr>
            <w:r>
              <w:rPr>
                <w:color w:val="000000"/>
                <w:kern w:val="0"/>
              </w:rPr>
              <w:t>230.8552</w:t>
            </w:r>
          </w:p>
        </w:tc>
      </w:tr>
      <w:tr w14:paraId="2B4E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4A924200">
            <w:pPr>
              <w:widowControl/>
              <w:jc w:val="center"/>
              <w:rPr>
                <w:color w:val="000000"/>
                <w:kern w:val="0"/>
              </w:rPr>
            </w:pPr>
            <w:r>
              <w:rPr>
                <w:color w:val="000000"/>
                <w:kern w:val="0"/>
              </w:rPr>
              <w:t>-23</w:t>
            </w:r>
          </w:p>
        </w:tc>
        <w:tc>
          <w:tcPr>
            <w:tcW w:w="1585" w:type="pct"/>
            <w:tcBorders>
              <w:top w:val="single" w:color="auto" w:sz="4" w:space="0"/>
              <w:left w:val="nil"/>
              <w:bottom w:val="single" w:color="auto" w:sz="4" w:space="0"/>
              <w:right w:val="nil"/>
            </w:tcBorders>
            <w:shd w:val="clear" w:color="auto" w:fill="auto"/>
            <w:vAlign w:val="bottom"/>
          </w:tcPr>
          <w:p w14:paraId="67FADCC1">
            <w:pPr>
              <w:widowControl/>
              <w:jc w:val="center"/>
              <w:rPr>
                <w:color w:val="000000"/>
                <w:kern w:val="0"/>
              </w:rPr>
            </w:pPr>
            <w:r>
              <w:rPr>
                <w:rFonts w:eastAsia="等线"/>
                <w:color w:val="000000"/>
              </w:rPr>
              <w:t>239.9108</w:t>
            </w:r>
          </w:p>
        </w:tc>
        <w:tc>
          <w:tcPr>
            <w:tcW w:w="1666" w:type="pct"/>
            <w:shd w:val="clear" w:color="auto" w:fill="auto"/>
            <w:vAlign w:val="center"/>
          </w:tcPr>
          <w:p w14:paraId="1DF3C164">
            <w:pPr>
              <w:widowControl/>
              <w:jc w:val="center"/>
              <w:rPr>
                <w:color w:val="000000"/>
                <w:kern w:val="0"/>
              </w:rPr>
            </w:pPr>
            <w:r>
              <w:rPr>
                <w:color w:val="000000"/>
                <w:kern w:val="0"/>
              </w:rPr>
              <w:t>261.3125</w:t>
            </w:r>
          </w:p>
        </w:tc>
      </w:tr>
      <w:tr w14:paraId="38C8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A419EEF">
            <w:pPr>
              <w:widowControl/>
              <w:jc w:val="center"/>
              <w:rPr>
                <w:color w:val="000000"/>
                <w:kern w:val="0"/>
              </w:rPr>
            </w:pPr>
            <w:r>
              <w:rPr>
                <w:color w:val="000000"/>
                <w:kern w:val="0"/>
              </w:rPr>
              <w:t>-22</w:t>
            </w:r>
          </w:p>
        </w:tc>
        <w:tc>
          <w:tcPr>
            <w:tcW w:w="1585" w:type="pct"/>
            <w:tcBorders>
              <w:top w:val="single" w:color="auto" w:sz="4" w:space="0"/>
              <w:left w:val="nil"/>
              <w:bottom w:val="single" w:color="auto" w:sz="4" w:space="0"/>
              <w:right w:val="nil"/>
            </w:tcBorders>
            <w:shd w:val="clear" w:color="auto" w:fill="auto"/>
            <w:vAlign w:val="bottom"/>
          </w:tcPr>
          <w:p w14:paraId="127ADF24">
            <w:pPr>
              <w:widowControl/>
              <w:jc w:val="center"/>
              <w:rPr>
                <w:color w:val="000000"/>
                <w:kern w:val="0"/>
              </w:rPr>
            </w:pPr>
            <w:r>
              <w:rPr>
                <w:rFonts w:eastAsia="等线"/>
                <w:color w:val="000000"/>
              </w:rPr>
              <w:t>274.465</w:t>
            </w:r>
          </w:p>
        </w:tc>
        <w:tc>
          <w:tcPr>
            <w:tcW w:w="1666" w:type="pct"/>
            <w:shd w:val="clear" w:color="auto" w:fill="auto"/>
            <w:vAlign w:val="center"/>
          </w:tcPr>
          <w:p w14:paraId="0ECF10EB">
            <w:pPr>
              <w:widowControl/>
              <w:jc w:val="center"/>
              <w:rPr>
                <w:color w:val="000000"/>
                <w:kern w:val="0"/>
              </w:rPr>
            </w:pPr>
            <w:r>
              <w:rPr>
                <w:color w:val="000000"/>
                <w:kern w:val="0"/>
              </w:rPr>
              <w:t>297.1448</w:t>
            </w:r>
          </w:p>
        </w:tc>
      </w:tr>
      <w:tr w14:paraId="4B1F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7AC48E5">
            <w:pPr>
              <w:widowControl/>
              <w:jc w:val="center"/>
              <w:rPr>
                <w:color w:val="000000"/>
                <w:kern w:val="0"/>
              </w:rPr>
            </w:pPr>
            <w:r>
              <w:rPr>
                <w:color w:val="000000"/>
                <w:kern w:val="0"/>
              </w:rPr>
              <w:t>-21</w:t>
            </w:r>
          </w:p>
        </w:tc>
        <w:tc>
          <w:tcPr>
            <w:tcW w:w="1585" w:type="pct"/>
            <w:tcBorders>
              <w:top w:val="single" w:color="auto" w:sz="4" w:space="0"/>
              <w:left w:val="nil"/>
              <w:bottom w:val="single" w:color="auto" w:sz="4" w:space="0"/>
              <w:right w:val="nil"/>
            </w:tcBorders>
            <w:shd w:val="clear" w:color="auto" w:fill="auto"/>
            <w:vAlign w:val="bottom"/>
          </w:tcPr>
          <w:p w14:paraId="77753894">
            <w:pPr>
              <w:widowControl/>
              <w:jc w:val="center"/>
              <w:rPr>
                <w:color w:val="000000"/>
                <w:kern w:val="0"/>
              </w:rPr>
            </w:pPr>
            <w:r>
              <w:rPr>
                <w:rFonts w:eastAsia="等线"/>
                <w:color w:val="000000"/>
              </w:rPr>
              <w:t>315.8018</w:t>
            </w:r>
          </w:p>
        </w:tc>
        <w:tc>
          <w:tcPr>
            <w:tcW w:w="1666" w:type="pct"/>
            <w:shd w:val="clear" w:color="auto" w:fill="auto"/>
            <w:vAlign w:val="center"/>
          </w:tcPr>
          <w:p w14:paraId="6708793A">
            <w:pPr>
              <w:widowControl/>
              <w:jc w:val="center"/>
              <w:rPr>
                <w:color w:val="000000"/>
                <w:kern w:val="0"/>
              </w:rPr>
            </w:pPr>
            <w:r>
              <w:rPr>
                <w:color w:val="000000"/>
                <w:kern w:val="0"/>
              </w:rPr>
              <w:t>339.5062</w:t>
            </w:r>
          </w:p>
        </w:tc>
      </w:tr>
      <w:tr w14:paraId="7BEA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7B6630E">
            <w:pPr>
              <w:widowControl/>
              <w:jc w:val="center"/>
              <w:rPr>
                <w:color w:val="000000"/>
                <w:kern w:val="0"/>
              </w:rPr>
            </w:pPr>
            <w:r>
              <w:rPr>
                <w:color w:val="000000"/>
                <w:kern w:val="0"/>
              </w:rPr>
              <w:t>-20</w:t>
            </w:r>
          </w:p>
        </w:tc>
        <w:tc>
          <w:tcPr>
            <w:tcW w:w="1585" w:type="pct"/>
            <w:tcBorders>
              <w:top w:val="single" w:color="auto" w:sz="4" w:space="0"/>
              <w:left w:val="nil"/>
              <w:bottom w:val="single" w:color="auto" w:sz="4" w:space="0"/>
              <w:right w:val="nil"/>
            </w:tcBorders>
            <w:shd w:val="clear" w:color="auto" w:fill="auto"/>
            <w:vAlign w:val="bottom"/>
          </w:tcPr>
          <w:p w14:paraId="4B02C0DD">
            <w:pPr>
              <w:widowControl/>
              <w:jc w:val="center"/>
              <w:rPr>
                <w:color w:val="000000"/>
                <w:kern w:val="0"/>
              </w:rPr>
            </w:pPr>
            <w:r>
              <w:rPr>
                <w:rFonts w:eastAsia="等线"/>
                <w:color w:val="000000"/>
              </w:rPr>
              <w:t>365.5843</w:t>
            </w:r>
          </w:p>
        </w:tc>
        <w:tc>
          <w:tcPr>
            <w:tcW w:w="1666" w:type="pct"/>
            <w:shd w:val="clear" w:color="auto" w:fill="auto"/>
            <w:vAlign w:val="center"/>
          </w:tcPr>
          <w:p w14:paraId="43ADC1A4">
            <w:pPr>
              <w:widowControl/>
              <w:jc w:val="center"/>
              <w:rPr>
                <w:color w:val="000000"/>
                <w:kern w:val="0"/>
              </w:rPr>
            </w:pPr>
            <w:r>
              <w:rPr>
                <w:color w:val="000000"/>
                <w:kern w:val="0"/>
              </w:rPr>
              <w:t>389.8213</w:t>
            </w:r>
          </w:p>
        </w:tc>
      </w:tr>
      <w:tr w14:paraId="48E4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EF8461C">
            <w:pPr>
              <w:widowControl/>
              <w:jc w:val="center"/>
              <w:rPr>
                <w:color w:val="000000"/>
                <w:kern w:val="0"/>
              </w:rPr>
            </w:pPr>
            <w:r>
              <w:rPr>
                <w:color w:val="000000"/>
                <w:kern w:val="0"/>
              </w:rPr>
              <w:t>-19</w:t>
            </w:r>
          </w:p>
        </w:tc>
        <w:tc>
          <w:tcPr>
            <w:tcW w:w="1585" w:type="pct"/>
            <w:tcBorders>
              <w:top w:val="single" w:color="auto" w:sz="4" w:space="0"/>
              <w:left w:val="nil"/>
              <w:bottom w:val="single" w:color="auto" w:sz="4" w:space="0"/>
              <w:right w:val="nil"/>
            </w:tcBorders>
            <w:shd w:val="clear" w:color="auto" w:fill="auto"/>
            <w:vAlign w:val="bottom"/>
          </w:tcPr>
          <w:p w14:paraId="45A69DFA">
            <w:pPr>
              <w:widowControl/>
              <w:jc w:val="center"/>
              <w:rPr>
                <w:color w:val="000000"/>
                <w:kern w:val="0"/>
              </w:rPr>
            </w:pPr>
            <w:r>
              <w:rPr>
                <w:rFonts w:eastAsia="等线"/>
                <w:color w:val="000000"/>
              </w:rPr>
              <w:t>425.9435</w:t>
            </w:r>
          </w:p>
        </w:tc>
        <w:tc>
          <w:tcPr>
            <w:tcW w:w="1666" w:type="pct"/>
            <w:shd w:val="clear" w:color="auto" w:fill="auto"/>
            <w:vAlign w:val="center"/>
          </w:tcPr>
          <w:p w14:paraId="240758C3">
            <w:pPr>
              <w:widowControl/>
              <w:jc w:val="center"/>
              <w:rPr>
                <w:color w:val="000000"/>
                <w:kern w:val="0"/>
              </w:rPr>
            </w:pPr>
            <w:r>
              <w:rPr>
                <w:color w:val="000000"/>
                <w:kern w:val="0"/>
              </w:rPr>
              <w:t>449.841</w:t>
            </w:r>
          </w:p>
        </w:tc>
      </w:tr>
      <w:tr w14:paraId="1314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395C0E1">
            <w:pPr>
              <w:widowControl/>
              <w:jc w:val="center"/>
              <w:rPr>
                <w:color w:val="000000"/>
                <w:kern w:val="0"/>
              </w:rPr>
            </w:pPr>
            <w:r>
              <w:rPr>
                <w:color w:val="000000"/>
                <w:kern w:val="0"/>
              </w:rPr>
              <w:t>-18</w:t>
            </w:r>
          </w:p>
        </w:tc>
        <w:tc>
          <w:tcPr>
            <w:tcW w:w="1585" w:type="pct"/>
            <w:tcBorders>
              <w:top w:val="single" w:color="auto" w:sz="4" w:space="0"/>
              <w:left w:val="nil"/>
              <w:bottom w:val="single" w:color="auto" w:sz="4" w:space="0"/>
              <w:right w:val="nil"/>
            </w:tcBorders>
            <w:shd w:val="clear" w:color="auto" w:fill="auto"/>
            <w:vAlign w:val="bottom"/>
          </w:tcPr>
          <w:p w14:paraId="73154177">
            <w:pPr>
              <w:widowControl/>
              <w:jc w:val="center"/>
              <w:rPr>
                <w:color w:val="000000"/>
                <w:kern w:val="0"/>
              </w:rPr>
            </w:pPr>
            <w:r>
              <w:rPr>
                <w:rFonts w:eastAsia="等线"/>
                <w:color w:val="000000"/>
              </w:rPr>
              <w:t>499.6101</w:t>
            </w:r>
          </w:p>
        </w:tc>
        <w:tc>
          <w:tcPr>
            <w:tcW w:w="1666" w:type="pct"/>
            <w:shd w:val="clear" w:color="auto" w:fill="auto"/>
            <w:vAlign w:val="center"/>
          </w:tcPr>
          <w:p w14:paraId="117D683F">
            <w:pPr>
              <w:widowControl/>
              <w:jc w:val="center"/>
              <w:rPr>
                <w:color w:val="000000"/>
                <w:kern w:val="0"/>
              </w:rPr>
            </w:pPr>
            <w:r>
              <w:rPr>
                <w:color w:val="000000"/>
                <w:kern w:val="0"/>
              </w:rPr>
              <w:t>521.6937</w:t>
            </w:r>
          </w:p>
        </w:tc>
      </w:tr>
      <w:tr w14:paraId="3547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53AF7C5">
            <w:pPr>
              <w:widowControl/>
              <w:jc w:val="center"/>
              <w:rPr>
                <w:color w:val="000000"/>
                <w:kern w:val="0"/>
              </w:rPr>
            </w:pPr>
            <w:r>
              <w:rPr>
                <w:color w:val="000000"/>
                <w:kern w:val="0"/>
              </w:rPr>
              <w:t>-17</w:t>
            </w:r>
          </w:p>
        </w:tc>
        <w:tc>
          <w:tcPr>
            <w:tcW w:w="1585" w:type="pct"/>
            <w:tcBorders>
              <w:top w:val="single" w:color="auto" w:sz="4" w:space="0"/>
              <w:left w:val="nil"/>
              <w:bottom w:val="single" w:color="auto" w:sz="4" w:space="0"/>
              <w:right w:val="nil"/>
            </w:tcBorders>
            <w:shd w:val="clear" w:color="auto" w:fill="auto"/>
            <w:vAlign w:val="bottom"/>
          </w:tcPr>
          <w:p w14:paraId="623FFE15">
            <w:pPr>
              <w:widowControl/>
              <w:jc w:val="center"/>
              <w:rPr>
                <w:color w:val="000000"/>
                <w:kern w:val="0"/>
              </w:rPr>
            </w:pPr>
            <w:r>
              <w:rPr>
                <w:rFonts w:eastAsia="等线"/>
                <w:color w:val="000000"/>
              </w:rPr>
              <w:t>590.067</w:t>
            </w:r>
          </w:p>
        </w:tc>
        <w:tc>
          <w:tcPr>
            <w:tcW w:w="1666" w:type="pct"/>
            <w:shd w:val="clear" w:color="auto" w:fill="auto"/>
            <w:vAlign w:val="center"/>
          </w:tcPr>
          <w:p w14:paraId="4C034A56">
            <w:pPr>
              <w:widowControl/>
              <w:jc w:val="center"/>
              <w:rPr>
                <w:color w:val="000000"/>
                <w:kern w:val="0"/>
              </w:rPr>
            </w:pPr>
            <w:r>
              <w:rPr>
                <w:color w:val="000000"/>
                <w:kern w:val="0"/>
              </w:rPr>
              <w:t>607.9163</w:t>
            </w:r>
          </w:p>
        </w:tc>
      </w:tr>
      <w:tr w14:paraId="34EE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B1892FD">
            <w:pPr>
              <w:widowControl/>
              <w:jc w:val="center"/>
              <w:rPr>
                <w:color w:val="000000"/>
                <w:kern w:val="0"/>
              </w:rPr>
            </w:pPr>
            <w:r>
              <w:rPr>
                <w:color w:val="000000"/>
                <w:kern w:val="0"/>
              </w:rPr>
              <w:t>-16</w:t>
            </w:r>
          </w:p>
        </w:tc>
        <w:tc>
          <w:tcPr>
            <w:tcW w:w="1585" w:type="pct"/>
            <w:tcBorders>
              <w:top w:val="single" w:color="auto" w:sz="4" w:space="0"/>
              <w:left w:val="nil"/>
              <w:bottom w:val="single" w:color="auto" w:sz="4" w:space="0"/>
              <w:right w:val="nil"/>
            </w:tcBorders>
            <w:shd w:val="clear" w:color="auto" w:fill="auto"/>
            <w:vAlign w:val="bottom"/>
          </w:tcPr>
          <w:p w14:paraId="18CBB420">
            <w:pPr>
              <w:widowControl/>
              <w:jc w:val="center"/>
              <w:rPr>
                <w:color w:val="000000"/>
                <w:kern w:val="0"/>
              </w:rPr>
            </w:pPr>
            <w:r>
              <w:rPr>
                <w:rFonts w:eastAsia="等线"/>
                <w:color w:val="000000"/>
              </w:rPr>
              <w:t>701.6998</w:t>
            </w:r>
          </w:p>
        </w:tc>
        <w:tc>
          <w:tcPr>
            <w:tcW w:w="1666" w:type="pct"/>
            <w:shd w:val="clear" w:color="auto" w:fill="auto"/>
            <w:vAlign w:val="center"/>
          </w:tcPr>
          <w:p w14:paraId="59C9FCA6">
            <w:pPr>
              <w:widowControl/>
              <w:jc w:val="center"/>
              <w:rPr>
                <w:color w:val="000000"/>
                <w:kern w:val="0"/>
              </w:rPr>
            </w:pPr>
            <w:r>
              <w:rPr>
                <w:color w:val="000000"/>
                <w:kern w:val="0"/>
              </w:rPr>
              <w:t>711.422</w:t>
            </w:r>
          </w:p>
        </w:tc>
      </w:tr>
      <w:tr w14:paraId="25ED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8331B01">
            <w:pPr>
              <w:widowControl/>
              <w:jc w:val="center"/>
              <w:rPr>
                <w:color w:val="000000"/>
                <w:kern w:val="0"/>
              </w:rPr>
            </w:pPr>
            <w:r>
              <w:rPr>
                <w:color w:val="000000"/>
                <w:kern w:val="0"/>
              </w:rPr>
              <w:t>-15</w:t>
            </w:r>
          </w:p>
        </w:tc>
        <w:tc>
          <w:tcPr>
            <w:tcW w:w="1585" w:type="pct"/>
            <w:tcBorders>
              <w:top w:val="single" w:color="auto" w:sz="4" w:space="0"/>
              <w:left w:val="nil"/>
              <w:bottom w:val="single" w:color="auto" w:sz="4" w:space="0"/>
              <w:right w:val="nil"/>
            </w:tcBorders>
            <w:shd w:val="clear" w:color="auto" w:fill="auto"/>
            <w:vAlign w:val="bottom"/>
          </w:tcPr>
          <w:p w14:paraId="1B9FD041">
            <w:pPr>
              <w:widowControl/>
              <w:jc w:val="center"/>
              <w:rPr>
                <w:color w:val="000000"/>
                <w:kern w:val="0"/>
              </w:rPr>
            </w:pPr>
            <w:r>
              <w:rPr>
                <w:rFonts w:eastAsia="等线"/>
                <w:color w:val="000000"/>
              </w:rPr>
              <w:t>839.8814</w:t>
            </w:r>
          </w:p>
        </w:tc>
        <w:tc>
          <w:tcPr>
            <w:tcW w:w="1666" w:type="pct"/>
            <w:shd w:val="clear" w:color="auto" w:fill="auto"/>
            <w:vAlign w:val="center"/>
          </w:tcPr>
          <w:p w14:paraId="5D050DC0">
            <w:pPr>
              <w:widowControl/>
              <w:jc w:val="center"/>
              <w:rPr>
                <w:color w:val="000000"/>
                <w:kern w:val="0"/>
              </w:rPr>
            </w:pPr>
            <w:r>
              <w:rPr>
                <w:color w:val="000000"/>
                <w:kern w:val="0"/>
              </w:rPr>
              <w:t>835.3294</w:t>
            </w:r>
          </w:p>
        </w:tc>
      </w:tr>
      <w:tr w14:paraId="07EF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0354A75">
            <w:pPr>
              <w:widowControl/>
              <w:jc w:val="center"/>
              <w:rPr>
                <w:color w:val="000000"/>
                <w:kern w:val="0"/>
              </w:rPr>
            </w:pPr>
            <w:r>
              <w:rPr>
                <w:color w:val="000000"/>
                <w:kern w:val="0"/>
              </w:rPr>
              <w:t>-14</w:t>
            </w:r>
          </w:p>
        </w:tc>
        <w:tc>
          <w:tcPr>
            <w:tcW w:w="1585" w:type="pct"/>
            <w:tcBorders>
              <w:top w:val="single" w:color="auto" w:sz="4" w:space="0"/>
              <w:left w:val="nil"/>
              <w:bottom w:val="single" w:color="auto" w:sz="4" w:space="0"/>
              <w:right w:val="nil"/>
            </w:tcBorders>
            <w:shd w:val="clear" w:color="auto" w:fill="auto"/>
            <w:vAlign w:val="bottom"/>
          </w:tcPr>
          <w:p w14:paraId="37762B51">
            <w:pPr>
              <w:widowControl/>
              <w:jc w:val="center"/>
              <w:rPr>
                <w:color w:val="000000"/>
                <w:kern w:val="0"/>
              </w:rPr>
            </w:pPr>
            <w:r>
              <w:rPr>
                <w:rFonts w:eastAsia="等线"/>
                <w:color w:val="000000"/>
              </w:rPr>
              <w:t>1010.831</w:t>
            </w:r>
          </w:p>
        </w:tc>
        <w:tc>
          <w:tcPr>
            <w:tcW w:w="1666" w:type="pct"/>
            <w:shd w:val="clear" w:color="auto" w:fill="auto"/>
            <w:vAlign w:val="center"/>
          </w:tcPr>
          <w:p w14:paraId="4B68A0D6">
            <w:pPr>
              <w:widowControl/>
              <w:jc w:val="center"/>
              <w:rPr>
                <w:color w:val="000000"/>
                <w:kern w:val="0"/>
              </w:rPr>
            </w:pPr>
            <w:r>
              <w:rPr>
                <w:color w:val="000000"/>
                <w:kern w:val="0"/>
              </w:rPr>
              <w:t>982.5035</w:t>
            </w:r>
          </w:p>
        </w:tc>
      </w:tr>
      <w:tr w14:paraId="3A8F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7D8AD98">
            <w:pPr>
              <w:widowControl/>
              <w:jc w:val="center"/>
              <w:rPr>
                <w:color w:val="000000"/>
                <w:kern w:val="0"/>
              </w:rPr>
            </w:pPr>
            <w:r>
              <w:rPr>
                <w:color w:val="000000"/>
                <w:kern w:val="0"/>
              </w:rPr>
              <w:t>-13</w:t>
            </w:r>
          </w:p>
        </w:tc>
        <w:tc>
          <w:tcPr>
            <w:tcW w:w="1585" w:type="pct"/>
            <w:tcBorders>
              <w:top w:val="single" w:color="auto" w:sz="4" w:space="0"/>
              <w:left w:val="nil"/>
              <w:bottom w:val="single" w:color="auto" w:sz="4" w:space="0"/>
              <w:right w:val="nil"/>
            </w:tcBorders>
            <w:shd w:val="clear" w:color="auto" w:fill="auto"/>
            <w:vAlign w:val="bottom"/>
          </w:tcPr>
          <w:p w14:paraId="4E88854C">
            <w:pPr>
              <w:widowControl/>
              <w:jc w:val="center"/>
              <w:rPr>
                <w:color w:val="000000"/>
                <w:kern w:val="0"/>
              </w:rPr>
            </w:pPr>
            <w:r>
              <w:rPr>
                <w:rFonts w:eastAsia="等线"/>
                <w:color w:val="000000"/>
              </w:rPr>
              <w:t>1220.894</w:t>
            </w:r>
          </w:p>
        </w:tc>
        <w:tc>
          <w:tcPr>
            <w:tcW w:w="1666" w:type="pct"/>
            <w:shd w:val="clear" w:color="auto" w:fill="auto"/>
            <w:vAlign w:val="center"/>
          </w:tcPr>
          <w:p w14:paraId="666E8FCC">
            <w:pPr>
              <w:widowControl/>
              <w:jc w:val="center"/>
              <w:rPr>
                <w:color w:val="000000"/>
                <w:kern w:val="0"/>
              </w:rPr>
            </w:pPr>
            <w:r>
              <w:rPr>
                <w:color w:val="000000"/>
                <w:kern w:val="0"/>
              </w:rPr>
              <w:t>1154.5607</w:t>
            </w:r>
          </w:p>
        </w:tc>
      </w:tr>
      <w:tr w14:paraId="7EAC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98DBE33">
            <w:pPr>
              <w:widowControl/>
              <w:jc w:val="center"/>
              <w:rPr>
                <w:color w:val="000000"/>
                <w:kern w:val="0"/>
              </w:rPr>
            </w:pPr>
            <w:r>
              <w:rPr>
                <w:color w:val="000000"/>
                <w:kern w:val="0"/>
              </w:rPr>
              <w:t>-12</w:t>
            </w:r>
          </w:p>
        </w:tc>
        <w:tc>
          <w:tcPr>
            <w:tcW w:w="1585" w:type="pct"/>
            <w:tcBorders>
              <w:top w:val="single" w:color="auto" w:sz="4" w:space="0"/>
              <w:left w:val="nil"/>
              <w:bottom w:val="single" w:color="auto" w:sz="4" w:space="0"/>
              <w:right w:val="nil"/>
            </w:tcBorders>
            <w:shd w:val="clear" w:color="auto" w:fill="auto"/>
            <w:vAlign w:val="bottom"/>
          </w:tcPr>
          <w:p w14:paraId="3DC67F7F">
            <w:pPr>
              <w:widowControl/>
              <w:jc w:val="center"/>
              <w:rPr>
                <w:color w:val="000000"/>
                <w:kern w:val="0"/>
              </w:rPr>
            </w:pPr>
            <w:r>
              <w:rPr>
                <w:rFonts w:eastAsia="等线"/>
                <w:color w:val="000000"/>
              </w:rPr>
              <w:t>1474.517</w:t>
            </w:r>
          </w:p>
        </w:tc>
        <w:tc>
          <w:tcPr>
            <w:tcW w:w="1666" w:type="pct"/>
            <w:shd w:val="clear" w:color="auto" w:fill="auto"/>
            <w:vAlign w:val="center"/>
          </w:tcPr>
          <w:p w14:paraId="0316043B">
            <w:pPr>
              <w:widowControl/>
              <w:jc w:val="center"/>
              <w:rPr>
                <w:color w:val="000000"/>
                <w:kern w:val="0"/>
              </w:rPr>
            </w:pPr>
            <w:r>
              <w:rPr>
                <w:color w:val="000000"/>
                <w:kern w:val="0"/>
              </w:rPr>
              <w:t>1349.9756</w:t>
            </w:r>
          </w:p>
        </w:tc>
      </w:tr>
      <w:tr w14:paraId="2AC4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4D90E442">
            <w:pPr>
              <w:widowControl/>
              <w:jc w:val="center"/>
              <w:rPr>
                <w:color w:val="000000"/>
                <w:kern w:val="0"/>
              </w:rPr>
            </w:pPr>
            <w:r>
              <w:rPr>
                <w:color w:val="000000"/>
                <w:kern w:val="0"/>
              </w:rPr>
              <w:t>-11</w:t>
            </w:r>
          </w:p>
        </w:tc>
        <w:tc>
          <w:tcPr>
            <w:tcW w:w="1585" w:type="pct"/>
            <w:tcBorders>
              <w:top w:val="single" w:color="auto" w:sz="4" w:space="0"/>
              <w:left w:val="nil"/>
              <w:bottom w:val="single" w:color="auto" w:sz="4" w:space="0"/>
              <w:right w:val="nil"/>
            </w:tcBorders>
            <w:shd w:val="clear" w:color="auto" w:fill="auto"/>
            <w:vAlign w:val="bottom"/>
          </w:tcPr>
          <w:p w14:paraId="4A919975">
            <w:pPr>
              <w:widowControl/>
              <w:jc w:val="center"/>
              <w:rPr>
                <w:color w:val="000000"/>
                <w:kern w:val="0"/>
              </w:rPr>
            </w:pPr>
            <w:r>
              <w:rPr>
                <w:rFonts w:eastAsia="等线"/>
                <w:color w:val="000000"/>
              </w:rPr>
              <w:t>1769.653</w:t>
            </w:r>
          </w:p>
        </w:tc>
        <w:tc>
          <w:tcPr>
            <w:tcW w:w="1666" w:type="pct"/>
            <w:shd w:val="clear" w:color="auto" w:fill="auto"/>
            <w:vAlign w:val="center"/>
          </w:tcPr>
          <w:p w14:paraId="4EB90368">
            <w:pPr>
              <w:widowControl/>
              <w:jc w:val="center"/>
              <w:rPr>
                <w:color w:val="000000"/>
                <w:kern w:val="0"/>
              </w:rPr>
            </w:pPr>
            <w:r>
              <w:rPr>
                <w:color w:val="000000"/>
                <w:kern w:val="0"/>
              </w:rPr>
              <w:t>1560.9495</w:t>
            </w:r>
          </w:p>
        </w:tc>
      </w:tr>
      <w:tr w14:paraId="125D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509B515D">
            <w:pPr>
              <w:widowControl/>
              <w:jc w:val="center"/>
              <w:rPr>
                <w:color w:val="000000"/>
                <w:kern w:val="0"/>
              </w:rPr>
            </w:pPr>
            <w:r>
              <w:rPr>
                <w:color w:val="000000"/>
                <w:kern w:val="0"/>
              </w:rPr>
              <w:t>-10</w:t>
            </w:r>
          </w:p>
        </w:tc>
        <w:tc>
          <w:tcPr>
            <w:tcW w:w="1585" w:type="pct"/>
            <w:tcBorders>
              <w:top w:val="single" w:color="auto" w:sz="4" w:space="0"/>
              <w:left w:val="nil"/>
              <w:bottom w:val="single" w:color="auto" w:sz="4" w:space="0"/>
              <w:right w:val="nil"/>
            </w:tcBorders>
            <w:shd w:val="clear" w:color="auto" w:fill="auto"/>
            <w:vAlign w:val="bottom"/>
          </w:tcPr>
          <w:p w14:paraId="718D40F6">
            <w:pPr>
              <w:widowControl/>
              <w:jc w:val="center"/>
              <w:rPr>
                <w:b/>
                <w:bCs/>
                <w:color w:val="000000"/>
                <w:kern w:val="0"/>
              </w:rPr>
            </w:pPr>
            <w:r>
              <w:rPr>
                <w:rFonts w:eastAsia="等线"/>
                <w:color w:val="000000"/>
              </w:rPr>
              <w:t>2089.093</w:t>
            </w:r>
          </w:p>
        </w:tc>
        <w:tc>
          <w:tcPr>
            <w:tcW w:w="1666" w:type="pct"/>
            <w:shd w:val="clear" w:color="auto" w:fill="auto"/>
            <w:vAlign w:val="center"/>
          </w:tcPr>
          <w:p w14:paraId="530217F3">
            <w:pPr>
              <w:widowControl/>
              <w:jc w:val="center"/>
              <w:rPr>
                <w:color w:val="000000"/>
                <w:kern w:val="0"/>
              </w:rPr>
            </w:pPr>
            <w:r>
              <w:rPr>
                <w:color w:val="000000"/>
                <w:kern w:val="0"/>
              </w:rPr>
              <w:t>1769.2762</w:t>
            </w:r>
          </w:p>
        </w:tc>
      </w:tr>
      <w:tr w14:paraId="394E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D9F88B5">
            <w:pPr>
              <w:widowControl/>
              <w:jc w:val="center"/>
              <w:rPr>
                <w:color w:val="000000"/>
                <w:kern w:val="0"/>
              </w:rPr>
            </w:pPr>
            <w:r>
              <w:rPr>
                <w:color w:val="000000"/>
                <w:kern w:val="0"/>
              </w:rPr>
              <w:t>-9</w:t>
            </w:r>
          </w:p>
        </w:tc>
        <w:tc>
          <w:tcPr>
            <w:tcW w:w="1585" w:type="pct"/>
            <w:tcBorders>
              <w:top w:val="single" w:color="auto" w:sz="4" w:space="0"/>
              <w:left w:val="nil"/>
              <w:bottom w:val="single" w:color="auto" w:sz="4" w:space="0"/>
              <w:right w:val="nil"/>
            </w:tcBorders>
            <w:shd w:val="clear" w:color="auto" w:fill="auto"/>
            <w:vAlign w:val="bottom"/>
          </w:tcPr>
          <w:p w14:paraId="5C4C603E">
            <w:pPr>
              <w:widowControl/>
              <w:jc w:val="center"/>
              <w:rPr>
                <w:color w:val="000000"/>
                <w:kern w:val="0"/>
              </w:rPr>
            </w:pPr>
            <w:r>
              <w:rPr>
                <w:rFonts w:eastAsia="等线"/>
                <w:color w:val="000000"/>
              </w:rPr>
              <w:t>2388.529</w:t>
            </w:r>
          </w:p>
        </w:tc>
        <w:tc>
          <w:tcPr>
            <w:tcW w:w="1666" w:type="pct"/>
            <w:shd w:val="clear" w:color="auto" w:fill="auto"/>
            <w:vAlign w:val="center"/>
          </w:tcPr>
          <w:p w14:paraId="79151837">
            <w:pPr>
              <w:widowControl/>
              <w:jc w:val="center"/>
              <w:rPr>
                <w:color w:val="000000"/>
                <w:kern w:val="0"/>
              </w:rPr>
            </w:pPr>
            <w:r>
              <w:rPr>
                <w:color w:val="000000"/>
                <w:kern w:val="0"/>
              </w:rPr>
              <w:t>1943.3087</w:t>
            </w:r>
          </w:p>
        </w:tc>
      </w:tr>
      <w:tr w14:paraId="6E62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4D43FFF">
            <w:pPr>
              <w:widowControl/>
              <w:jc w:val="center"/>
              <w:rPr>
                <w:color w:val="000000"/>
                <w:kern w:val="0"/>
              </w:rPr>
            </w:pPr>
            <w:r>
              <w:rPr>
                <w:color w:val="000000"/>
                <w:kern w:val="0"/>
              </w:rPr>
              <w:t>-8</w:t>
            </w:r>
          </w:p>
        </w:tc>
        <w:tc>
          <w:tcPr>
            <w:tcW w:w="1585" w:type="pct"/>
            <w:tcBorders>
              <w:top w:val="single" w:color="auto" w:sz="4" w:space="0"/>
              <w:left w:val="nil"/>
              <w:bottom w:val="single" w:color="auto" w:sz="4" w:space="0"/>
              <w:right w:val="nil"/>
            </w:tcBorders>
            <w:shd w:val="clear" w:color="auto" w:fill="auto"/>
            <w:vAlign w:val="bottom"/>
          </w:tcPr>
          <w:p w14:paraId="7DA7DF04">
            <w:pPr>
              <w:widowControl/>
              <w:jc w:val="center"/>
              <w:rPr>
                <w:color w:val="000000"/>
                <w:kern w:val="0"/>
              </w:rPr>
            </w:pPr>
            <w:r>
              <w:rPr>
                <w:rFonts w:eastAsia="等线"/>
                <w:color w:val="000000"/>
              </w:rPr>
              <w:t>2591.47</w:t>
            </w:r>
          </w:p>
        </w:tc>
        <w:tc>
          <w:tcPr>
            <w:tcW w:w="1666" w:type="pct"/>
            <w:shd w:val="clear" w:color="auto" w:fill="auto"/>
            <w:vAlign w:val="center"/>
          </w:tcPr>
          <w:p w14:paraId="2C23A44D">
            <w:pPr>
              <w:widowControl/>
              <w:jc w:val="center"/>
              <w:rPr>
                <w:b/>
                <w:bCs/>
                <w:color w:val="000000"/>
                <w:kern w:val="0"/>
              </w:rPr>
            </w:pPr>
            <w:r>
              <w:rPr>
                <w:b/>
                <w:bCs/>
                <w:color w:val="000000"/>
                <w:kern w:val="0"/>
              </w:rPr>
              <w:t>2041.2397</w:t>
            </w:r>
            <w:r>
              <w:rPr>
                <w:rFonts w:hint="eastAsia"/>
                <w:b/>
                <w:bCs/>
                <w:color w:val="000000"/>
                <w:kern w:val="0"/>
              </w:rPr>
              <w:t>（最大值）</w:t>
            </w:r>
          </w:p>
        </w:tc>
      </w:tr>
      <w:tr w14:paraId="62EE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749" w:type="pct"/>
            <w:shd w:val="clear" w:color="auto" w:fill="auto"/>
            <w:vAlign w:val="center"/>
          </w:tcPr>
          <w:p w14:paraId="61DBA57F">
            <w:pPr>
              <w:widowControl/>
              <w:jc w:val="center"/>
              <w:rPr>
                <w:b/>
                <w:bCs/>
                <w:color w:val="000000"/>
                <w:kern w:val="0"/>
              </w:rPr>
            </w:pPr>
            <w:r>
              <w:rPr>
                <w:b/>
                <w:bCs/>
                <w:color w:val="000000"/>
                <w:kern w:val="0"/>
              </w:rPr>
              <w:t>-7</w:t>
            </w:r>
            <w:r>
              <w:rPr>
                <w:rFonts w:hint="eastAsia"/>
                <w:b/>
                <w:bCs/>
                <w:color w:val="000000"/>
                <w:kern w:val="0"/>
              </w:rPr>
              <w:t>（</w:t>
            </w:r>
            <w:r>
              <w:rPr>
                <w:rFonts w:hint="eastAsia" w:ascii="宋体" w:hAnsi="宋体"/>
                <w:b/>
                <w:bCs/>
                <w:color w:val="000000"/>
                <w:kern w:val="0"/>
              </w:rPr>
              <w:t>边导线外</w:t>
            </w:r>
            <w:r>
              <w:rPr>
                <w:b/>
                <w:bCs/>
                <w:color w:val="000000"/>
                <w:kern w:val="0"/>
              </w:rPr>
              <w:t>0</w:t>
            </w:r>
            <w:r>
              <w:rPr>
                <w:rFonts w:hint="eastAsia"/>
                <w:b/>
                <w:bCs/>
                <w:color w:val="000000"/>
                <w:kern w:val="0"/>
              </w:rPr>
              <w:t>m）</w:t>
            </w:r>
          </w:p>
        </w:tc>
        <w:tc>
          <w:tcPr>
            <w:tcW w:w="1585" w:type="pct"/>
            <w:tcBorders>
              <w:top w:val="single" w:color="auto" w:sz="4" w:space="0"/>
              <w:left w:val="nil"/>
              <w:bottom w:val="single" w:color="auto" w:sz="4" w:space="0"/>
              <w:right w:val="nil"/>
            </w:tcBorders>
            <w:shd w:val="clear" w:color="auto" w:fill="auto"/>
            <w:vAlign w:val="bottom"/>
          </w:tcPr>
          <w:p w14:paraId="4268E974">
            <w:pPr>
              <w:widowControl/>
              <w:jc w:val="center"/>
              <w:rPr>
                <w:b/>
                <w:bCs/>
                <w:color w:val="000000"/>
                <w:kern w:val="0"/>
              </w:rPr>
            </w:pPr>
            <w:r>
              <w:rPr>
                <w:rFonts w:eastAsia="等线"/>
                <w:b/>
                <w:bCs/>
                <w:color w:val="000000"/>
              </w:rPr>
              <w:t>2613.955</w:t>
            </w:r>
            <w:r>
              <w:rPr>
                <w:rFonts w:hint="eastAsia"/>
                <w:b/>
                <w:bCs/>
                <w:color w:val="000000"/>
                <w:kern w:val="0"/>
              </w:rPr>
              <w:t>（最大值）</w:t>
            </w:r>
          </w:p>
        </w:tc>
        <w:tc>
          <w:tcPr>
            <w:tcW w:w="1666" w:type="pct"/>
            <w:shd w:val="clear" w:color="auto" w:fill="auto"/>
            <w:vAlign w:val="center"/>
          </w:tcPr>
          <w:p w14:paraId="4DD0EBB2">
            <w:pPr>
              <w:widowControl/>
              <w:jc w:val="center"/>
              <w:rPr>
                <w:color w:val="000000"/>
                <w:kern w:val="0"/>
              </w:rPr>
            </w:pPr>
            <w:r>
              <w:rPr>
                <w:color w:val="000000"/>
                <w:kern w:val="0"/>
              </w:rPr>
              <w:t>2026.236</w:t>
            </w:r>
          </w:p>
        </w:tc>
      </w:tr>
      <w:tr w14:paraId="63AD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088A751">
            <w:pPr>
              <w:widowControl/>
              <w:jc w:val="center"/>
              <w:rPr>
                <w:color w:val="000000"/>
                <w:kern w:val="0"/>
              </w:rPr>
            </w:pPr>
            <w:r>
              <w:rPr>
                <w:color w:val="000000"/>
                <w:kern w:val="0"/>
              </w:rPr>
              <w:t>-6</w:t>
            </w:r>
          </w:p>
        </w:tc>
        <w:tc>
          <w:tcPr>
            <w:tcW w:w="1585" w:type="pct"/>
            <w:tcBorders>
              <w:top w:val="single" w:color="auto" w:sz="4" w:space="0"/>
              <w:left w:val="nil"/>
              <w:bottom w:val="single" w:color="auto" w:sz="4" w:space="0"/>
              <w:right w:val="nil"/>
            </w:tcBorders>
            <w:shd w:val="clear" w:color="auto" w:fill="auto"/>
            <w:vAlign w:val="bottom"/>
          </w:tcPr>
          <w:p w14:paraId="15878580">
            <w:pPr>
              <w:widowControl/>
              <w:jc w:val="center"/>
              <w:rPr>
                <w:color w:val="000000"/>
                <w:kern w:val="0"/>
              </w:rPr>
            </w:pPr>
            <w:r>
              <w:rPr>
                <w:rFonts w:eastAsia="等线"/>
                <w:color w:val="000000"/>
              </w:rPr>
              <w:t>2423.704</w:t>
            </w:r>
          </w:p>
        </w:tc>
        <w:tc>
          <w:tcPr>
            <w:tcW w:w="1666" w:type="pct"/>
            <w:shd w:val="clear" w:color="auto" w:fill="auto"/>
            <w:vAlign w:val="center"/>
          </w:tcPr>
          <w:p w14:paraId="0B194663">
            <w:pPr>
              <w:widowControl/>
              <w:jc w:val="center"/>
              <w:rPr>
                <w:color w:val="000000"/>
                <w:kern w:val="0"/>
              </w:rPr>
            </w:pPr>
            <w:r>
              <w:rPr>
                <w:color w:val="000000"/>
                <w:kern w:val="0"/>
              </w:rPr>
              <w:t>1889.431</w:t>
            </w:r>
          </w:p>
        </w:tc>
      </w:tr>
      <w:tr w14:paraId="46CF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4BC82FF">
            <w:pPr>
              <w:widowControl/>
              <w:jc w:val="center"/>
              <w:rPr>
                <w:color w:val="000000"/>
                <w:kern w:val="0"/>
              </w:rPr>
            </w:pPr>
            <w:r>
              <w:rPr>
                <w:color w:val="000000"/>
                <w:kern w:val="0"/>
              </w:rPr>
              <w:t>-5</w:t>
            </w:r>
          </w:p>
        </w:tc>
        <w:tc>
          <w:tcPr>
            <w:tcW w:w="1585" w:type="pct"/>
            <w:tcBorders>
              <w:top w:val="single" w:color="auto" w:sz="4" w:space="0"/>
              <w:left w:val="nil"/>
              <w:bottom w:val="single" w:color="auto" w:sz="4" w:space="0"/>
              <w:right w:val="nil"/>
            </w:tcBorders>
            <w:shd w:val="clear" w:color="auto" w:fill="auto"/>
            <w:vAlign w:val="bottom"/>
          </w:tcPr>
          <w:p w14:paraId="6EFA2D2D">
            <w:pPr>
              <w:widowControl/>
              <w:jc w:val="center"/>
              <w:rPr>
                <w:color w:val="000000"/>
                <w:kern w:val="0"/>
              </w:rPr>
            </w:pPr>
            <w:r>
              <w:rPr>
                <w:rFonts w:eastAsia="等线"/>
                <w:color w:val="000000"/>
              </w:rPr>
              <w:t>2078.433</w:t>
            </w:r>
          </w:p>
        </w:tc>
        <w:tc>
          <w:tcPr>
            <w:tcW w:w="1666" w:type="pct"/>
            <w:shd w:val="clear" w:color="auto" w:fill="auto"/>
            <w:vAlign w:val="center"/>
          </w:tcPr>
          <w:p w14:paraId="0EA40E90">
            <w:pPr>
              <w:widowControl/>
              <w:jc w:val="center"/>
              <w:rPr>
                <w:color w:val="000000"/>
                <w:kern w:val="0"/>
              </w:rPr>
            </w:pPr>
            <w:r>
              <w:rPr>
                <w:color w:val="000000"/>
                <w:kern w:val="0"/>
              </w:rPr>
              <w:t>1664.1227</w:t>
            </w:r>
          </w:p>
        </w:tc>
      </w:tr>
      <w:tr w14:paraId="5218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C426093">
            <w:pPr>
              <w:widowControl/>
              <w:jc w:val="center"/>
              <w:rPr>
                <w:color w:val="000000"/>
                <w:kern w:val="0"/>
              </w:rPr>
            </w:pPr>
            <w:r>
              <w:rPr>
                <w:color w:val="000000"/>
                <w:kern w:val="0"/>
              </w:rPr>
              <w:t>-4</w:t>
            </w:r>
          </w:p>
        </w:tc>
        <w:tc>
          <w:tcPr>
            <w:tcW w:w="1585" w:type="pct"/>
            <w:tcBorders>
              <w:top w:val="single" w:color="auto" w:sz="4" w:space="0"/>
              <w:left w:val="nil"/>
              <w:bottom w:val="single" w:color="auto" w:sz="4" w:space="0"/>
              <w:right w:val="nil"/>
            </w:tcBorders>
            <w:shd w:val="clear" w:color="auto" w:fill="auto"/>
            <w:vAlign w:val="bottom"/>
          </w:tcPr>
          <w:p w14:paraId="397FAAEA">
            <w:pPr>
              <w:widowControl/>
              <w:jc w:val="center"/>
              <w:rPr>
                <w:color w:val="000000"/>
                <w:kern w:val="0"/>
              </w:rPr>
            </w:pPr>
            <w:r>
              <w:rPr>
                <w:rFonts w:eastAsia="等线"/>
                <w:color w:val="000000"/>
              </w:rPr>
              <w:t>1708.412</w:t>
            </w:r>
          </w:p>
        </w:tc>
        <w:tc>
          <w:tcPr>
            <w:tcW w:w="1666" w:type="pct"/>
            <w:shd w:val="clear" w:color="auto" w:fill="auto"/>
            <w:vAlign w:val="center"/>
          </w:tcPr>
          <w:p w14:paraId="71CC9FBB">
            <w:pPr>
              <w:widowControl/>
              <w:jc w:val="center"/>
              <w:rPr>
                <w:color w:val="000000"/>
                <w:kern w:val="0"/>
              </w:rPr>
            </w:pPr>
            <w:r>
              <w:rPr>
                <w:color w:val="000000"/>
                <w:kern w:val="0"/>
              </w:rPr>
              <w:t>1425.5162</w:t>
            </w:r>
          </w:p>
        </w:tc>
      </w:tr>
      <w:tr w14:paraId="20A9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BE91577">
            <w:pPr>
              <w:widowControl/>
              <w:jc w:val="center"/>
              <w:rPr>
                <w:color w:val="000000"/>
                <w:kern w:val="0"/>
              </w:rPr>
            </w:pPr>
            <w:r>
              <w:rPr>
                <w:color w:val="000000"/>
                <w:kern w:val="0"/>
              </w:rPr>
              <w:t>-3</w:t>
            </w:r>
          </w:p>
        </w:tc>
        <w:tc>
          <w:tcPr>
            <w:tcW w:w="1585" w:type="pct"/>
            <w:tcBorders>
              <w:top w:val="single" w:color="auto" w:sz="4" w:space="0"/>
              <w:left w:val="nil"/>
              <w:bottom w:val="single" w:color="auto" w:sz="4" w:space="0"/>
              <w:right w:val="nil"/>
            </w:tcBorders>
            <w:shd w:val="clear" w:color="auto" w:fill="auto"/>
            <w:vAlign w:val="bottom"/>
          </w:tcPr>
          <w:p w14:paraId="57E93039">
            <w:pPr>
              <w:widowControl/>
              <w:jc w:val="center"/>
              <w:rPr>
                <w:color w:val="000000"/>
                <w:kern w:val="0"/>
              </w:rPr>
            </w:pPr>
            <w:r>
              <w:rPr>
                <w:rFonts w:eastAsia="等线"/>
                <w:color w:val="000000"/>
              </w:rPr>
              <w:t>1569.415</w:t>
            </w:r>
          </w:p>
        </w:tc>
        <w:tc>
          <w:tcPr>
            <w:tcW w:w="1666" w:type="pct"/>
            <w:shd w:val="clear" w:color="auto" w:fill="auto"/>
            <w:vAlign w:val="center"/>
          </w:tcPr>
          <w:p w14:paraId="27EBEB2D">
            <w:pPr>
              <w:widowControl/>
              <w:jc w:val="center"/>
              <w:rPr>
                <w:color w:val="000000"/>
                <w:kern w:val="0"/>
              </w:rPr>
            </w:pPr>
            <w:r>
              <w:rPr>
                <w:color w:val="000000"/>
                <w:kern w:val="0"/>
              </w:rPr>
              <w:t>1300.5506</w:t>
            </w:r>
          </w:p>
        </w:tc>
      </w:tr>
      <w:tr w14:paraId="6E91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16EB5C7">
            <w:pPr>
              <w:widowControl/>
              <w:jc w:val="center"/>
              <w:rPr>
                <w:color w:val="000000"/>
                <w:kern w:val="0"/>
              </w:rPr>
            </w:pPr>
            <w:r>
              <w:rPr>
                <w:color w:val="000000"/>
                <w:kern w:val="0"/>
              </w:rPr>
              <w:t>-2</w:t>
            </w:r>
          </w:p>
        </w:tc>
        <w:tc>
          <w:tcPr>
            <w:tcW w:w="1585" w:type="pct"/>
            <w:tcBorders>
              <w:top w:val="single" w:color="auto" w:sz="4" w:space="0"/>
              <w:left w:val="nil"/>
              <w:bottom w:val="single" w:color="auto" w:sz="4" w:space="0"/>
              <w:right w:val="nil"/>
            </w:tcBorders>
            <w:shd w:val="clear" w:color="auto" w:fill="auto"/>
            <w:vAlign w:val="bottom"/>
          </w:tcPr>
          <w:p w14:paraId="7F405F91">
            <w:pPr>
              <w:widowControl/>
              <w:jc w:val="center"/>
              <w:rPr>
                <w:color w:val="000000"/>
                <w:kern w:val="0"/>
              </w:rPr>
            </w:pPr>
            <w:r>
              <w:rPr>
                <w:rFonts w:eastAsia="等线"/>
                <w:color w:val="000000"/>
              </w:rPr>
              <w:t>1793.162</w:t>
            </w:r>
          </w:p>
        </w:tc>
        <w:tc>
          <w:tcPr>
            <w:tcW w:w="1666" w:type="pct"/>
            <w:shd w:val="clear" w:color="auto" w:fill="auto"/>
            <w:vAlign w:val="center"/>
          </w:tcPr>
          <w:p w14:paraId="639F3A6E">
            <w:pPr>
              <w:widowControl/>
              <w:jc w:val="center"/>
              <w:rPr>
                <w:color w:val="000000"/>
                <w:kern w:val="0"/>
              </w:rPr>
            </w:pPr>
            <w:r>
              <w:rPr>
                <w:color w:val="000000"/>
                <w:kern w:val="0"/>
              </w:rPr>
              <w:t>1366.1105</w:t>
            </w:r>
          </w:p>
        </w:tc>
      </w:tr>
      <w:tr w14:paraId="3D68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5DC6186F">
            <w:pPr>
              <w:widowControl/>
              <w:jc w:val="center"/>
              <w:rPr>
                <w:color w:val="000000"/>
                <w:kern w:val="0"/>
              </w:rPr>
            </w:pPr>
            <w:r>
              <w:rPr>
                <w:color w:val="000000"/>
                <w:kern w:val="0"/>
              </w:rPr>
              <w:t>-1</w:t>
            </w:r>
          </w:p>
        </w:tc>
        <w:tc>
          <w:tcPr>
            <w:tcW w:w="1585" w:type="pct"/>
            <w:tcBorders>
              <w:top w:val="single" w:color="auto" w:sz="4" w:space="0"/>
              <w:left w:val="nil"/>
              <w:bottom w:val="single" w:color="auto" w:sz="4" w:space="0"/>
              <w:right w:val="nil"/>
            </w:tcBorders>
            <w:shd w:val="clear" w:color="auto" w:fill="auto"/>
            <w:vAlign w:val="bottom"/>
          </w:tcPr>
          <w:p w14:paraId="13A43990">
            <w:pPr>
              <w:widowControl/>
              <w:jc w:val="center"/>
              <w:rPr>
                <w:color w:val="000000"/>
                <w:kern w:val="0"/>
              </w:rPr>
            </w:pPr>
            <w:r>
              <w:rPr>
                <w:rFonts w:eastAsia="等线"/>
                <w:color w:val="000000"/>
              </w:rPr>
              <w:t>2042.077</w:t>
            </w:r>
          </w:p>
        </w:tc>
        <w:tc>
          <w:tcPr>
            <w:tcW w:w="1666" w:type="pct"/>
            <w:shd w:val="clear" w:color="auto" w:fill="auto"/>
            <w:vAlign w:val="center"/>
          </w:tcPr>
          <w:p w14:paraId="1E40F79F">
            <w:pPr>
              <w:widowControl/>
              <w:jc w:val="center"/>
              <w:rPr>
                <w:color w:val="000000"/>
                <w:kern w:val="0"/>
              </w:rPr>
            </w:pPr>
            <w:r>
              <w:rPr>
                <w:color w:val="000000"/>
                <w:kern w:val="0"/>
              </w:rPr>
              <w:t>1481.4331</w:t>
            </w:r>
          </w:p>
        </w:tc>
      </w:tr>
      <w:tr w14:paraId="30E6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5379F05">
            <w:pPr>
              <w:widowControl/>
              <w:jc w:val="center"/>
              <w:rPr>
                <w:color w:val="000000"/>
                <w:kern w:val="0"/>
              </w:rPr>
            </w:pPr>
            <w:r>
              <w:rPr>
                <w:color w:val="000000"/>
                <w:kern w:val="0"/>
              </w:rPr>
              <w:t>0</w:t>
            </w:r>
          </w:p>
        </w:tc>
        <w:tc>
          <w:tcPr>
            <w:tcW w:w="1585" w:type="pct"/>
            <w:tcBorders>
              <w:top w:val="single" w:color="auto" w:sz="4" w:space="0"/>
              <w:left w:val="nil"/>
              <w:bottom w:val="single" w:color="auto" w:sz="4" w:space="0"/>
              <w:right w:val="nil"/>
            </w:tcBorders>
            <w:shd w:val="clear" w:color="auto" w:fill="auto"/>
            <w:vAlign w:val="bottom"/>
          </w:tcPr>
          <w:p w14:paraId="21DC5D8F">
            <w:pPr>
              <w:widowControl/>
              <w:jc w:val="center"/>
              <w:rPr>
                <w:color w:val="000000"/>
                <w:kern w:val="0"/>
              </w:rPr>
            </w:pPr>
            <w:r>
              <w:rPr>
                <w:rFonts w:eastAsia="等线"/>
                <w:color w:val="000000"/>
              </w:rPr>
              <w:t>2143.126</w:t>
            </w:r>
          </w:p>
        </w:tc>
        <w:tc>
          <w:tcPr>
            <w:tcW w:w="1666" w:type="pct"/>
            <w:shd w:val="clear" w:color="auto" w:fill="auto"/>
            <w:vAlign w:val="center"/>
          </w:tcPr>
          <w:p w14:paraId="1DFDE927">
            <w:pPr>
              <w:widowControl/>
              <w:jc w:val="center"/>
              <w:rPr>
                <w:color w:val="000000"/>
                <w:kern w:val="0"/>
              </w:rPr>
            </w:pPr>
            <w:r>
              <w:rPr>
                <w:color w:val="000000"/>
                <w:kern w:val="0"/>
              </w:rPr>
              <w:t>1531.0571</w:t>
            </w:r>
          </w:p>
        </w:tc>
      </w:tr>
      <w:tr w14:paraId="4DE1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DEA0D51">
            <w:pPr>
              <w:widowControl/>
              <w:jc w:val="center"/>
              <w:rPr>
                <w:color w:val="000000"/>
                <w:kern w:val="0"/>
              </w:rPr>
            </w:pPr>
            <w:r>
              <w:rPr>
                <w:color w:val="000000"/>
                <w:kern w:val="0"/>
              </w:rPr>
              <w:t>1</w:t>
            </w:r>
          </w:p>
        </w:tc>
        <w:tc>
          <w:tcPr>
            <w:tcW w:w="1585" w:type="pct"/>
            <w:tcBorders>
              <w:top w:val="single" w:color="auto" w:sz="4" w:space="0"/>
              <w:left w:val="nil"/>
              <w:bottom w:val="single" w:color="auto" w:sz="4" w:space="0"/>
              <w:right w:val="nil"/>
            </w:tcBorders>
            <w:shd w:val="clear" w:color="auto" w:fill="auto"/>
            <w:vAlign w:val="bottom"/>
          </w:tcPr>
          <w:p w14:paraId="670DA448">
            <w:pPr>
              <w:widowControl/>
              <w:jc w:val="center"/>
              <w:rPr>
                <w:color w:val="000000"/>
                <w:kern w:val="0"/>
              </w:rPr>
            </w:pPr>
            <w:r>
              <w:rPr>
                <w:rFonts w:eastAsia="等线"/>
                <w:color w:val="000000"/>
              </w:rPr>
              <w:t>2042.063</w:t>
            </w:r>
          </w:p>
        </w:tc>
        <w:tc>
          <w:tcPr>
            <w:tcW w:w="1666" w:type="pct"/>
            <w:shd w:val="clear" w:color="auto" w:fill="auto"/>
            <w:vAlign w:val="center"/>
          </w:tcPr>
          <w:p w14:paraId="11643F6B">
            <w:pPr>
              <w:widowControl/>
              <w:jc w:val="center"/>
              <w:rPr>
                <w:color w:val="000000"/>
                <w:kern w:val="0"/>
              </w:rPr>
            </w:pPr>
            <w:r>
              <w:rPr>
                <w:color w:val="000000"/>
                <w:kern w:val="0"/>
              </w:rPr>
              <w:t>1481.419</w:t>
            </w:r>
          </w:p>
        </w:tc>
      </w:tr>
      <w:tr w14:paraId="5E20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257BA43">
            <w:pPr>
              <w:widowControl/>
              <w:jc w:val="center"/>
              <w:rPr>
                <w:color w:val="000000"/>
                <w:kern w:val="0"/>
              </w:rPr>
            </w:pPr>
            <w:r>
              <w:rPr>
                <w:color w:val="000000"/>
                <w:kern w:val="0"/>
              </w:rPr>
              <w:t>2</w:t>
            </w:r>
          </w:p>
        </w:tc>
        <w:tc>
          <w:tcPr>
            <w:tcW w:w="1585" w:type="pct"/>
            <w:tcBorders>
              <w:top w:val="single" w:color="auto" w:sz="4" w:space="0"/>
              <w:left w:val="nil"/>
              <w:bottom w:val="single" w:color="auto" w:sz="4" w:space="0"/>
              <w:right w:val="nil"/>
            </w:tcBorders>
            <w:shd w:val="clear" w:color="auto" w:fill="auto"/>
            <w:vAlign w:val="bottom"/>
          </w:tcPr>
          <w:p w14:paraId="5A918FA7">
            <w:pPr>
              <w:widowControl/>
              <w:jc w:val="center"/>
              <w:rPr>
                <w:color w:val="000000"/>
                <w:kern w:val="0"/>
              </w:rPr>
            </w:pPr>
            <w:r>
              <w:rPr>
                <w:rFonts w:eastAsia="等线"/>
                <w:color w:val="000000"/>
              </w:rPr>
              <w:t>1793.133</w:t>
            </w:r>
          </w:p>
        </w:tc>
        <w:tc>
          <w:tcPr>
            <w:tcW w:w="1666" w:type="pct"/>
            <w:shd w:val="clear" w:color="auto" w:fill="auto"/>
            <w:vAlign w:val="center"/>
          </w:tcPr>
          <w:p w14:paraId="1D40E86A">
            <w:pPr>
              <w:widowControl/>
              <w:jc w:val="center"/>
              <w:rPr>
                <w:color w:val="000000"/>
                <w:kern w:val="0"/>
              </w:rPr>
            </w:pPr>
            <w:r>
              <w:rPr>
                <w:color w:val="000000"/>
                <w:kern w:val="0"/>
              </w:rPr>
              <w:t>1366.0831</w:t>
            </w:r>
          </w:p>
        </w:tc>
      </w:tr>
      <w:tr w14:paraId="3982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09CFF71">
            <w:pPr>
              <w:widowControl/>
              <w:jc w:val="center"/>
              <w:rPr>
                <w:color w:val="000000"/>
                <w:kern w:val="0"/>
              </w:rPr>
            </w:pPr>
            <w:r>
              <w:rPr>
                <w:color w:val="000000"/>
                <w:kern w:val="0"/>
              </w:rPr>
              <w:t>3</w:t>
            </w:r>
          </w:p>
        </w:tc>
        <w:tc>
          <w:tcPr>
            <w:tcW w:w="1585" w:type="pct"/>
            <w:tcBorders>
              <w:top w:val="single" w:color="auto" w:sz="4" w:space="0"/>
              <w:left w:val="nil"/>
              <w:bottom w:val="single" w:color="auto" w:sz="4" w:space="0"/>
              <w:right w:val="nil"/>
            </w:tcBorders>
            <w:shd w:val="clear" w:color="auto" w:fill="auto"/>
            <w:vAlign w:val="bottom"/>
          </w:tcPr>
          <w:p w14:paraId="120055B7">
            <w:pPr>
              <w:widowControl/>
              <w:jc w:val="center"/>
              <w:rPr>
                <w:color w:val="000000"/>
                <w:kern w:val="0"/>
              </w:rPr>
            </w:pPr>
            <w:r>
              <w:rPr>
                <w:rFonts w:eastAsia="等线"/>
                <w:color w:val="000000"/>
              </w:rPr>
              <w:t>1569.375</w:t>
            </w:r>
          </w:p>
        </w:tc>
        <w:tc>
          <w:tcPr>
            <w:tcW w:w="1666" w:type="pct"/>
            <w:shd w:val="clear" w:color="auto" w:fill="auto"/>
            <w:vAlign w:val="center"/>
          </w:tcPr>
          <w:p w14:paraId="31E501C8">
            <w:pPr>
              <w:widowControl/>
              <w:jc w:val="center"/>
              <w:rPr>
                <w:color w:val="000000"/>
                <w:kern w:val="0"/>
              </w:rPr>
            </w:pPr>
            <w:r>
              <w:rPr>
                <w:color w:val="000000"/>
                <w:kern w:val="0"/>
              </w:rPr>
              <w:t>1300.5184</w:t>
            </w:r>
          </w:p>
        </w:tc>
      </w:tr>
      <w:tr w14:paraId="32FC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5128BB09">
            <w:pPr>
              <w:widowControl/>
              <w:jc w:val="center"/>
              <w:rPr>
                <w:color w:val="000000"/>
                <w:kern w:val="0"/>
              </w:rPr>
            </w:pPr>
            <w:r>
              <w:rPr>
                <w:color w:val="000000"/>
                <w:kern w:val="0"/>
              </w:rPr>
              <w:t>4</w:t>
            </w:r>
          </w:p>
        </w:tc>
        <w:tc>
          <w:tcPr>
            <w:tcW w:w="1585" w:type="pct"/>
            <w:tcBorders>
              <w:top w:val="single" w:color="auto" w:sz="4" w:space="0"/>
              <w:left w:val="nil"/>
              <w:bottom w:val="single" w:color="auto" w:sz="4" w:space="0"/>
              <w:right w:val="nil"/>
            </w:tcBorders>
            <w:shd w:val="clear" w:color="auto" w:fill="auto"/>
            <w:vAlign w:val="bottom"/>
          </w:tcPr>
          <w:p w14:paraId="229C1A9E">
            <w:pPr>
              <w:widowControl/>
              <w:jc w:val="center"/>
              <w:rPr>
                <w:color w:val="000000"/>
                <w:kern w:val="0"/>
              </w:rPr>
            </w:pPr>
            <w:r>
              <w:rPr>
                <w:rFonts w:eastAsia="等线"/>
                <w:color w:val="000000"/>
              </w:rPr>
              <w:t>1708.399</w:t>
            </w:r>
          </w:p>
        </w:tc>
        <w:tc>
          <w:tcPr>
            <w:tcW w:w="1666" w:type="pct"/>
            <w:shd w:val="clear" w:color="auto" w:fill="auto"/>
            <w:vAlign w:val="center"/>
          </w:tcPr>
          <w:p w14:paraId="59B5EAC6">
            <w:pPr>
              <w:widowControl/>
              <w:jc w:val="center"/>
              <w:rPr>
                <w:color w:val="000000"/>
                <w:kern w:val="0"/>
              </w:rPr>
            </w:pPr>
            <w:r>
              <w:rPr>
                <w:color w:val="000000"/>
                <w:kern w:val="0"/>
              </w:rPr>
              <w:t>1425.5009</w:t>
            </w:r>
          </w:p>
        </w:tc>
      </w:tr>
      <w:tr w14:paraId="5D3A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12471DF">
            <w:pPr>
              <w:widowControl/>
              <w:jc w:val="center"/>
              <w:rPr>
                <w:color w:val="000000"/>
                <w:kern w:val="0"/>
              </w:rPr>
            </w:pPr>
            <w:r>
              <w:rPr>
                <w:color w:val="000000"/>
                <w:kern w:val="0"/>
              </w:rPr>
              <w:t>5</w:t>
            </w:r>
          </w:p>
        </w:tc>
        <w:tc>
          <w:tcPr>
            <w:tcW w:w="1585" w:type="pct"/>
            <w:tcBorders>
              <w:top w:val="single" w:color="auto" w:sz="4" w:space="0"/>
              <w:left w:val="nil"/>
              <w:bottom w:val="single" w:color="auto" w:sz="4" w:space="0"/>
              <w:right w:val="nil"/>
            </w:tcBorders>
            <w:shd w:val="clear" w:color="auto" w:fill="auto"/>
            <w:vAlign w:val="bottom"/>
          </w:tcPr>
          <w:p w14:paraId="0E314AA9">
            <w:pPr>
              <w:widowControl/>
              <w:jc w:val="center"/>
              <w:rPr>
                <w:color w:val="000000"/>
                <w:kern w:val="0"/>
              </w:rPr>
            </w:pPr>
            <w:r>
              <w:rPr>
                <w:rFonts w:eastAsia="等线"/>
                <w:color w:val="000000"/>
              </w:rPr>
              <w:t>2078.445</w:t>
            </w:r>
          </w:p>
        </w:tc>
        <w:tc>
          <w:tcPr>
            <w:tcW w:w="1666" w:type="pct"/>
            <w:shd w:val="clear" w:color="auto" w:fill="auto"/>
            <w:vAlign w:val="center"/>
          </w:tcPr>
          <w:p w14:paraId="1409F649">
            <w:pPr>
              <w:widowControl/>
              <w:jc w:val="center"/>
              <w:rPr>
                <w:color w:val="000000"/>
                <w:kern w:val="0"/>
              </w:rPr>
            </w:pPr>
            <w:r>
              <w:rPr>
                <w:color w:val="000000"/>
                <w:kern w:val="0"/>
              </w:rPr>
              <w:t>1664.1254</w:t>
            </w:r>
          </w:p>
        </w:tc>
      </w:tr>
      <w:tr w14:paraId="379F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7261165">
            <w:pPr>
              <w:widowControl/>
              <w:jc w:val="center"/>
              <w:rPr>
                <w:color w:val="000000"/>
                <w:kern w:val="0"/>
              </w:rPr>
            </w:pPr>
            <w:r>
              <w:rPr>
                <w:color w:val="000000"/>
                <w:kern w:val="0"/>
              </w:rPr>
              <w:t>6</w:t>
            </w:r>
          </w:p>
        </w:tc>
        <w:tc>
          <w:tcPr>
            <w:tcW w:w="1585" w:type="pct"/>
            <w:tcBorders>
              <w:top w:val="single" w:color="auto" w:sz="4" w:space="0"/>
              <w:left w:val="nil"/>
              <w:bottom w:val="single" w:color="auto" w:sz="4" w:space="0"/>
              <w:right w:val="nil"/>
            </w:tcBorders>
            <w:shd w:val="clear" w:color="auto" w:fill="auto"/>
            <w:vAlign w:val="bottom"/>
          </w:tcPr>
          <w:p w14:paraId="2A761441">
            <w:pPr>
              <w:widowControl/>
              <w:jc w:val="center"/>
              <w:rPr>
                <w:color w:val="000000"/>
                <w:kern w:val="0"/>
              </w:rPr>
            </w:pPr>
            <w:r>
              <w:rPr>
                <w:rFonts w:eastAsia="等线"/>
                <w:color w:val="000000"/>
              </w:rPr>
              <w:t>2423.733</w:t>
            </w:r>
          </w:p>
        </w:tc>
        <w:tc>
          <w:tcPr>
            <w:tcW w:w="1666" w:type="pct"/>
            <w:shd w:val="clear" w:color="auto" w:fill="auto"/>
            <w:vAlign w:val="center"/>
          </w:tcPr>
          <w:p w14:paraId="0EF3BCCF">
            <w:pPr>
              <w:widowControl/>
              <w:jc w:val="center"/>
              <w:rPr>
                <w:color w:val="000000"/>
                <w:kern w:val="0"/>
              </w:rPr>
            </w:pPr>
            <w:r>
              <w:rPr>
                <w:color w:val="000000"/>
                <w:kern w:val="0"/>
              </w:rPr>
              <w:t>1889.4468</w:t>
            </w:r>
          </w:p>
        </w:tc>
      </w:tr>
      <w:tr w14:paraId="3BC1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D5D51AB">
            <w:pPr>
              <w:widowControl/>
              <w:jc w:val="center"/>
              <w:rPr>
                <w:color w:val="000000"/>
                <w:kern w:val="0"/>
              </w:rPr>
            </w:pPr>
            <w:r>
              <w:rPr>
                <w:b/>
                <w:bCs/>
                <w:color w:val="000000"/>
                <w:kern w:val="0"/>
              </w:rPr>
              <w:t>7</w:t>
            </w:r>
            <w:r>
              <w:rPr>
                <w:rFonts w:hint="eastAsia"/>
                <w:b/>
                <w:bCs/>
                <w:color w:val="000000"/>
                <w:kern w:val="0"/>
              </w:rPr>
              <w:t>（</w:t>
            </w:r>
            <w:r>
              <w:rPr>
                <w:rFonts w:hint="eastAsia" w:ascii="宋体" w:hAnsi="宋体"/>
                <w:b/>
                <w:bCs/>
                <w:color w:val="000000"/>
                <w:kern w:val="0"/>
              </w:rPr>
              <w:t>边导线外</w:t>
            </w:r>
            <w:r>
              <w:rPr>
                <w:b/>
                <w:bCs/>
                <w:color w:val="000000"/>
                <w:kern w:val="0"/>
              </w:rPr>
              <w:t>0</w:t>
            </w:r>
            <w:r>
              <w:rPr>
                <w:rFonts w:hint="eastAsia"/>
                <w:b/>
                <w:bCs/>
                <w:color w:val="000000"/>
                <w:kern w:val="0"/>
              </w:rPr>
              <w:t>m）</w:t>
            </w:r>
          </w:p>
        </w:tc>
        <w:tc>
          <w:tcPr>
            <w:tcW w:w="1585" w:type="pct"/>
            <w:tcBorders>
              <w:top w:val="single" w:color="auto" w:sz="4" w:space="0"/>
              <w:left w:val="nil"/>
              <w:bottom w:val="single" w:color="auto" w:sz="4" w:space="0"/>
              <w:right w:val="nil"/>
            </w:tcBorders>
            <w:shd w:val="clear" w:color="auto" w:fill="auto"/>
            <w:vAlign w:val="bottom"/>
          </w:tcPr>
          <w:p w14:paraId="301301F0">
            <w:pPr>
              <w:widowControl/>
              <w:jc w:val="center"/>
              <w:rPr>
                <w:color w:val="000000"/>
                <w:kern w:val="0"/>
              </w:rPr>
            </w:pPr>
            <w:r>
              <w:rPr>
                <w:rFonts w:eastAsia="等线"/>
                <w:color w:val="000000"/>
              </w:rPr>
              <w:t>2613.994</w:t>
            </w:r>
          </w:p>
        </w:tc>
        <w:tc>
          <w:tcPr>
            <w:tcW w:w="1666" w:type="pct"/>
            <w:shd w:val="clear" w:color="auto" w:fill="auto"/>
            <w:vAlign w:val="center"/>
          </w:tcPr>
          <w:p w14:paraId="643E0E8E">
            <w:pPr>
              <w:widowControl/>
              <w:jc w:val="center"/>
              <w:rPr>
                <w:color w:val="000000"/>
                <w:kern w:val="0"/>
              </w:rPr>
            </w:pPr>
            <w:r>
              <w:rPr>
                <w:color w:val="000000"/>
                <w:kern w:val="0"/>
              </w:rPr>
              <w:t>2026.2608</w:t>
            </w:r>
          </w:p>
        </w:tc>
      </w:tr>
      <w:tr w14:paraId="1CB5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155214C">
            <w:pPr>
              <w:widowControl/>
              <w:jc w:val="center"/>
              <w:rPr>
                <w:color w:val="000000"/>
                <w:kern w:val="0"/>
              </w:rPr>
            </w:pPr>
            <w:r>
              <w:rPr>
                <w:color w:val="000000"/>
                <w:kern w:val="0"/>
              </w:rPr>
              <w:t>8</w:t>
            </w:r>
          </w:p>
        </w:tc>
        <w:tc>
          <w:tcPr>
            <w:tcW w:w="1585" w:type="pct"/>
            <w:tcBorders>
              <w:top w:val="single" w:color="auto" w:sz="4" w:space="0"/>
              <w:left w:val="nil"/>
              <w:bottom w:val="single" w:color="auto" w:sz="4" w:space="0"/>
              <w:right w:val="nil"/>
            </w:tcBorders>
            <w:shd w:val="clear" w:color="auto" w:fill="auto"/>
            <w:vAlign w:val="bottom"/>
          </w:tcPr>
          <w:p w14:paraId="39EB0493">
            <w:pPr>
              <w:widowControl/>
              <w:jc w:val="center"/>
              <w:rPr>
                <w:color w:val="000000"/>
                <w:kern w:val="0"/>
              </w:rPr>
            </w:pPr>
            <w:r>
              <w:rPr>
                <w:rFonts w:eastAsia="等线"/>
                <w:color w:val="000000"/>
              </w:rPr>
              <w:t>2591.512</w:t>
            </w:r>
          </w:p>
        </w:tc>
        <w:tc>
          <w:tcPr>
            <w:tcW w:w="1666" w:type="pct"/>
            <w:shd w:val="clear" w:color="auto" w:fill="auto"/>
            <w:vAlign w:val="center"/>
          </w:tcPr>
          <w:p w14:paraId="081B5C70">
            <w:pPr>
              <w:widowControl/>
              <w:jc w:val="center"/>
              <w:rPr>
                <w:color w:val="000000"/>
                <w:kern w:val="0"/>
              </w:rPr>
            </w:pPr>
            <w:r>
              <w:rPr>
                <w:color w:val="000000"/>
                <w:kern w:val="0"/>
              </w:rPr>
              <w:t>2041.2688</w:t>
            </w:r>
          </w:p>
        </w:tc>
      </w:tr>
      <w:tr w14:paraId="3BE1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C9AC246">
            <w:pPr>
              <w:widowControl/>
              <w:jc w:val="center"/>
              <w:rPr>
                <w:color w:val="000000"/>
                <w:kern w:val="0"/>
              </w:rPr>
            </w:pPr>
            <w:r>
              <w:rPr>
                <w:color w:val="000000"/>
                <w:kern w:val="0"/>
              </w:rPr>
              <w:t>9</w:t>
            </w:r>
          </w:p>
        </w:tc>
        <w:tc>
          <w:tcPr>
            <w:tcW w:w="1585" w:type="pct"/>
            <w:tcBorders>
              <w:top w:val="single" w:color="auto" w:sz="4" w:space="0"/>
              <w:left w:val="nil"/>
              <w:bottom w:val="single" w:color="auto" w:sz="4" w:space="0"/>
              <w:right w:val="nil"/>
            </w:tcBorders>
            <w:shd w:val="clear" w:color="auto" w:fill="auto"/>
            <w:vAlign w:val="bottom"/>
          </w:tcPr>
          <w:p w14:paraId="281BB28D">
            <w:pPr>
              <w:widowControl/>
              <w:jc w:val="center"/>
              <w:rPr>
                <w:color w:val="000000"/>
                <w:kern w:val="0"/>
              </w:rPr>
            </w:pPr>
            <w:r>
              <w:rPr>
                <w:rFonts w:eastAsia="等线"/>
                <w:color w:val="000000"/>
              </w:rPr>
              <w:t>2388.57</w:t>
            </w:r>
          </w:p>
        </w:tc>
        <w:tc>
          <w:tcPr>
            <w:tcW w:w="1666" w:type="pct"/>
            <w:shd w:val="clear" w:color="auto" w:fill="auto"/>
            <w:vAlign w:val="center"/>
          </w:tcPr>
          <w:p w14:paraId="499D8AC3">
            <w:pPr>
              <w:widowControl/>
              <w:jc w:val="center"/>
              <w:rPr>
                <w:color w:val="000000"/>
                <w:kern w:val="0"/>
              </w:rPr>
            </w:pPr>
            <w:r>
              <w:rPr>
                <w:color w:val="000000"/>
                <w:kern w:val="0"/>
              </w:rPr>
              <w:t>1943.3387</w:t>
            </w:r>
          </w:p>
        </w:tc>
      </w:tr>
      <w:tr w14:paraId="462F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49DCC6D0">
            <w:pPr>
              <w:widowControl/>
              <w:jc w:val="center"/>
              <w:rPr>
                <w:color w:val="000000"/>
                <w:kern w:val="0"/>
              </w:rPr>
            </w:pPr>
            <w:r>
              <w:rPr>
                <w:color w:val="000000"/>
                <w:kern w:val="0"/>
              </w:rPr>
              <w:t>10</w:t>
            </w:r>
          </w:p>
        </w:tc>
        <w:tc>
          <w:tcPr>
            <w:tcW w:w="1585" w:type="pct"/>
            <w:tcBorders>
              <w:top w:val="single" w:color="auto" w:sz="4" w:space="0"/>
              <w:left w:val="nil"/>
              <w:bottom w:val="single" w:color="auto" w:sz="4" w:space="0"/>
              <w:right w:val="nil"/>
            </w:tcBorders>
            <w:shd w:val="clear" w:color="auto" w:fill="auto"/>
            <w:vAlign w:val="bottom"/>
          </w:tcPr>
          <w:p w14:paraId="35C3FDBE">
            <w:pPr>
              <w:widowControl/>
              <w:jc w:val="center"/>
              <w:rPr>
                <w:color w:val="000000"/>
                <w:kern w:val="0"/>
              </w:rPr>
            </w:pPr>
            <w:r>
              <w:rPr>
                <w:rFonts w:eastAsia="等线"/>
                <w:color w:val="000000"/>
              </w:rPr>
              <w:t>2089.13</w:t>
            </w:r>
          </w:p>
        </w:tc>
        <w:tc>
          <w:tcPr>
            <w:tcW w:w="1666" w:type="pct"/>
            <w:shd w:val="clear" w:color="auto" w:fill="auto"/>
            <w:vAlign w:val="center"/>
          </w:tcPr>
          <w:p w14:paraId="3AEA363E">
            <w:pPr>
              <w:widowControl/>
              <w:jc w:val="center"/>
              <w:rPr>
                <w:color w:val="000000"/>
                <w:kern w:val="0"/>
              </w:rPr>
            </w:pPr>
            <w:r>
              <w:rPr>
                <w:color w:val="000000"/>
                <w:kern w:val="0"/>
              </w:rPr>
              <w:t>1769.3046</w:t>
            </w:r>
          </w:p>
        </w:tc>
      </w:tr>
      <w:tr w14:paraId="036C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231B098">
            <w:pPr>
              <w:widowControl/>
              <w:jc w:val="center"/>
              <w:rPr>
                <w:color w:val="000000"/>
                <w:kern w:val="0"/>
              </w:rPr>
            </w:pPr>
            <w:r>
              <w:rPr>
                <w:color w:val="000000"/>
                <w:kern w:val="0"/>
              </w:rPr>
              <w:t>11</w:t>
            </w:r>
          </w:p>
        </w:tc>
        <w:tc>
          <w:tcPr>
            <w:tcW w:w="1585" w:type="pct"/>
            <w:tcBorders>
              <w:top w:val="single" w:color="auto" w:sz="4" w:space="0"/>
              <w:left w:val="nil"/>
              <w:bottom w:val="single" w:color="auto" w:sz="4" w:space="0"/>
              <w:right w:val="nil"/>
            </w:tcBorders>
            <w:shd w:val="clear" w:color="auto" w:fill="auto"/>
            <w:vAlign w:val="bottom"/>
          </w:tcPr>
          <w:p w14:paraId="37508FB6">
            <w:pPr>
              <w:widowControl/>
              <w:jc w:val="center"/>
              <w:rPr>
                <w:color w:val="000000"/>
                <w:kern w:val="0"/>
              </w:rPr>
            </w:pPr>
            <w:r>
              <w:rPr>
                <w:rFonts w:eastAsia="等线"/>
                <w:color w:val="000000"/>
              </w:rPr>
              <w:t>1769.684</w:t>
            </w:r>
          </w:p>
        </w:tc>
        <w:tc>
          <w:tcPr>
            <w:tcW w:w="1666" w:type="pct"/>
            <w:shd w:val="clear" w:color="auto" w:fill="auto"/>
            <w:vAlign w:val="center"/>
          </w:tcPr>
          <w:p w14:paraId="28A60073">
            <w:pPr>
              <w:widowControl/>
              <w:jc w:val="center"/>
              <w:rPr>
                <w:color w:val="000000"/>
                <w:kern w:val="0"/>
              </w:rPr>
            </w:pPr>
            <w:r>
              <w:rPr>
                <w:color w:val="000000"/>
                <w:kern w:val="0"/>
              </w:rPr>
              <w:t>1560.9751</w:t>
            </w:r>
          </w:p>
        </w:tc>
      </w:tr>
      <w:tr w14:paraId="31E2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413253E">
            <w:pPr>
              <w:widowControl/>
              <w:jc w:val="center"/>
              <w:rPr>
                <w:color w:val="000000"/>
                <w:kern w:val="0"/>
              </w:rPr>
            </w:pPr>
            <w:r>
              <w:rPr>
                <w:color w:val="000000"/>
                <w:kern w:val="0"/>
              </w:rPr>
              <w:t>12</w:t>
            </w:r>
          </w:p>
        </w:tc>
        <w:tc>
          <w:tcPr>
            <w:tcW w:w="1585" w:type="pct"/>
            <w:tcBorders>
              <w:top w:val="single" w:color="auto" w:sz="4" w:space="0"/>
              <w:left w:val="nil"/>
              <w:bottom w:val="single" w:color="auto" w:sz="4" w:space="0"/>
              <w:right w:val="nil"/>
            </w:tcBorders>
            <w:shd w:val="clear" w:color="auto" w:fill="auto"/>
            <w:vAlign w:val="bottom"/>
          </w:tcPr>
          <w:p w14:paraId="4D88A04D">
            <w:pPr>
              <w:widowControl/>
              <w:jc w:val="center"/>
              <w:rPr>
                <w:color w:val="000000"/>
                <w:kern w:val="0"/>
              </w:rPr>
            </w:pPr>
            <w:r>
              <w:rPr>
                <w:rFonts w:eastAsia="等线"/>
                <w:color w:val="000000"/>
              </w:rPr>
              <w:t>1474.543</w:t>
            </w:r>
          </w:p>
        </w:tc>
        <w:tc>
          <w:tcPr>
            <w:tcW w:w="1666" w:type="pct"/>
            <w:shd w:val="clear" w:color="auto" w:fill="auto"/>
            <w:vAlign w:val="center"/>
          </w:tcPr>
          <w:p w14:paraId="0D7A8F94">
            <w:pPr>
              <w:widowControl/>
              <w:jc w:val="center"/>
              <w:rPr>
                <w:color w:val="000000"/>
                <w:kern w:val="0"/>
              </w:rPr>
            </w:pPr>
            <w:r>
              <w:rPr>
                <w:color w:val="000000"/>
                <w:kern w:val="0"/>
              </w:rPr>
              <w:t>1349.9979</w:t>
            </w:r>
          </w:p>
        </w:tc>
      </w:tr>
      <w:tr w14:paraId="1EA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7B58C05">
            <w:pPr>
              <w:widowControl/>
              <w:jc w:val="center"/>
              <w:rPr>
                <w:color w:val="000000"/>
                <w:kern w:val="0"/>
              </w:rPr>
            </w:pPr>
            <w:r>
              <w:rPr>
                <w:color w:val="000000"/>
                <w:kern w:val="0"/>
              </w:rPr>
              <w:t>13</w:t>
            </w:r>
          </w:p>
        </w:tc>
        <w:tc>
          <w:tcPr>
            <w:tcW w:w="1585" w:type="pct"/>
            <w:tcBorders>
              <w:top w:val="single" w:color="auto" w:sz="4" w:space="0"/>
              <w:left w:val="nil"/>
              <w:bottom w:val="single" w:color="auto" w:sz="4" w:space="0"/>
              <w:right w:val="nil"/>
            </w:tcBorders>
            <w:shd w:val="clear" w:color="auto" w:fill="auto"/>
            <w:vAlign w:val="bottom"/>
          </w:tcPr>
          <w:p w14:paraId="3AC97E7F">
            <w:pPr>
              <w:widowControl/>
              <w:jc w:val="center"/>
              <w:rPr>
                <w:color w:val="000000"/>
                <w:kern w:val="0"/>
              </w:rPr>
            </w:pPr>
            <w:r>
              <w:rPr>
                <w:rFonts w:eastAsia="等线"/>
                <w:color w:val="000000"/>
              </w:rPr>
              <w:t>1220.915</w:t>
            </w:r>
          </w:p>
        </w:tc>
        <w:tc>
          <w:tcPr>
            <w:tcW w:w="1666" w:type="pct"/>
            <w:shd w:val="clear" w:color="auto" w:fill="auto"/>
            <w:vAlign w:val="center"/>
          </w:tcPr>
          <w:p w14:paraId="5F06B071">
            <w:pPr>
              <w:widowControl/>
              <w:jc w:val="center"/>
              <w:rPr>
                <w:color w:val="000000"/>
                <w:kern w:val="0"/>
              </w:rPr>
            </w:pPr>
            <w:r>
              <w:rPr>
                <w:color w:val="000000"/>
                <w:kern w:val="0"/>
              </w:rPr>
              <w:t>1154.5797</w:t>
            </w:r>
          </w:p>
        </w:tc>
      </w:tr>
      <w:tr w14:paraId="54F0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EACBFCF">
            <w:pPr>
              <w:widowControl/>
              <w:jc w:val="center"/>
              <w:rPr>
                <w:color w:val="000000"/>
                <w:kern w:val="0"/>
              </w:rPr>
            </w:pPr>
            <w:r>
              <w:rPr>
                <w:color w:val="000000"/>
                <w:kern w:val="0"/>
              </w:rPr>
              <w:t>14</w:t>
            </w:r>
          </w:p>
        </w:tc>
        <w:tc>
          <w:tcPr>
            <w:tcW w:w="1585" w:type="pct"/>
            <w:tcBorders>
              <w:top w:val="single" w:color="auto" w:sz="4" w:space="0"/>
              <w:left w:val="nil"/>
              <w:bottom w:val="single" w:color="auto" w:sz="4" w:space="0"/>
              <w:right w:val="nil"/>
            </w:tcBorders>
            <w:shd w:val="clear" w:color="auto" w:fill="auto"/>
            <w:vAlign w:val="bottom"/>
          </w:tcPr>
          <w:p w14:paraId="04473A66">
            <w:pPr>
              <w:widowControl/>
              <w:jc w:val="center"/>
              <w:rPr>
                <w:color w:val="000000"/>
                <w:kern w:val="0"/>
              </w:rPr>
            </w:pPr>
            <w:r>
              <w:rPr>
                <w:rFonts w:eastAsia="等线"/>
                <w:color w:val="000000"/>
              </w:rPr>
              <w:t>1010.848</w:t>
            </w:r>
          </w:p>
        </w:tc>
        <w:tc>
          <w:tcPr>
            <w:tcW w:w="1666" w:type="pct"/>
            <w:shd w:val="clear" w:color="auto" w:fill="auto"/>
            <w:vAlign w:val="center"/>
          </w:tcPr>
          <w:p w14:paraId="3B98187F">
            <w:pPr>
              <w:widowControl/>
              <w:jc w:val="center"/>
              <w:rPr>
                <w:color w:val="000000"/>
                <w:kern w:val="0"/>
              </w:rPr>
            </w:pPr>
            <w:r>
              <w:rPr>
                <w:color w:val="000000"/>
                <w:kern w:val="0"/>
              </w:rPr>
              <w:t>982.5196</w:t>
            </w:r>
          </w:p>
        </w:tc>
      </w:tr>
      <w:tr w14:paraId="395E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CFF611D">
            <w:pPr>
              <w:widowControl/>
              <w:jc w:val="center"/>
              <w:rPr>
                <w:color w:val="000000"/>
                <w:kern w:val="0"/>
              </w:rPr>
            </w:pPr>
            <w:r>
              <w:rPr>
                <w:color w:val="000000"/>
                <w:kern w:val="0"/>
              </w:rPr>
              <w:t>15</w:t>
            </w:r>
          </w:p>
        </w:tc>
        <w:tc>
          <w:tcPr>
            <w:tcW w:w="1585" w:type="pct"/>
            <w:tcBorders>
              <w:top w:val="single" w:color="auto" w:sz="4" w:space="0"/>
              <w:left w:val="nil"/>
              <w:bottom w:val="single" w:color="auto" w:sz="4" w:space="0"/>
              <w:right w:val="nil"/>
            </w:tcBorders>
            <w:shd w:val="clear" w:color="auto" w:fill="auto"/>
            <w:vAlign w:val="bottom"/>
          </w:tcPr>
          <w:p w14:paraId="5C3D6F39">
            <w:pPr>
              <w:widowControl/>
              <w:jc w:val="center"/>
              <w:rPr>
                <w:color w:val="000000"/>
                <w:kern w:val="0"/>
              </w:rPr>
            </w:pPr>
            <w:r>
              <w:rPr>
                <w:rFonts w:eastAsia="等线"/>
                <w:color w:val="000000"/>
              </w:rPr>
              <w:t>839.8953</w:t>
            </w:r>
          </w:p>
        </w:tc>
        <w:tc>
          <w:tcPr>
            <w:tcW w:w="1666" w:type="pct"/>
            <w:shd w:val="clear" w:color="auto" w:fill="auto"/>
            <w:vAlign w:val="center"/>
          </w:tcPr>
          <w:p w14:paraId="3BE0C7CE">
            <w:pPr>
              <w:widowControl/>
              <w:jc w:val="center"/>
              <w:rPr>
                <w:color w:val="000000"/>
                <w:kern w:val="0"/>
              </w:rPr>
            </w:pPr>
            <w:r>
              <w:rPr>
                <w:color w:val="000000"/>
                <w:kern w:val="0"/>
              </w:rPr>
              <w:t>835.3429</w:t>
            </w:r>
          </w:p>
        </w:tc>
      </w:tr>
      <w:tr w14:paraId="7F07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7EAC811">
            <w:pPr>
              <w:widowControl/>
              <w:jc w:val="center"/>
              <w:rPr>
                <w:color w:val="000000"/>
                <w:kern w:val="0"/>
              </w:rPr>
            </w:pPr>
            <w:r>
              <w:rPr>
                <w:color w:val="000000"/>
                <w:kern w:val="0"/>
              </w:rPr>
              <w:t>16</w:t>
            </w:r>
          </w:p>
        </w:tc>
        <w:tc>
          <w:tcPr>
            <w:tcW w:w="1585" w:type="pct"/>
            <w:tcBorders>
              <w:top w:val="single" w:color="auto" w:sz="4" w:space="0"/>
              <w:left w:val="nil"/>
              <w:bottom w:val="single" w:color="auto" w:sz="4" w:space="0"/>
              <w:right w:val="nil"/>
            </w:tcBorders>
            <w:shd w:val="clear" w:color="auto" w:fill="auto"/>
            <w:vAlign w:val="bottom"/>
          </w:tcPr>
          <w:p w14:paraId="350A2D56">
            <w:pPr>
              <w:widowControl/>
              <w:jc w:val="center"/>
              <w:rPr>
                <w:color w:val="000000"/>
                <w:kern w:val="0"/>
              </w:rPr>
            </w:pPr>
            <w:r>
              <w:rPr>
                <w:rFonts w:eastAsia="等线"/>
                <w:color w:val="000000"/>
              </w:rPr>
              <w:t>701.7113</w:t>
            </w:r>
          </w:p>
        </w:tc>
        <w:tc>
          <w:tcPr>
            <w:tcW w:w="1666" w:type="pct"/>
            <w:shd w:val="clear" w:color="auto" w:fill="auto"/>
            <w:vAlign w:val="center"/>
          </w:tcPr>
          <w:p w14:paraId="627A0B11">
            <w:pPr>
              <w:widowControl/>
              <w:jc w:val="center"/>
              <w:rPr>
                <w:color w:val="000000"/>
                <w:kern w:val="0"/>
              </w:rPr>
            </w:pPr>
            <w:r>
              <w:rPr>
                <w:color w:val="000000"/>
                <w:kern w:val="0"/>
              </w:rPr>
              <w:t>711.4334</w:t>
            </w:r>
          </w:p>
        </w:tc>
      </w:tr>
      <w:tr w14:paraId="51B4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5A39966F">
            <w:pPr>
              <w:widowControl/>
              <w:jc w:val="center"/>
              <w:rPr>
                <w:color w:val="000000"/>
                <w:kern w:val="0"/>
              </w:rPr>
            </w:pPr>
            <w:r>
              <w:rPr>
                <w:color w:val="000000"/>
                <w:kern w:val="0"/>
              </w:rPr>
              <w:t>17</w:t>
            </w:r>
          </w:p>
        </w:tc>
        <w:tc>
          <w:tcPr>
            <w:tcW w:w="1585" w:type="pct"/>
            <w:tcBorders>
              <w:top w:val="single" w:color="auto" w:sz="4" w:space="0"/>
              <w:left w:val="nil"/>
              <w:bottom w:val="single" w:color="auto" w:sz="4" w:space="0"/>
              <w:right w:val="nil"/>
            </w:tcBorders>
            <w:shd w:val="clear" w:color="auto" w:fill="auto"/>
            <w:vAlign w:val="bottom"/>
          </w:tcPr>
          <w:p w14:paraId="6E4D045A">
            <w:pPr>
              <w:widowControl/>
              <w:jc w:val="center"/>
              <w:rPr>
                <w:color w:val="000000"/>
                <w:kern w:val="0"/>
              </w:rPr>
            </w:pPr>
            <w:r>
              <w:rPr>
                <w:rFonts w:eastAsia="等线"/>
                <w:color w:val="000000"/>
              </w:rPr>
              <w:t>590.0765</w:t>
            </w:r>
          </w:p>
        </w:tc>
        <w:tc>
          <w:tcPr>
            <w:tcW w:w="1666" w:type="pct"/>
            <w:shd w:val="clear" w:color="auto" w:fill="auto"/>
            <w:vAlign w:val="center"/>
          </w:tcPr>
          <w:p w14:paraId="1BACDD58">
            <w:pPr>
              <w:widowControl/>
              <w:jc w:val="center"/>
              <w:rPr>
                <w:color w:val="000000"/>
                <w:kern w:val="0"/>
              </w:rPr>
            </w:pPr>
            <w:r>
              <w:rPr>
                <w:color w:val="000000"/>
                <w:kern w:val="0"/>
              </w:rPr>
              <w:t>607.9259</w:t>
            </w:r>
          </w:p>
        </w:tc>
      </w:tr>
      <w:tr w14:paraId="5CB3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A4D49BE">
            <w:pPr>
              <w:widowControl/>
              <w:jc w:val="center"/>
              <w:rPr>
                <w:color w:val="000000"/>
                <w:kern w:val="0"/>
              </w:rPr>
            </w:pPr>
            <w:r>
              <w:rPr>
                <w:color w:val="000000"/>
                <w:kern w:val="0"/>
              </w:rPr>
              <w:t>18</w:t>
            </w:r>
          </w:p>
        </w:tc>
        <w:tc>
          <w:tcPr>
            <w:tcW w:w="1585" w:type="pct"/>
            <w:tcBorders>
              <w:top w:val="single" w:color="auto" w:sz="4" w:space="0"/>
              <w:left w:val="nil"/>
              <w:bottom w:val="single" w:color="auto" w:sz="4" w:space="0"/>
              <w:right w:val="nil"/>
            </w:tcBorders>
            <w:shd w:val="clear" w:color="auto" w:fill="auto"/>
            <w:vAlign w:val="bottom"/>
          </w:tcPr>
          <w:p w14:paraId="5212AEF3">
            <w:pPr>
              <w:widowControl/>
              <w:jc w:val="center"/>
              <w:rPr>
                <w:color w:val="000000"/>
                <w:kern w:val="0"/>
              </w:rPr>
            </w:pPr>
            <w:r>
              <w:rPr>
                <w:rFonts w:eastAsia="等线"/>
                <w:color w:val="000000"/>
              </w:rPr>
              <w:t>499.618</w:t>
            </w:r>
          </w:p>
        </w:tc>
        <w:tc>
          <w:tcPr>
            <w:tcW w:w="1666" w:type="pct"/>
            <w:shd w:val="clear" w:color="auto" w:fill="auto"/>
            <w:vAlign w:val="center"/>
          </w:tcPr>
          <w:p w14:paraId="31CE9192">
            <w:pPr>
              <w:widowControl/>
              <w:jc w:val="center"/>
              <w:rPr>
                <w:color w:val="000000"/>
                <w:kern w:val="0"/>
              </w:rPr>
            </w:pPr>
            <w:r>
              <w:rPr>
                <w:color w:val="000000"/>
                <w:kern w:val="0"/>
              </w:rPr>
              <w:t>521.7018</w:t>
            </w:r>
          </w:p>
        </w:tc>
      </w:tr>
      <w:tr w14:paraId="3E9C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7940C34">
            <w:pPr>
              <w:widowControl/>
              <w:jc w:val="center"/>
              <w:rPr>
                <w:color w:val="000000"/>
                <w:kern w:val="0"/>
              </w:rPr>
            </w:pPr>
            <w:r>
              <w:rPr>
                <w:color w:val="000000"/>
                <w:kern w:val="0"/>
              </w:rPr>
              <w:t>19</w:t>
            </w:r>
          </w:p>
        </w:tc>
        <w:tc>
          <w:tcPr>
            <w:tcW w:w="1585" w:type="pct"/>
            <w:tcBorders>
              <w:top w:val="single" w:color="auto" w:sz="4" w:space="0"/>
              <w:left w:val="nil"/>
              <w:bottom w:val="single" w:color="auto" w:sz="4" w:space="0"/>
              <w:right w:val="nil"/>
            </w:tcBorders>
            <w:shd w:val="clear" w:color="auto" w:fill="auto"/>
            <w:vAlign w:val="bottom"/>
          </w:tcPr>
          <w:p w14:paraId="35A51DA7">
            <w:pPr>
              <w:widowControl/>
              <w:jc w:val="center"/>
              <w:rPr>
                <w:color w:val="000000"/>
                <w:kern w:val="0"/>
              </w:rPr>
            </w:pPr>
            <w:r>
              <w:rPr>
                <w:rFonts w:eastAsia="等线"/>
                <w:color w:val="000000"/>
              </w:rPr>
              <w:t>425.9501</w:t>
            </w:r>
          </w:p>
        </w:tc>
        <w:tc>
          <w:tcPr>
            <w:tcW w:w="1666" w:type="pct"/>
            <w:shd w:val="clear" w:color="auto" w:fill="auto"/>
            <w:vAlign w:val="center"/>
          </w:tcPr>
          <w:p w14:paraId="1A6F65B0">
            <w:pPr>
              <w:widowControl/>
              <w:jc w:val="center"/>
              <w:rPr>
                <w:color w:val="000000"/>
                <w:kern w:val="0"/>
              </w:rPr>
            </w:pPr>
            <w:r>
              <w:rPr>
                <w:color w:val="000000"/>
                <w:kern w:val="0"/>
              </w:rPr>
              <w:t>449.8478</w:t>
            </w:r>
          </w:p>
        </w:tc>
      </w:tr>
      <w:tr w14:paraId="73F8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22A4586">
            <w:pPr>
              <w:widowControl/>
              <w:jc w:val="center"/>
              <w:rPr>
                <w:color w:val="000000"/>
                <w:kern w:val="0"/>
              </w:rPr>
            </w:pPr>
            <w:r>
              <w:rPr>
                <w:color w:val="000000"/>
                <w:kern w:val="0"/>
              </w:rPr>
              <w:t>20</w:t>
            </w:r>
          </w:p>
        </w:tc>
        <w:tc>
          <w:tcPr>
            <w:tcW w:w="1585" w:type="pct"/>
            <w:tcBorders>
              <w:top w:val="single" w:color="auto" w:sz="4" w:space="0"/>
              <w:left w:val="nil"/>
              <w:bottom w:val="single" w:color="auto" w:sz="4" w:space="0"/>
              <w:right w:val="nil"/>
            </w:tcBorders>
            <w:shd w:val="clear" w:color="auto" w:fill="auto"/>
            <w:vAlign w:val="bottom"/>
          </w:tcPr>
          <w:p w14:paraId="4AB9E0CC">
            <w:pPr>
              <w:widowControl/>
              <w:jc w:val="center"/>
              <w:rPr>
                <w:color w:val="000000"/>
                <w:kern w:val="0"/>
              </w:rPr>
            </w:pPr>
            <w:r>
              <w:rPr>
                <w:rFonts w:eastAsia="等线"/>
                <w:color w:val="000000"/>
              </w:rPr>
              <w:t>365.5898</w:t>
            </w:r>
          </w:p>
        </w:tc>
        <w:tc>
          <w:tcPr>
            <w:tcW w:w="1666" w:type="pct"/>
            <w:shd w:val="clear" w:color="auto" w:fill="auto"/>
            <w:vAlign w:val="center"/>
          </w:tcPr>
          <w:p w14:paraId="57F1D803">
            <w:pPr>
              <w:widowControl/>
              <w:jc w:val="center"/>
              <w:rPr>
                <w:color w:val="000000"/>
                <w:kern w:val="0"/>
              </w:rPr>
            </w:pPr>
            <w:r>
              <w:rPr>
                <w:color w:val="000000"/>
                <w:kern w:val="0"/>
              </w:rPr>
              <w:t>389.8272</w:t>
            </w:r>
          </w:p>
        </w:tc>
      </w:tr>
      <w:tr w14:paraId="1103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9D5AE11">
            <w:pPr>
              <w:widowControl/>
              <w:jc w:val="center"/>
              <w:rPr>
                <w:color w:val="000000"/>
                <w:kern w:val="0"/>
              </w:rPr>
            </w:pPr>
            <w:r>
              <w:rPr>
                <w:color w:val="000000"/>
                <w:kern w:val="0"/>
              </w:rPr>
              <w:t>21</w:t>
            </w:r>
          </w:p>
        </w:tc>
        <w:tc>
          <w:tcPr>
            <w:tcW w:w="1585" w:type="pct"/>
            <w:tcBorders>
              <w:top w:val="single" w:color="auto" w:sz="4" w:space="0"/>
              <w:left w:val="nil"/>
              <w:bottom w:val="single" w:color="auto" w:sz="4" w:space="0"/>
              <w:right w:val="nil"/>
            </w:tcBorders>
            <w:shd w:val="clear" w:color="auto" w:fill="auto"/>
            <w:vAlign w:val="bottom"/>
          </w:tcPr>
          <w:p w14:paraId="05838025">
            <w:pPr>
              <w:widowControl/>
              <w:jc w:val="center"/>
              <w:rPr>
                <w:color w:val="000000"/>
                <w:kern w:val="0"/>
              </w:rPr>
            </w:pPr>
            <w:r>
              <w:rPr>
                <w:rFonts w:eastAsia="等线"/>
                <w:color w:val="000000"/>
              </w:rPr>
              <w:t>315.8065</w:t>
            </w:r>
          </w:p>
        </w:tc>
        <w:tc>
          <w:tcPr>
            <w:tcW w:w="1666" w:type="pct"/>
            <w:shd w:val="clear" w:color="auto" w:fill="auto"/>
            <w:vAlign w:val="center"/>
          </w:tcPr>
          <w:p w14:paraId="20D7C73D">
            <w:pPr>
              <w:widowControl/>
              <w:jc w:val="center"/>
              <w:rPr>
                <w:color w:val="000000"/>
                <w:kern w:val="0"/>
              </w:rPr>
            </w:pPr>
            <w:r>
              <w:rPr>
                <w:color w:val="000000"/>
                <w:kern w:val="0"/>
              </w:rPr>
              <w:t>339.5112</w:t>
            </w:r>
          </w:p>
        </w:tc>
      </w:tr>
      <w:tr w14:paraId="085D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4009DC40">
            <w:pPr>
              <w:widowControl/>
              <w:jc w:val="center"/>
              <w:rPr>
                <w:color w:val="000000"/>
                <w:kern w:val="0"/>
              </w:rPr>
            </w:pPr>
            <w:r>
              <w:rPr>
                <w:color w:val="000000"/>
                <w:kern w:val="0"/>
              </w:rPr>
              <w:t>22</w:t>
            </w:r>
          </w:p>
        </w:tc>
        <w:tc>
          <w:tcPr>
            <w:tcW w:w="1585" w:type="pct"/>
            <w:tcBorders>
              <w:top w:val="single" w:color="auto" w:sz="4" w:space="0"/>
              <w:left w:val="nil"/>
              <w:bottom w:val="single" w:color="auto" w:sz="4" w:space="0"/>
              <w:right w:val="nil"/>
            </w:tcBorders>
            <w:shd w:val="clear" w:color="auto" w:fill="auto"/>
            <w:vAlign w:val="bottom"/>
          </w:tcPr>
          <w:p w14:paraId="555354B2">
            <w:pPr>
              <w:widowControl/>
              <w:jc w:val="center"/>
              <w:rPr>
                <w:color w:val="000000"/>
                <w:kern w:val="0"/>
              </w:rPr>
            </w:pPr>
            <w:r>
              <w:rPr>
                <w:rFonts w:eastAsia="等线"/>
                <w:color w:val="000000"/>
              </w:rPr>
              <w:t>274.469</w:t>
            </w:r>
          </w:p>
        </w:tc>
        <w:tc>
          <w:tcPr>
            <w:tcW w:w="1666" w:type="pct"/>
            <w:shd w:val="clear" w:color="auto" w:fill="auto"/>
            <w:vAlign w:val="center"/>
          </w:tcPr>
          <w:p w14:paraId="78E51B82">
            <w:pPr>
              <w:widowControl/>
              <w:jc w:val="center"/>
              <w:rPr>
                <w:color w:val="000000"/>
                <w:kern w:val="0"/>
              </w:rPr>
            </w:pPr>
            <w:r>
              <w:rPr>
                <w:color w:val="000000"/>
                <w:kern w:val="0"/>
              </w:rPr>
              <w:t>297.1492</w:t>
            </w:r>
          </w:p>
        </w:tc>
      </w:tr>
      <w:tr w14:paraId="17C5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E19EE69">
            <w:pPr>
              <w:widowControl/>
              <w:jc w:val="center"/>
              <w:rPr>
                <w:color w:val="000000"/>
                <w:kern w:val="0"/>
              </w:rPr>
            </w:pPr>
            <w:r>
              <w:rPr>
                <w:color w:val="000000"/>
                <w:kern w:val="0"/>
              </w:rPr>
              <w:t>23</w:t>
            </w:r>
          </w:p>
        </w:tc>
        <w:tc>
          <w:tcPr>
            <w:tcW w:w="1585" w:type="pct"/>
            <w:tcBorders>
              <w:top w:val="single" w:color="auto" w:sz="4" w:space="0"/>
              <w:left w:val="nil"/>
              <w:bottom w:val="single" w:color="auto" w:sz="4" w:space="0"/>
              <w:right w:val="nil"/>
            </w:tcBorders>
            <w:shd w:val="clear" w:color="auto" w:fill="auto"/>
            <w:vAlign w:val="bottom"/>
          </w:tcPr>
          <w:p w14:paraId="43DC3605">
            <w:pPr>
              <w:widowControl/>
              <w:jc w:val="center"/>
              <w:rPr>
                <w:color w:val="000000"/>
                <w:kern w:val="0"/>
              </w:rPr>
            </w:pPr>
            <w:r>
              <w:rPr>
                <w:rFonts w:eastAsia="等线"/>
                <w:color w:val="000000"/>
              </w:rPr>
              <w:t>239.9142</w:t>
            </w:r>
          </w:p>
        </w:tc>
        <w:tc>
          <w:tcPr>
            <w:tcW w:w="1666" w:type="pct"/>
            <w:shd w:val="clear" w:color="auto" w:fill="auto"/>
            <w:vAlign w:val="center"/>
          </w:tcPr>
          <w:p w14:paraId="72112BAA">
            <w:pPr>
              <w:widowControl/>
              <w:jc w:val="center"/>
              <w:rPr>
                <w:color w:val="000000"/>
                <w:kern w:val="0"/>
              </w:rPr>
            </w:pPr>
            <w:r>
              <w:rPr>
                <w:color w:val="000000"/>
                <w:kern w:val="0"/>
              </w:rPr>
              <w:t>261.3162</w:t>
            </w:r>
          </w:p>
        </w:tc>
      </w:tr>
      <w:tr w14:paraId="5F10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DC6196C">
            <w:pPr>
              <w:widowControl/>
              <w:jc w:val="center"/>
              <w:rPr>
                <w:color w:val="000000"/>
                <w:kern w:val="0"/>
              </w:rPr>
            </w:pPr>
            <w:r>
              <w:rPr>
                <w:color w:val="000000"/>
                <w:kern w:val="0"/>
              </w:rPr>
              <w:t>24</w:t>
            </w:r>
          </w:p>
        </w:tc>
        <w:tc>
          <w:tcPr>
            <w:tcW w:w="1585" w:type="pct"/>
            <w:tcBorders>
              <w:top w:val="single" w:color="auto" w:sz="4" w:space="0"/>
              <w:left w:val="nil"/>
              <w:bottom w:val="single" w:color="auto" w:sz="4" w:space="0"/>
              <w:right w:val="nil"/>
            </w:tcBorders>
            <w:shd w:val="clear" w:color="auto" w:fill="auto"/>
            <w:vAlign w:val="bottom"/>
          </w:tcPr>
          <w:p w14:paraId="33CA312E">
            <w:pPr>
              <w:widowControl/>
              <w:jc w:val="center"/>
              <w:rPr>
                <w:color w:val="000000"/>
                <w:kern w:val="0"/>
              </w:rPr>
            </w:pPr>
            <w:r>
              <w:rPr>
                <w:rFonts w:eastAsia="等线"/>
                <w:color w:val="000000"/>
              </w:rPr>
              <w:t>210.8409</w:t>
            </w:r>
          </w:p>
        </w:tc>
        <w:tc>
          <w:tcPr>
            <w:tcW w:w="1666" w:type="pct"/>
            <w:shd w:val="clear" w:color="auto" w:fill="auto"/>
            <w:vAlign w:val="center"/>
          </w:tcPr>
          <w:p w14:paraId="6ECD8FBE">
            <w:pPr>
              <w:widowControl/>
              <w:jc w:val="center"/>
              <w:rPr>
                <w:color w:val="000000"/>
                <w:kern w:val="0"/>
              </w:rPr>
            </w:pPr>
            <w:r>
              <w:rPr>
                <w:color w:val="000000"/>
                <w:kern w:val="0"/>
              </w:rPr>
              <w:t>230.8585</w:t>
            </w:r>
          </w:p>
        </w:tc>
      </w:tr>
      <w:tr w14:paraId="67EE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3D8619C">
            <w:pPr>
              <w:widowControl/>
              <w:jc w:val="center"/>
              <w:rPr>
                <w:color w:val="000000"/>
                <w:kern w:val="0"/>
              </w:rPr>
            </w:pPr>
            <w:r>
              <w:rPr>
                <w:color w:val="000000"/>
                <w:kern w:val="0"/>
              </w:rPr>
              <w:t>25</w:t>
            </w:r>
          </w:p>
        </w:tc>
        <w:tc>
          <w:tcPr>
            <w:tcW w:w="1585" w:type="pct"/>
            <w:tcBorders>
              <w:top w:val="single" w:color="auto" w:sz="4" w:space="0"/>
              <w:left w:val="nil"/>
              <w:bottom w:val="single" w:color="auto" w:sz="4" w:space="0"/>
              <w:right w:val="nil"/>
            </w:tcBorders>
            <w:shd w:val="clear" w:color="auto" w:fill="auto"/>
            <w:vAlign w:val="bottom"/>
          </w:tcPr>
          <w:p w14:paraId="6F256873">
            <w:pPr>
              <w:widowControl/>
              <w:jc w:val="center"/>
              <w:rPr>
                <w:color w:val="000000"/>
                <w:kern w:val="0"/>
              </w:rPr>
            </w:pPr>
            <w:r>
              <w:rPr>
                <w:rFonts w:eastAsia="等线"/>
                <w:color w:val="000000"/>
              </w:rPr>
              <w:t>186.2261</w:t>
            </w:r>
          </w:p>
        </w:tc>
        <w:tc>
          <w:tcPr>
            <w:tcW w:w="1666" w:type="pct"/>
            <w:shd w:val="clear" w:color="auto" w:fill="auto"/>
            <w:vAlign w:val="center"/>
          </w:tcPr>
          <w:p w14:paraId="0924E843">
            <w:pPr>
              <w:widowControl/>
              <w:jc w:val="center"/>
              <w:rPr>
                <w:color w:val="000000"/>
                <w:kern w:val="0"/>
              </w:rPr>
            </w:pPr>
            <w:r>
              <w:rPr>
                <w:color w:val="000000"/>
                <w:kern w:val="0"/>
              </w:rPr>
              <w:t>204.8428</w:t>
            </w:r>
          </w:p>
        </w:tc>
      </w:tr>
      <w:tr w14:paraId="55FB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5557D046">
            <w:pPr>
              <w:widowControl/>
              <w:jc w:val="center"/>
              <w:rPr>
                <w:color w:val="000000"/>
                <w:kern w:val="0"/>
              </w:rPr>
            </w:pPr>
            <w:r>
              <w:rPr>
                <w:color w:val="000000"/>
                <w:kern w:val="0"/>
              </w:rPr>
              <w:t>26</w:t>
            </w:r>
          </w:p>
        </w:tc>
        <w:tc>
          <w:tcPr>
            <w:tcW w:w="1585" w:type="pct"/>
            <w:tcBorders>
              <w:top w:val="single" w:color="auto" w:sz="4" w:space="0"/>
              <w:left w:val="nil"/>
              <w:bottom w:val="single" w:color="auto" w:sz="4" w:space="0"/>
              <w:right w:val="nil"/>
            </w:tcBorders>
            <w:shd w:val="clear" w:color="auto" w:fill="auto"/>
            <w:vAlign w:val="bottom"/>
          </w:tcPr>
          <w:p w14:paraId="24DDE65F">
            <w:pPr>
              <w:widowControl/>
              <w:jc w:val="center"/>
              <w:rPr>
                <w:color w:val="000000"/>
                <w:kern w:val="0"/>
              </w:rPr>
            </w:pPr>
            <w:r>
              <w:rPr>
                <w:rFonts w:eastAsia="等线"/>
                <w:color w:val="000000"/>
              </w:rPr>
              <w:t>165.2614</w:t>
            </w:r>
          </w:p>
        </w:tc>
        <w:tc>
          <w:tcPr>
            <w:tcW w:w="1666" w:type="pct"/>
            <w:shd w:val="clear" w:color="auto" w:fill="auto"/>
            <w:vAlign w:val="center"/>
          </w:tcPr>
          <w:p w14:paraId="6FDB954A">
            <w:pPr>
              <w:widowControl/>
              <w:jc w:val="center"/>
              <w:rPr>
                <w:color w:val="000000"/>
                <w:kern w:val="0"/>
              </w:rPr>
            </w:pPr>
            <w:r>
              <w:rPr>
                <w:color w:val="000000"/>
                <w:kern w:val="0"/>
              </w:rPr>
              <w:t>182.5139</w:t>
            </w:r>
          </w:p>
        </w:tc>
      </w:tr>
      <w:tr w14:paraId="7292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1D7BE598">
            <w:pPr>
              <w:widowControl/>
              <w:jc w:val="center"/>
              <w:rPr>
                <w:color w:val="000000"/>
                <w:kern w:val="0"/>
              </w:rPr>
            </w:pPr>
            <w:r>
              <w:rPr>
                <w:color w:val="000000"/>
                <w:kern w:val="0"/>
              </w:rPr>
              <w:t>27</w:t>
            </w:r>
          </w:p>
        </w:tc>
        <w:tc>
          <w:tcPr>
            <w:tcW w:w="1585" w:type="pct"/>
            <w:tcBorders>
              <w:top w:val="single" w:color="auto" w:sz="4" w:space="0"/>
              <w:left w:val="nil"/>
              <w:bottom w:val="single" w:color="auto" w:sz="4" w:space="0"/>
              <w:right w:val="nil"/>
            </w:tcBorders>
            <w:shd w:val="clear" w:color="auto" w:fill="auto"/>
            <w:vAlign w:val="bottom"/>
          </w:tcPr>
          <w:p w14:paraId="3523A879">
            <w:pPr>
              <w:widowControl/>
              <w:jc w:val="center"/>
              <w:rPr>
                <w:color w:val="000000"/>
                <w:kern w:val="0"/>
              </w:rPr>
            </w:pPr>
            <w:r>
              <w:rPr>
                <w:rFonts w:eastAsia="等线"/>
                <w:color w:val="000000"/>
              </w:rPr>
              <w:t>147.3041</w:t>
            </w:r>
          </w:p>
        </w:tc>
        <w:tc>
          <w:tcPr>
            <w:tcW w:w="1666" w:type="pct"/>
            <w:shd w:val="clear" w:color="auto" w:fill="auto"/>
            <w:vAlign w:val="center"/>
          </w:tcPr>
          <w:p w14:paraId="340302E6">
            <w:pPr>
              <w:widowControl/>
              <w:jc w:val="center"/>
              <w:rPr>
                <w:color w:val="000000"/>
                <w:kern w:val="0"/>
              </w:rPr>
            </w:pPr>
            <w:r>
              <w:rPr>
                <w:color w:val="000000"/>
                <w:kern w:val="0"/>
              </w:rPr>
              <w:t>163.2587</w:t>
            </w:r>
          </w:p>
        </w:tc>
      </w:tr>
      <w:tr w14:paraId="2513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BE72D5C">
            <w:pPr>
              <w:widowControl/>
              <w:jc w:val="center"/>
              <w:rPr>
                <w:color w:val="000000"/>
                <w:kern w:val="0"/>
              </w:rPr>
            </w:pPr>
            <w:r>
              <w:rPr>
                <w:color w:val="000000"/>
                <w:kern w:val="0"/>
              </w:rPr>
              <w:t>28</w:t>
            </w:r>
          </w:p>
        </w:tc>
        <w:tc>
          <w:tcPr>
            <w:tcW w:w="1585" w:type="pct"/>
            <w:tcBorders>
              <w:top w:val="single" w:color="auto" w:sz="4" w:space="0"/>
              <w:left w:val="nil"/>
              <w:bottom w:val="single" w:color="auto" w:sz="4" w:space="0"/>
              <w:right w:val="nil"/>
            </w:tcBorders>
            <w:shd w:val="clear" w:color="auto" w:fill="auto"/>
            <w:vAlign w:val="bottom"/>
          </w:tcPr>
          <w:p w14:paraId="3EC3EC3A">
            <w:pPr>
              <w:widowControl/>
              <w:jc w:val="center"/>
              <w:rPr>
                <w:color w:val="000000"/>
                <w:kern w:val="0"/>
              </w:rPr>
            </w:pPr>
            <w:r>
              <w:rPr>
                <w:rFonts w:eastAsia="等线"/>
                <w:color w:val="000000"/>
              </w:rPr>
              <w:t>131.84</w:t>
            </w:r>
          </w:p>
        </w:tc>
        <w:tc>
          <w:tcPr>
            <w:tcW w:w="1666" w:type="pct"/>
            <w:shd w:val="clear" w:color="auto" w:fill="auto"/>
            <w:vAlign w:val="center"/>
          </w:tcPr>
          <w:p w14:paraId="7D4A43AF">
            <w:pPr>
              <w:widowControl/>
              <w:jc w:val="center"/>
              <w:rPr>
                <w:color w:val="000000"/>
                <w:kern w:val="0"/>
              </w:rPr>
            </w:pPr>
            <w:r>
              <w:rPr>
                <w:color w:val="000000"/>
                <w:kern w:val="0"/>
              </w:rPr>
              <w:t>146.5784</w:t>
            </w:r>
          </w:p>
        </w:tc>
      </w:tr>
      <w:tr w14:paraId="1CB5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A837597">
            <w:pPr>
              <w:widowControl/>
              <w:jc w:val="center"/>
              <w:rPr>
                <w:color w:val="000000"/>
                <w:kern w:val="0"/>
              </w:rPr>
            </w:pPr>
            <w:r>
              <w:rPr>
                <w:color w:val="000000"/>
                <w:kern w:val="0"/>
              </w:rPr>
              <w:t>29</w:t>
            </w:r>
          </w:p>
        </w:tc>
        <w:tc>
          <w:tcPr>
            <w:tcW w:w="1585" w:type="pct"/>
            <w:tcBorders>
              <w:top w:val="single" w:color="auto" w:sz="4" w:space="0"/>
              <w:left w:val="nil"/>
              <w:bottom w:val="single" w:color="auto" w:sz="4" w:space="0"/>
              <w:right w:val="nil"/>
            </w:tcBorders>
            <w:shd w:val="clear" w:color="auto" w:fill="auto"/>
            <w:vAlign w:val="bottom"/>
          </w:tcPr>
          <w:p w14:paraId="20430D4E">
            <w:pPr>
              <w:widowControl/>
              <w:jc w:val="center"/>
              <w:rPr>
                <w:color w:val="000000"/>
                <w:kern w:val="0"/>
              </w:rPr>
            </w:pPr>
            <w:r>
              <w:rPr>
                <w:rFonts w:eastAsia="等线"/>
                <w:color w:val="000000"/>
              </w:rPr>
              <w:t>118.4554</w:t>
            </w:r>
          </w:p>
        </w:tc>
        <w:tc>
          <w:tcPr>
            <w:tcW w:w="1666" w:type="pct"/>
            <w:shd w:val="clear" w:color="auto" w:fill="auto"/>
            <w:vAlign w:val="center"/>
          </w:tcPr>
          <w:p w14:paraId="47622F18">
            <w:pPr>
              <w:widowControl/>
              <w:jc w:val="center"/>
              <w:rPr>
                <w:color w:val="000000"/>
                <w:kern w:val="0"/>
              </w:rPr>
            </w:pPr>
            <w:r>
              <w:rPr>
                <w:color w:val="000000"/>
                <w:kern w:val="0"/>
              </w:rPr>
              <w:t>132.0651</w:t>
            </w:r>
          </w:p>
        </w:tc>
      </w:tr>
      <w:tr w14:paraId="6731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B6FA981">
            <w:pPr>
              <w:widowControl/>
              <w:jc w:val="center"/>
              <w:rPr>
                <w:color w:val="000000"/>
                <w:kern w:val="0"/>
              </w:rPr>
            </w:pPr>
            <w:r>
              <w:rPr>
                <w:color w:val="000000"/>
                <w:kern w:val="0"/>
              </w:rPr>
              <w:t>30</w:t>
            </w:r>
          </w:p>
        </w:tc>
        <w:tc>
          <w:tcPr>
            <w:tcW w:w="1585" w:type="pct"/>
            <w:tcBorders>
              <w:top w:val="single" w:color="auto" w:sz="4" w:space="0"/>
              <w:left w:val="nil"/>
              <w:bottom w:val="single" w:color="auto" w:sz="4" w:space="0"/>
              <w:right w:val="nil"/>
            </w:tcBorders>
            <w:shd w:val="clear" w:color="auto" w:fill="auto"/>
            <w:vAlign w:val="bottom"/>
          </w:tcPr>
          <w:p w14:paraId="05C6BD24">
            <w:pPr>
              <w:widowControl/>
              <w:jc w:val="center"/>
              <w:rPr>
                <w:color w:val="000000"/>
                <w:kern w:val="0"/>
              </w:rPr>
            </w:pPr>
            <w:r>
              <w:rPr>
                <w:rFonts w:eastAsia="等线"/>
                <w:color w:val="000000"/>
              </w:rPr>
              <w:t>106.8151</w:t>
            </w:r>
          </w:p>
        </w:tc>
        <w:tc>
          <w:tcPr>
            <w:tcW w:w="1666" w:type="pct"/>
            <w:shd w:val="clear" w:color="auto" w:fill="auto"/>
            <w:vAlign w:val="center"/>
          </w:tcPr>
          <w:p w14:paraId="3452CA8C">
            <w:pPr>
              <w:widowControl/>
              <w:jc w:val="center"/>
              <w:rPr>
                <w:color w:val="000000"/>
                <w:kern w:val="0"/>
              </w:rPr>
            </w:pPr>
            <w:r>
              <w:rPr>
                <w:color w:val="000000"/>
                <w:kern w:val="0"/>
              </w:rPr>
              <w:t>119.3844</w:t>
            </w:r>
          </w:p>
        </w:tc>
      </w:tr>
      <w:tr w14:paraId="2090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3A7FE3E">
            <w:pPr>
              <w:widowControl/>
              <w:jc w:val="center"/>
              <w:rPr>
                <w:color w:val="000000"/>
                <w:kern w:val="0"/>
              </w:rPr>
            </w:pPr>
            <w:r>
              <w:rPr>
                <w:color w:val="000000"/>
                <w:kern w:val="0"/>
              </w:rPr>
              <w:t>31</w:t>
            </w:r>
          </w:p>
        </w:tc>
        <w:tc>
          <w:tcPr>
            <w:tcW w:w="1585" w:type="pct"/>
            <w:tcBorders>
              <w:top w:val="single" w:color="auto" w:sz="4" w:space="0"/>
              <w:left w:val="nil"/>
              <w:bottom w:val="single" w:color="auto" w:sz="4" w:space="0"/>
              <w:right w:val="nil"/>
            </w:tcBorders>
            <w:shd w:val="clear" w:color="auto" w:fill="auto"/>
            <w:vAlign w:val="bottom"/>
          </w:tcPr>
          <w:p w14:paraId="3ED18BB5">
            <w:pPr>
              <w:widowControl/>
              <w:jc w:val="center"/>
              <w:rPr>
                <w:color w:val="000000"/>
                <w:kern w:val="0"/>
              </w:rPr>
            </w:pPr>
            <w:r>
              <w:rPr>
                <w:rFonts w:eastAsia="等线"/>
                <w:color w:val="000000"/>
              </w:rPr>
              <w:t>96.646</w:t>
            </w:r>
          </w:p>
        </w:tc>
        <w:tc>
          <w:tcPr>
            <w:tcW w:w="1666" w:type="pct"/>
            <w:shd w:val="clear" w:color="auto" w:fill="auto"/>
            <w:vAlign w:val="center"/>
          </w:tcPr>
          <w:p w14:paraId="07E969E9">
            <w:pPr>
              <w:widowControl/>
              <w:jc w:val="center"/>
              <w:rPr>
                <w:color w:val="000000"/>
                <w:kern w:val="0"/>
              </w:rPr>
            </w:pPr>
            <w:r>
              <w:rPr>
                <w:color w:val="000000"/>
                <w:kern w:val="0"/>
              </w:rPr>
              <w:t>108.2601</w:t>
            </w:r>
          </w:p>
        </w:tc>
      </w:tr>
      <w:tr w14:paraId="46150010">
        <w:tblPrEx>
          <w:tblCellMar>
            <w:top w:w="0" w:type="dxa"/>
            <w:left w:w="108" w:type="dxa"/>
            <w:bottom w:w="0" w:type="dxa"/>
            <w:right w:w="108" w:type="dxa"/>
          </w:tblCellMar>
        </w:tblPrEx>
        <w:trPr>
          <w:trHeight w:val="315" w:hRule="atLeast"/>
        </w:trPr>
        <w:tc>
          <w:tcPr>
            <w:tcW w:w="1749" w:type="pct"/>
            <w:shd w:val="clear" w:color="auto" w:fill="auto"/>
            <w:vAlign w:val="center"/>
          </w:tcPr>
          <w:p w14:paraId="6DAB61A5">
            <w:pPr>
              <w:widowControl/>
              <w:jc w:val="center"/>
              <w:rPr>
                <w:color w:val="000000"/>
                <w:kern w:val="0"/>
              </w:rPr>
            </w:pPr>
            <w:r>
              <w:rPr>
                <w:color w:val="000000"/>
                <w:kern w:val="0"/>
              </w:rPr>
              <w:t>32</w:t>
            </w:r>
          </w:p>
        </w:tc>
        <w:tc>
          <w:tcPr>
            <w:tcW w:w="1585" w:type="pct"/>
            <w:tcBorders>
              <w:top w:val="single" w:color="auto" w:sz="4" w:space="0"/>
              <w:left w:val="nil"/>
              <w:bottom w:val="single" w:color="auto" w:sz="4" w:space="0"/>
              <w:right w:val="nil"/>
            </w:tcBorders>
            <w:shd w:val="clear" w:color="auto" w:fill="auto"/>
            <w:vAlign w:val="bottom"/>
          </w:tcPr>
          <w:p w14:paraId="62CDEED3">
            <w:pPr>
              <w:widowControl/>
              <w:jc w:val="center"/>
              <w:rPr>
                <w:color w:val="000000"/>
                <w:kern w:val="0"/>
              </w:rPr>
            </w:pPr>
            <w:r>
              <w:rPr>
                <w:rFonts w:eastAsia="等线"/>
                <w:color w:val="000000"/>
              </w:rPr>
              <w:t>87.7242</w:t>
            </w:r>
          </w:p>
        </w:tc>
        <w:tc>
          <w:tcPr>
            <w:tcW w:w="1666" w:type="pct"/>
            <w:shd w:val="clear" w:color="auto" w:fill="auto"/>
            <w:vAlign w:val="center"/>
          </w:tcPr>
          <w:p w14:paraId="11500679">
            <w:pPr>
              <w:widowControl/>
              <w:jc w:val="center"/>
              <w:rPr>
                <w:color w:val="000000"/>
                <w:kern w:val="0"/>
              </w:rPr>
            </w:pPr>
            <w:r>
              <w:rPr>
                <w:color w:val="000000"/>
                <w:kern w:val="0"/>
              </w:rPr>
              <w:t>98.4639</w:t>
            </w:r>
          </w:p>
        </w:tc>
      </w:tr>
      <w:tr w14:paraId="2EF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2EB030D1">
            <w:pPr>
              <w:widowControl/>
              <w:jc w:val="center"/>
              <w:rPr>
                <w:color w:val="000000"/>
                <w:kern w:val="0"/>
              </w:rPr>
            </w:pPr>
            <w:r>
              <w:rPr>
                <w:color w:val="000000"/>
                <w:kern w:val="0"/>
              </w:rPr>
              <w:t>33</w:t>
            </w:r>
          </w:p>
        </w:tc>
        <w:tc>
          <w:tcPr>
            <w:tcW w:w="1585" w:type="pct"/>
            <w:tcBorders>
              <w:top w:val="single" w:color="auto" w:sz="4" w:space="0"/>
              <w:left w:val="nil"/>
              <w:bottom w:val="single" w:color="auto" w:sz="4" w:space="0"/>
              <w:right w:val="nil"/>
            </w:tcBorders>
            <w:shd w:val="clear" w:color="auto" w:fill="auto"/>
            <w:vAlign w:val="bottom"/>
          </w:tcPr>
          <w:p w14:paraId="384D94F2">
            <w:pPr>
              <w:widowControl/>
              <w:jc w:val="center"/>
              <w:rPr>
                <w:color w:val="000000"/>
                <w:kern w:val="0"/>
              </w:rPr>
            </w:pPr>
            <w:r>
              <w:rPr>
                <w:rFonts w:eastAsia="等线"/>
                <w:color w:val="000000"/>
              </w:rPr>
              <w:t>79.8652</w:t>
            </w:r>
          </w:p>
        </w:tc>
        <w:tc>
          <w:tcPr>
            <w:tcW w:w="1666" w:type="pct"/>
            <w:shd w:val="clear" w:color="auto" w:fill="auto"/>
            <w:vAlign w:val="center"/>
          </w:tcPr>
          <w:p w14:paraId="1357EBA6">
            <w:pPr>
              <w:widowControl/>
              <w:jc w:val="center"/>
              <w:rPr>
                <w:color w:val="000000"/>
                <w:kern w:val="0"/>
              </w:rPr>
            </w:pPr>
            <w:r>
              <w:rPr>
                <w:color w:val="000000"/>
                <w:kern w:val="0"/>
              </w:rPr>
              <w:t>89.8057</w:t>
            </w:r>
          </w:p>
        </w:tc>
      </w:tr>
      <w:tr w14:paraId="166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7CDE3F9">
            <w:pPr>
              <w:widowControl/>
              <w:jc w:val="center"/>
              <w:rPr>
                <w:color w:val="000000"/>
                <w:kern w:val="0"/>
              </w:rPr>
            </w:pPr>
            <w:r>
              <w:rPr>
                <w:color w:val="000000"/>
                <w:kern w:val="0"/>
              </w:rPr>
              <w:t>34</w:t>
            </w:r>
          </w:p>
        </w:tc>
        <w:tc>
          <w:tcPr>
            <w:tcW w:w="1585" w:type="pct"/>
            <w:tcBorders>
              <w:top w:val="single" w:color="auto" w:sz="4" w:space="0"/>
              <w:left w:val="nil"/>
              <w:bottom w:val="single" w:color="auto" w:sz="4" w:space="0"/>
              <w:right w:val="nil"/>
            </w:tcBorders>
            <w:shd w:val="clear" w:color="auto" w:fill="auto"/>
            <w:vAlign w:val="bottom"/>
          </w:tcPr>
          <w:p w14:paraId="30AFC723">
            <w:pPr>
              <w:widowControl/>
              <w:jc w:val="center"/>
              <w:rPr>
                <w:color w:val="000000"/>
                <w:kern w:val="0"/>
              </w:rPr>
            </w:pPr>
            <w:r>
              <w:rPr>
                <w:rFonts w:eastAsia="等线"/>
                <w:color w:val="000000"/>
              </w:rPr>
              <w:t>72.9159</w:t>
            </w:r>
          </w:p>
        </w:tc>
        <w:tc>
          <w:tcPr>
            <w:tcW w:w="1666" w:type="pct"/>
            <w:shd w:val="clear" w:color="auto" w:fill="auto"/>
            <w:vAlign w:val="center"/>
          </w:tcPr>
          <w:p w14:paraId="627750F8">
            <w:pPr>
              <w:widowControl/>
              <w:jc w:val="center"/>
              <w:rPr>
                <w:color w:val="000000"/>
                <w:kern w:val="0"/>
              </w:rPr>
            </w:pPr>
            <w:r>
              <w:rPr>
                <w:color w:val="000000"/>
                <w:kern w:val="0"/>
              </w:rPr>
              <w:t>82.1266</w:t>
            </w:r>
          </w:p>
        </w:tc>
      </w:tr>
      <w:tr w14:paraId="4872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02CCF87C">
            <w:pPr>
              <w:widowControl/>
              <w:jc w:val="center"/>
              <w:rPr>
                <w:color w:val="000000"/>
                <w:kern w:val="0"/>
              </w:rPr>
            </w:pPr>
            <w:r>
              <w:rPr>
                <w:color w:val="000000"/>
                <w:kern w:val="0"/>
              </w:rPr>
              <w:t>35</w:t>
            </w:r>
          </w:p>
        </w:tc>
        <w:tc>
          <w:tcPr>
            <w:tcW w:w="1585" w:type="pct"/>
            <w:tcBorders>
              <w:top w:val="single" w:color="auto" w:sz="4" w:space="0"/>
              <w:left w:val="nil"/>
              <w:bottom w:val="single" w:color="auto" w:sz="4" w:space="0"/>
              <w:right w:val="nil"/>
            </w:tcBorders>
            <w:shd w:val="clear" w:color="auto" w:fill="auto"/>
            <w:vAlign w:val="bottom"/>
          </w:tcPr>
          <w:p w14:paraId="0C656B17">
            <w:pPr>
              <w:widowControl/>
              <w:jc w:val="center"/>
              <w:rPr>
                <w:color w:val="000000"/>
                <w:kern w:val="0"/>
              </w:rPr>
            </w:pPr>
            <w:r>
              <w:rPr>
                <w:rFonts w:eastAsia="等线"/>
                <w:color w:val="000000"/>
              </w:rPr>
              <w:t>66.7491</w:t>
            </w:r>
          </w:p>
        </w:tc>
        <w:tc>
          <w:tcPr>
            <w:tcW w:w="1666" w:type="pct"/>
            <w:shd w:val="clear" w:color="auto" w:fill="auto"/>
            <w:vAlign w:val="center"/>
          </w:tcPr>
          <w:p w14:paraId="29CA141F">
            <w:pPr>
              <w:widowControl/>
              <w:jc w:val="center"/>
              <w:rPr>
                <w:color w:val="000000"/>
                <w:kern w:val="0"/>
              </w:rPr>
            </w:pPr>
            <w:r>
              <w:rPr>
                <w:color w:val="000000"/>
                <w:kern w:val="0"/>
              </w:rPr>
              <w:t>75.2934</w:t>
            </w:r>
          </w:p>
        </w:tc>
      </w:tr>
      <w:tr w14:paraId="11D2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727D1721">
            <w:pPr>
              <w:widowControl/>
              <w:jc w:val="center"/>
              <w:rPr>
                <w:color w:val="000000"/>
                <w:kern w:val="0"/>
              </w:rPr>
            </w:pPr>
            <w:r>
              <w:rPr>
                <w:color w:val="000000"/>
                <w:kern w:val="0"/>
              </w:rPr>
              <w:t>36</w:t>
            </w:r>
          </w:p>
        </w:tc>
        <w:tc>
          <w:tcPr>
            <w:tcW w:w="1585" w:type="pct"/>
            <w:tcBorders>
              <w:top w:val="single" w:color="auto" w:sz="4" w:space="0"/>
              <w:left w:val="nil"/>
              <w:bottom w:val="single" w:color="auto" w:sz="4" w:space="0"/>
              <w:right w:val="nil"/>
            </w:tcBorders>
            <w:shd w:val="clear" w:color="auto" w:fill="auto"/>
            <w:vAlign w:val="bottom"/>
          </w:tcPr>
          <w:p w14:paraId="43ED3058">
            <w:pPr>
              <w:widowControl/>
              <w:jc w:val="center"/>
              <w:rPr>
                <w:color w:val="000000"/>
                <w:kern w:val="0"/>
              </w:rPr>
            </w:pPr>
            <w:r>
              <w:rPr>
                <w:rFonts w:eastAsia="等线"/>
                <w:color w:val="000000"/>
              </w:rPr>
              <w:t>61.2578</w:t>
            </w:r>
          </w:p>
        </w:tc>
        <w:tc>
          <w:tcPr>
            <w:tcW w:w="1666" w:type="pct"/>
            <w:shd w:val="clear" w:color="auto" w:fill="auto"/>
            <w:vAlign w:val="center"/>
          </w:tcPr>
          <w:p w14:paraId="7D647469">
            <w:pPr>
              <w:widowControl/>
              <w:jc w:val="center"/>
              <w:rPr>
                <w:color w:val="000000"/>
                <w:kern w:val="0"/>
              </w:rPr>
            </w:pPr>
            <w:r>
              <w:rPr>
                <w:color w:val="000000"/>
                <w:kern w:val="0"/>
              </w:rPr>
              <w:t>69.1938</w:t>
            </w:r>
          </w:p>
        </w:tc>
      </w:tr>
      <w:tr w14:paraId="405C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0493B6C">
            <w:pPr>
              <w:widowControl/>
              <w:jc w:val="center"/>
              <w:rPr>
                <w:color w:val="000000"/>
                <w:kern w:val="0"/>
              </w:rPr>
            </w:pPr>
            <w:r>
              <w:rPr>
                <w:color w:val="000000"/>
                <w:kern w:val="0"/>
              </w:rPr>
              <w:t>37</w:t>
            </w:r>
          </w:p>
        </w:tc>
        <w:tc>
          <w:tcPr>
            <w:tcW w:w="1585" w:type="pct"/>
            <w:tcBorders>
              <w:top w:val="single" w:color="auto" w:sz="4" w:space="0"/>
              <w:left w:val="nil"/>
              <w:bottom w:val="single" w:color="auto" w:sz="4" w:space="0"/>
              <w:right w:val="nil"/>
            </w:tcBorders>
            <w:shd w:val="clear" w:color="auto" w:fill="auto"/>
            <w:vAlign w:val="bottom"/>
          </w:tcPr>
          <w:p w14:paraId="747985C8">
            <w:pPr>
              <w:widowControl/>
              <w:jc w:val="center"/>
              <w:rPr>
                <w:color w:val="000000"/>
                <w:kern w:val="0"/>
              </w:rPr>
            </w:pPr>
            <w:r>
              <w:rPr>
                <w:rFonts w:eastAsia="等线"/>
                <w:color w:val="000000"/>
              </w:rPr>
              <w:t>56.3525</w:t>
            </w:r>
          </w:p>
        </w:tc>
        <w:tc>
          <w:tcPr>
            <w:tcW w:w="1666" w:type="pct"/>
            <w:shd w:val="clear" w:color="auto" w:fill="auto"/>
            <w:vAlign w:val="center"/>
          </w:tcPr>
          <w:p w14:paraId="750E4AE8">
            <w:pPr>
              <w:widowControl/>
              <w:jc w:val="center"/>
              <w:rPr>
                <w:color w:val="000000"/>
                <w:kern w:val="0"/>
              </w:rPr>
            </w:pPr>
            <w:r>
              <w:rPr>
                <w:color w:val="000000"/>
                <w:kern w:val="0"/>
              </w:rPr>
              <w:t>63.7325</w:t>
            </w:r>
          </w:p>
        </w:tc>
      </w:tr>
      <w:tr w14:paraId="48E0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3994A106">
            <w:pPr>
              <w:widowControl/>
              <w:jc w:val="center"/>
              <w:rPr>
                <w:color w:val="000000"/>
                <w:kern w:val="0"/>
              </w:rPr>
            </w:pPr>
            <w:r>
              <w:rPr>
                <w:color w:val="000000"/>
                <w:kern w:val="0"/>
              </w:rPr>
              <w:t>38</w:t>
            </w:r>
          </w:p>
        </w:tc>
        <w:tc>
          <w:tcPr>
            <w:tcW w:w="1585" w:type="pct"/>
            <w:tcBorders>
              <w:top w:val="single" w:color="auto" w:sz="4" w:space="0"/>
              <w:left w:val="nil"/>
              <w:bottom w:val="single" w:color="auto" w:sz="4" w:space="0"/>
              <w:right w:val="nil"/>
            </w:tcBorders>
            <w:shd w:val="clear" w:color="auto" w:fill="auto"/>
            <w:vAlign w:val="bottom"/>
          </w:tcPr>
          <w:p w14:paraId="15F23980">
            <w:pPr>
              <w:widowControl/>
              <w:jc w:val="center"/>
              <w:rPr>
                <w:color w:val="000000"/>
                <w:kern w:val="0"/>
              </w:rPr>
            </w:pPr>
            <w:r>
              <w:rPr>
                <w:rFonts w:eastAsia="等线"/>
                <w:color w:val="000000"/>
              </w:rPr>
              <w:t>51.957</w:t>
            </w:r>
          </w:p>
        </w:tc>
        <w:tc>
          <w:tcPr>
            <w:tcW w:w="1666" w:type="pct"/>
            <w:shd w:val="clear" w:color="auto" w:fill="auto"/>
            <w:vAlign w:val="center"/>
          </w:tcPr>
          <w:p w14:paraId="0894A092">
            <w:pPr>
              <w:widowControl/>
              <w:jc w:val="center"/>
              <w:rPr>
                <w:color w:val="000000"/>
                <w:kern w:val="0"/>
              </w:rPr>
            </w:pPr>
            <w:r>
              <w:rPr>
                <w:color w:val="000000"/>
                <w:kern w:val="0"/>
              </w:rPr>
              <w:t>58.8289</w:t>
            </w:r>
          </w:p>
        </w:tc>
      </w:tr>
      <w:tr w14:paraId="38D8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FB09B2A">
            <w:pPr>
              <w:widowControl/>
              <w:jc w:val="center"/>
              <w:rPr>
                <w:color w:val="000000"/>
                <w:kern w:val="0"/>
              </w:rPr>
            </w:pPr>
            <w:r>
              <w:rPr>
                <w:color w:val="000000"/>
                <w:kern w:val="0"/>
              </w:rPr>
              <w:t>39</w:t>
            </w:r>
          </w:p>
        </w:tc>
        <w:tc>
          <w:tcPr>
            <w:tcW w:w="1585" w:type="pct"/>
            <w:tcBorders>
              <w:top w:val="single" w:color="auto" w:sz="4" w:space="0"/>
              <w:left w:val="nil"/>
              <w:bottom w:val="single" w:color="auto" w:sz="4" w:space="0"/>
              <w:right w:val="nil"/>
            </w:tcBorders>
            <w:shd w:val="clear" w:color="auto" w:fill="auto"/>
            <w:vAlign w:val="bottom"/>
          </w:tcPr>
          <w:p w14:paraId="653D986F">
            <w:pPr>
              <w:widowControl/>
              <w:jc w:val="center"/>
              <w:rPr>
                <w:color w:val="000000"/>
                <w:kern w:val="0"/>
              </w:rPr>
            </w:pPr>
            <w:r>
              <w:rPr>
                <w:rFonts w:eastAsia="等线"/>
                <w:color w:val="000000"/>
              </w:rPr>
              <w:t>48.007</w:t>
            </w:r>
          </w:p>
        </w:tc>
        <w:tc>
          <w:tcPr>
            <w:tcW w:w="1666" w:type="pct"/>
            <w:shd w:val="clear" w:color="auto" w:fill="auto"/>
            <w:vAlign w:val="center"/>
          </w:tcPr>
          <w:p w14:paraId="070DD609">
            <w:pPr>
              <w:widowControl/>
              <w:jc w:val="center"/>
              <w:rPr>
                <w:color w:val="000000"/>
                <w:kern w:val="0"/>
              </w:rPr>
            </w:pPr>
            <w:r>
              <w:rPr>
                <w:color w:val="000000"/>
                <w:kern w:val="0"/>
              </w:rPr>
              <w:t>54.4138</w:t>
            </w:r>
          </w:p>
        </w:tc>
      </w:tr>
      <w:tr w14:paraId="6874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49" w:type="pct"/>
            <w:shd w:val="clear" w:color="auto" w:fill="auto"/>
            <w:vAlign w:val="center"/>
          </w:tcPr>
          <w:p w14:paraId="6F42FA6D">
            <w:pPr>
              <w:widowControl/>
              <w:jc w:val="center"/>
              <w:rPr>
                <w:color w:val="000000"/>
                <w:kern w:val="0"/>
              </w:rPr>
            </w:pPr>
            <w:r>
              <w:rPr>
                <w:color w:val="000000"/>
                <w:kern w:val="0"/>
              </w:rPr>
              <w:t>40</w:t>
            </w:r>
          </w:p>
        </w:tc>
        <w:tc>
          <w:tcPr>
            <w:tcW w:w="1585" w:type="pct"/>
            <w:tcBorders>
              <w:top w:val="single" w:color="auto" w:sz="4" w:space="0"/>
              <w:left w:val="nil"/>
              <w:bottom w:val="single" w:color="auto" w:sz="4" w:space="0"/>
              <w:right w:val="nil"/>
            </w:tcBorders>
            <w:shd w:val="clear" w:color="auto" w:fill="auto"/>
            <w:vAlign w:val="bottom"/>
          </w:tcPr>
          <w:p w14:paraId="778E2C11">
            <w:pPr>
              <w:widowControl/>
              <w:jc w:val="center"/>
              <w:rPr>
                <w:color w:val="000000"/>
                <w:kern w:val="0"/>
              </w:rPr>
            </w:pPr>
            <w:r>
              <w:rPr>
                <w:rFonts w:eastAsia="等线"/>
                <w:color w:val="000000"/>
              </w:rPr>
              <w:t>44.4476</w:t>
            </w:r>
          </w:p>
        </w:tc>
        <w:tc>
          <w:tcPr>
            <w:tcW w:w="1666" w:type="pct"/>
            <w:shd w:val="clear" w:color="auto" w:fill="auto"/>
            <w:vAlign w:val="center"/>
          </w:tcPr>
          <w:p w14:paraId="243D8DC6">
            <w:pPr>
              <w:widowControl/>
              <w:jc w:val="center"/>
              <w:rPr>
                <w:color w:val="000000"/>
                <w:kern w:val="0"/>
              </w:rPr>
            </w:pPr>
            <w:r>
              <w:rPr>
                <w:color w:val="000000"/>
                <w:kern w:val="0"/>
              </w:rPr>
              <w:t>50.4284</w:t>
            </w:r>
          </w:p>
        </w:tc>
      </w:tr>
      <w:tr w14:paraId="50CC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749" w:type="pct"/>
            <w:shd w:val="clear" w:color="auto" w:fill="auto"/>
            <w:vAlign w:val="center"/>
          </w:tcPr>
          <w:p w14:paraId="6103E608">
            <w:pPr>
              <w:widowControl/>
              <w:jc w:val="center"/>
              <w:rPr>
                <w:rFonts w:ascii="宋体" w:hAnsi="宋体" w:cs="宋体"/>
                <w:b/>
                <w:bCs/>
                <w:color w:val="000000"/>
                <w:kern w:val="0"/>
              </w:rPr>
            </w:pPr>
            <w:r>
              <w:rPr>
                <w:rFonts w:hint="eastAsia" w:ascii="宋体" w:hAnsi="宋体" w:cs="宋体"/>
                <w:b/>
                <w:bCs/>
                <w:color w:val="000000"/>
                <w:kern w:val="0"/>
              </w:rPr>
              <w:t>工频电场最大值</w:t>
            </w:r>
          </w:p>
        </w:tc>
        <w:tc>
          <w:tcPr>
            <w:tcW w:w="1585" w:type="pct"/>
            <w:tcBorders>
              <w:top w:val="single" w:color="auto" w:sz="4" w:space="0"/>
            </w:tcBorders>
            <w:shd w:val="clear" w:color="auto" w:fill="auto"/>
            <w:vAlign w:val="center"/>
          </w:tcPr>
          <w:p w14:paraId="6D9CA5FB">
            <w:pPr>
              <w:widowControl/>
              <w:jc w:val="center"/>
              <w:rPr>
                <w:b/>
                <w:bCs/>
                <w:color w:val="000000"/>
                <w:kern w:val="0"/>
              </w:rPr>
            </w:pPr>
            <w:r>
              <w:rPr>
                <w:b/>
                <w:bCs/>
                <w:color w:val="000000"/>
                <w:kern w:val="0"/>
              </w:rPr>
              <w:t>2613.955</w:t>
            </w:r>
          </w:p>
        </w:tc>
        <w:tc>
          <w:tcPr>
            <w:tcW w:w="1666" w:type="pct"/>
            <w:shd w:val="clear" w:color="auto" w:fill="auto"/>
            <w:vAlign w:val="center"/>
          </w:tcPr>
          <w:p w14:paraId="2D988FA9">
            <w:pPr>
              <w:widowControl/>
              <w:jc w:val="center"/>
              <w:rPr>
                <w:b/>
                <w:bCs/>
                <w:color w:val="000000"/>
                <w:kern w:val="0"/>
              </w:rPr>
            </w:pPr>
            <w:r>
              <w:rPr>
                <w:b/>
                <w:bCs/>
                <w:color w:val="000000"/>
                <w:kern w:val="0"/>
              </w:rPr>
              <w:t>2041.2397</w:t>
            </w:r>
          </w:p>
        </w:tc>
      </w:tr>
    </w:tbl>
    <w:p w14:paraId="22E276BA">
      <w:pPr>
        <w:adjustRightInd w:val="0"/>
        <w:snapToGrid w:val="0"/>
        <w:spacing w:line="360" w:lineRule="auto"/>
        <w:ind w:firstLine="480" w:firstLineChars="200"/>
        <w:rPr>
          <w:sz w:val="24"/>
        </w:rPr>
      </w:pPr>
      <w:r>
        <w:rPr>
          <w:sz w:val="24"/>
        </w:rPr>
        <w:t>从图6-2及表6-2可以看出，110kV单回输电线路在最不利塔型（1B1Y6-Z2）线下，距地1.5m高处，非居民区及其附近导线最低允许高度为6m时，工频电场强度最大值为2.614kV/m（2613.955V/m），满足非居民区评价标准限值10kV/m的要求；</w:t>
      </w:r>
    </w:p>
    <w:p w14:paraId="64F183C7">
      <w:pPr>
        <w:adjustRightInd w:val="0"/>
        <w:snapToGrid w:val="0"/>
        <w:spacing w:line="360" w:lineRule="auto"/>
        <w:ind w:firstLine="480" w:firstLineChars="200"/>
        <w:rPr>
          <w:sz w:val="24"/>
        </w:rPr>
      </w:pPr>
      <w:r>
        <w:rPr>
          <w:sz w:val="24"/>
        </w:rPr>
        <w:t>通过居民区及其附近导线高度为7m时，线下距地1.5m高处工频电场强度最大值为2.041kV/m（2041.2397V/m），满足居民区评价标准限值4kV/m（4000V/m）的要求。从衰减规律可看出，工频电场强度在距离线路中心地面投影附近达到最大值后，随着与线路中心距离的增大，呈快速减小的趋势。</w:t>
      </w:r>
    </w:p>
    <w:p w14:paraId="4042139A">
      <w:pPr>
        <w:spacing w:line="360" w:lineRule="auto"/>
        <w:ind w:firstLine="480" w:firstLineChars="200"/>
        <w:rPr>
          <w:sz w:val="24"/>
        </w:rPr>
      </w:pPr>
      <w:r>
        <w:rPr>
          <w:rFonts w:hint="eastAsia"/>
          <w:sz w:val="24"/>
        </w:rPr>
        <w:t>（2）工频磁感应强度环境影响分析</w:t>
      </w:r>
    </w:p>
    <w:p w14:paraId="64BC3DDD">
      <w:pPr>
        <w:spacing w:line="360" w:lineRule="auto"/>
        <w:ind w:firstLine="480" w:firstLineChars="200"/>
        <w:rPr>
          <w:sz w:val="24"/>
        </w:rPr>
      </w:pPr>
      <w:r>
        <w:rPr>
          <w:sz w:val="24"/>
        </w:rPr>
        <w:t>110</w:t>
      </w:r>
      <w:r>
        <w:rPr>
          <w:rFonts w:hint="eastAsia"/>
          <w:sz w:val="24"/>
        </w:rPr>
        <w:t>kV单回输电线路在最不利塔型段（</w:t>
      </w:r>
      <w:r>
        <w:rPr>
          <w:sz w:val="24"/>
        </w:rPr>
        <w:t>1B1Y6-Z2</w:t>
      </w:r>
      <w:r>
        <w:rPr>
          <w:rFonts w:hint="eastAsia"/>
          <w:sz w:val="24"/>
        </w:rPr>
        <w:t>）导线最低允许高度取6 m（非居民区）、7m（居民区）时线下距地面1.5m高处工频磁感应强度分布见图6-</w:t>
      </w:r>
      <w:r>
        <w:rPr>
          <w:sz w:val="24"/>
        </w:rPr>
        <w:t>3</w:t>
      </w:r>
      <w:r>
        <w:rPr>
          <w:rFonts w:hint="eastAsia"/>
          <w:sz w:val="24"/>
        </w:rPr>
        <w:t>，预测结果见表6-</w:t>
      </w:r>
      <w:r>
        <w:rPr>
          <w:sz w:val="24"/>
        </w:rPr>
        <w:t>3</w:t>
      </w:r>
      <w:r>
        <w:rPr>
          <w:rFonts w:hint="eastAsia"/>
          <w:sz w:val="24"/>
        </w:rPr>
        <w:t>。</w:t>
      </w:r>
    </w:p>
    <w:p w14:paraId="6459A88F">
      <w:pPr>
        <w:spacing w:line="360" w:lineRule="auto"/>
        <w:ind w:firstLine="480" w:firstLineChars="200"/>
        <w:rPr>
          <w:sz w:val="24"/>
        </w:rPr>
      </w:pPr>
      <w:r>
        <w:rPr>
          <w:sz w:val="24"/>
        </w:rPr>
        <w:drawing>
          <wp:inline distT="0" distB="0" distL="0" distR="0">
            <wp:extent cx="4956175" cy="305435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4956175" cy="3054350"/>
                    </a:xfrm>
                    <a:prstGeom prst="rect">
                      <a:avLst/>
                    </a:prstGeom>
                    <a:noFill/>
                  </pic:spPr>
                </pic:pic>
              </a:graphicData>
            </a:graphic>
          </wp:inline>
        </w:drawing>
      </w:r>
    </w:p>
    <w:p w14:paraId="2AC60816">
      <w:pPr>
        <w:spacing w:line="360" w:lineRule="auto"/>
        <w:jc w:val="center"/>
        <w:rPr>
          <w:rFonts w:eastAsia="黑体"/>
          <w:bCs/>
          <w:sz w:val="24"/>
        </w:rPr>
      </w:pPr>
      <w:r>
        <w:rPr>
          <w:rFonts w:hint="eastAsia" w:eastAsia="黑体"/>
          <w:bCs/>
          <w:sz w:val="24"/>
        </w:rPr>
        <w:t>图</w:t>
      </w:r>
      <w:r>
        <w:rPr>
          <w:rFonts w:eastAsia="黑体"/>
          <w:bCs/>
          <w:sz w:val="24"/>
        </w:rPr>
        <w:t>6-3 1B1Y6-Z2</w:t>
      </w:r>
      <w:r>
        <w:rPr>
          <w:rFonts w:hint="eastAsia" w:eastAsia="黑体"/>
          <w:bCs/>
          <w:sz w:val="24"/>
        </w:rPr>
        <w:t>塔导线最低允许高度分别取6m（非居民区）、7m（居民区）时线下工频磁感应强度分布曲线</w:t>
      </w:r>
    </w:p>
    <w:p w14:paraId="6552D37A">
      <w:pPr>
        <w:spacing w:line="360" w:lineRule="auto"/>
        <w:ind w:firstLine="480" w:firstLineChars="200"/>
        <w:rPr>
          <w:sz w:val="24"/>
        </w:rPr>
      </w:pPr>
    </w:p>
    <w:p w14:paraId="1DDA62F8">
      <w:pPr>
        <w:spacing w:line="360" w:lineRule="auto"/>
        <w:jc w:val="center"/>
        <w:rPr>
          <w:rFonts w:eastAsia="黑体"/>
          <w:bCs/>
          <w:sz w:val="24"/>
        </w:rPr>
      </w:pPr>
      <w:r>
        <w:rPr>
          <w:rFonts w:hint="eastAsia" w:eastAsia="黑体"/>
          <w:bCs/>
          <w:sz w:val="24"/>
        </w:rPr>
        <w:t>表6</w:t>
      </w:r>
      <w:r>
        <w:rPr>
          <w:rFonts w:eastAsia="黑体"/>
          <w:bCs/>
          <w:sz w:val="24"/>
        </w:rPr>
        <w:t>-3</w:t>
      </w:r>
      <w:r>
        <w:rPr>
          <w:rFonts w:hint="eastAsia" w:eastAsia="黑体"/>
          <w:bCs/>
          <w:sz w:val="24"/>
        </w:rPr>
        <w:t xml:space="preserve"> </w:t>
      </w:r>
      <w:r>
        <w:rPr>
          <w:rFonts w:eastAsia="黑体"/>
          <w:bCs/>
          <w:sz w:val="24"/>
        </w:rPr>
        <w:t>1B1Y6-Z2</w:t>
      </w:r>
      <w:r>
        <w:rPr>
          <w:rFonts w:hint="eastAsia" w:eastAsia="黑体"/>
          <w:bCs/>
          <w:sz w:val="24"/>
        </w:rPr>
        <w:t>典型塔型段线路工频磁感应强度预测结果  单位：</w:t>
      </w:r>
      <w:r>
        <w:rPr>
          <w:rFonts w:eastAsia="黑体"/>
          <w:bCs/>
          <w:sz w:val="24"/>
        </w:rPr>
        <w:t>μT</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1"/>
        <w:gridCol w:w="2451"/>
        <w:gridCol w:w="158"/>
        <w:gridCol w:w="2296"/>
      </w:tblGrid>
      <w:tr w14:paraId="1B90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67779DF">
            <w:pPr>
              <w:widowControl/>
              <w:jc w:val="center"/>
              <w:rPr>
                <w:rFonts w:ascii="宋体" w:hAnsi="宋体" w:cs="宋体"/>
                <w:color w:val="000000"/>
                <w:kern w:val="0"/>
              </w:rPr>
            </w:pPr>
            <w:r>
              <w:rPr>
                <w:rFonts w:hint="eastAsia" w:ascii="宋体" w:hAnsi="宋体" w:cs="宋体"/>
                <w:color w:val="000000"/>
                <w:kern w:val="0"/>
              </w:rPr>
              <w:t>最低导线高度（</w:t>
            </w:r>
            <w:r>
              <w:rPr>
                <w:color w:val="000000"/>
                <w:kern w:val="0"/>
              </w:rPr>
              <w:t>m</w:t>
            </w:r>
            <w:r>
              <w:rPr>
                <w:rFonts w:hint="eastAsia" w:ascii="宋体" w:hAnsi="宋体" w:cs="宋体"/>
                <w:color w:val="000000"/>
                <w:kern w:val="0"/>
              </w:rPr>
              <w:t>）</w:t>
            </w:r>
          </w:p>
        </w:tc>
        <w:tc>
          <w:tcPr>
            <w:tcW w:w="1477" w:type="pct"/>
            <w:shd w:val="clear" w:color="auto" w:fill="auto"/>
            <w:vAlign w:val="center"/>
          </w:tcPr>
          <w:p w14:paraId="02D0922C">
            <w:pPr>
              <w:widowControl/>
              <w:jc w:val="center"/>
              <w:rPr>
                <w:rFonts w:ascii="宋体" w:hAnsi="宋体" w:cs="宋体"/>
                <w:color w:val="000000"/>
                <w:kern w:val="0"/>
              </w:rPr>
            </w:pPr>
            <w:r>
              <w:rPr>
                <w:color w:val="000000"/>
                <w:kern w:val="0"/>
              </w:rPr>
              <w:t>6m</w:t>
            </w:r>
            <w:r>
              <w:rPr>
                <w:rFonts w:hint="eastAsia" w:ascii="宋体" w:hAnsi="宋体"/>
                <w:color w:val="000000"/>
                <w:kern w:val="0"/>
              </w:rPr>
              <w:t>（非居民区）</w:t>
            </w:r>
          </w:p>
        </w:tc>
        <w:tc>
          <w:tcPr>
            <w:tcW w:w="1479" w:type="pct"/>
            <w:gridSpan w:val="2"/>
            <w:shd w:val="clear" w:color="auto" w:fill="auto"/>
            <w:vAlign w:val="center"/>
          </w:tcPr>
          <w:p w14:paraId="108B4DDC">
            <w:pPr>
              <w:widowControl/>
              <w:jc w:val="center"/>
              <w:rPr>
                <w:rFonts w:ascii="宋体" w:hAnsi="宋体" w:cs="宋体"/>
                <w:color w:val="000000"/>
                <w:kern w:val="0"/>
              </w:rPr>
            </w:pPr>
            <w:r>
              <w:rPr>
                <w:color w:val="000000"/>
                <w:kern w:val="0"/>
              </w:rPr>
              <w:t>7m</w:t>
            </w:r>
            <w:r>
              <w:rPr>
                <w:rFonts w:hint="eastAsia" w:ascii="宋体" w:hAnsi="宋体"/>
                <w:color w:val="000000"/>
                <w:kern w:val="0"/>
              </w:rPr>
              <w:t>（居民区）</w:t>
            </w:r>
          </w:p>
        </w:tc>
      </w:tr>
      <w:tr w14:paraId="658F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30CDFB7">
            <w:pPr>
              <w:widowControl/>
              <w:jc w:val="center"/>
              <w:rPr>
                <w:rFonts w:ascii="宋体" w:hAnsi="宋体" w:cs="宋体"/>
                <w:color w:val="000000"/>
                <w:kern w:val="0"/>
              </w:rPr>
            </w:pPr>
            <w:r>
              <w:rPr>
                <w:rFonts w:hint="eastAsia" w:ascii="宋体" w:hAnsi="宋体" w:cs="宋体"/>
                <w:color w:val="000000"/>
                <w:kern w:val="0"/>
              </w:rPr>
              <w:t>距线路中心距离（</w:t>
            </w:r>
            <w:r>
              <w:rPr>
                <w:color w:val="000000"/>
                <w:kern w:val="0"/>
              </w:rPr>
              <w:t>m</w:t>
            </w:r>
            <w:r>
              <w:rPr>
                <w:rFonts w:hint="eastAsia" w:ascii="宋体" w:hAnsi="宋体" w:cs="宋体"/>
                <w:color w:val="000000"/>
                <w:kern w:val="0"/>
              </w:rPr>
              <w:t>）</w:t>
            </w:r>
          </w:p>
        </w:tc>
        <w:tc>
          <w:tcPr>
            <w:tcW w:w="2956" w:type="pct"/>
            <w:gridSpan w:val="3"/>
            <w:shd w:val="clear" w:color="auto" w:fill="auto"/>
            <w:vAlign w:val="center"/>
          </w:tcPr>
          <w:p w14:paraId="0FEF2CA0">
            <w:pPr>
              <w:widowControl/>
              <w:jc w:val="center"/>
              <w:rPr>
                <w:rFonts w:ascii="宋体" w:hAnsi="宋体" w:cs="宋体"/>
                <w:color w:val="000000"/>
                <w:kern w:val="0"/>
              </w:rPr>
            </w:pPr>
            <w:r>
              <w:rPr>
                <w:rFonts w:hint="eastAsia" w:ascii="宋体" w:hAnsi="宋体" w:cs="宋体"/>
                <w:color w:val="000000"/>
                <w:kern w:val="0"/>
              </w:rPr>
              <w:t>离地</w:t>
            </w:r>
            <w:r>
              <w:rPr>
                <w:color w:val="000000"/>
                <w:kern w:val="0"/>
              </w:rPr>
              <w:t>1.5m</w:t>
            </w:r>
          </w:p>
        </w:tc>
      </w:tr>
      <w:tr w14:paraId="7B59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3C45C14">
            <w:pPr>
              <w:widowControl/>
              <w:jc w:val="center"/>
              <w:rPr>
                <w:color w:val="000000"/>
                <w:kern w:val="0"/>
                <w:sz w:val="22"/>
                <w:szCs w:val="22"/>
              </w:rPr>
            </w:pPr>
            <w:r>
              <w:rPr>
                <w:color w:val="000000"/>
                <w:kern w:val="0"/>
                <w:sz w:val="22"/>
                <w:szCs w:val="22"/>
              </w:rPr>
              <w:t>-50</w:t>
            </w:r>
          </w:p>
        </w:tc>
        <w:tc>
          <w:tcPr>
            <w:tcW w:w="1572" w:type="pct"/>
            <w:gridSpan w:val="2"/>
            <w:shd w:val="clear" w:color="auto" w:fill="auto"/>
            <w:vAlign w:val="center"/>
          </w:tcPr>
          <w:p w14:paraId="5F0D4B9F">
            <w:pPr>
              <w:widowControl/>
              <w:jc w:val="center"/>
              <w:rPr>
                <w:color w:val="000000"/>
                <w:kern w:val="0"/>
                <w:sz w:val="22"/>
                <w:szCs w:val="22"/>
              </w:rPr>
            </w:pPr>
            <w:r>
              <w:rPr>
                <w:color w:val="000000"/>
                <w:kern w:val="0"/>
                <w:sz w:val="22"/>
                <w:szCs w:val="22"/>
              </w:rPr>
              <w:t xml:space="preserve">1.0099 </w:t>
            </w:r>
          </w:p>
        </w:tc>
        <w:tc>
          <w:tcPr>
            <w:tcW w:w="1384" w:type="pct"/>
            <w:shd w:val="clear" w:color="auto" w:fill="auto"/>
            <w:vAlign w:val="center"/>
          </w:tcPr>
          <w:p w14:paraId="1C1B033B">
            <w:pPr>
              <w:widowControl/>
              <w:jc w:val="center"/>
              <w:rPr>
                <w:color w:val="000000"/>
                <w:kern w:val="0"/>
                <w:sz w:val="22"/>
                <w:szCs w:val="22"/>
              </w:rPr>
            </w:pPr>
            <w:r>
              <w:rPr>
                <w:color w:val="000000"/>
                <w:kern w:val="0"/>
                <w:sz w:val="22"/>
                <w:szCs w:val="22"/>
              </w:rPr>
              <w:t xml:space="preserve">1.0053 </w:t>
            </w:r>
          </w:p>
        </w:tc>
      </w:tr>
      <w:tr w14:paraId="5821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12DF1EF">
            <w:pPr>
              <w:widowControl/>
              <w:jc w:val="center"/>
              <w:rPr>
                <w:color w:val="000000"/>
                <w:kern w:val="0"/>
                <w:sz w:val="22"/>
                <w:szCs w:val="22"/>
              </w:rPr>
            </w:pPr>
            <w:r>
              <w:rPr>
                <w:color w:val="000000"/>
                <w:kern w:val="0"/>
                <w:sz w:val="22"/>
                <w:szCs w:val="22"/>
              </w:rPr>
              <w:t>-49</w:t>
            </w:r>
          </w:p>
        </w:tc>
        <w:tc>
          <w:tcPr>
            <w:tcW w:w="1572" w:type="pct"/>
            <w:gridSpan w:val="2"/>
            <w:shd w:val="clear" w:color="auto" w:fill="auto"/>
            <w:vAlign w:val="center"/>
          </w:tcPr>
          <w:p w14:paraId="7AA71AE3">
            <w:pPr>
              <w:widowControl/>
              <w:jc w:val="center"/>
              <w:rPr>
                <w:color w:val="000000"/>
                <w:kern w:val="0"/>
                <w:sz w:val="22"/>
                <w:szCs w:val="22"/>
              </w:rPr>
            </w:pPr>
            <w:r>
              <w:rPr>
                <w:color w:val="000000"/>
                <w:kern w:val="0"/>
                <w:sz w:val="22"/>
                <w:szCs w:val="22"/>
              </w:rPr>
              <w:t xml:space="preserve">1.0514 </w:t>
            </w:r>
          </w:p>
        </w:tc>
        <w:tc>
          <w:tcPr>
            <w:tcW w:w="1384" w:type="pct"/>
            <w:shd w:val="clear" w:color="auto" w:fill="auto"/>
            <w:vAlign w:val="center"/>
          </w:tcPr>
          <w:p w14:paraId="77BF7816">
            <w:pPr>
              <w:widowControl/>
              <w:jc w:val="center"/>
              <w:rPr>
                <w:color w:val="000000"/>
                <w:kern w:val="0"/>
                <w:sz w:val="22"/>
                <w:szCs w:val="22"/>
              </w:rPr>
            </w:pPr>
            <w:r>
              <w:rPr>
                <w:color w:val="000000"/>
                <w:kern w:val="0"/>
                <w:sz w:val="22"/>
                <w:szCs w:val="22"/>
              </w:rPr>
              <w:t xml:space="preserve">1.0474 </w:t>
            </w:r>
          </w:p>
        </w:tc>
      </w:tr>
      <w:tr w14:paraId="5393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2BF2F10">
            <w:pPr>
              <w:widowControl/>
              <w:jc w:val="center"/>
              <w:rPr>
                <w:color w:val="000000"/>
                <w:kern w:val="0"/>
                <w:sz w:val="22"/>
                <w:szCs w:val="22"/>
              </w:rPr>
            </w:pPr>
            <w:r>
              <w:rPr>
                <w:color w:val="000000"/>
                <w:kern w:val="0"/>
                <w:sz w:val="22"/>
                <w:szCs w:val="22"/>
              </w:rPr>
              <w:t>-48</w:t>
            </w:r>
          </w:p>
        </w:tc>
        <w:tc>
          <w:tcPr>
            <w:tcW w:w="1572" w:type="pct"/>
            <w:gridSpan w:val="2"/>
            <w:shd w:val="clear" w:color="auto" w:fill="auto"/>
            <w:vAlign w:val="center"/>
          </w:tcPr>
          <w:p w14:paraId="4B7D4730">
            <w:pPr>
              <w:widowControl/>
              <w:jc w:val="center"/>
              <w:rPr>
                <w:color w:val="000000"/>
                <w:kern w:val="0"/>
                <w:sz w:val="22"/>
                <w:szCs w:val="22"/>
              </w:rPr>
            </w:pPr>
            <w:r>
              <w:rPr>
                <w:color w:val="000000"/>
                <w:kern w:val="0"/>
                <w:sz w:val="22"/>
                <w:szCs w:val="22"/>
              </w:rPr>
              <w:t xml:space="preserve">1.0971 </w:t>
            </w:r>
          </w:p>
        </w:tc>
        <w:tc>
          <w:tcPr>
            <w:tcW w:w="1384" w:type="pct"/>
            <w:shd w:val="clear" w:color="auto" w:fill="auto"/>
            <w:vAlign w:val="center"/>
          </w:tcPr>
          <w:p w14:paraId="2020D621">
            <w:pPr>
              <w:widowControl/>
              <w:jc w:val="center"/>
              <w:rPr>
                <w:color w:val="000000"/>
                <w:kern w:val="0"/>
                <w:sz w:val="22"/>
                <w:szCs w:val="22"/>
              </w:rPr>
            </w:pPr>
            <w:r>
              <w:rPr>
                <w:color w:val="000000"/>
                <w:kern w:val="0"/>
                <w:sz w:val="22"/>
                <w:szCs w:val="22"/>
              </w:rPr>
              <w:t xml:space="preserve">1.0917 </w:t>
            </w:r>
          </w:p>
        </w:tc>
      </w:tr>
      <w:tr w14:paraId="484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DDB24DE">
            <w:pPr>
              <w:widowControl/>
              <w:jc w:val="center"/>
              <w:rPr>
                <w:color w:val="000000"/>
                <w:kern w:val="0"/>
                <w:sz w:val="22"/>
                <w:szCs w:val="22"/>
              </w:rPr>
            </w:pPr>
            <w:r>
              <w:rPr>
                <w:color w:val="000000"/>
                <w:kern w:val="0"/>
                <w:sz w:val="22"/>
                <w:szCs w:val="22"/>
              </w:rPr>
              <w:t>-47</w:t>
            </w:r>
          </w:p>
        </w:tc>
        <w:tc>
          <w:tcPr>
            <w:tcW w:w="1572" w:type="pct"/>
            <w:gridSpan w:val="2"/>
            <w:shd w:val="clear" w:color="auto" w:fill="auto"/>
            <w:vAlign w:val="center"/>
          </w:tcPr>
          <w:p w14:paraId="0B225063">
            <w:pPr>
              <w:widowControl/>
              <w:jc w:val="center"/>
              <w:rPr>
                <w:color w:val="000000"/>
                <w:kern w:val="0"/>
                <w:sz w:val="22"/>
                <w:szCs w:val="22"/>
              </w:rPr>
            </w:pPr>
            <w:r>
              <w:rPr>
                <w:color w:val="000000"/>
                <w:kern w:val="0"/>
                <w:sz w:val="22"/>
                <w:szCs w:val="22"/>
              </w:rPr>
              <w:t xml:space="preserve">1.1449 </w:t>
            </w:r>
          </w:p>
        </w:tc>
        <w:tc>
          <w:tcPr>
            <w:tcW w:w="1384" w:type="pct"/>
            <w:shd w:val="clear" w:color="auto" w:fill="auto"/>
            <w:vAlign w:val="center"/>
          </w:tcPr>
          <w:p w14:paraId="3E72A3A2">
            <w:pPr>
              <w:widowControl/>
              <w:jc w:val="center"/>
              <w:rPr>
                <w:color w:val="000000"/>
                <w:kern w:val="0"/>
                <w:sz w:val="22"/>
                <w:szCs w:val="22"/>
              </w:rPr>
            </w:pPr>
            <w:r>
              <w:rPr>
                <w:color w:val="000000"/>
                <w:kern w:val="0"/>
                <w:sz w:val="22"/>
                <w:szCs w:val="22"/>
              </w:rPr>
              <w:t xml:space="preserve">1.1395 </w:t>
            </w:r>
          </w:p>
        </w:tc>
      </w:tr>
      <w:tr w14:paraId="7345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86AE94A">
            <w:pPr>
              <w:widowControl/>
              <w:jc w:val="center"/>
              <w:rPr>
                <w:color w:val="000000"/>
                <w:kern w:val="0"/>
                <w:sz w:val="22"/>
                <w:szCs w:val="22"/>
              </w:rPr>
            </w:pPr>
            <w:r>
              <w:rPr>
                <w:color w:val="000000"/>
                <w:kern w:val="0"/>
                <w:sz w:val="22"/>
                <w:szCs w:val="22"/>
              </w:rPr>
              <w:t>-46</w:t>
            </w:r>
          </w:p>
        </w:tc>
        <w:tc>
          <w:tcPr>
            <w:tcW w:w="1572" w:type="pct"/>
            <w:gridSpan w:val="2"/>
            <w:shd w:val="clear" w:color="auto" w:fill="auto"/>
            <w:vAlign w:val="center"/>
          </w:tcPr>
          <w:p w14:paraId="08848039">
            <w:pPr>
              <w:widowControl/>
              <w:jc w:val="center"/>
              <w:rPr>
                <w:color w:val="000000"/>
                <w:kern w:val="0"/>
                <w:sz w:val="22"/>
                <w:szCs w:val="22"/>
              </w:rPr>
            </w:pPr>
            <w:r>
              <w:rPr>
                <w:color w:val="000000"/>
                <w:kern w:val="0"/>
                <w:sz w:val="22"/>
                <w:szCs w:val="22"/>
              </w:rPr>
              <w:t xml:space="preserve">1.1959 </w:t>
            </w:r>
          </w:p>
        </w:tc>
        <w:tc>
          <w:tcPr>
            <w:tcW w:w="1384" w:type="pct"/>
            <w:shd w:val="clear" w:color="auto" w:fill="auto"/>
            <w:vAlign w:val="center"/>
          </w:tcPr>
          <w:p w14:paraId="5E37B0FE">
            <w:pPr>
              <w:widowControl/>
              <w:jc w:val="center"/>
              <w:rPr>
                <w:color w:val="000000"/>
                <w:kern w:val="0"/>
                <w:sz w:val="22"/>
                <w:szCs w:val="22"/>
              </w:rPr>
            </w:pPr>
            <w:r>
              <w:rPr>
                <w:color w:val="000000"/>
                <w:kern w:val="0"/>
                <w:sz w:val="22"/>
                <w:szCs w:val="22"/>
              </w:rPr>
              <w:t xml:space="preserve">1.1904 </w:t>
            </w:r>
          </w:p>
        </w:tc>
      </w:tr>
      <w:tr w14:paraId="4D90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DF1AFA7">
            <w:pPr>
              <w:widowControl/>
              <w:jc w:val="center"/>
              <w:rPr>
                <w:color w:val="000000"/>
                <w:kern w:val="0"/>
                <w:sz w:val="22"/>
                <w:szCs w:val="22"/>
              </w:rPr>
            </w:pPr>
            <w:r>
              <w:rPr>
                <w:color w:val="000000"/>
                <w:kern w:val="0"/>
                <w:sz w:val="22"/>
                <w:szCs w:val="22"/>
              </w:rPr>
              <w:t>-45</w:t>
            </w:r>
          </w:p>
        </w:tc>
        <w:tc>
          <w:tcPr>
            <w:tcW w:w="1572" w:type="pct"/>
            <w:gridSpan w:val="2"/>
            <w:shd w:val="clear" w:color="auto" w:fill="auto"/>
            <w:vAlign w:val="center"/>
          </w:tcPr>
          <w:p w14:paraId="4BEC65DF">
            <w:pPr>
              <w:widowControl/>
              <w:jc w:val="center"/>
              <w:rPr>
                <w:color w:val="000000"/>
                <w:kern w:val="0"/>
                <w:sz w:val="22"/>
                <w:szCs w:val="22"/>
              </w:rPr>
            </w:pPr>
            <w:r>
              <w:rPr>
                <w:color w:val="000000"/>
                <w:kern w:val="0"/>
                <w:sz w:val="22"/>
                <w:szCs w:val="22"/>
              </w:rPr>
              <w:t xml:space="preserve">1.2503 </w:t>
            </w:r>
          </w:p>
        </w:tc>
        <w:tc>
          <w:tcPr>
            <w:tcW w:w="1384" w:type="pct"/>
            <w:shd w:val="clear" w:color="auto" w:fill="auto"/>
            <w:vAlign w:val="center"/>
          </w:tcPr>
          <w:p w14:paraId="470CEB70">
            <w:pPr>
              <w:widowControl/>
              <w:jc w:val="center"/>
              <w:rPr>
                <w:color w:val="000000"/>
                <w:kern w:val="0"/>
                <w:sz w:val="22"/>
                <w:szCs w:val="22"/>
              </w:rPr>
            </w:pPr>
            <w:r>
              <w:rPr>
                <w:color w:val="000000"/>
                <w:kern w:val="0"/>
                <w:sz w:val="22"/>
                <w:szCs w:val="22"/>
              </w:rPr>
              <w:t xml:space="preserve">1.2437 </w:t>
            </w:r>
          </w:p>
        </w:tc>
      </w:tr>
      <w:tr w14:paraId="6251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01C3EF5">
            <w:pPr>
              <w:widowControl/>
              <w:jc w:val="center"/>
              <w:rPr>
                <w:color w:val="000000"/>
                <w:kern w:val="0"/>
                <w:sz w:val="22"/>
                <w:szCs w:val="22"/>
              </w:rPr>
            </w:pPr>
            <w:r>
              <w:rPr>
                <w:color w:val="000000"/>
                <w:kern w:val="0"/>
                <w:sz w:val="22"/>
                <w:szCs w:val="22"/>
              </w:rPr>
              <w:t>-44</w:t>
            </w:r>
          </w:p>
        </w:tc>
        <w:tc>
          <w:tcPr>
            <w:tcW w:w="1572" w:type="pct"/>
            <w:gridSpan w:val="2"/>
            <w:shd w:val="clear" w:color="auto" w:fill="auto"/>
            <w:vAlign w:val="center"/>
          </w:tcPr>
          <w:p w14:paraId="46A80A2E">
            <w:pPr>
              <w:widowControl/>
              <w:jc w:val="center"/>
              <w:rPr>
                <w:color w:val="000000"/>
                <w:kern w:val="0"/>
                <w:sz w:val="22"/>
                <w:szCs w:val="22"/>
              </w:rPr>
            </w:pPr>
            <w:r>
              <w:rPr>
                <w:color w:val="000000"/>
                <w:kern w:val="0"/>
                <w:sz w:val="22"/>
                <w:szCs w:val="22"/>
              </w:rPr>
              <w:t xml:space="preserve">1.3088 </w:t>
            </w:r>
          </w:p>
        </w:tc>
        <w:tc>
          <w:tcPr>
            <w:tcW w:w="1384" w:type="pct"/>
            <w:shd w:val="clear" w:color="auto" w:fill="auto"/>
            <w:vAlign w:val="center"/>
          </w:tcPr>
          <w:p w14:paraId="379B63FF">
            <w:pPr>
              <w:widowControl/>
              <w:jc w:val="center"/>
              <w:rPr>
                <w:color w:val="000000"/>
                <w:kern w:val="0"/>
                <w:sz w:val="22"/>
                <w:szCs w:val="22"/>
              </w:rPr>
            </w:pPr>
            <w:r>
              <w:rPr>
                <w:color w:val="000000"/>
                <w:kern w:val="0"/>
                <w:sz w:val="22"/>
                <w:szCs w:val="22"/>
              </w:rPr>
              <w:t xml:space="preserve">1.3015 </w:t>
            </w:r>
          </w:p>
        </w:tc>
      </w:tr>
      <w:tr w14:paraId="306D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B6D8D1E">
            <w:pPr>
              <w:widowControl/>
              <w:jc w:val="center"/>
              <w:rPr>
                <w:color w:val="000000"/>
                <w:kern w:val="0"/>
                <w:sz w:val="22"/>
                <w:szCs w:val="22"/>
              </w:rPr>
            </w:pPr>
            <w:r>
              <w:rPr>
                <w:color w:val="000000"/>
                <w:kern w:val="0"/>
                <w:sz w:val="22"/>
                <w:szCs w:val="22"/>
              </w:rPr>
              <w:t>-43</w:t>
            </w:r>
          </w:p>
        </w:tc>
        <w:tc>
          <w:tcPr>
            <w:tcW w:w="1572" w:type="pct"/>
            <w:gridSpan w:val="2"/>
            <w:shd w:val="clear" w:color="auto" w:fill="auto"/>
            <w:vAlign w:val="center"/>
          </w:tcPr>
          <w:p w14:paraId="34CBAE70">
            <w:pPr>
              <w:widowControl/>
              <w:jc w:val="center"/>
              <w:rPr>
                <w:color w:val="000000"/>
                <w:kern w:val="0"/>
                <w:sz w:val="22"/>
                <w:szCs w:val="22"/>
              </w:rPr>
            </w:pPr>
            <w:r>
              <w:rPr>
                <w:color w:val="000000"/>
                <w:kern w:val="0"/>
                <w:sz w:val="22"/>
                <w:szCs w:val="22"/>
              </w:rPr>
              <w:t xml:space="preserve">1.3717 </w:t>
            </w:r>
          </w:p>
        </w:tc>
        <w:tc>
          <w:tcPr>
            <w:tcW w:w="1384" w:type="pct"/>
            <w:shd w:val="clear" w:color="auto" w:fill="auto"/>
            <w:vAlign w:val="center"/>
          </w:tcPr>
          <w:p w14:paraId="04EFBFF4">
            <w:pPr>
              <w:widowControl/>
              <w:jc w:val="center"/>
              <w:rPr>
                <w:color w:val="000000"/>
                <w:kern w:val="0"/>
                <w:sz w:val="22"/>
                <w:szCs w:val="22"/>
              </w:rPr>
            </w:pPr>
            <w:r>
              <w:rPr>
                <w:color w:val="000000"/>
                <w:kern w:val="0"/>
                <w:sz w:val="22"/>
                <w:szCs w:val="22"/>
              </w:rPr>
              <w:t xml:space="preserve">1.3637 </w:t>
            </w:r>
          </w:p>
        </w:tc>
      </w:tr>
      <w:tr w14:paraId="585B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A05FAF8">
            <w:pPr>
              <w:widowControl/>
              <w:jc w:val="center"/>
              <w:rPr>
                <w:color w:val="000000"/>
                <w:kern w:val="0"/>
                <w:sz w:val="22"/>
                <w:szCs w:val="22"/>
              </w:rPr>
            </w:pPr>
            <w:r>
              <w:rPr>
                <w:color w:val="000000"/>
                <w:kern w:val="0"/>
                <w:sz w:val="22"/>
                <w:szCs w:val="22"/>
              </w:rPr>
              <w:t>-42</w:t>
            </w:r>
          </w:p>
        </w:tc>
        <w:tc>
          <w:tcPr>
            <w:tcW w:w="1572" w:type="pct"/>
            <w:gridSpan w:val="2"/>
            <w:shd w:val="clear" w:color="auto" w:fill="auto"/>
            <w:vAlign w:val="center"/>
          </w:tcPr>
          <w:p w14:paraId="0279E213">
            <w:pPr>
              <w:widowControl/>
              <w:jc w:val="center"/>
              <w:rPr>
                <w:color w:val="000000"/>
                <w:kern w:val="0"/>
                <w:sz w:val="22"/>
                <w:szCs w:val="22"/>
              </w:rPr>
            </w:pPr>
            <w:r>
              <w:rPr>
                <w:color w:val="000000"/>
                <w:kern w:val="0"/>
                <w:sz w:val="22"/>
                <w:szCs w:val="22"/>
              </w:rPr>
              <w:t xml:space="preserve">1.4389 </w:t>
            </w:r>
          </w:p>
        </w:tc>
        <w:tc>
          <w:tcPr>
            <w:tcW w:w="1384" w:type="pct"/>
            <w:shd w:val="clear" w:color="auto" w:fill="auto"/>
            <w:vAlign w:val="center"/>
          </w:tcPr>
          <w:p w14:paraId="18E2AE8C">
            <w:pPr>
              <w:widowControl/>
              <w:jc w:val="center"/>
              <w:rPr>
                <w:color w:val="000000"/>
                <w:kern w:val="0"/>
                <w:sz w:val="22"/>
                <w:szCs w:val="22"/>
              </w:rPr>
            </w:pPr>
            <w:r>
              <w:rPr>
                <w:color w:val="000000"/>
                <w:kern w:val="0"/>
                <w:sz w:val="22"/>
                <w:szCs w:val="22"/>
              </w:rPr>
              <w:t xml:space="preserve">1.4304 </w:t>
            </w:r>
          </w:p>
        </w:tc>
      </w:tr>
      <w:tr w14:paraId="7E6C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8440EB5">
            <w:pPr>
              <w:widowControl/>
              <w:jc w:val="center"/>
              <w:rPr>
                <w:color w:val="000000"/>
                <w:kern w:val="0"/>
                <w:sz w:val="22"/>
                <w:szCs w:val="22"/>
              </w:rPr>
            </w:pPr>
            <w:r>
              <w:rPr>
                <w:color w:val="000000"/>
                <w:kern w:val="0"/>
                <w:sz w:val="22"/>
                <w:szCs w:val="22"/>
              </w:rPr>
              <w:t>-41</w:t>
            </w:r>
          </w:p>
        </w:tc>
        <w:tc>
          <w:tcPr>
            <w:tcW w:w="1572" w:type="pct"/>
            <w:gridSpan w:val="2"/>
            <w:shd w:val="clear" w:color="auto" w:fill="auto"/>
            <w:vAlign w:val="center"/>
          </w:tcPr>
          <w:p w14:paraId="45F50926">
            <w:pPr>
              <w:widowControl/>
              <w:jc w:val="center"/>
              <w:rPr>
                <w:color w:val="000000"/>
                <w:kern w:val="0"/>
                <w:sz w:val="22"/>
                <w:szCs w:val="22"/>
              </w:rPr>
            </w:pPr>
            <w:r>
              <w:rPr>
                <w:color w:val="000000"/>
                <w:kern w:val="0"/>
                <w:sz w:val="22"/>
                <w:szCs w:val="22"/>
              </w:rPr>
              <w:t xml:space="preserve">1.5115 </w:t>
            </w:r>
          </w:p>
        </w:tc>
        <w:tc>
          <w:tcPr>
            <w:tcW w:w="1384" w:type="pct"/>
            <w:shd w:val="clear" w:color="auto" w:fill="auto"/>
            <w:vAlign w:val="center"/>
          </w:tcPr>
          <w:p w14:paraId="646CD703">
            <w:pPr>
              <w:widowControl/>
              <w:jc w:val="center"/>
              <w:rPr>
                <w:color w:val="000000"/>
                <w:kern w:val="0"/>
                <w:sz w:val="22"/>
                <w:szCs w:val="22"/>
              </w:rPr>
            </w:pPr>
            <w:r>
              <w:rPr>
                <w:color w:val="000000"/>
                <w:kern w:val="0"/>
                <w:sz w:val="22"/>
                <w:szCs w:val="22"/>
              </w:rPr>
              <w:t xml:space="preserve">1.5018 </w:t>
            </w:r>
          </w:p>
        </w:tc>
      </w:tr>
      <w:tr w14:paraId="1929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3964591">
            <w:pPr>
              <w:widowControl/>
              <w:jc w:val="center"/>
              <w:rPr>
                <w:color w:val="000000"/>
                <w:kern w:val="0"/>
                <w:sz w:val="22"/>
                <w:szCs w:val="22"/>
              </w:rPr>
            </w:pPr>
            <w:r>
              <w:rPr>
                <w:color w:val="000000"/>
                <w:kern w:val="0"/>
                <w:sz w:val="22"/>
                <w:szCs w:val="22"/>
              </w:rPr>
              <w:t>-40</w:t>
            </w:r>
          </w:p>
        </w:tc>
        <w:tc>
          <w:tcPr>
            <w:tcW w:w="1572" w:type="pct"/>
            <w:gridSpan w:val="2"/>
            <w:shd w:val="clear" w:color="auto" w:fill="auto"/>
            <w:vAlign w:val="center"/>
          </w:tcPr>
          <w:p w14:paraId="56F78059">
            <w:pPr>
              <w:widowControl/>
              <w:jc w:val="center"/>
              <w:rPr>
                <w:color w:val="000000"/>
                <w:kern w:val="0"/>
                <w:sz w:val="22"/>
                <w:szCs w:val="22"/>
              </w:rPr>
            </w:pPr>
            <w:r>
              <w:rPr>
                <w:color w:val="000000"/>
                <w:kern w:val="0"/>
                <w:sz w:val="22"/>
                <w:szCs w:val="22"/>
              </w:rPr>
              <w:t xml:space="preserve">1.5897 </w:t>
            </w:r>
          </w:p>
        </w:tc>
        <w:tc>
          <w:tcPr>
            <w:tcW w:w="1384" w:type="pct"/>
            <w:shd w:val="clear" w:color="auto" w:fill="auto"/>
            <w:vAlign w:val="center"/>
          </w:tcPr>
          <w:p w14:paraId="7003CAC5">
            <w:pPr>
              <w:widowControl/>
              <w:jc w:val="center"/>
              <w:rPr>
                <w:color w:val="000000"/>
                <w:kern w:val="0"/>
                <w:sz w:val="22"/>
                <w:szCs w:val="22"/>
              </w:rPr>
            </w:pPr>
            <w:r>
              <w:rPr>
                <w:color w:val="000000"/>
                <w:kern w:val="0"/>
                <w:sz w:val="22"/>
                <w:szCs w:val="22"/>
              </w:rPr>
              <w:t xml:space="preserve">1.5788 </w:t>
            </w:r>
          </w:p>
        </w:tc>
      </w:tr>
      <w:tr w14:paraId="1122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6964ABE">
            <w:pPr>
              <w:widowControl/>
              <w:jc w:val="center"/>
              <w:rPr>
                <w:color w:val="000000"/>
                <w:kern w:val="0"/>
                <w:sz w:val="22"/>
                <w:szCs w:val="22"/>
              </w:rPr>
            </w:pPr>
            <w:r>
              <w:rPr>
                <w:color w:val="000000"/>
                <w:kern w:val="0"/>
                <w:sz w:val="22"/>
                <w:szCs w:val="22"/>
              </w:rPr>
              <w:t>-39</w:t>
            </w:r>
          </w:p>
        </w:tc>
        <w:tc>
          <w:tcPr>
            <w:tcW w:w="1572" w:type="pct"/>
            <w:gridSpan w:val="2"/>
            <w:shd w:val="clear" w:color="auto" w:fill="auto"/>
            <w:vAlign w:val="center"/>
          </w:tcPr>
          <w:p w14:paraId="2EBE43A0">
            <w:pPr>
              <w:widowControl/>
              <w:jc w:val="center"/>
              <w:rPr>
                <w:color w:val="000000"/>
                <w:kern w:val="0"/>
                <w:sz w:val="22"/>
                <w:szCs w:val="22"/>
              </w:rPr>
            </w:pPr>
            <w:r>
              <w:rPr>
                <w:color w:val="000000"/>
                <w:kern w:val="0"/>
                <w:sz w:val="22"/>
                <w:szCs w:val="22"/>
              </w:rPr>
              <w:t xml:space="preserve">1.6745 </w:t>
            </w:r>
          </w:p>
        </w:tc>
        <w:tc>
          <w:tcPr>
            <w:tcW w:w="1384" w:type="pct"/>
            <w:shd w:val="clear" w:color="auto" w:fill="auto"/>
            <w:vAlign w:val="center"/>
          </w:tcPr>
          <w:p w14:paraId="54351A7B">
            <w:pPr>
              <w:widowControl/>
              <w:jc w:val="center"/>
              <w:rPr>
                <w:color w:val="000000"/>
                <w:kern w:val="0"/>
                <w:sz w:val="22"/>
                <w:szCs w:val="22"/>
              </w:rPr>
            </w:pPr>
            <w:r>
              <w:rPr>
                <w:color w:val="000000"/>
                <w:kern w:val="0"/>
                <w:sz w:val="22"/>
                <w:szCs w:val="22"/>
              </w:rPr>
              <w:t xml:space="preserve">1.6629 </w:t>
            </w:r>
          </w:p>
        </w:tc>
      </w:tr>
      <w:tr w14:paraId="3B24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86AC862">
            <w:pPr>
              <w:widowControl/>
              <w:jc w:val="center"/>
              <w:rPr>
                <w:color w:val="000000"/>
                <w:kern w:val="0"/>
                <w:sz w:val="22"/>
                <w:szCs w:val="22"/>
              </w:rPr>
            </w:pPr>
            <w:r>
              <w:rPr>
                <w:color w:val="000000"/>
                <w:kern w:val="0"/>
                <w:sz w:val="22"/>
                <w:szCs w:val="22"/>
              </w:rPr>
              <w:t>-38</w:t>
            </w:r>
          </w:p>
        </w:tc>
        <w:tc>
          <w:tcPr>
            <w:tcW w:w="1572" w:type="pct"/>
            <w:gridSpan w:val="2"/>
            <w:shd w:val="clear" w:color="auto" w:fill="auto"/>
            <w:vAlign w:val="center"/>
          </w:tcPr>
          <w:p w14:paraId="33965196">
            <w:pPr>
              <w:widowControl/>
              <w:jc w:val="center"/>
              <w:rPr>
                <w:color w:val="000000"/>
                <w:kern w:val="0"/>
                <w:sz w:val="22"/>
                <w:szCs w:val="22"/>
              </w:rPr>
            </w:pPr>
            <w:r>
              <w:rPr>
                <w:color w:val="000000"/>
                <w:kern w:val="0"/>
                <w:sz w:val="22"/>
                <w:szCs w:val="22"/>
              </w:rPr>
              <w:t xml:space="preserve">1.7659 </w:t>
            </w:r>
          </w:p>
        </w:tc>
        <w:tc>
          <w:tcPr>
            <w:tcW w:w="1384" w:type="pct"/>
            <w:shd w:val="clear" w:color="auto" w:fill="auto"/>
            <w:vAlign w:val="center"/>
          </w:tcPr>
          <w:p w14:paraId="28C4B63E">
            <w:pPr>
              <w:widowControl/>
              <w:jc w:val="center"/>
              <w:rPr>
                <w:color w:val="000000"/>
                <w:kern w:val="0"/>
                <w:sz w:val="22"/>
                <w:szCs w:val="22"/>
              </w:rPr>
            </w:pPr>
            <w:r>
              <w:rPr>
                <w:color w:val="000000"/>
                <w:kern w:val="0"/>
                <w:sz w:val="22"/>
                <w:szCs w:val="22"/>
              </w:rPr>
              <w:t xml:space="preserve">1.7527 </w:t>
            </w:r>
          </w:p>
        </w:tc>
      </w:tr>
      <w:tr w14:paraId="011D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948E2B1">
            <w:pPr>
              <w:widowControl/>
              <w:jc w:val="center"/>
              <w:rPr>
                <w:color w:val="000000"/>
                <w:kern w:val="0"/>
                <w:sz w:val="22"/>
                <w:szCs w:val="22"/>
              </w:rPr>
            </w:pPr>
            <w:r>
              <w:rPr>
                <w:color w:val="000000"/>
                <w:kern w:val="0"/>
                <w:sz w:val="22"/>
                <w:szCs w:val="22"/>
              </w:rPr>
              <w:t>-37</w:t>
            </w:r>
          </w:p>
        </w:tc>
        <w:tc>
          <w:tcPr>
            <w:tcW w:w="1572" w:type="pct"/>
            <w:gridSpan w:val="2"/>
            <w:shd w:val="clear" w:color="auto" w:fill="auto"/>
            <w:vAlign w:val="center"/>
          </w:tcPr>
          <w:p w14:paraId="4C2D4BC2">
            <w:pPr>
              <w:widowControl/>
              <w:jc w:val="center"/>
              <w:rPr>
                <w:color w:val="000000"/>
                <w:kern w:val="0"/>
                <w:sz w:val="22"/>
                <w:szCs w:val="22"/>
              </w:rPr>
            </w:pPr>
            <w:r>
              <w:rPr>
                <w:color w:val="000000"/>
                <w:kern w:val="0"/>
                <w:sz w:val="22"/>
                <w:szCs w:val="22"/>
              </w:rPr>
              <w:t xml:space="preserve">1.8652 </w:t>
            </w:r>
          </w:p>
        </w:tc>
        <w:tc>
          <w:tcPr>
            <w:tcW w:w="1384" w:type="pct"/>
            <w:shd w:val="clear" w:color="auto" w:fill="auto"/>
            <w:vAlign w:val="center"/>
          </w:tcPr>
          <w:p w14:paraId="00C038CF">
            <w:pPr>
              <w:widowControl/>
              <w:jc w:val="center"/>
              <w:rPr>
                <w:color w:val="000000"/>
                <w:kern w:val="0"/>
                <w:sz w:val="22"/>
                <w:szCs w:val="22"/>
              </w:rPr>
            </w:pPr>
            <w:r>
              <w:rPr>
                <w:color w:val="000000"/>
                <w:kern w:val="0"/>
                <w:sz w:val="22"/>
                <w:szCs w:val="22"/>
              </w:rPr>
              <w:t xml:space="preserve">1.8498 </w:t>
            </w:r>
          </w:p>
        </w:tc>
      </w:tr>
      <w:tr w14:paraId="761C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2111DFB">
            <w:pPr>
              <w:widowControl/>
              <w:jc w:val="center"/>
              <w:rPr>
                <w:color w:val="000000"/>
                <w:kern w:val="0"/>
                <w:sz w:val="22"/>
                <w:szCs w:val="22"/>
              </w:rPr>
            </w:pPr>
            <w:r>
              <w:rPr>
                <w:color w:val="000000"/>
                <w:kern w:val="0"/>
                <w:sz w:val="22"/>
                <w:szCs w:val="22"/>
              </w:rPr>
              <w:t>-36</w:t>
            </w:r>
          </w:p>
        </w:tc>
        <w:tc>
          <w:tcPr>
            <w:tcW w:w="1572" w:type="pct"/>
            <w:gridSpan w:val="2"/>
            <w:shd w:val="clear" w:color="auto" w:fill="auto"/>
            <w:vAlign w:val="center"/>
          </w:tcPr>
          <w:p w14:paraId="15B807AB">
            <w:pPr>
              <w:widowControl/>
              <w:jc w:val="center"/>
              <w:rPr>
                <w:color w:val="000000"/>
                <w:kern w:val="0"/>
                <w:sz w:val="22"/>
                <w:szCs w:val="22"/>
              </w:rPr>
            </w:pPr>
            <w:r>
              <w:rPr>
                <w:color w:val="000000"/>
                <w:kern w:val="0"/>
                <w:sz w:val="22"/>
                <w:szCs w:val="22"/>
              </w:rPr>
              <w:t xml:space="preserve">1.9732 </w:t>
            </w:r>
          </w:p>
        </w:tc>
        <w:tc>
          <w:tcPr>
            <w:tcW w:w="1384" w:type="pct"/>
            <w:shd w:val="clear" w:color="auto" w:fill="auto"/>
            <w:vAlign w:val="center"/>
          </w:tcPr>
          <w:p w14:paraId="500AF646">
            <w:pPr>
              <w:widowControl/>
              <w:jc w:val="center"/>
              <w:rPr>
                <w:color w:val="000000"/>
                <w:kern w:val="0"/>
                <w:sz w:val="22"/>
                <w:szCs w:val="22"/>
              </w:rPr>
            </w:pPr>
            <w:r>
              <w:rPr>
                <w:color w:val="000000"/>
                <w:kern w:val="0"/>
                <w:sz w:val="22"/>
                <w:szCs w:val="22"/>
              </w:rPr>
              <w:t xml:space="preserve">1.9565 </w:t>
            </w:r>
          </w:p>
        </w:tc>
      </w:tr>
      <w:tr w14:paraId="178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0D94625">
            <w:pPr>
              <w:widowControl/>
              <w:jc w:val="center"/>
              <w:rPr>
                <w:color w:val="000000"/>
                <w:kern w:val="0"/>
                <w:sz w:val="22"/>
                <w:szCs w:val="22"/>
              </w:rPr>
            </w:pPr>
            <w:r>
              <w:rPr>
                <w:color w:val="000000"/>
                <w:kern w:val="0"/>
                <w:sz w:val="22"/>
                <w:szCs w:val="22"/>
              </w:rPr>
              <w:t>-35</w:t>
            </w:r>
          </w:p>
        </w:tc>
        <w:tc>
          <w:tcPr>
            <w:tcW w:w="1572" w:type="pct"/>
            <w:gridSpan w:val="2"/>
            <w:shd w:val="clear" w:color="auto" w:fill="auto"/>
            <w:vAlign w:val="center"/>
          </w:tcPr>
          <w:p w14:paraId="3A64DA79">
            <w:pPr>
              <w:widowControl/>
              <w:jc w:val="center"/>
              <w:rPr>
                <w:color w:val="000000"/>
                <w:kern w:val="0"/>
                <w:sz w:val="22"/>
                <w:szCs w:val="22"/>
              </w:rPr>
            </w:pPr>
            <w:r>
              <w:rPr>
                <w:color w:val="000000"/>
                <w:kern w:val="0"/>
                <w:sz w:val="22"/>
                <w:szCs w:val="22"/>
              </w:rPr>
              <w:t xml:space="preserve">2.0907 </w:t>
            </w:r>
          </w:p>
        </w:tc>
        <w:tc>
          <w:tcPr>
            <w:tcW w:w="1384" w:type="pct"/>
            <w:shd w:val="clear" w:color="auto" w:fill="auto"/>
            <w:vAlign w:val="center"/>
          </w:tcPr>
          <w:p w14:paraId="4A1E366A">
            <w:pPr>
              <w:widowControl/>
              <w:jc w:val="center"/>
              <w:rPr>
                <w:color w:val="000000"/>
                <w:kern w:val="0"/>
                <w:sz w:val="22"/>
                <w:szCs w:val="22"/>
              </w:rPr>
            </w:pPr>
            <w:r>
              <w:rPr>
                <w:color w:val="000000"/>
                <w:kern w:val="0"/>
                <w:sz w:val="22"/>
                <w:szCs w:val="22"/>
              </w:rPr>
              <w:t xml:space="preserve">2.0716 </w:t>
            </w:r>
          </w:p>
        </w:tc>
      </w:tr>
      <w:tr w14:paraId="6AB1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5717A1B">
            <w:pPr>
              <w:widowControl/>
              <w:jc w:val="center"/>
              <w:rPr>
                <w:color w:val="000000"/>
                <w:kern w:val="0"/>
                <w:sz w:val="22"/>
                <w:szCs w:val="22"/>
              </w:rPr>
            </w:pPr>
            <w:r>
              <w:rPr>
                <w:color w:val="000000"/>
                <w:kern w:val="0"/>
                <w:sz w:val="22"/>
                <w:szCs w:val="22"/>
              </w:rPr>
              <w:t>-34</w:t>
            </w:r>
          </w:p>
        </w:tc>
        <w:tc>
          <w:tcPr>
            <w:tcW w:w="1572" w:type="pct"/>
            <w:gridSpan w:val="2"/>
            <w:shd w:val="clear" w:color="auto" w:fill="auto"/>
            <w:vAlign w:val="center"/>
          </w:tcPr>
          <w:p w14:paraId="3D6607CE">
            <w:pPr>
              <w:widowControl/>
              <w:jc w:val="center"/>
              <w:rPr>
                <w:color w:val="000000"/>
                <w:kern w:val="0"/>
                <w:sz w:val="22"/>
                <w:szCs w:val="22"/>
              </w:rPr>
            </w:pPr>
            <w:r>
              <w:rPr>
                <w:color w:val="000000"/>
                <w:kern w:val="0"/>
                <w:sz w:val="22"/>
                <w:szCs w:val="22"/>
              </w:rPr>
              <w:t xml:space="preserve">2.2193 </w:t>
            </w:r>
          </w:p>
        </w:tc>
        <w:tc>
          <w:tcPr>
            <w:tcW w:w="1384" w:type="pct"/>
            <w:shd w:val="clear" w:color="auto" w:fill="auto"/>
            <w:vAlign w:val="center"/>
          </w:tcPr>
          <w:p w14:paraId="0E464F8E">
            <w:pPr>
              <w:widowControl/>
              <w:jc w:val="center"/>
              <w:rPr>
                <w:color w:val="000000"/>
                <w:kern w:val="0"/>
                <w:sz w:val="22"/>
                <w:szCs w:val="22"/>
              </w:rPr>
            </w:pPr>
            <w:r>
              <w:rPr>
                <w:color w:val="000000"/>
                <w:kern w:val="0"/>
                <w:sz w:val="22"/>
                <w:szCs w:val="22"/>
              </w:rPr>
              <w:t xml:space="preserve">2.1974 </w:t>
            </w:r>
          </w:p>
        </w:tc>
      </w:tr>
      <w:tr w14:paraId="0CFA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CB5EB0A">
            <w:pPr>
              <w:widowControl/>
              <w:jc w:val="center"/>
              <w:rPr>
                <w:color w:val="000000"/>
                <w:kern w:val="0"/>
                <w:sz w:val="22"/>
                <w:szCs w:val="22"/>
              </w:rPr>
            </w:pPr>
            <w:r>
              <w:rPr>
                <w:color w:val="000000"/>
                <w:kern w:val="0"/>
                <w:sz w:val="22"/>
                <w:szCs w:val="22"/>
              </w:rPr>
              <w:t>-33</w:t>
            </w:r>
          </w:p>
        </w:tc>
        <w:tc>
          <w:tcPr>
            <w:tcW w:w="1572" w:type="pct"/>
            <w:gridSpan w:val="2"/>
            <w:shd w:val="clear" w:color="auto" w:fill="auto"/>
            <w:vAlign w:val="center"/>
          </w:tcPr>
          <w:p w14:paraId="2A06B7B9">
            <w:pPr>
              <w:widowControl/>
              <w:jc w:val="center"/>
              <w:rPr>
                <w:color w:val="000000"/>
                <w:kern w:val="0"/>
                <w:sz w:val="22"/>
                <w:szCs w:val="22"/>
              </w:rPr>
            </w:pPr>
            <w:r>
              <w:rPr>
                <w:color w:val="000000"/>
                <w:kern w:val="0"/>
                <w:sz w:val="22"/>
                <w:szCs w:val="22"/>
              </w:rPr>
              <w:t xml:space="preserve">2.3596 </w:t>
            </w:r>
          </w:p>
        </w:tc>
        <w:tc>
          <w:tcPr>
            <w:tcW w:w="1384" w:type="pct"/>
            <w:shd w:val="clear" w:color="auto" w:fill="auto"/>
            <w:vAlign w:val="center"/>
          </w:tcPr>
          <w:p w14:paraId="5EC30CEC">
            <w:pPr>
              <w:widowControl/>
              <w:jc w:val="center"/>
              <w:rPr>
                <w:color w:val="000000"/>
                <w:kern w:val="0"/>
                <w:sz w:val="22"/>
                <w:szCs w:val="22"/>
              </w:rPr>
            </w:pPr>
            <w:r>
              <w:rPr>
                <w:color w:val="000000"/>
                <w:kern w:val="0"/>
                <w:sz w:val="22"/>
                <w:szCs w:val="22"/>
              </w:rPr>
              <w:t xml:space="preserve">2.3358 </w:t>
            </w:r>
          </w:p>
        </w:tc>
      </w:tr>
      <w:tr w14:paraId="2CE3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32CEF8D">
            <w:pPr>
              <w:widowControl/>
              <w:jc w:val="center"/>
              <w:rPr>
                <w:color w:val="000000"/>
                <w:kern w:val="0"/>
                <w:sz w:val="22"/>
                <w:szCs w:val="22"/>
              </w:rPr>
            </w:pPr>
            <w:r>
              <w:rPr>
                <w:color w:val="000000"/>
                <w:kern w:val="0"/>
                <w:sz w:val="22"/>
                <w:szCs w:val="22"/>
              </w:rPr>
              <w:t>-32</w:t>
            </w:r>
          </w:p>
        </w:tc>
        <w:tc>
          <w:tcPr>
            <w:tcW w:w="1572" w:type="pct"/>
            <w:gridSpan w:val="2"/>
            <w:shd w:val="clear" w:color="auto" w:fill="auto"/>
            <w:vAlign w:val="center"/>
          </w:tcPr>
          <w:p w14:paraId="6DEEA539">
            <w:pPr>
              <w:widowControl/>
              <w:jc w:val="center"/>
              <w:rPr>
                <w:color w:val="000000"/>
                <w:kern w:val="0"/>
                <w:sz w:val="22"/>
                <w:szCs w:val="22"/>
              </w:rPr>
            </w:pPr>
            <w:r>
              <w:rPr>
                <w:color w:val="000000"/>
                <w:kern w:val="0"/>
                <w:sz w:val="22"/>
                <w:szCs w:val="22"/>
              </w:rPr>
              <w:t xml:space="preserve">2.5139 </w:t>
            </w:r>
          </w:p>
        </w:tc>
        <w:tc>
          <w:tcPr>
            <w:tcW w:w="1384" w:type="pct"/>
            <w:shd w:val="clear" w:color="auto" w:fill="auto"/>
            <w:vAlign w:val="center"/>
          </w:tcPr>
          <w:p w14:paraId="774573F7">
            <w:pPr>
              <w:widowControl/>
              <w:jc w:val="center"/>
              <w:rPr>
                <w:color w:val="000000"/>
                <w:kern w:val="0"/>
                <w:sz w:val="22"/>
                <w:szCs w:val="22"/>
              </w:rPr>
            </w:pPr>
            <w:r>
              <w:rPr>
                <w:color w:val="000000"/>
                <w:kern w:val="0"/>
                <w:sz w:val="22"/>
                <w:szCs w:val="22"/>
              </w:rPr>
              <w:t xml:space="preserve">2.4870 </w:t>
            </w:r>
          </w:p>
        </w:tc>
      </w:tr>
      <w:tr w14:paraId="5085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501F546">
            <w:pPr>
              <w:widowControl/>
              <w:jc w:val="center"/>
              <w:rPr>
                <w:color w:val="000000"/>
                <w:kern w:val="0"/>
                <w:sz w:val="22"/>
                <w:szCs w:val="22"/>
              </w:rPr>
            </w:pPr>
            <w:r>
              <w:rPr>
                <w:color w:val="000000"/>
                <w:kern w:val="0"/>
                <w:sz w:val="22"/>
                <w:szCs w:val="22"/>
              </w:rPr>
              <w:t>-31</w:t>
            </w:r>
          </w:p>
        </w:tc>
        <w:tc>
          <w:tcPr>
            <w:tcW w:w="1572" w:type="pct"/>
            <w:gridSpan w:val="2"/>
            <w:shd w:val="clear" w:color="auto" w:fill="auto"/>
            <w:vAlign w:val="center"/>
          </w:tcPr>
          <w:p w14:paraId="272B56FF">
            <w:pPr>
              <w:widowControl/>
              <w:jc w:val="center"/>
              <w:rPr>
                <w:color w:val="000000"/>
                <w:kern w:val="0"/>
                <w:sz w:val="22"/>
                <w:szCs w:val="22"/>
              </w:rPr>
            </w:pPr>
            <w:r>
              <w:rPr>
                <w:color w:val="000000"/>
                <w:kern w:val="0"/>
                <w:sz w:val="22"/>
                <w:szCs w:val="22"/>
              </w:rPr>
              <w:t xml:space="preserve">2.6848 </w:t>
            </w:r>
          </w:p>
        </w:tc>
        <w:tc>
          <w:tcPr>
            <w:tcW w:w="1384" w:type="pct"/>
            <w:shd w:val="clear" w:color="auto" w:fill="auto"/>
            <w:vAlign w:val="center"/>
          </w:tcPr>
          <w:p w14:paraId="44B542F0">
            <w:pPr>
              <w:widowControl/>
              <w:jc w:val="center"/>
              <w:rPr>
                <w:color w:val="000000"/>
                <w:kern w:val="0"/>
                <w:sz w:val="22"/>
                <w:szCs w:val="22"/>
              </w:rPr>
            </w:pPr>
            <w:r>
              <w:rPr>
                <w:color w:val="000000"/>
                <w:kern w:val="0"/>
                <w:sz w:val="22"/>
                <w:szCs w:val="22"/>
              </w:rPr>
              <w:t xml:space="preserve">2.6527 </w:t>
            </w:r>
          </w:p>
        </w:tc>
      </w:tr>
      <w:tr w14:paraId="1C23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77D8A94">
            <w:pPr>
              <w:widowControl/>
              <w:jc w:val="center"/>
              <w:rPr>
                <w:color w:val="000000"/>
                <w:kern w:val="0"/>
                <w:sz w:val="22"/>
                <w:szCs w:val="22"/>
              </w:rPr>
            </w:pPr>
            <w:r>
              <w:rPr>
                <w:color w:val="000000"/>
                <w:kern w:val="0"/>
                <w:sz w:val="22"/>
                <w:szCs w:val="22"/>
              </w:rPr>
              <w:t>-30</w:t>
            </w:r>
          </w:p>
        </w:tc>
        <w:tc>
          <w:tcPr>
            <w:tcW w:w="1572" w:type="pct"/>
            <w:gridSpan w:val="2"/>
            <w:shd w:val="clear" w:color="auto" w:fill="auto"/>
            <w:vAlign w:val="center"/>
          </w:tcPr>
          <w:p w14:paraId="163A14A1">
            <w:pPr>
              <w:widowControl/>
              <w:jc w:val="center"/>
              <w:rPr>
                <w:color w:val="000000"/>
                <w:kern w:val="0"/>
                <w:sz w:val="22"/>
                <w:szCs w:val="22"/>
              </w:rPr>
            </w:pPr>
            <w:r>
              <w:rPr>
                <w:color w:val="000000"/>
                <w:kern w:val="0"/>
                <w:sz w:val="22"/>
                <w:szCs w:val="22"/>
              </w:rPr>
              <w:t xml:space="preserve">2.8736 </w:t>
            </w:r>
          </w:p>
        </w:tc>
        <w:tc>
          <w:tcPr>
            <w:tcW w:w="1384" w:type="pct"/>
            <w:shd w:val="clear" w:color="auto" w:fill="auto"/>
            <w:vAlign w:val="center"/>
          </w:tcPr>
          <w:p w14:paraId="4D361531">
            <w:pPr>
              <w:widowControl/>
              <w:jc w:val="center"/>
              <w:rPr>
                <w:color w:val="000000"/>
                <w:kern w:val="0"/>
                <w:sz w:val="22"/>
                <w:szCs w:val="22"/>
              </w:rPr>
            </w:pPr>
            <w:r>
              <w:rPr>
                <w:color w:val="000000"/>
                <w:kern w:val="0"/>
                <w:sz w:val="22"/>
                <w:szCs w:val="22"/>
              </w:rPr>
              <w:t xml:space="preserve">2.8367 </w:t>
            </w:r>
          </w:p>
        </w:tc>
      </w:tr>
      <w:tr w14:paraId="1F37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6ED0965">
            <w:pPr>
              <w:widowControl/>
              <w:jc w:val="center"/>
              <w:rPr>
                <w:color w:val="000000"/>
                <w:kern w:val="0"/>
                <w:sz w:val="22"/>
                <w:szCs w:val="22"/>
              </w:rPr>
            </w:pPr>
            <w:r>
              <w:rPr>
                <w:color w:val="000000"/>
                <w:kern w:val="0"/>
                <w:sz w:val="22"/>
                <w:szCs w:val="22"/>
              </w:rPr>
              <w:t>-29</w:t>
            </w:r>
          </w:p>
        </w:tc>
        <w:tc>
          <w:tcPr>
            <w:tcW w:w="1572" w:type="pct"/>
            <w:gridSpan w:val="2"/>
            <w:shd w:val="clear" w:color="auto" w:fill="auto"/>
            <w:vAlign w:val="center"/>
          </w:tcPr>
          <w:p w14:paraId="6E8E334B">
            <w:pPr>
              <w:widowControl/>
              <w:jc w:val="center"/>
              <w:rPr>
                <w:color w:val="000000"/>
                <w:kern w:val="0"/>
                <w:sz w:val="22"/>
                <w:szCs w:val="22"/>
              </w:rPr>
            </w:pPr>
            <w:r>
              <w:rPr>
                <w:color w:val="000000"/>
                <w:kern w:val="0"/>
                <w:sz w:val="22"/>
                <w:szCs w:val="22"/>
              </w:rPr>
              <w:t xml:space="preserve">3.0827 </w:t>
            </w:r>
          </w:p>
        </w:tc>
        <w:tc>
          <w:tcPr>
            <w:tcW w:w="1384" w:type="pct"/>
            <w:shd w:val="clear" w:color="auto" w:fill="auto"/>
            <w:vAlign w:val="center"/>
          </w:tcPr>
          <w:p w14:paraId="6052A8A6">
            <w:pPr>
              <w:widowControl/>
              <w:jc w:val="center"/>
              <w:rPr>
                <w:color w:val="000000"/>
                <w:kern w:val="0"/>
                <w:sz w:val="22"/>
                <w:szCs w:val="22"/>
              </w:rPr>
            </w:pPr>
            <w:r>
              <w:rPr>
                <w:color w:val="000000"/>
                <w:kern w:val="0"/>
                <w:sz w:val="22"/>
                <w:szCs w:val="22"/>
              </w:rPr>
              <w:t xml:space="preserve">3.0408 </w:t>
            </w:r>
          </w:p>
        </w:tc>
      </w:tr>
      <w:tr w14:paraId="4025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8322E2D">
            <w:pPr>
              <w:widowControl/>
              <w:jc w:val="center"/>
              <w:rPr>
                <w:color w:val="000000"/>
                <w:kern w:val="0"/>
                <w:sz w:val="22"/>
                <w:szCs w:val="22"/>
              </w:rPr>
            </w:pPr>
            <w:r>
              <w:rPr>
                <w:color w:val="000000"/>
                <w:kern w:val="0"/>
                <w:sz w:val="22"/>
                <w:szCs w:val="22"/>
              </w:rPr>
              <w:t>-28</w:t>
            </w:r>
          </w:p>
        </w:tc>
        <w:tc>
          <w:tcPr>
            <w:tcW w:w="1572" w:type="pct"/>
            <w:gridSpan w:val="2"/>
            <w:shd w:val="clear" w:color="auto" w:fill="auto"/>
            <w:vAlign w:val="center"/>
          </w:tcPr>
          <w:p w14:paraId="28222D5F">
            <w:pPr>
              <w:widowControl/>
              <w:jc w:val="center"/>
              <w:rPr>
                <w:color w:val="000000"/>
                <w:kern w:val="0"/>
                <w:sz w:val="22"/>
                <w:szCs w:val="22"/>
              </w:rPr>
            </w:pPr>
            <w:r>
              <w:rPr>
                <w:color w:val="000000"/>
                <w:kern w:val="0"/>
                <w:sz w:val="22"/>
                <w:szCs w:val="22"/>
              </w:rPr>
              <w:t xml:space="preserve">3.3157 </w:t>
            </w:r>
          </w:p>
        </w:tc>
        <w:tc>
          <w:tcPr>
            <w:tcW w:w="1384" w:type="pct"/>
            <w:shd w:val="clear" w:color="auto" w:fill="auto"/>
            <w:vAlign w:val="center"/>
          </w:tcPr>
          <w:p w14:paraId="423351C1">
            <w:pPr>
              <w:widowControl/>
              <w:jc w:val="center"/>
              <w:rPr>
                <w:color w:val="000000"/>
                <w:kern w:val="0"/>
                <w:sz w:val="22"/>
                <w:szCs w:val="22"/>
              </w:rPr>
            </w:pPr>
            <w:r>
              <w:rPr>
                <w:color w:val="000000"/>
                <w:kern w:val="0"/>
                <w:sz w:val="22"/>
                <w:szCs w:val="22"/>
              </w:rPr>
              <w:t xml:space="preserve">3.2670 </w:t>
            </w:r>
          </w:p>
        </w:tc>
      </w:tr>
      <w:tr w14:paraId="2B86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455F4EB">
            <w:pPr>
              <w:widowControl/>
              <w:jc w:val="center"/>
              <w:rPr>
                <w:color w:val="000000"/>
                <w:kern w:val="0"/>
                <w:sz w:val="22"/>
                <w:szCs w:val="22"/>
              </w:rPr>
            </w:pPr>
            <w:r>
              <w:rPr>
                <w:color w:val="000000"/>
                <w:kern w:val="0"/>
                <w:sz w:val="22"/>
                <w:szCs w:val="22"/>
              </w:rPr>
              <w:t>-27</w:t>
            </w:r>
          </w:p>
        </w:tc>
        <w:tc>
          <w:tcPr>
            <w:tcW w:w="1572" w:type="pct"/>
            <w:gridSpan w:val="2"/>
            <w:shd w:val="clear" w:color="auto" w:fill="auto"/>
            <w:vAlign w:val="center"/>
          </w:tcPr>
          <w:p w14:paraId="70A1955D">
            <w:pPr>
              <w:widowControl/>
              <w:jc w:val="center"/>
              <w:rPr>
                <w:color w:val="000000"/>
                <w:kern w:val="0"/>
                <w:sz w:val="22"/>
                <w:szCs w:val="22"/>
              </w:rPr>
            </w:pPr>
            <w:r>
              <w:rPr>
                <w:color w:val="000000"/>
                <w:kern w:val="0"/>
                <w:sz w:val="22"/>
                <w:szCs w:val="22"/>
              </w:rPr>
              <w:t xml:space="preserve">3.5765 </w:t>
            </w:r>
          </w:p>
        </w:tc>
        <w:tc>
          <w:tcPr>
            <w:tcW w:w="1384" w:type="pct"/>
            <w:shd w:val="clear" w:color="auto" w:fill="auto"/>
            <w:vAlign w:val="center"/>
          </w:tcPr>
          <w:p w14:paraId="01EC0142">
            <w:pPr>
              <w:widowControl/>
              <w:jc w:val="center"/>
              <w:rPr>
                <w:color w:val="000000"/>
                <w:kern w:val="0"/>
                <w:sz w:val="22"/>
                <w:szCs w:val="22"/>
              </w:rPr>
            </w:pPr>
            <w:r>
              <w:rPr>
                <w:color w:val="000000"/>
                <w:kern w:val="0"/>
                <w:sz w:val="22"/>
                <w:szCs w:val="22"/>
              </w:rPr>
              <w:t xml:space="preserve">3.5198 </w:t>
            </w:r>
          </w:p>
        </w:tc>
      </w:tr>
      <w:tr w14:paraId="0E57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F0411AC">
            <w:pPr>
              <w:widowControl/>
              <w:jc w:val="center"/>
              <w:rPr>
                <w:color w:val="000000"/>
                <w:kern w:val="0"/>
                <w:sz w:val="22"/>
                <w:szCs w:val="22"/>
              </w:rPr>
            </w:pPr>
            <w:r>
              <w:rPr>
                <w:color w:val="000000"/>
                <w:kern w:val="0"/>
                <w:sz w:val="22"/>
                <w:szCs w:val="22"/>
              </w:rPr>
              <w:t>-26</w:t>
            </w:r>
          </w:p>
        </w:tc>
        <w:tc>
          <w:tcPr>
            <w:tcW w:w="1572" w:type="pct"/>
            <w:gridSpan w:val="2"/>
            <w:shd w:val="clear" w:color="auto" w:fill="auto"/>
            <w:vAlign w:val="center"/>
          </w:tcPr>
          <w:p w14:paraId="3A26D1BF">
            <w:pPr>
              <w:widowControl/>
              <w:jc w:val="center"/>
              <w:rPr>
                <w:color w:val="000000"/>
                <w:kern w:val="0"/>
                <w:sz w:val="22"/>
                <w:szCs w:val="22"/>
              </w:rPr>
            </w:pPr>
            <w:r>
              <w:rPr>
                <w:color w:val="000000"/>
                <w:kern w:val="0"/>
                <w:sz w:val="22"/>
                <w:szCs w:val="22"/>
              </w:rPr>
              <w:t xml:space="preserve">3.8706 </w:t>
            </w:r>
          </w:p>
        </w:tc>
        <w:tc>
          <w:tcPr>
            <w:tcW w:w="1384" w:type="pct"/>
            <w:shd w:val="clear" w:color="auto" w:fill="auto"/>
            <w:vAlign w:val="center"/>
          </w:tcPr>
          <w:p w14:paraId="7E495331">
            <w:pPr>
              <w:widowControl/>
              <w:jc w:val="center"/>
              <w:rPr>
                <w:color w:val="000000"/>
                <w:kern w:val="0"/>
                <w:sz w:val="22"/>
                <w:szCs w:val="22"/>
              </w:rPr>
            </w:pPr>
            <w:r>
              <w:rPr>
                <w:color w:val="000000"/>
                <w:kern w:val="0"/>
                <w:sz w:val="22"/>
                <w:szCs w:val="22"/>
              </w:rPr>
              <w:t xml:space="preserve">3.8034 </w:t>
            </w:r>
          </w:p>
        </w:tc>
      </w:tr>
      <w:tr w14:paraId="728A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9987CAE">
            <w:pPr>
              <w:widowControl/>
              <w:jc w:val="center"/>
              <w:rPr>
                <w:color w:val="000000"/>
                <w:kern w:val="0"/>
                <w:sz w:val="22"/>
                <w:szCs w:val="22"/>
              </w:rPr>
            </w:pPr>
            <w:r>
              <w:rPr>
                <w:color w:val="000000"/>
                <w:kern w:val="0"/>
                <w:sz w:val="22"/>
                <w:szCs w:val="22"/>
              </w:rPr>
              <w:t>-25</w:t>
            </w:r>
          </w:p>
        </w:tc>
        <w:tc>
          <w:tcPr>
            <w:tcW w:w="1572" w:type="pct"/>
            <w:gridSpan w:val="2"/>
            <w:shd w:val="clear" w:color="auto" w:fill="auto"/>
            <w:vAlign w:val="center"/>
          </w:tcPr>
          <w:p w14:paraId="49F3FAB3">
            <w:pPr>
              <w:widowControl/>
              <w:jc w:val="center"/>
              <w:rPr>
                <w:color w:val="000000"/>
                <w:kern w:val="0"/>
                <w:sz w:val="22"/>
                <w:szCs w:val="22"/>
              </w:rPr>
            </w:pPr>
            <w:r>
              <w:rPr>
                <w:color w:val="000000"/>
                <w:kern w:val="0"/>
                <w:sz w:val="22"/>
                <w:szCs w:val="22"/>
              </w:rPr>
              <w:t xml:space="preserve">4.2023 </w:t>
            </w:r>
          </w:p>
        </w:tc>
        <w:tc>
          <w:tcPr>
            <w:tcW w:w="1384" w:type="pct"/>
            <w:shd w:val="clear" w:color="auto" w:fill="auto"/>
            <w:vAlign w:val="center"/>
          </w:tcPr>
          <w:p w14:paraId="2FE5768D">
            <w:pPr>
              <w:widowControl/>
              <w:jc w:val="center"/>
              <w:rPr>
                <w:color w:val="000000"/>
                <w:kern w:val="0"/>
                <w:sz w:val="22"/>
                <w:szCs w:val="22"/>
              </w:rPr>
            </w:pPr>
            <w:r>
              <w:rPr>
                <w:color w:val="000000"/>
                <w:kern w:val="0"/>
                <w:sz w:val="22"/>
                <w:szCs w:val="22"/>
              </w:rPr>
              <w:t xml:space="preserve">4.1217 </w:t>
            </w:r>
          </w:p>
        </w:tc>
      </w:tr>
      <w:tr w14:paraId="419E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3A77AC8">
            <w:pPr>
              <w:widowControl/>
              <w:jc w:val="center"/>
              <w:rPr>
                <w:color w:val="000000"/>
                <w:kern w:val="0"/>
                <w:sz w:val="22"/>
                <w:szCs w:val="22"/>
              </w:rPr>
            </w:pPr>
            <w:r>
              <w:rPr>
                <w:color w:val="000000"/>
                <w:kern w:val="0"/>
                <w:sz w:val="22"/>
                <w:szCs w:val="22"/>
              </w:rPr>
              <w:t>-24</w:t>
            </w:r>
          </w:p>
        </w:tc>
        <w:tc>
          <w:tcPr>
            <w:tcW w:w="1572" w:type="pct"/>
            <w:gridSpan w:val="2"/>
            <w:shd w:val="clear" w:color="auto" w:fill="auto"/>
            <w:vAlign w:val="center"/>
          </w:tcPr>
          <w:p w14:paraId="0B1E1D4E">
            <w:pPr>
              <w:widowControl/>
              <w:jc w:val="center"/>
              <w:rPr>
                <w:color w:val="000000"/>
                <w:kern w:val="0"/>
                <w:sz w:val="22"/>
                <w:szCs w:val="22"/>
              </w:rPr>
            </w:pPr>
            <w:r>
              <w:rPr>
                <w:color w:val="000000"/>
                <w:kern w:val="0"/>
                <w:sz w:val="22"/>
                <w:szCs w:val="22"/>
              </w:rPr>
              <w:t xml:space="preserve">4.5779 </w:t>
            </w:r>
          </w:p>
        </w:tc>
        <w:tc>
          <w:tcPr>
            <w:tcW w:w="1384" w:type="pct"/>
            <w:shd w:val="clear" w:color="auto" w:fill="auto"/>
            <w:vAlign w:val="center"/>
          </w:tcPr>
          <w:p w14:paraId="1D56FA3A">
            <w:pPr>
              <w:widowControl/>
              <w:jc w:val="center"/>
              <w:rPr>
                <w:color w:val="000000"/>
                <w:kern w:val="0"/>
                <w:sz w:val="22"/>
                <w:szCs w:val="22"/>
              </w:rPr>
            </w:pPr>
            <w:r>
              <w:rPr>
                <w:color w:val="000000"/>
                <w:kern w:val="0"/>
                <w:sz w:val="22"/>
                <w:szCs w:val="22"/>
              </w:rPr>
              <w:t xml:space="preserve">4.4819 </w:t>
            </w:r>
          </w:p>
        </w:tc>
      </w:tr>
      <w:tr w14:paraId="2412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14B8436">
            <w:pPr>
              <w:widowControl/>
              <w:jc w:val="center"/>
              <w:rPr>
                <w:color w:val="000000"/>
                <w:kern w:val="0"/>
                <w:sz w:val="22"/>
                <w:szCs w:val="22"/>
              </w:rPr>
            </w:pPr>
            <w:r>
              <w:rPr>
                <w:color w:val="000000"/>
                <w:kern w:val="0"/>
                <w:sz w:val="22"/>
                <w:szCs w:val="22"/>
              </w:rPr>
              <w:t>-23</w:t>
            </w:r>
          </w:p>
        </w:tc>
        <w:tc>
          <w:tcPr>
            <w:tcW w:w="1572" w:type="pct"/>
            <w:gridSpan w:val="2"/>
            <w:shd w:val="clear" w:color="auto" w:fill="auto"/>
            <w:vAlign w:val="center"/>
          </w:tcPr>
          <w:p w14:paraId="491BB3B4">
            <w:pPr>
              <w:widowControl/>
              <w:jc w:val="center"/>
              <w:rPr>
                <w:color w:val="000000"/>
                <w:kern w:val="0"/>
                <w:sz w:val="22"/>
                <w:szCs w:val="22"/>
              </w:rPr>
            </w:pPr>
            <w:r>
              <w:rPr>
                <w:color w:val="000000"/>
                <w:kern w:val="0"/>
                <w:sz w:val="22"/>
                <w:szCs w:val="22"/>
              </w:rPr>
              <w:t xml:space="preserve">5.0077 </w:t>
            </w:r>
          </w:p>
        </w:tc>
        <w:tc>
          <w:tcPr>
            <w:tcW w:w="1384" w:type="pct"/>
            <w:shd w:val="clear" w:color="auto" w:fill="auto"/>
            <w:vAlign w:val="center"/>
          </w:tcPr>
          <w:p w14:paraId="46C9E10D">
            <w:pPr>
              <w:widowControl/>
              <w:jc w:val="center"/>
              <w:rPr>
                <w:color w:val="000000"/>
                <w:kern w:val="0"/>
                <w:sz w:val="22"/>
                <w:szCs w:val="22"/>
              </w:rPr>
            </w:pPr>
            <w:r>
              <w:rPr>
                <w:color w:val="000000"/>
                <w:kern w:val="0"/>
                <w:sz w:val="22"/>
                <w:szCs w:val="22"/>
              </w:rPr>
              <w:t xml:space="preserve">4.8908 </w:t>
            </w:r>
          </w:p>
        </w:tc>
      </w:tr>
      <w:tr w14:paraId="44FE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0FE92C1">
            <w:pPr>
              <w:widowControl/>
              <w:jc w:val="center"/>
              <w:rPr>
                <w:color w:val="000000"/>
                <w:kern w:val="0"/>
                <w:sz w:val="22"/>
                <w:szCs w:val="22"/>
              </w:rPr>
            </w:pPr>
            <w:r>
              <w:rPr>
                <w:color w:val="000000"/>
                <w:kern w:val="0"/>
                <w:sz w:val="22"/>
                <w:szCs w:val="22"/>
              </w:rPr>
              <w:t>-22</w:t>
            </w:r>
          </w:p>
        </w:tc>
        <w:tc>
          <w:tcPr>
            <w:tcW w:w="1572" w:type="pct"/>
            <w:gridSpan w:val="2"/>
            <w:shd w:val="clear" w:color="auto" w:fill="auto"/>
            <w:vAlign w:val="center"/>
          </w:tcPr>
          <w:p w14:paraId="415098E1">
            <w:pPr>
              <w:widowControl/>
              <w:jc w:val="center"/>
              <w:rPr>
                <w:color w:val="000000"/>
                <w:kern w:val="0"/>
                <w:sz w:val="22"/>
                <w:szCs w:val="22"/>
              </w:rPr>
            </w:pPr>
            <w:r>
              <w:rPr>
                <w:color w:val="000000"/>
                <w:kern w:val="0"/>
                <w:sz w:val="22"/>
                <w:szCs w:val="22"/>
              </w:rPr>
              <w:t xml:space="preserve">5.5006 </w:t>
            </w:r>
          </w:p>
        </w:tc>
        <w:tc>
          <w:tcPr>
            <w:tcW w:w="1384" w:type="pct"/>
            <w:shd w:val="clear" w:color="auto" w:fill="auto"/>
            <w:vAlign w:val="center"/>
          </w:tcPr>
          <w:p w14:paraId="4C05D45E">
            <w:pPr>
              <w:widowControl/>
              <w:jc w:val="center"/>
              <w:rPr>
                <w:color w:val="000000"/>
                <w:kern w:val="0"/>
                <w:sz w:val="22"/>
                <w:szCs w:val="22"/>
              </w:rPr>
            </w:pPr>
            <w:r>
              <w:rPr>
                <w:color w:val="000000"/>
                <w:kern w:val="0"/>
                <w:sz w:val="22"/>
                <w:szCs w:val="22"/>
              </w:rPr>
              <w:t xml:space="preserve">5.3593 </w:t>
            </w:r>
          </w:p>
        </w:tc>
      </w:tr>
      <w:tr w14:paraId="2B3F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6DA0A9F">
            <w:pPr>
              <w:widowControl/>
              <w:jc w:val="center"/>
              <w:rPr>
                <w:color w:val="000000"/>
                <w:kern w:val="0"/>
                <w:sz w:val="22"/>
                <w:szCs w:val="22"/>
              </w:rPr>
            </w:pPr>
            <w:r>
              <w:rPr>
                <w:color w:val="000000"/>
                <w:kern w:val="0"/>
                <w:sz w:val="22"/>
                <w:szCs w:val="22"/>
              </w:rPr>
              <w:t>-21</w:t>
            </w:r>
          </w:p>
        </w:tc>
        <w:tc>
          <w:tcPr>
            <w:tcW w:w="1572" w:type="pct"/>
            <w:gridSpan w:val="2"/>
            <w:shd w:val="clear" w:color="auto" w:fill="auto"/>
            <w:vAlign w:val="center"/>
          </w:tcPr>
          <w:p w14:paraId="25D67F1B">
            <w:pPr>
              <w:widowControl/>
              <w:jc w:val="center"/>
              <w:rPr>
                <w:color w:val="000000"/>
                <w:kern w:val="0"/>
                <w:sz w:val="22"/>
                <w:szCs w:val="22"/>
              </w:rPr>
            </w:pPr>
            <w:r>
              <w:rPr>
                <w:color w:val="000000"/>
                <w:kern w:val="0"/>
                <w:sz w:val="22"/>
                <w:szCs w:val="22"/>
              </w:rPr>
              <w:t xml:space="preserve">6.0707 </w:t>
            </w:r>
          </w:p>
        </w:tc>
        <w:tc>
          <w:tcPr>
            <w:tcW w:w="1384" w:type="pct"/>
            <w:shd w:val="clear" w:color="auto" w:fill="auto"/>
            <w:vAlign w:val="center"/>
          </w:tcPr>
          <w:p w14:paraId="30D706B3">
            <w:pPr>
              <w:widowControl/>
              <w:jc w:val="center"/>
              <w:rPr>
                <w:color w:val="000000"/>
                <w:kern w:val="0"/>
                <w:sz w:val="22"/>
                <w:szCs w:val="22"/>
              </w:rPr>
            </w:pPr>
            <w:r>
              <w:rPr>
                <w:color w:val="000000"/>
                <w:kern w:val="0"/>
                <w:sz w:val="22"/>
                <w:szCs w:val="22"/>
              </w:rPr>
              <w:t xml:space="preserve">5.8962 </w:t>
            </w:r>
          </w:p>
        </w:tc>
      </w:tr>
      <w:tr w14:paraId="2A19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A891039">
            <w:pPr>
              <w:widowControl/>
              <w:jc w:val="center"/>
              <w:rPr>
                <w:color w:val="000000"/>
                <w:kern w:val="0"/>
                <w:sz w:val="22"/>
                <w:szCs w:val="22"/>
              </w:rPr>
            </w:pPr>
            <w:r>
              <w:rPr>
                <w:color w:val="000000"/>
                <w:kern w:val="0"/>
                <w:sz w:val="22"/>
                <w:szCs w:val="22"/>
              </w:rPr>
              <w:t>-20</w:t>
            </w:r>
          </w:p>
        </w:tc>
        <w:tc>
          <w:tcPr>
            <w:tcW w:w="1572" w:type="pct"/>
            <w:gridSpan w:val="2"/>
            <w:shd w:val="clear" w:color="auto" w:fill="auto"/>
            <w:vAlign w:val="center"/>
          </w:tcPr>
          <w:p w14:paraId="07402D6F">
            <w:pPr>
              <w:widowControl/>
              <w:jc w:val="center"/>
              <w:rPr>
                <w:color w:val="000000"/>
                <w:kern w:val="0"/>
                <w:sz w:val="22"/>
                <w:szCs w:val="22"/>
              </w:rPr>
            </w:pPr>
            <w:r>
              <w:rPr>
                <w:color w:val="000000"/>
                <w:kern w:val="0"/>
                <w:sz w:val="22"/>
                <w:szCs w:val="22"/>
              </w:rPr>
              <w:t xml:space="preserve">6.7339 </w:t>
            </w:r>
          </w:p>
        </w:tc>
        <w:tc>
          <w:tcPr>
            <w:tcW w:w="1384" w:type="pct"/>
            <w:shd w:val="clear" w:color="auto" w:fill="auto"/>
            <w:vAlign w:val="center"/>
          </w:tcPr>
          <w:p w14:paraId="441B9CD1">
            <w:pPr>
              <w:widowControl/>
              <w:jc w:val="center"/>
              <w:rPr>
                <w:color w:val="000000"/>
                <w:kern w:val="0"/>
                <w:sz w:val="22"/>
                <w:szCs w:val="22"/>
              </w:rPr>
            </w:pPr>
            <w:r>
              <w:rPr>
                <w:color w:val="000000"/>
                <w:kern w:val="0"/>
                <w:sz w:val="22"/>
                <w:szCs w:val="22"/>
              </w:rPr>
              <w:t xml:space="preserve">6.5167 </w:t>
            </w:r>
          </w:p>
        </w:tc>
      </w:tr>
      <w:tr w14:paraId="7D0B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CE6D567">
            <w:pPr>
              <w:widowControl/>
              <w:jc w:val="center"/>
              <w:rPr>
                <w:color w:val="000000"/>
                <w:kern w:val="0"/>
                <w:sz w:val="22"/>
                <w:szCs w:val="22"/>
              </w:rPr>
            </w:pPr>
            <w:r>
              <w:rPr>
                <w:color w:val="000000"/>
                <w:kern w:val="0"/>
                <w:sz w:val="22"/>
                <w:szCs w:val="22"/>
              </w:rPr>
              <w:t>-19</w:t>
            </w:r>
          </w:p>
        </w:tc>
        <w:tc>
          <w:tcPr>
            <w:tcW w:w="1572" w:type="pct"/>
            <w:gridSpan w:val="2"/>
            <w:shd w:val="clear" w:color="auto" w:fill="auto"/>
            <w:vAlign w:val="center"/>
          </w:tcPr>
          <w:p w14:paraId="5E95810B">
            <w:pPr>
              <w:widowControl/>
              <w:jc w:val="center"/>
              <w:rPr>
                <w:color w:val="000000"/>
                <w:kern w:val="0"/>
                <w:sz w:val="22"/>
                <w:szCs w:val="22"/>
              </w:rPr>
            </w:pPr>
            <w:r>
              <w:rPr>
                <w:color w:val="000000"/>
                <w:kern w:val="0"/>
                <w:sz w:val="22"/>
                <w:szCs w:val="22"/>
              </w:rPr>
              <w:t xml:space="preserve">7.5130 </w:t>
            </w:r>
          </w:p>
        </w:tc>
        <w:tc>
          <w:tcPr>
            <w:tcW w:w="1384" w:type="pct"/>
            <w:shd w:val="clear" w:color="auto" w:fill="auto"/>
            <w:vAlign w:val="center"/>
          </w:tcPr>
          <w:p w14:paraId="28847EC8">
            <w:pPr>
              <w:widowControl/>
              <w:jc w:val="center"/>
              <w:rPr>
                <w:color w:val="000000"/>
                <w:kern w:val="0"/>
                <w:sz w:val="22"/>
                <w:szCs w:val="22"/>
              </w:rPr>
            </w:pPr>
            <w:r>
              <w:rPr>
                <w:color w:val="000000"/>
                <w:kern w:val="0"/>
                <w:sz w:val="22"/>
                <w:szCs w:val="22"/>
              </w:rPr>
              <w:t xml:space="preserve">7.2385 </w:t>
            </w:r>
          </w:p>
        </w:tc>
      </w:tr>
      <w:tr w14:paraId="114A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FF5E948">
            <w:pPr>
              <w:widowControl/>
              <w:jc w:val="center"/>
              <w:rPr>
                <w:color w:val="000000"/>
                <w:kern w:val="0"/>
                <w:sz w:val="22"/>
                <w:szCs w:val="22"/>
              </w:rPr>
            </w:pPr>
            <w:r>
              <w:rPr>
                <w:color w:val="000000"/>
                <w:kern w:val="0"/>
                <w:sz w:val="22"/>
                <w:szCs w:val="22"/>
              </w:rPr>
              <w:t>-18</w:t>
            </w:r>
          </w:p>
        </w:tc>
        <w:tc>
          <w:tcPr>
            <w:tcW w:w="1572" w:type="pct"/>
            <w:gridSpan w:val="2"/>
            <w:shd w:val="clear" w:color="auto" w:fill="auto"/>
            <w:vAlign w:val="center"/>
          </w:tcPr>
          <w:p w14:paraId="08033C1D">
            <w:pPr>
              <w:widowControl/>
              <w:jc w:val="center"/>
              <w:rPr>
                <w:color w:val="000000"/>
                <w:kern w:val="0"/>
                <w:sz w:val="22"/>
                <w:szCs w:val="22"/>
              </w:rPr>
            </w:pPr>
            <w:r>
              <w:rPr>
                <w:color w:val="000000"/>
                <w:kern w:val="0"/>
                <w:sz w:val="22"/>
                <w:szCs w:val="22"/>
              </w:rPr>
              <w:t xml:space="preserve">8.4343 </w:t>
            </w:r>
          </w:p>
        </w:tc>
        <w:tc>
          <w:tcPr>
            <w:tcW w:w="1384" w:type="pct"/>
            <w:shd w:val="clear" w:color="auto" w:fill="auto"/>
            <w:vAlign w:val="center"/>
          </w:tcPr>
          <w:p w14:paraId="7F25C68D">
            <w:pPr>
              <w:widowControl/>
              <w:jc w:val="center"/>
              <w:rPr>
                <w:color w:val="000000"/>
                <w:kern w:val="0"/>
                <w:sz w:val="22"/>
                <w:szCs w:val="22"/>
              </w:rPr>
            </w:pPr>
            <w:r>
              <w:rPr>
                <w:color w:val="000000"/>
                <w:kern w:val="0"/>
                <w:sz w:val="22"/>
                <w:szCs w:val="22"/>
              </w:rPr>
              <w:t xml:space="preserve">8.0832 </w:t>
            </w:r>
          </w:p>
        </w:tc>
      </w:tr>
      <w:tr w14:paraId="5805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45483EB">
            <w:pPr>
              <w:widowControl/>
              <w:jc w:val="center"/>
              <w:rPr>
                <w:color w:val="000000"/>
                <w:kern w:val="0"/>
                <w:sz w:val="22"/>
                <w:szCs w:val="22"/>
              </w:rPr>
            </w:pPr>
            <w:r>
              <w:rPr>
                <w:color w:val="000000"/>
                <w:kern w:val="0"/>
                <w:sz w:val="22"/>
                <w:szCs w:val="22"/>
              </w:rPr>
              <w:t>-17</w:t>
            </w:r>
          </w:p>
        </w:tc>
        <w:tc>
          <w:tcPr>
            <w:tcW w:w="1572" w:type="pct"/>
            <w:gridSpan w:val="2"/>
            <w:shd w:val="clear" w:color="auto" w:fill="auto"/>
            <w:vAlign w:val="center"/>
          </w:tcPr>
          <w:p w14:paraId="6955B279">
            <w:pPr>
              <w:widowControl/>
              <w:jc w:val="center"/>
              <w:rPr>
                <w:color w:val="000000"/>
                <w:kern w:val="0"/>
                <w:sz w:val="22"/>
                <w:szCs w:val="22"/>
              </w:rPr>
            </w:pPr>
            <w:r>
              <w:rPr>
                <w:color w:val="000000"/>
                <w:kern w:val="0"/>
                <w:sz w:val="22"/>
                <w:szCs w:val="22"/>
              </w:rPr>
              <w:t xml:space="preserve">9.5332 </w:t>
            </w:r>
          </w:p>
        </w:tc>
        <w:tc>
          <w:tcPr>
            <w:tcW w:w="1384" w:type="pct"/>
            <w:shd w:val="clear" w:color="auto" w:fill="auto"/>
            <w:vAlign w:val="center"/>
          </w:tcPr>
          <w:p w14:paraId="17ACBF93">
            <w:pPr>
              <w:widowControl/>
              <w:jc w:val="center"/>
              <w:rPr>
                <w:color w:val="000000"/>
                <w:kern w:val="0"/>
                <w:sz w:val="22"/>
                <w:szCs w:val="22"/>
              </w:rPr>
            </w:pPr>
            <w:r>
              <w:rPr>
                <w:color w:val="000000"/>
                <w:kern w:val="0"/>
                <w:sz w:val="22"/>
                <w:szCs w:val="22"/>
              </w:rPr>
              <w:t xml:space="preserve">9.0776 </w:t>
            </w:r>
          </w:p>
        </w:tc>
      </w:tr>
      <w:tr w14:paraId="0640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9432E4D">
            <w:pPr>
              <w:widowControl/>
              <w:jc w:val="center"/>
              <w:rPr>
                <w:color w:val="000000"/>
                <w:kern w:val="0"/>
                <w:sz w:val="22"/>
                <w:szCs w:val="22"/>
              </w:rPr>
            </w:pPr>
            <w:r>
              <w:rPr>
                <w:color w:val="000000"/>
                <w:kern w:val="0"/>
                <w:sz w:val="22"/>
                <w:szCs w:val="22"/>
              </w:rPr>
              <w:t>-16</w:t>
            </w:r>
          </w:p>
        </w:tc>
        <w:tc>
          <w:tcPr>
            <w:tcW w:w="1572" w:type="pct"/>
            <w:gridSpan w:val="2"/>
            <w:shd w:val="clear" w:color="auto" w:fill="auto"/>
            <w:vAlign w:val="center"/>
          </w:tcPr>
          <w:p w14:paraId="015418B1">
            <w:pPr>
              <w:widowControl/>
              <w:jc w:val="center"/>
              <w:rPr>
                <w:color w:val="000000"/>
                <w:kern w:val="0"/>
                <w:sz w:val="22"/>
                <w:szCs w:val="22"/>
              </w:rPr>
            </w:pPr>
            <w:r>
              <w:rPr>
                <w:color w:val="000000"/>
                <w:kern w:val="0"/>
                <w:sz w:val="22"/>
                <w:szCs w:val="22"/>
              </w:rPr>
              <w:t xml:space="preserve">10.8575 </w:t>
            </w:r>
          </w:p>
        </w:tc>
        <w:tc>
          <w:tcPr>
            <w:tcW w:w="1384" w:type="pct"/>
            <w:shd w:val="clear" w:color="auto" w:fill="auto"/>
            <w:vAlign w:val="center"/>
          </w:tcPr>
          <w:p w14:paraId="1243F42D">
            <w:pPr>
              <w:widowControl/>
              <w:jc w:val="center"/>
              <w:rPr>
                <w:color w:val="000000"/>
                <w:kern w:val="0"/>
                <w:sz w:val="22"/>
                <w:szCs w:val="22"/>
              </w:rPr>
            </w:pPr>
            <w:r>
              <w:rPr>
                <w:color w:val="000000"/>
                <w:kern w:val="0"/>
                <w:sz w:val="22"/>
                <w:szCs w:val="22"/>
              </w:rPr>
              <w:t xml:space="preserve">10.2548 </w:t>
            </w:r>
          </w:p>
        </w:tc>
      </w:tr>
      <w:tr w14:paraId="0670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6F9A4DC">
            <w:pPr>
              <w:widowControl/>
              <w:jc w:val="center"/>
              <w:rPr>
                <w:color w:val="000000"/>
                <w:kern w:val="0"/>
                <w:sz w:val="22"/>
                <w:szCs w:val="22"/>
              </w:rPr>
            </w:pPr>
            <w:r>
              <w:rPr>
                <w:color w:val="000000"/>
                <w:kern w:val="0"/>
                <w:sz w:val="22"/>
                <w:szCs w:val="22"/>
              </w:rPr>
              <w:t>-15</w:t>
            </w:r>
          </w:p>
        </w:tc>
        <w:tc>
          <w:tcPr>
            <w:tcW w:w="1572" w:type="pct"/>
            <w:gridSpan w:val="2"/>
            <w:shd w:val="clear" w:color="auto" w:fill="auto"/>
            <w:vAlign w:val="center"/>
          </w:tcPr>
          <w:p w14:paraId="62369317">
            <w:pPr>
              <w:widowControl/>
              <w:jc w:val="center"/>
              <w:rPr>
                <w:color w:val="000000"/>
                <w:kern w:val="0"/>
                <w:sz w:val="22"/>
                <w:szCs w:val="22"/>
              </w:rPr>
            </w:pPr>
            <w:r>
              <w:rPr>
                <w:color w:val="000000"/>
                <w:kern w:val="0"/>
                <w:sz w:val="22"/>
                <w:szCs w:val="22"/>
              </w:rPr>
              <w:t xml:space="preserve">12.4656 </w:t>
            </w:r>
          </w:p>
        </w:tc>
        <w:tc>
          <w:tcPr>
            <w:tcW w:w="1384" w:type="pct"/>
            <w:shd w:val="clear" w:color="auto" w:fill="auto"/>
            <w:vAlign w:val="center"/>
          </w:tcPr>
          <w:p w14:paraId="62B5CD45">
            <w:pPr>
              <w:widowControl/>
              <w:jc w:val="center"/>
              <w:rPr>
                <w:color w:val="000000"/>
                <w:kern w:val="0"/>
                <w:sz w:val="22"/>
                <w:szCs w:val="22"/>
              </w:rPr>
            </w:pPr>
            <w:r>
              <w:rPr>
                <w:color w:val="000000"/>
                <w:kern w:val="0"/>
                <w:sz w:val="22"/>
                <w:szCs w:val="22"/>
              </w:rPr>
              <w:t xml:space="preserve">11.6562 </w:t>
            </w:r>
          </w:p>
        </w:tc>
      </w:tr>
      <w:tr w14:paraId="445E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5A5AE15">
            <w:pPr>
              <w:widowControl/>
              <w:jc w:val="center"/>
              <w:rPr>
                <w:color w:val="000000"/>
                <w:kern w:val="0"/>
                <w:sz w:val="22"/>
                <w:szCs w:val="22"/>
              </w:rPr>
            </w:pPr>
            <w:r>
              <w:rPr>
                <w:color w:val="000000"/>
                <w:kern w:val="0"/>
                <w:sz w:val="22"/>
                <w:szCs w:val="22"/>
              </w:rPr>
              <w:t>-14</w:t>
            </w:r>
          </w:p>
        </w:tc>
        <w:tc>
          <w:tcPr>
            <w:tcW w:w="1572" w:type="pct"/>
            <w:gridSpan w:val="2"/>
            <w:shd w:val="clear" w:color="auto" w:fill="auto"/>
            <w:vAlign w:val="center"/>
          </w:tcPr>
          <w:p w14:paraId="3014371E">
            <w:pPr>
              <w:widowControl/>
              <w:jc w:val="center"/>
              <w:rPr>
                <w:color w:val="000000"/>
                <w:kern w:val="0"/>
                <w:sz w:val="22"/>
                <w:szCs w:val="22"/>
              </w:rPr>
            </w:pPr>
            <w:r>
              <w:rPr>
                <w:color w:val="000000"/>
                <w:kern w:val="0"/>
                <w:sz w:val="22"/>
                <w:szCs w:val="22"/>
              </w:rPr>
              <w:t xml:space="preserve">14.4371 </w:t>
            </w:r>
          </w:p>
        </w:tc>
        <w:tc>
          <w:tcPr>
            <w:tcW w:w="1384" w:type="pct"/>
            <w:shd w:val="clear" w:color="auto" w:fill="auto"/>
            <w:vAlign w:val="center"/>
          </w:tcPr>
          <w:p w14:paraId="12934B6C">
            <w:pPr>
              <w:widowControl/>
              <w:jc w:val="center"/>
              <w:rPr>
                <w:color w:val="000000"/>
                <w:kern w:val="0"/>
                <w:sz w:val="22"/>
                <w:szCs w:val="22"/>
              </w:rPr>
            </w:pPr>
            <w:r>
              <w:rPr>
                <w:color w:val="000000"/>
                <w:kern w:val="0"/>
                <w:sz w:val="22"/>
                <w:szCs w:val="22"/>
              </w:rPr>
              <w:t xml:space="preserve">13.3308 </w:t>
            </w:r>
          </w:p>
        </w:tc>
      </w:tr>
      <w:tr w14:paraId="48A2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F71748E">
            <w:pPr>
              <w:widowControl/>
              <w:jc w:val="center"/>
              <w:rPr>
                <w:color w:val="000000"/>
                <w:kern w:val="0"/>
                <w:sz w:val="22"/>
                <w:szCs w:val="22"/>
              </w:rPr>
            </w:pPr>
            <w:r>
              <w:rPr>
                <w:color w:val="000000"/>
                <w:kern w:val="0"/>
                <w:sz w:val="22"/>
                <w:szCs w:val="22"/>
              </w:rPr>
              <w:t>-13</w:t>
            </w:r>
          </w:p>
        </w:tc>
        <w:tc>
          <w:tcPr>
            <w:tcW w:w="1572" w:type="pct"/>
            <w:gridSpan w:val="2"/>
            <w:shd w:val="clear" w:color="auto" w:fill="auto"/>
            <w:vAlign w:val="center"/>
          </w:tcPr>
          <w:p w14:paraId="6E916471">
            <w:pPr>
              <w:widowControl/>
              <w:jc w:val="center"/>
              <w:rPr>
                <w:color w:val="000000"/>
                <w:kern w:val="0"/>
                <w:sz w:val="22"/>
                <w:szCs w:val="22"/>
              </w:rPr>
            </w:pPr>
            <w:r>
              <w:rPr>
                <w:color w:val="000000"/>
                <w:kern w:val="0"/>
                <w:sz w:val="22"/>
                <w:szCs w:val="22"/>
              </w:rPr>
              <w:t xml:space="preserve">16.8657 </w:t>
            </w:r>
          </w:p>
        </w:tc>
        <w:tc>
          <w:tcPr>
            <w:tcW w:w="1384" w:type="pct"/>
            <w:shd w:val="clear" w:color="auto" w:fill="auto"/>
            <w:vAlign w:val="center"/>
          </w:tcPr>
          <w:p w14:paraId="5AC742CD">
            <w:pPr>
              <w:widowControl/>
              <w:jc w:val="center"/>
              <w:rPr>
                <w:color w:val="000000"/>
                <w:kern w:val="0"/>
                <w:sz w:val="22"/>
                <w:szCs w:val="22"/>
              </w:rPr>
            </w:pPr>
            <w:r>
              <w:rPr>
                <w:color w:val="000000"/>
                <w:kern w:val="0"/>
                <w:sz w:val="22"/>
                <w:szCs w:val="22"/>
              </w:rPr>
              <w:t xml:space="preserve">15.3284 </w:t>
            </w:r>
          </w:p>
        </w:tc>
      </w:tr>
      <w:tr w14:paraId="1C96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29C2B93">
            <w:pPr>
              <w:widowControl/>
              <w:jc w:val="center"/>
              <w:rPr>
                <w:color w:val="000000"/>
                <w:kern w:val="0"/>
                <w:sz w:val="22"/>
                <w:szCs w:val="22"/>
              </w:rPr>
            </w:pPr>
            <w:r>
              <w:rPr>
                <w:color w:val="000000"/>
                <w:kern w:val="0"/>
                <w:sz w:val="22"/>
                <w:szCs w:val="22"/>
              </w:rPr>
              <w:t>-12</w:t>
            </w:r>
          </w:p>
        </w:tc>
        <w:tc>
          <w:tcPr>
            <w:tcW w:w="1572" w:type="pct"/>
            <w:gridSpan w:val="2"/>
            <w:shd w:val="clear" w:color="auto" w:fill="auto"/>
            <w:vAlign w:val="center"/>
          </w:tcPr>
          <w:p w14:paraId="0C40735B">
            <w:pPr>
              <w:widowControl/>
              <w:jc w:val="center"/>
              <w:rPr>
                <w:color w:val="000000"/>
                <w:kern w:val="0"/>
                <w:sz w:val="22"/>
                <w:szCs w:val="22"/>
              </w:rPr>
            </w:pPr>
            <w:r>
              <w:rPr>
                <w:color w:val="000000"/>
                <w:kern w:val="0"/>
                <w:sz w:val="22"/>
                <w:szCs w:val="22"/>
              </w:rPr>
              <w:t xml:space="preserve">19.8609 </w:t>
            </w:r>
          </w:p>
        </w:tc>
        <w:tc>
          <w:tcPr>
            <w:tcW w:w="1384" w:type="pct"/>
            <w:shd w:val="clear" w:color="auto" w:fill="auto"/>
            <w:vAlign w:val="center"/>
          </w:tcPr>
          <w:p w14:paraId="1F963271">
            <w:pPr>
              <w:widowControl/>
              <w:jc w:val="center"/>
              <w:rPr>
                <w:color w:val="000000"/>
                <w:kern w:val="0"/>
                <w:sz w:val="22"/>
                <w:szCs w:val="22"/>
              </w:rPr>
            </w:pPr>
            <w:r>
              <w:rPr>
                <w:color w:val="000000"/>
                <w:kern w:val="0"/>
                <w:sz w:val="22"/>
                <w:szCs w:val="22"/>
              </w:rPr>
              <w:t xml:space="preserve">17.6974 </w:t>
            </w:r>
          </w:p>
        </w:tc>
      </w:tr>
      <w:tr w14:paraId="7A85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145A5B7">
            <w:pPr>
              <w:widowControl/>
              <w:jc w:val="center"/>
              <w:rPr>
                <w:color w:val="000000"/>
                <w:kern w:val="0"/>
                <w:sz w:val="22"/>
                <w:szCs w:val="22"/>
              </w:rPr>
            </w:pPr>
            <w:r>
              <w:rPr>
                <w:color w:val="000000"/>
                <w:kern w:val="0"/>
                <w:sz w:val="22"/>
                <w:szCs w:val="22"/>
              </w:rPr>
              <w:t>-11</w:t>
            </w:r>
          </w:p>
        </w:tc>
        <w:tc>
          <w:tcPr>
            <w:tcW w:w="1572" w:type="pct"/>
            <w:gridSpan w:val="2"/>
            <w:shd w:val="clear" w:color="auto" w:fill="auto"/>
            <w:vAlign w:val="center"/>
          </w:tcPr>
          <w:p w14:paraId="47F35631">
            <w:pPr>
              <w:widowControl/>
              <w:jc w:val="center"/>
              <w:rPr>
                <w:color w:val="000000"/>
                <w:kern w:val="0"/>
                <w:sz w:val="22"/>
                <w:szCs w:val="22"/>
              </w:rPr>
            </w:pPr>
            <w:r>
              <w:rPr>
                <w:color w:val="000000"/>
                <w:kern w:val="0"/>
                <w:sz w:val="22"/>
                <w:szCs w:val="22"/>
              </w:rPr>
              <w:t xml:space="preserve">23.5238 </w:t>
            </w:r>
          </w:p>
        </w:tc>
        <w:tc>
          <w:tcPr>
            <w:tcW w:w="1384" w:type="pct"/>
            <w:shd w:val="clear" w:color="auto" w:fill="auto"/>
            <w:vAlign w:val="center"/>
          </w:tcPr>
          <w:p w14:paraId="5D3E612D">
            <w:pPr>
              <w:widowControl/>
              <w:jc w:val="center"/>
              <w:rPr>
                <w:color w:val="000000"/>
                <w:kern w:val="0"/>
                <w:sz w:val="22"/>
                <w:szCs w:val="22"/>
              </w:rPr>
            </w:pPr>
            <w:r>
              <w:rPr>
                <w:color w:val="000000"/>
                <w:kern w:val="0"/>
                <w:sz w:val="22"/>
                <w:szCs w:val="22"/>
              </w:rPr>
              <w:t xml:space="preserve">20.4591 </w:t>
            </w:r>
          </w:p>
        </w:tc>
      </w:tr>
      <w:tr w14:paraId="1AA5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8E98D99">
            <w:pPr>
              <w:widowControl/>
              <w:jc w:val="center"/>
              <w:rPr>
                <w:color w:val="000000"/>
                <w:kern w:val="0"/>
                <w:sz w:val="22"/>
                <w:szCs w:val="22"/>
              </w:rPr>
            </w:pPr>
            <w:r>
              <w:rPr>
                <w:color w:val="000000"/>
                <w:kern w:val="0"/>
                <w:sz w:val="22"/>
                <w:szCs w:val="22"/>
              </w:rPr>
              <w:t>-10</w:t>
            </w:r>
          </w:p>
        </w:tc>
        <w:tc>
          <w:tcPr>
            <w:tcW w:w="1572" w:type="pct"/>
            <w:gridSpan w:val="2"/>
            <w:shd w:val="clear" w:color="auto" w:fill="auto"/>
            <w:vAlign w:val="center"/>
          </w:tcPr>
          <w:p w14:paraId="62EA11F4">
            <w:pPr>
              <w:widowControl/>
              <w:jc w:val="center"/>
              <w:rPr>
                <w:color w:val="000000"/>
                <w:kern w:val="0"/>
                <w:sz w:val="22"/>
                <w:szCs w:val="22"/>
              </w:rPr>
            </w:pPr>
            <w:r>
              <w:rPr>
                <w:color w:val="000000"/>
                <w:kern w:val="0"/>
                <w:sz w:val="22"/>
                <w:szCs w:val="22"/>
              </w:rPr>
              <w:t xml:space="preserve">27.8790 </w:t>
            </w:r>
          </w:p>
        </w:tc>
        <w:tc>
          <w:tcPr>
            <w:tcW w:w="1384" w:type="pct"/>
            <w:shd w:val="clear" w:color="auto" w:fill="auto"/>
            <w:vAlign w:val="center"/>
          </w:tcPr>
          <w:p w14:paraId="48BFA2A5">
            <w:pPr>
              <w:widowControl/>
              <w:jc w:val="center"/>
              <w:rPr>
                <w:color w:val="000000"/>
                <w:kern w:val="0"/>
                <w:sz w:val="22"/>
                <w:szCs w:val="22"/>
              </w:rPr>
            </w:pPr>
            <w:r>
              <w:rPr>
                <w:color w:val="000000"/>
                <w:kern w:val="0"/>
                <w:sz w:val="22"/>
                <w:szCs w:val="22"/>
              </w:rPr>
              <w:t xml:space="preserve">23.5783 </w:t>
            </w:r>
          </w:p>
        </w:tc>
      </w:tr>
      <w:tr w14:paraId="651C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5A592D8">
            <w:pPr>
              <w:widowControl/>
              <w:jc w:val="center"/>
              <w:rPr>
                <w:color w:val="000000"/>
                <w:kern w:val="0"/>
                <w:sz w:val="22"/>
                <w:szCs w:val="22"/>
              </w:rPr>
            </w:pPr>
            <w:r>
              <w:rPr>
                <w:color w:val="000000"/>
                <w:kern w:val="0"/>
                <w:sz w:val="22"/>
                <w:szCs w:val="22"/>
              </w:rPr>
              <w:t>-9</w:t>
            </w:r>
          </w:p>
        </w:tc>
        <w:tc>
          <w:tcPr>
            <w:tcW w:w="1572" w:type="pct"/>
            <w:gridSpan w:val="2"/>
            <w:shd w:val="clear" w:color="auto" w:fill="auto"/>
            <w:vAlign w:val="center"/>
          </w:tcPr>
          <w:p w14:paraId="4BFF4A1A">
            <w:pPr>
              <w:widowControl/>
              <w:jc w:val="center"/>
              <w:rPr>
                <w:color w:val="000000"/>
                <w:kern w:val="0"/>
                <w:sz w:val="22"/>
                <w:szCs w:val="22"/>
              </w:rPr>
            </w:pPr>
            <w:r>
              <w:rPr>
                <w:color w:val="000000"/>
                <w:kern w:val="0"/>
                <w:sz w:val="22"/>
                <w:szCs w:val="22"/>
              </w:rPr>
              <w:t xml:space="preserve">32.7574 </w:t>
            </w:r>
          </w:p>
        </w:tc>
        <w:tc>
          <w:tcPr>
            <w:tcW w:w="1384" w:type="pct"/>
            <w:shd w:val="clear" w:color="auto" w:fill="auto"/>
            <w:vAlign w:val="center"/>
          </w:tcPr>
          <w:p w14:paraId="1BCA94EC">
            <w:pPr>
              <w:widowControl/>
              <w:jc w:val="center"/>
              <w:rPr>
                <w:color w:val="000000"/>
                <w:kern w:val="0"/>
                <w:sz w:val="22"/>
                <w:szCs w:val="22"/>
              </w:rPr>
            </w:pPr>
            <w:r>
              <w:rPr>
                <w:color w:val="000000"/>
                <w:kern w:val="0"/>
                <w:sz w:val="22"/>
                <w:szCs w:val="22"/>
              </w:rPr>
              <w:t xml:space="preserve">26.9080 </w:t>
            </w:r>
          </w:p>
        </w:tc>
      </w:tr>
      <w:tr w14:paraId="158C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67BA8C8">
            <w:pPr>
              <w:widowControl/>
              <w:jc w:val="center"/>
              <w:rPr>
                <w:color w:val="000000"/>
                <w:kern w:val="0"/>
                <w:sz w:val="22"/>
                <w:szCs w:val="22"/>
              </w:rPr>
            </w:pPr>
            <w:r>
              <w:rPr>
                <w:color w:val="000000"/>
                <w:kern w:val="0"/>
                <w:sz w:val="22"/>
                <w:szCs w:val="22"/>
              </w:rPr>
              <w:t>-8</w:t>
            </w:r>
          </w:p>
        </w:tc>
        <w:tc>
          <w:tcPr>
            <w:tcW w:w="1572" w:type="pct"/>
            <w:gridSpan w:val="2"/>
            <w:shd w:val="clear" w:color="auto" w:fill="auto"/>
            <w:vAlign w:val="center"/>
          </w:tcPr>
          <w:p w14:paraId="2106CB49">
            <w:pPr>
              <w:widowControl/>
              <w:jc w:val="center"/>
              <w:rPr>
                <w:color w:val="000000"/>
                <w:kern w:val="0"/>
                <w:sz w:val="22"/>
                <w:szCs w:val="22"/>
              </w:rPr>
            </w:pPr>
            <w:r>
              <w:rPr>
                <w:color w:val="000000"/>
                <w:kern w:val="0"/>
                <w:sz w:val="22"/>
                <w:szCs w:val="22"/>
              </w:rPr>
              <w:t xml:space="preserve">37.6553 </w:t>
            </w:r>
          </w:p>
        </w:tc>
        <w:tc>
          <w:tcPr>
            <w:tcW w:w="1384" w:type="pct"/>
            <w:shd w:val="clear" w:color="auto" w:fill="auto"/>
            <w:vAlign w:val="center"/>
          </w:tcPr>
          <w:p w14:paraId="1CB18610">
            <w:pPr>
              <w:widowControl/>
              <w:jc w:val="center"/>
              <w:rPr>
                <w:color w:val="000000"/>
                <w:kern w:val="0"/>
                <w:sz w:val="22"/>
                <w:szCs w:val="22"/>
              </w:rPr>
            </w:pPr>
            <w:r>
              <w:rPr>
                <w:color w:val="000000"/>
                <w:kern w:val="0"/>
                <w:sz w:val="22"/>
                <w:szCs w:val="22"/>
              </w:rPr>
              <w:t xml:space="preserve">30.1739 </w:t>
            </w:r>
          </w:p>
        </w:tc>
      </w:tr>
      <w:tr w14:paraId="01DD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DFF2B6F">
            <w:pPr>
              <w:widowControl/>
              <w:jc w:val="center"/>
              <w:rPr>
                <w:color w:val="000000"/>
                <w:kern w:val="0"/>
                <w:sz w:val="22"/>
                <w:szCs w:val="22"/>
              </w:rPr>
            </w:pPr>
            <w:r>
              <w:rPr>
                <w:color w:val="000000"/>
                <w:kern w:val="0"/>
                <w:sz w:val="22"/>
                <w:szCs w:val="22"/>
              </w:rPr>
              <w:t>-</w:t>
            </w:r>
            <w:r>
              <w:rPr>
                <w:b/>
                <w:bCs/>
                <w:color w:val="000000"/>
                <w:kern w:val="0"/>
                <w:sz w:val="22"/>
                <w:szCs w:val="22"/>
              </w:rPr>
              <w:t>7</w:t>
            </w:r>
            <w:r>
              <w:rPr>
                <w:rFonts w:hint="eastAsia" w:ascii="宋体" w:hAnsi="宋体"/>
                <w:b/>
                <w:bCs/>
                <w:color w:val="000000"/>
                <w:kern w:val="0"/>
                <w:sz w:val="22"/>
                <w:szCs w:val="22"/>
              </w:rPr>
              <w:t>（距边导线</w:t>
            </w:r>
            <w:r>
              <w:rPr>
                <w:b/>
                <w:bCs/>
                <w:color w:val="000000"/>
                <w:kern w:val="0"/>
                <w:sz w:val="22"/>
                <w:szCs w:val="22"/>
              </w:rPr>
              <w:t>0m</w:t>
            </w:r>
            <w:r>
              <w:rPr>
                <w:rFonts w:hint="eastAsia" w:ascii="宋体" w:hAnsi="宋体"/>
                <w:b/>
                <w:bCs/>
                <w:color w:val="000000"/>
                <w:kern w:val="0"/>
                <w:sz w:val="22"/>
                <w:szCs w:val="22"/>
              </w:rPr>
              <w:t>）</w:t>
            </w:r>
          </w:p>
        </w:tc>
        <w:tc>
          <w:tcPr>
            <w:tcW w:w="1572" w:type="pct"/>
            <w:gridSpan w:val="2"/>
            <w:shd w:val="clear" w:color="auto" w:fill="auto"/>
            <w:vAlign w:val="center"/>
          </w:tcPr>
          <w:p w14:paraId="01321D57">
            <w:pPr>
              <w:widowControl/>
              <w:jc w:val="center"/>
              <w:rPr>
                <w:color w:val="000000"/>
                <w:kern w:val="0"/>
                <w:sz w:val="22"/>
                <w:szCs w:val="22"/>
              </w:rPr>
            </w:pPr>
            <w:r>
              <w:rPr>
                <w:color w:val="000000"/>
                <w:kern w:val="0"/>
                <w:sz w:val="22"/>
                <w:szCs w:val="22"/>
              </w:rPr>
              <w:t xml:space="preserve">41.7957 </w:t>
            </w:r>
          </w:p>
        </w:tc>
        <w:tc>
          <w:tcPr>
            <w:tcW w:w="1384" w:type="pct"/>
            <w:shd w:val="clear" w:color="auto" w:fill="auto"/>
            <w:vAlign w:val="center"/>
          </w:tcPr>
          <w:p w14:paraId="7A9C482D">
            <w:pPr>
              <w:widowControl/>
              <w:jc w:val="center"/>
              <w:rPr>
                <w:color w:val="000000"/>
                <w:kern w:val="0"/>
                <w:sz w:val="22"/>
                <w:szCs w:val="22"/>
              </w:rPr>
            </w:pPr>
            <w:r>
              <w:rPr>
                <w:color w:val="000000"/>
                <w:kern w:val="0"/>
                <w:sz w:val="22"/>
                <w:szCs w:val="22"/>
              </w:rPr>
              <w:t xml:space="preserve">33.0267 </w:t>
            </w:r>
          </w:p>
        </w:tc>
      </w:tr>
      <w:tr w14:paraId="0F27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5F96365">
            <w:pPr>
              <w:widowControl/>
              <w:jc w:val="center"/>
              <w:rPr>
                <w:color w:val="000000"/>
                <w:kern w:val="0"/>
                <w:sz w:val="22"/>
                <w:szCs w:val="22"/>
              </w:rPr>
            </w:pPr>
            <w:r>
              <w:rPr>
                <w:color w:val="000000"/>
                <w:kern w:val="0"/>
                <w:sz w:val="22"/>
                <w:szCs w:val="22"/>
              </w:rPr>
              <w:t>-6</w:t>
            </w:r>
          </w:p>
        </w:tc>
        <w:tc>
          <w:tcPr>
            <w:tcW w:w="1572" w:type="pct"/>
            <w:gridSpan w:val="2"/>
            <w:shd w:val="clear" w:color="auto" w:fill="auto"/>
            <w:vAlign w:val="center"/>
          </w:tcPr>
          <w:p w14:paraId="3B66DB55">
            <w:pPr>
              <w:widowControl/>
              <w:jc w:val="center"/>
              <w:rPr>
                <w:color w:val="000000"/>
                <w:kern w:val="0"/>
                <w:sz w:val="22"/>
                <w:szCs w:val="22"/>
              </w:rPr>
            </w:pPr>
            <w:r>
              <w:rPr>
                <w:color w:val="000000"/>
                <w:kern w:val="0"/>
                <w:sz w:val="22"/>
                <w:szCs w:val="22"/>
              </w:rPr>
              <w:t xml:space="preserve">44.5651 </w:t>
            </w:r>
          </w:p>
        </w:tc>
        <w:tc>
          <w:tcPr>
            <w:tcW w:w="1384" w:type="pct"/>
            <w:shd w:val="clear" w:color="auto" w:fill="auto"/>
            <w:vAlign w:val="center"/>
          </w:tcPr>
          <w:p w14:paraId="73F91ADA">
            <w:pPr>
              <w:widowControl/>
              <w:jc w:val="center"/>
              <w:rPr>
                <w:color w:val="000000"/>
                <w:kern w:val="0"/>
                <w:sz w:val="22"/>
                <w:szCs w:val="22"/>
              </w:rPr>
            </w:pPr>
            <w:r>
              <w:rPr>
                <w:color w:val="000000"/>
                <w:kern w:val="0"/>
                <w:sz w:val="22"/>
                <w:szCs w:val="22"/>
              </w:rPr>
              <w:t xml:space="preserve">35.2014 </w:t>
            </w:r>
          </w:p>
        </w:tc>
      </w:tr>
      <w:tr w14:paraId="4FAF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645382F">
            <w:pPr>
              <w:widowControl/>
              <w:jc w:val="center"/>
              <w:rPr>
                <w:color w:val="000000"/>
                <w:kern w:val="0"/>
                <w:sz w:val="22"/>
                <w:szCs w:val="22"/>
              </w:rPr>
            </w:pPr>
            <w:r>
              <w:rPr>
                <w:color w:val="000000"/>
                <w:kern w:val="0"/>
                <w:sz w:val="22"/>
                <w:szCs w:val="22"/>
              </w:rPr>
              <w:t>-5</w:t>
            </w:r>
          </w:p>
        </w:tc>
        <w:tc>
          <w:tcPr>
            <w:tcW w:w="1572" w:type="pct"/>
            <w:gridSpan w:val="2"/>
            <w:shd w:val="clear" w:color="auto" w:fill="auto"/>
            <w:vAlign w:val="center"/>
          </w:tcPr>
          <w:p w14:paraId="58895E8E">
            <w:pPr>
              <w:widowControl/>
              <w:jc w:val="center"/>
              <w:rPr>
                <w:color w:val="000000"/>
                <w:kern w:val="0"/>
                <w:sz w:val="22"/>
                <w:szCs w:val="22"/>
              </w:rPr>
            </w:pPr>
            <w:r>
              <w:rPr>
                <w:color w:val="000000"/>
                <w:kern w:val="0"/>
                <w:sz w:val="22"/>
                <w:szCs w:val="22"/>
              </w:rPr>
              <w:t xml:space="preserve">45.9882 </w:t>
            </w:r>
          </w:p>
        </w:tc>
        <w:tc>
          <w:tcPr>
            <w:tcW w:w="1384" w:type="pct"/>
            <w:shd w:val="clear" w:color="auto" w:fill="auto"/>
            <w:vAlign w:val="center"/>
          </w:tcPr>
          <w:p w14:paraId="28FD549D">
            <w:pPr>
              <w:widowControl/>
              <w:jc w:val="center"/>
              <w:rPr>
                <w:color w:val="000000"/>
                <w:kern w:val="0"/>
                <w:sz w:val="22"/>
                <w:szCs w:val="22"/>
              </w:rPr>
            </w:pPr>
            <w:r>
              <w:rPr>
                <w:color w:val="000000"/>
                <w:kern w:val="0"/>
                <w:sz w:val="22"/>
                <w:szCs w:val="22"/>
              </w:rPr>
              <w:t xml:space="preserve">36.6573 </w:t>
            </w:r>
          </w:p>
        </w:tc>
      </w:tr>
      <w:tr w14:paraId="0C3B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C7CAD14">
            <w:pPr>
              <w:widowControl/>
              <w:jc w:val="center"/>
              <w:rPr>
                <w:color w:val="000000"/>
                <w:kern w:val="0"/>
                <w:sz w:val="22"/>
                <w:szCs w:val="22"/>
              </w:rPr>
            </w:pPr>
            <w:r>
              <w:rPr>
                <w:color w:val="000000"/>
                <w:kern w:val="0"/>
                <w:sz w:val="22"/>
                <w:szCs w:val="22"/>
              </w:rPr>
              <w:t>-4</w:t>
            </w:r>
          </w:p>
        </w:tc>
        <w:tc>
          <w:tcPr>
            <w:tcW w:w="1572" w:type="pct"/>
            <w:gridSpan w:val="2"/>
            <w:shd w:val="clear" w:color="auto" w:fill="auto"/>
            <w:vAlign w:val="center"/>
          </w:tcPr>
          <w:p w14:paraId="26088ED1">
            <w:pPr>
              <w:widowControl/>
              <w:jc w:val="center"/>
              <w:rPr>
                <w:color w:val="000000"/>
                <w:kern w:val="0"/>
                <w:sz w:val="22"/>
                <w:szCs w:val="22"/>
              </w:rPr>
            </w:pPr>
            <w:r>
              <w:rPr>
                <w:color w:val="000000"/>
                <w:kern w:val="0"/>
                <w:sz w:val="22"/>
                <w:szCs w:val="22"/>
              </w:rPr>
              <w:t xml:space="preserve">46.6176 </w:t>
            </w:r>
          </w:p>
        </w:tc>
        <w:tc>
          <w:tcPr>
            <w:tcW w:w="1384" w:type="pct"/>
            <w:shd w:val="clear" w:color="auto" w:fill="auto"/>
            <w:vAlign w:val="center"/>
          </w:tcPr>
          <w:p w14:paraId="315BA465">
            <w:pPr>
              <w:widowControl/>
              <w:jc w:val="center"/>
              <w:rPr>
                <w:color w:val="000000"/>
                <w:kern w:val="0"/>
                <w:sz w:val="22"/>
                <w:szCs w:val="22"/>
              </w:rPr>
            </w:pPr>
            <w:r>
              <w:rPr>
                <w:color w:val="000000"/>
                <w:kern w:val="0"/>
                <w:sz w:val="22"/>
                <w:szCs w:val="22"/>
              </w:rPr>
              <w:t xml:space="preserve">37.5616 </w:t>
            </w:r>
          </w:p>
        </w:tc>
      </w:tr>
      <w:tr w14:paraId="617F5ABB">
        <w:tblPrEx>
          <w:tblCellMar>
            <w:top w:w="0" w:type="dxa"/>
            <w:left w:w="108" w:type="dxa"/>
            <w:bottom w:w="0" w:type="dxa"/>
            <w:right w:w="108" w:type="dxa"/>
          </w:tblCellMar>
        </w:tblPrEx>
        <w:trPr>
          <w:trHeight w:val="20" w:hRule="atLeast"/>
        </w:trPr>
        <w:tc>
          <w:tcPr>
            <w:tcW w:w="2044" w:type="pct"/>
            <w:shd w:val="clear" w:color="auto" w:fill="auto"/>
            <w:vAlign w:val="center"/>
          </w:tcPr>
          <w:p w14:paraId="6E45F7D6">
            <w:pPr>
              <w:widowControl/>
              <w:jc w:val="center"/>
              <w:rPr>
                <w:color w:val="000000"/>
                <w:kern w:val="0"/>
                <w:sz w:val="22"/>
                <w:szCs w:val="22"/>
              </w:rPr>
            </w:pPr>
            <w:r>
              <w:rPr>
                <w:color w:val="000000"/>
                <w:kern w:val="0"/>
                <w:sz w:val="22"/>
                <w:szCs w:val="22"/>
              </w:rPr>
              <w:t>-3</w:t>
            </w:r>
          </w:p>
        </w:tc>
        <w:tc>
          <w:tcPr>
            <w:tcW w:w="1572" w:type="pct"/>
            <w:gridSpan w:val="2"/>
            <w:shd w:val="clear" w:color="auto" w:fill="auto"/>
            <w:vAlign w:val="center"/>
          </w:tcPr>
          <w:p w14:paraId="0D41C4A2">
            <w:pPr>
              <w:widowControl/>
              <w:jc w:val="center"/>
              <w:rPr>
                <w:color w:val="000000"/>
                <w:kern w:val="0"/>
                <w:sz w:val="22"/>
                <w:szCs w:val="22"/>
              </w:rPr>
            </w:pPr>
            <w:r>
              <w:rPr>
                <w:color w:val="000000"/>
                <w:kern w:val="0"/>
                <w:sz w:val="22"/>
                <w:szCs w:val="22"/>
              </w:rPr>
              <w:t xml:space="preserve">47.0408 </w:t>
            </w:r>
          </w:p>
        </w:tc>
        <w:tc>
          <w:tcPr>
            <w:tcW w:w="1384" w:type="pct"/>
            <w:shd w:val="clear" w:color="auto" w:fill="auto"/>
            <w:vAlign w:val="center"/>
          </w:tcPr>
          <w:p w14:paraId="2F211FF1">
            <w:pPr>
              <w:widowControl/>
              <w:jc w:val="center"/>
              <w:rPr>
                <w:color w:val="000000"/>
                <w:kern w:val="0"/>
                <w:sz w:val="22"/>
                <w:szCs w:val="22"/>
              </w:rPr>
            </w:pPr>
            <w:r>
              <w:rPr>
                <w:color w:val="000000"/>
                <w:kern w:val="0"/>
                <w:sz w:val="22"/>
                <w:szCs w:val="22"/>
              </w:rPr>
              <w:t xml:space="preserve">38.1451 </w:t>
            </w:r>
          </w:p>
        </w:tc>
      </w:tr>
      <w:tr w14:paraId="2B00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DC8B0CA">
            <w:pPr>
              <w:widowControl/>
              <w:jc w:val="center"/>
              <w:rPr>
                <w:color w:val="000000"/>
                <w:kern w:val="0"/>
                <w:sz w:val="22"/>
                <w:szCs w:val="22"/>
              </w:rPr>
            </w:pPr>
            <w:r>
              <w:rPr>
                <w:color w:val="000000"/>
                <w:kern w:val="0"/>
                <w:sz w:val="22"/>
                <w:szCs w:val="22"/>
              </w:rPr>
              <w:t>-2</w:t>
            </w:r>
          </w:p>
        </w:tc>
        <w:tc>
          <w:tcPr>
            <w:tcW w:w="1572" w:type="pct"/>
            <w:gridSpan w:val="2"/>
            <w:shd w:val="clear" w:color="auto" w:fill="auto"/>
            <w:vAlign w:val="center"/>
          </w:tcPr>
          <w:p w14:paraId="4733350F">
            <w:pPr>
              <w:widowControl/>
              <w:jc w:val="center"/>
              <w:rPr>
                <w:color w:val="000000"/>
                <w:kern w:val="0"/>
                <w:sz w:val="22"/>
                <w:szCs w:val="22"/>
              </w:rPr>
            </w:pPr>
            <w:r>
              <w:rPr>
                <w:color w:val="000000"/>
                <w:kern w:val="0"/>
                <w:sz w:val="22"/>
                <w:szCs w:val="22"/>
              </w:rPr>
              <w:t xml:space="preserve">47.5496 </w:t>
            </w:r>
          </w:p>
        </w:tc>
        <w:tc>
          <w:tcPr>
            <w:tcW w:w="1384" w:type="pct"/>
            <w:shd w:val="clear" w:color="auto" w:fill="auto"/>
            <w:vAlign w:val="center"/>
          </w:tcPr>
          <w:p w14:paraId="12876E13">
            <w:pPr>
              <w:widowControl/>
              <w:jc w:val="center"/>
              <w:rPr>
                <w:color w:val="000000"/>
                <w:kern w:val="0"/>
                <w:sz w:val="22"/>
                <w:szCs w:val="22"/>
              </w:rPr>
            </w:pPr>
            <w:r>
              <w:rPr>
                <w:color w:val="000000"/>
                <w:kern w:val="0"/>
                <w:sz w:val="22"/>
                <w:szCs w:val="22"/>
              </w:rPr>
              <w:t xml:space="preserve">38.5648 </w:t>
            </w:r>
          </w:p>
        </w:tc>
      </w:tr>
      <w:tr w14:paraId="41D5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58B7274">
            <w:pPr>
              <w:widowControl/>
              <w:jc w:val="center"/>
              <w:rPr>
                <w:color w:val="000000"/>
                <w:kern w:val="0"/>
                <w:sz w:val="22"/>
                <w:szCs w:val="22"/>
              </w:rPr>
            </w:pPr>
            <w:r>
              <w:rPr>
                <w:color w:val="000000"/>
                <w:kern w:val="0"/>
                <w:sz w:val="22"/>
                <w:szCs w:val="22"/>
              </w:rPr>
              <w:t>-1</w:t>
            </w:r>
          </w:p>
        </w:tc>
        <w:tc>
          <w:tcPr>
            <w:tcW w:w="1572" w:type="pct"/>
            <w:gridSpan w:val="2"/>
            <w:shd w:val="clear" w:color="auto" w:fill="auto"/>
            <w:vAlign w:val="center"/>
          </w:tcPr>
          <w:p w14:paraId="11B2968C">
            <w:pPr>
              <w:widowControl/>
              <w:jc w:val="center"/>
              <w:rPr>
                <w:color w:val="000000"/>
                <w:kern w:val="0"/>
                <w:sz w:val="22"/>
                <w:szCs w:val="22"/>
              </w:rPr>
            </w:pPr>
            <w:r>
              <w:rPr>
                <w:color w:val="000000"/>
                <w:kern w:val="0"/>
                <w:sz w:val="22"/>
                <w:szCs w:val="22"/>
              </w:rPr>
              <w:t xml:space="preserve">48.0629 </w:t>
            </w:r>
          </w:p>
        </w:tc>
        <w:tc>
          <w:tcPr>
            <w:tcW w:w="1384" w:type="pct"/>
            <w:shd w:val="clear" w:color="auto" w:fill="auto"/>
            <w:vAlign w:val="center"/>
          </w:tcPr>
          <w:p w14:paraId="0B463A80">
            <w:pPr>
              <w:widowControl/>
              <w:jc w:val="center"/>
              <w:rPr>
                <w:color w:val="000000"/>
                <w:kern w:val="0"/>
                <w:sz w:val="22"/>
                <w:szCs w:val="22"/>
              </w:rPr>
            </w:pPr>
            <w:r>
              <w:rPr>
                <w:color w:val="000000"/>
                <w:kern w:val="0"/>
                <w:sz w:val="22"/>
                <w:szCs w:val="22"/>
              </w:rPr>
              <w:t xml:space="preserve">38.8514 </w:t>
            </w:r>
          </w:p>
        </w:tc>
      </w:tr>
      <w:tr w14:paraId="4123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8B319D6">
            <w:pPr>
              <w:widowControl/>
              <w:jc w:val="center"/>
              <w:rPr>
                <w:color w:val="000000"/>
                <w:kern w:val="0"/>
                <w:sz w:val="22"/>
                <w:szCs w:val="22"/>
              </w:rPr>
            </w:pPr>
            <w:r>
              <w:rPr>
                <w:color w:val="000000"/>
                <w:kern w:val="0"/>
                <w:sz w:val="22"/>
                <w:szCs w:val="22"/>
              </w:rPr>
              <w:t>0</w:t>
            </w:r>
          </w:p>
        </w:tc>
        <w:tc>
          <w:tcPr>
            <w:tcW w:w="1572" w:type="pct"/>
            <w:gridSpan w:val="2"/>
            <w:shd w:val="clear" w:color="auto" w:fill="auto"/>
            <w:vAlign w:val="center"/>
          </w:tcPr>
          <w:p w14:paraId="49F304ED">
            <w:pPr>
              <w:widowControl/>
              <w:jc w:val="center"/>
              <w:rPr>
                <w:b/>
                <w:bCs/>
                <w:color w:val="000000"/>
                <w:kern w:val="0"/>
                <w:sz w:val="22"/>
                <w:szCs w:val="22"/>
              </w:rPr>
            </w:pPr>
            <w:r>
              <w:rPr>
                <w:b/>
                <w:bCs/>
                <w:color w:val="000000"/>
                <w:kern w:val="0"/>
                <w:sz w:val="22"/>
                <w:szCs w:val="22"/>
              </w:rPr>
              <w:t xml:space="preserve">48.2892 </w:t>
            </w:r>
          </w:p>
        </w:tc>
        <w:tc>
          <w:tcPr>
            <w:tcW w:w="1384" w:type="pct"/>
            <w:shd w:val="clear" w:color="auto" w:fill="auto"/>
            <w:vAlign w:val="center"/>
          </w:tcPr>
          <w:p w14:paraId="0B10DE4E">
            <w:pPr>
              <w:widowControl/>
              <w:jc w:val="center"/>
              <w:rPr>
                <w:b/>
                <w:bCs/>
                <w:color w:val="000000"/>
                <w:kern w:val="0"/>
                <w:sz w:val="22"/>
                <w:szCs w:val="22"/>
              </w:rPr>
            </w:pPr>
            <w:r>
              <w:rPr>
                <w:b/>
                <w:bCs/>
                <w:color w:val="000000"/>
                <w:kern w:val="0"/>
                <w:sz w:val="22"/>
                <w:szCs w:val="22"/>
              </w:rPr>
              <w:t xml:space="preserve">38.9571 </w:t>
            </w:r>
          </w:p>
        </w:tc>
      </w:tr>
      <w:tr w14:paraId="0114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11A622C">
            <w:pPr>
              <w:widowControl/>
              <w:jc w:val="center"/>
              <w:rPr>
                <w:color w:val="000000"/>
                <w:kern w:val="0"/>
                <w:sz w:val="22"/>
                <w:szCs w:val="22"/>
              </w:rPr>
            </w:pPr>
            <w:r>
              <w:rPr>
                <w:color w:val="000000"/>
                <w:kern w:val="0"/>
                <w:sz w:val="22"/>
                <w:szCs w:val="22"/>
              </w:rPr>
              <w:t>1</w:t>
            </w:r>
          </w:p>
        </w:tc>
        <w:tc>
          <w:tcPr>
            <w:tcW w:w="1572" w:type="pct"/>
            <w:gridSpan w:val="2"/>
            <w:shd w:val="clear" w:color="auto" w:fill="auto"/>
            <w:vAlign w:val="center"/>
          </w:tcPr>
          <w:p w14:paraId="3C34EA68">
            <w:pPr>
              <w:widowControl/>
              <w:jc w:val="center"/>
              <w:rPr>
                <w:color w:val="000000"/>
                <w:kern w:val="0"/>
                <w:sz w:val="22"/>
                <w:szCs w:val="22"/>
              </w:rPr>
            </w:pPr>
            <w:r>
              <w:rPr>
                <w:color w:val="000000"/>
                <w:kern w:val="0"/>
                <w:sz w:val="22"/>
                <w:szCs w:val="22"/>
              </w:rPr>
              <w:t xml:space="preserve">48.0629 </w:t>
            </w:r>
          </w:p>
        </w:tc>
        <w:tc>
          <w:tcPr>
            <w:tcW w:w="1384" w:type="pct"/>
            <w:shd w:val="clear" w:color="auto" w:fill="auto"/>
            <w:vAlign w:val="center"/>
          </w:tcPr>
          <w:p w14:paraId="55116901">
            <w:pPr>
              <w:widowControl/>
              <w:jc w:val="center"/>
              <w:rPr>
                <w:color w:val="000000"/>
                <w:kern w:val="0"/>
                <w:sz w:val="22"/>
                <w:szCs w:val="22"/>
              </w:rPr>
            </w:pPr>
            <w:r>
              <w:rPr>
                <w:color w:val="000000"/>
                <w:kern w:val="0"/>
                <w:sz w:val="22"/>
                <w:szCs w:val="22"/>
              </w:rPr>
              <w:t xml:space="preserve">38.8514 </w:t>
            </w:r>
          </w:p>
        </w:tc>
      </w:tr>
      <w:tr w14:paraId="41CE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820FF03">
            <w:pPr>
              <w:widowControl/>
              <w:jc w:val="center"/>
              <w:rPr>
                <w:color w:val="000000"/>
                <w:kern w:val="0"/>
                <w:sz w:val="22"/>
                <w:szCs w:val="22"/>
              </w:rPr>
            </w:pPr>
            <w:r>
              <w:rPr>
                <w:color w:val="000000"/>
                <w:kern w:val="0"/>
                <w:sz w:val="22"/>
                <w:szCs w:val="22"/>
              </w:rPr>
              <w:t>2</w:t>
            </w:r>
          </w:p>
        </w:tc>
        <w:tc>
          <w:tcPr>
            <w:tcW w:w="1572" w:type="pct"/>
            <w:gridSpan w:val="2"/>
            <w:shd w:val="clear" w:color="auto" w:fill="auto"/>
            <w:vAlign w:val="center"/>
          </w:tcPr>
          <w:p w14:paraId="44E3E24B">
            <w:pPr>
              <w:widowControl/>
              <w:jc w:val="center"/>
              <w:rPr>
                <w:color w:val="000000"/>
                <w:kern w:val="0"/>
                <w:sz w:val="22"/>
                <w:szCs w:val="22"/>
              </w:rPr>
            </w:pPr>
            <w:r>
              <w:rPr>
                <w:color w:val="000000"/>
                <w:kern w:val="0"/>
                <w:sz w:val="22"/>
                <w:szCs w:val="22"/>
              </w:rPr>
              <w:t xml:space="preserve">47.5496 </w:t>
            </w:r>
          </w:p>
        </w:tc>
        <w:tc>
          <w:tcPr>
            <w:tcW w:w="1384" w:type="pct"/>
            <w:shd w:val="clear" w:color="auto" w:fill="auto"/>
            <w:vAlign w:val="center"/>
          </w:tcPr>
          <w:p w14:paraId="756D322B">
            <w:pPr>
              <w:widowControl/>
              <w:jc w:val="center"/>
              <w:rPr>
                <w:color w:val="000000"/>
                <w:kern w:val="0"/>
                <w:sz w:val="22"/>
                <w:szCs w:val="22"/>
              </w:rPr>
            </w:pPr>
            <w:r>
              <w:rPr>
                <w:color w:val="000000"/>
                <w:kern w:val="0"/>
                <w:sz w:val="22"/>
                <w:szCs w:val="22"/>
              </w:rPr>
              <w:t xml:space="preserve">38.5648 </w:t>
            </w:r>
          </w:p>
        </w:tc>
      </w:tr>
      <w:tr w14:paraId="4DB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2044" w:type="pct"/>
            <w:shd w:val="clear" w:color="auto" w:fill="auto"/>
            <w:vAlign w:val="center"/>
          </w:tcPr>
          <w:p w14:paraId="371ADD03">
            <w:pPr>
              <w:widowControl/>
              <w:jc w:val="center"/>
              <w:rPr>
                <w:color w:val="000000"/>
                <w:kern w:val="0"/>
                <w:sz w:val="22"/>
                <w:szCs w:val="22"/>
              </w:rPr>
            </w:pPr>
            <w:r>
              <w:rPr>
                <w:color w:val="000000"/>
                <w:kern w:val="0"/>
                <w:sz w:val="22"/>
                <w:szCs w:val="22"/>
              </w:rPr>
              <w:t>3</w:t>
            </w:r>
          </w:p>
        </w:tc>
        <w:tc>
          <w:tcPr>
            <w:tcW w:w="1572" w:type="pct"/>
            <w:gridSpan w:val="2"/>
            <w:shd w:val="clear" w:color="auto" w:fill="auto"/>
            <w:vAlign w:val="center"/>
          </w:tcPr>
          <w:p w14:paraId="1C9D96E8">
            <w:pPr>
              <w:widowControl/>
              <w:jc w:val="center"/>
              <w:rPr>
                <w:color w:val="000000"/>
                <w:kern w:val="0"/>
                <w:sz w:val="22"/>
                <w:szCs w:val="22"/>
              </w:rPr>
            </w:pPr>
            <w:r>
              <w:rPr>
                <w:color w:val="000000"/>
                <w:kern w:val="0"/>
                <w:sz w:val="22"/>
                <w:szCs w:val="22"/>
              </w:rPr>
              <w:t xml:space="preserve">47.0408 </w:t>
            </w:r>
          </w:p>
        </w:tc>
        <w:tc>
          <w:tcPr>
            <w:tcW w:w="1384" w:type="pct"/>
            <w:shd w:val="clear" w:color="auto" w:fill="auto"/>
            <w:vAlign w:val="center"/>
          </w:tcPr>
          <w:p w14:paraId="64B2FB73">
            <w:pPr>
              <w:widowControl/>
              <w:jc w:val="center"/>
              <w:rPr>
                <w:color w:val="000000"/>
                <w:kern w:val="0"/>
                <w:sz w:val="22"/>
                <w:szCs w:val="22"/>
              </w:rPr>
            </w:pPr>
            <w:r>
              <w:rPr>
                <w:color w:val="000000"/>
                <w:kern w:val="0"/>
                <w:sz w:val="22"/>
                <w:szCs w:val="22"/>
              </w:rPr>
              <w:t xml:space="preserve">38.1451 </w:t>
            </w:r>
          </w:p>
        </w:tc>
      </w:tr>
      <w:tr w14:paraId="1980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8EDB3EE">
            <w:pPr>
              <w:widowControl/>
              <w:jc w:val="center"/>
              <w:rPr>
                <w:color w:val="000000"/>
                <w:kern w:val="0"/>
                <w:sz w:val="22"/>
                <w:szCs w:val="22"/>
              </w:rPr>
            </w:pPr>
            <w:r>
              <w:rPr>
                <w:color w:val="000000"/>
                <w:kern w:val="0"/>
                <w:sz w:val="22"/>
                <w:szCs w:val="22"/>
              </w:rPr>
              <w:t>4</w:t>
            </w:r>
          </w:p>
        </w:tc>
        <w:tc>
          <w:tcPr>
            <w:tcW w:w="1572" w:type="pct"/>
            <w:gridSpan w:val="2"/>
            <w:shd w:val="clear" w:color="auto" w:fill="auto"/>
            <w:vAlign w:val="center"/>
          </w:tcPr>
          <w:p w14:paraId="121C8A7B">
            <w:pPr>
              <w:widowControl/>
              <w:jc w:val="center"/>
              <w:rPr>
                <w:color w:val="000000"/>
                <w:kern w:val="0"/>
                <w:sz w:val="22"/>
                <w:szCs w:val="22"/>
              </w:rPr>
            </w:pPr>
            <w:r>
              <w:rPr>
                <w:color w:val="000000"/>
                <w:kern w:val="0"/>
                <w:sz w:val="22"/>
                <w:szCs w:val="22"/>
              </w:rPr>
              <w:t xml:space="preserve">46.6176 </w:t>
            </w:r>
          </w:p>
        </w:tc>
        <w:tc>
          <w:tcPr>
            <w:tcW w:w="1384" w:type="pct"/>
            <w:shd w:val="clear" w:color="auto" w:fill="auto"/>
            <w:vAlign w:val="center"/>
          </w:tcPr>
          <w:p w14:paraId="6BF93C11">
            <w:pPr>
              <w:widowControl/>
              <w:jc w:val="center"/>
              <w:rPr>
                <w:color w:val="000000"/>
                <w:kern w:val="0"/>
                <w:sz w:val="22"/>
                <w:szCs w:val="22"/>
              </w:rPr>
            </w:pPr>
            <w:r>
              <w:rPr>
                <w:color w:val="000000"/>
                <w:kern w:val="0"/>
                <w:sz w:val="22"/>
                <w:szCs w:val="22"/>
              </w:rPr>
              <w:t xml:space="preserve">37.5616 </w:t>
            </w:r>
          </w:p>
        </w:tc>
      </w:tr>
      <w:tr w14:paraId="2D34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4599E4E">
            <w:pPr>
              <w:widowControl/>
              <w:jc w:val="center"/>
              <w:rPr>
                <w:color w:val="000000"/>
                <w:kern w:val="0"/>
                <w:sz w:val="22"/>
                <w:szCs w:val="22"/>
              </w:rPr>
            </w:pPr>
            <w:r>
              <w:rPr>
                <w:color w:val="000000"/>
                <w:kern w:val="0"/>
                <w:sz w:val="22"/>
                <w:szCs w:val="22"/>
              </w:rPr>
              <w:t>5</w:t>
            </w:r>
          </w:p>
        </w:tc>
        <w:tc>
          <w:tcPr>
            <w:tcW w:w="1572" w:type="pct"/>
            <w:gridSpan w:val="2"/>
            <w:shd w:val="clear" w:color="auto" w:fill="auto"/>
            <w:vAlign w:val="center"/>
          </w:tcPr>
          <w:p w14:paraId="2D1AFDE3">
            <w:pPr>
              <w:widowControl/>
              <w:jc w:val="center"/>
              <w:rPr>
                <w:color w:val="000000"/>
                <w:kern w:val="0"/>
                <w:sz w:val="22"/>
                <w:szCs w:val="22"/>
              </w:rPr>
            </w:pPr>
            <w:r>
              <w:rPr>
                <w:color w:val="000000"/>
                <w:kern w:val="0"/>
                <w:sz w:val="22"/>
                <w:szCs w:val="22"/>
              </w:rPr>
              <w:t xml:space="preserve">45.9882 </w:t>
            </w:r>
          </w:p>
        </w:tc>
        <w:tc>
          <w:tcPr>
            <w:tcW w:w="1384" w:type="pct"/>
            <w:shd w:val="clear" w:color="auto" w:fill="auto"/>
            <w:vAlign w:val="center"/>
          </w:tcPr>
          <w:p w14:paraId="7F8AC880">
            <w:pPr>
              <w:widowControl/>
              <w:jc w:val="center"/>
              <w:rPr>
                <w:color w:val="000000"/>
                <w:kern w:val="0"/>
                <w:sz w:val="22"/>
                <w:szCs w:val="22"/>
              </w:rPr>
            </w:pPr>
            <w:r>
              <w:rPr>
                <w:color w:val="000000"/>
                <w:kern w:val="0"/>
                <w:sz w:val="22"/>
                <w:szCs w:val="22"/>
              </w:rPr>
              <w:t xml:space="preserve">36.6573 </w:t>
            </w:r>
          </w:p>
        </w:tc>
      </w:tr>
      <w:tr w14:paraId="75CC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4639012">
            <w:pPr>
              <w:widowControl/>
              <w:jc w:val="center"/>
              <w:rPr>
                <w:color w:val="000000"/>
                <w:kern w:val="0"/>
                <w:sz w:val="22"/>
                <w:szCs w:val="22"/>
              </w:rPr>
            </w:pPr>
            <w:r>
              <w:rPr>
                <w:color w:val="000000"/>
                <w:kern w:val="0"/>
                <w:sz w:val="22"/>
                <w:szCs w:val="22"/>
              </w:rPr>
              <w:t>6</w:t>
            </w:r>
          </w:p>
        </w:tc>
        <w:tc>
          <w:tcPr>
            <w:tcW w:w="1572" w:type="pct"/>
            <w:gridSpan w:val="2"/>
            <w:shd w:val="clear" w:color="auto" w:fill="auto"/>
            <w:vAlign w:val="center"/>
          </w:tcPr>
          <w:p w14:paraId="0A9AED64">
            <w:pPr>
              <w:widowControl/>
              <w:jc w:val="center"/>
              <w:rPr>
                <w:color w:val="000000"/>
                <w:kern w:val="0"/>
                <w:sz w:val="22"/>
                <w:szCs w:val="22"/>
              </w:rPr>
            </w:pPr>
            <w:r>
              <w:rPr>
                <w:color w:val="000000"/>
                <w:kern w:val="0"/>
                <w:sz w:val="22"/>
                <w:szCs w:val="22"/>
              </w:rPr>
              <w:t xml:space="preserve">44.5651 </w:t>
            </w:r>
          </w:p>
        </w:tc>
        <w:tc>
          <w:tcPr>
            <w:tcW w:w="1384" w:type="pct"/>
            <w:shd w:val="clear" w:color="auto" w:fill="auto"/>
            <w:vAlign w:val="center"/>
          </w:tcPr>
          <w:p w14:paraId="7491C98D">
            <w:pPr>
              <w:widowControl/>
              <w:jc w:val="center"/>
              <w:rPr>
                <w:color w:val="000000"/>
                <w:kern w:val="0"/>
                <w:sz w:val="22"/>
                <w:szCs w:val="22"/>
              </w:rPr>
            </w:pPr>
            <w:r>
              <w:rPr>
                <w:color w:val="000000"/>
                <w:kern w:val="0"/>
                <w:sz w:val="22"/>
                <w:szCs w:val="22"/>
              </w:rPr>
              <w:t xml:space="preserve">35.2014 </w:t>
            </w:r>
          </w:p>
        </w:tc>
      </w:tr>
      <w:tr w14:paraId="35C4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B0C85E8">
            <w:pPr>
              <w:widowControl/>
              <w:jc w:val="center"/>
              <w:rPr>
                <w:b/>
                <w:bCs/>
                <w:color w:val="000000"/>
                <w:kern w:val="0"/>
                <w:sz w:val="22"/>
                <w:szCs w:val="22"/>
              </w:rPr>
            </w:pPr>
            <w:r>
              <w:rPr>
                <w:b/>
                <w:bCs/>
                <w:color w:val="000000"/>
                <w:kern w:val="0"/>
                <w:sz w:val="22"/>
                <w:szCs w:val="22"/>
              </w:rPr>
              <w:t>7</w:t>
            </w:r>
            <w:r>
              <w:rPr>
                <w:rFonts w:hint="eastAsia" w:ascii="宋体" w:hAnsi="宋体"/>
                <w:b/>
                <w:bCs/>
                <w:color w:val="000000"/>
                <w:kern w:val="0"/>
                <w:sz w:val="22"/>
                <w:szCs w:val="22"/>
              </w:rPr>
              <w:t>（距边导线</w:t>
            </w:r>
            <w:r>
              <w:rPr>
                <w:b/>
                <w:bCs/>
                <w:color w:val="000000"/>
                <w:kern w:val="0"/>
                <w:sz w:val="22"/>
                <w:szCs w:val="22"/>
              </w:rPr>
              <w:t>0m</w:t>
            </w:r>
            <w:r>
              <w:rPr>
                <w:rFonts w:hint="eastAsia" w:ascii="宋体" w:hAnsi="宋体"/>
                <w:b/>
                <w:bCs/>
                <w:color w:val="000000"/>
                <w:kern w:val="0"/>
                <w:sz w:val="22"/>
                <w:szCs w:val="22"/>
              </w:rPr>
              <w:t>）</w:t>
            </w:r>
          </w:p>
        </w:tc>
        <w:tc>
          <w:tcPr>
            <w:tcW w:w="1572" w:type="pct"/>
            <w:gridSpan w:val="2"/>
            <w:shd w:val="clear" w:color="auto" w:fill="auto"/>
            <w:vAlign w:val="center"/>
          </w:tcPr>
          <w:p w14:paraId="3A79F99C">
            <w:pPr>
              <w:widowControl/>
              <w:jc w:val="center"/>
              <w:rPr>
                <w:color w:val="000000"/>
                <w:kern w:val="0"/>
                <w:sz w:val="22"/>
                <w:szCs w:val="22"/>
              </w:rPr>
            </w:pPr>
            <w:r>
              <w:rPr>
                <w:color w:val="000000"/>
                <w:kern w:val="0"/>
                <w:sz w:val="22"/>
                <w:szCs w:val="22"/>
              </w:rPr>
              <w:t xml:space="preserve">41.7957 </w:t>
            </w:r>
          </w:p>
        </w:tc>
        <w:tc>
          <w:tcPr>
            <w:tcW w:w="1384" w:type="pct"/>
            <w:shd w:val="clear" w:color="auto" w:fill="auto"/>
            <w:vAlign w:val="center"/>
          </w:tcPr>
          <w:p w14:paraId="7469B7D3">
            <w:pPr>
              <w:widowControl/>
              <w:jc w:val="center"/>
              <w:rPr>
                <w:color w:val="000000"/>
                <w:kern w:val="0"/>
                <w:sz w:val="22"/>
                <w:szCs w:val="22"/>
              </w:rPr>
            </w:pPr>
            <w:r>
              <w:rPr>
                <w:color w:val="000000"/>
                <w:kern w:val="0"/>
                <w:sz w:val="22"/>
                <w:szCs w:val="22"/>
              </w:rPr>
              <w:t xml:space="preserve">33.0267 </w:t>
            </w:r>
          </w:p>
        </w:tc>
      </w:tr>
      <w:tr w14:paraId="0411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06EC4B3">
            <w:pPr>
              <w:widowControl/>
              <w:jc w:val="center"/>
              <w:rPr>
                <w:color w:val="000000"/>
                <w:kern w:val="0"/>
                <w:sz w:val="22"/>
                <w:szCs w:val="22"/>
              </w:rPr>
            </w:pPr>
            <w:r>
              <w:rPr>
                <w:color w:val="000000"/>
                <w:kern w:val="0"/>
                <w:sz w:val="22"/>
                <w:szCs w:val="22"/>
              </w:rPr>
              <w:t>8</w:t>
            </w:r>
          </w:p>
        </w:tc>
        <w:tc>
          <w:tcPr>
            <w:tcW w:w="1572" w:type="pct"/>
            <w:gridSpan w:val="2"/>
            <w:shd w:val="clear" w:color="auto" w:fill="auto"/>
            <w:vAlign w:val="center"/>
          </w:tcPr>
          <w:p w14:paraId="147CFD44">
            <w:pPr>
              <w:widowControl/>
              <w:jc w:val="center"/>
              <w:rPr>
                <w:color w:val="000000"/>
                <w:kern w:val="0"/>
                <w:sz w:val="22"/>
                <w:szCs w:val="22"/>
              </w:rPr>
            </w:pPr>
            <w:r>
              <w:rPr>
                <w:color w:val="000000"/>
                <w:kern w:val="0"/>
                <w:sz w:val="22"/>
                <w:szCs w:val="22"/>
              </w:rPr>
              <w:t xml:space="preserve">37.6553 </w:t>
            </w:r>
          </w:p>
        </w:tc>
        <w:tc>
          <w:tcPr>
            <w:tcW w:w="1384" w:type="pct"/>
            <w:shd w:val="clear" w:color="auto" w:fill="auto"/>
            <w:vAlign w:val="center"/>
          </w:tcPr>
          <w:p w14:paraId="1A0CE54F">
            <w:pPr>
              <w:widowControl/>
              <w:jc w:val="center"/>
              <w:rPr>
                <w:color w:val="000000"/>
                <w:kern w:val="0"/>
                <w:sz w:val="22"/>
                <w:szCs w:val="22"/>
              </w:rPr>
            </w:pPr>
            <w:r>
              <w:rPr>
                <w:color w:val="000000"/>
                <w:kern w:val="0"/>
                <w:sz w:val="22"/>
                <w:szCs w:val="22"/>
              </w:rPr>
              <w:t xml:space="preserve">30.1739 </w:t>
            </w:r>
          </w:p>
        </w:tc>
      </w:tr>
      <w:tr w14:paraId="2DA8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05ADDB8">
            <w:pPr>
              <w:widowControl/>
              <w:jc w:val="center"/>
              <w:rPr>
                <w:color w:val="000000"/>
                <w:kern w:val="0"/>
                <w:sz w:val="22"/>
                <w:szCs w:val="22"/>
              </w:rPr>
            </w:pPr>
            <w:r>
              <w:rPr>
                <w:color w:val="000000"/>
                <w:kern w:val="0"/>
                <w:sz w:val="22"/>
                <w:szCs w:val="22"/>
              </w:rPr>
              <w:t>9</w:t>
            </w:r>
          </w:p>
        </w:tc>
        <w:tc>
          <w:tcPr>
            <w:tcW w:w="1572" w:type="pct"/>
            <w:gridSpan w:val="2"/>
            <w:shd w:val="clear" w:color="auto" w:fill="auto"/>
            <w:vAlign w:val="center"/>
          </w:tcPr>
          <w:p w14:paraId="58F89CBB">
            <w:pPr>
              <w:widowControl/>
              <w:jc w:val="center"/>
              <w:rPr>
                <w:color w:val="000000"/>
                <w:kern w:val="0"/>
                <w:sz w:val="22"/>
                <w:szCs w:val="22"/>
              </w:rPr>
            </w:pPr>
            <w:r>
              <w:rPr>
                <w:color w:val="000000"/>
                <w:kern w:val="0"/>
                <w:sz w:val="22"/>
                <w:szCs w:val="22"/>
              </w:rPr>
              <w:t xml:space="preserve">32.7574 </w:t>
            </w:r>
          </w:p>
        </w:tc>
        <w:tc>
          <w:tcPr>
            <w:tcW w:w="1384" w:type="pct"/>
            <w:shd w:val="clear" w:color="auto" w:fill="auto"/>
            <w:vAlign w:val="center"/>
          </w:tcPr>
          <w:p w14:paraId="54A19750">
            <w:pPr>
              <w:widowControl/>
              <w:jc w:val="center"/>
              <w:rPr>
                <w:color w:val="000000"/>
                <w:kern w:val="0"/>
                <w:sz w:val="22"/>
                <w:szCs w:val="22"/>
              </w:rPr>
            </w:pPr>
            <w:r>
              <w:rPr>
                <w:color w:val="000000"/>
                <w:kern w:val="0"/>
                <w:sz w:val="22"/>
                <w:szCs w:val="22"/>
              </w:rPr>
              <w:t xml:space="preserve">26.9080 </w:t>
            </w:r>
          </w:p>
        </w:tc>
      </w:tr>
      <w:tr w14:paraId="46D4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184265F">
            <w:pPr>
              <w:widowControl/>
              <w:jc w:val="center"/>
              <w:rPr>
                <w:color w:val="000000"/>
                <w:kern w:val="0"/>
                <w:sz w:val="22"/>
                <w:szCs w:val="22"/>
              </w:rPr>
            </w:pPr>
            <w:r>
              <w:rPr>
                <w:color w:val="000000"/>
                <w:kern w:val="0"/>
                <w:sz w:val="22"/>
                <w:szCs w:val="22"/>
              </w:rPr>
              <w:t>10</w:t>
            </w:r>
          </w:p>
        </w:tc>
        <w:tc>
          <w:tcPr>
            <w:tcW w:w="1572" w:type="pct"/>
            <w:gridSpan w:val="2"/>
            <w:shd w:val="clear" w:color="auto" w:fill="auto"/>
            <w:vAlign w:val="center"/>
          </w:tcPr>
          <w:p w14:paraId="65C0C4CE">
            <w:pPr>
              <w:widowControl/>
              <w:jc w:val="center"/>
              <w:rPr>
                <w:color w:val="000000"/>
                <w:kern w:val="0"/>
                <w:sz w:val="22"/>
                <w:szCs w:val="22"/>
              </w:rPr>
            </w:pPr>
            <w:r>
              <w:rPr>
                <w:color w:val="000000"/>
                <w:kern w:val="0"/>
                <w:sz w:val="22"/>
                <w:szCs w:val="22"/>
              </w:rPr>
              <w:t xml:space="preserve">27.8790 </w:t>
            </w:r>
          </w:p>
        </w:tc>
        <w:tc>
          <w:tcPr>
            <w:tcW w:w="1384" w:type="pct"/>
            <w:shd w:val="clear" w:color="auto" w:fill="auto"/>
            <w:vAlign w:val="center"/>
          </w:tcPr>
          <w:p w14:paraId="2F4AF8D1">
            <w:pPr>
              <w:widowControl/>
              <w:jc w:val="center"/>
              <w:rPr>
                <w:color w:val="000000"/>
                <w:kern w:val="0"/>
                <w:sz w:val="22"/>
                <w:szCs w:val="22"/>
              </w:rPr>
            </w:pPr>
            <w:r>
              <w:rPr>
                <w:color w:val="000000"/>
                <w:kern w:val="0"/>
                <w:sz w:val="22"/>
                <w:szCs w:val="22"/>
              </w:rPr>
              <w:t xml:space="preserve">23.5783 </w:t>
            </w:r>
          </w:p>
        </w:tc>
      </w:tr>
      <w:tr w14:paraId="56D8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F734E29">
            <w:pPr>
              <w:widowControl/>
              <w:jc w:val="center"/>
              <w:rPr>
                <w:color w:val="000000"/>
                <w:kern w:val="0"/>
                <w:sz w:val="22"/>
                <w:szCs w:val="22"/>
              </w:rPr>
            </w:pPr>
            <w:r>
              <w:rPr>
                <w:color w:val="000000"/>
                <w:kern w:val="0"/>
                <w:sz w:val="22"/>
                <w:szCs w:val="22"/>
              </w:rPr>
              <w:t>11</w:t>
            </w:r>
          </w:p>
        </w:tc>
        <w:tc>
          <w:tcPr>
            <w:tcW w:w="1572" w:type="pct"/>
            <w:gridSpan w:val="2"/>
            <w:shd w:val="clear" w:color="auto" w:fill="auto"/>
            <w:vAlign w:val="center"/>
          </w:tcPr>
          <w:p w14:paraId="658A6823">
            <w:pPr>
              <w:widowControl/>
              <w:jc w:val="center"/>
              <w:rPr>
                <w:color w:val="000000"/>
                <w:kern w:val="0"/>
                <w:sz w:val="22"/>
                <w:szCs w:val="22"/>
              </w:rPr>
            </w:pPr>
            <w:r>
              <w:rPr>
                <w:color w:val="000000"/>
                <w:kern w:val="0"/>
                <w:sz w:val="22"/>
                <w:szCs w:val="22"/>
              </w:rPr>
              <w:t xml:space="preserve">23.5238 </w:t>
            </w:r>
          </w:p>
        </w:tc>
        <w:tc>
          <w:tcPr>
            <w:tcW w:w="1384" w:type="pct"/>
            <w:shd w:val="clear" w:color="auto" w:fill="auto"/>
            <w:vAlign w:val="center"/>
          </w:tcPr>
          <w:p w14:paraId="09CA007A">
            <w:pPr>
              <w:widowControl/>
              <w:jc w:val="center"/>
              <w:rPr>
                <w:color w:val="000000"/>
                <w:kern w:val="0"/>
                <w:sz w:val="22"/>
                <w:szCs w:val="22"/>
              </w:rPr>
            </w:pPr>
            <w:r>
              <w:rPr>
                <w:color w:val="000000"/>
                <w:kern w:val="0"/>
                <w:sz w:val="22"/>
                <w:szCs w:val="22"/>
              </w:rPr>
              <w:t xml:space="preserve">20.4591 </w:t>
            </w:r>
          </w:p>
        </w:tc>
      </w:tr>
      <w:tr w14:paraId="0609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94DF7C8">
            <w:pPr>
              <w:widowControl/>
              <w:jc w:val="center"/>
              <w:rPr>
                <w:color w:val="000000"/>
                <w:kern w:val="0"/>
                <w:sz w:val="22"/>
                <w:szCs w:val="22"/>
              </w:rPr>
            </w:pPr>
            <w:r>
              <w:rPr>
                <w:color w:val="000000"/>
                <w:kern w:val="0"/>
                <w:sz w:val="22"/>
                <w:szCs w:val="22"/>
              </w:rPr>
              <w:t>12</w:t>
            </w:r>
          </w:p>
        </w:tc>
        <w:tc>
          <w:tcPr>
            <w:tcW w:w="1572" w:type="pct"/>
            <w:gridSpan w:val="2"/>
            <w:shd w:val="clear" w:color="auto" w:fill="auto"/>
            <w:vAlign w:val="center"/>
          </w:tcPr>
          <w:p w14:paraId="4F279630">
            <w:pPr>
              <w:widowControl/>
              <w:jc w:val="center"/>
              <w:rPr>
                <w:color w:val="000000"/>
                <w:kern w:val="0"/>
                <w:sz w:val="22"/>
                <w:szCs w:val="22"/>
              </w:rPr>
            </w:pPr>
            <w:r>
              <w:rPr>
                <w:color w:val="000000"/>
                <w:kern w:val="0"/>
                <w:sz w:val="22"/>
                <w:szCs w:val="22"/>
              </w:rPr>
              <w:t xml:space="preserve">19.8609 </w:t>
            </w:r>
          </w:p>
        </w:tc>
        <w:tc>
          <w:tcPr>
            <w:tcW w:w="1384" w:type="pct"/>
            <w:shd w:val="clear" w:color="auto" w:fill="auto"/>
            <w:vAlign w:val="center"/>
          </w:tcPr>
          <w:p w14:paraId="3CB983CF">
            <w:pPr>
              <w:widowControl/>
              <w:jc w:val="center"/>
              <w:rPr>
                <w:color w:val="000000"/>
                <w:kern w:val="0"/>
                <w:sz w:val="22"/>
                <w:szCs w:val="22"/>
              </w:rPr>
            </w:pPr>
            <w:r>
              <w:rPr>
                <w:color w:val="000000"/>
                <w:kern w:val="0"/>
                <w:sz w:val="22"/>
                <w:szCs w:val="22"/>
              </w:rPr>
              <w:t xml:space="preserve">17.6974 </w:t>
            </w:r>
          </w:p>
        </w:tc>
      </w:tr>
      <w:tr w14:paraId="59F8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6736BE9">
            <w:pPr>
              <w:widowControl/>
              <w:jc w:val="center"/>
              <w:rPr>
                <w:color w:val="000000"/>
                <w:kern w:val="0"/>
                <w:sz w:val="22"/>
                <w:szCs w:val="22"/>
              </w:rPr>
            </w:pPr>
            <w:r>
              <w:rPr>
                <w:color w:val="000000"/>
                <w:kern w:val="0"/>
                <w:sz w:val="22"/>
                <w:szCs w:val="22"/>
              </w:rPr>
              <w:t>13</w:t>
            </w:r>
          </w:p>
        </w:tc>
        <w:tc>
          <w:tcPr>
            <w:tcW w:w="1572" w:type="pct"/>
            <w:gridSpan w:val="2"/>
            <w:shd w:val="clear" w:color="auto" w:fill="auto"/>
            <w:vAlign w:val="center"/>
          </w:tcPr>
          <w:p w14:paraId="34FF8224">
            <w:pPr>
              <w:widowControl/>
              <w:jc w:val="center"/>
              <w:rPr>
                <w:color w:val="000000"/>
                <w:kern w:val="0"/>
                <w:sz w:val="22"/>
                <w:szCs w:val="22"/>
              </w:rPr>
            </w:pPr>
            <w:r>
              <w:rPr>
                <w:color w:val="000000"/>
                <w:kern w:val="0"/>
                <w:sz w:val="22"/>
                <w:szCs w:val="22"/>
              </w:rPr>
              <w:t xml:space="preserve">16.8657 </w:t>
            </w:r>
          </w:p>
        </w:tc>
        <w:tc>
          <w:tcPr>
            <w:tcW w:w="1384" w:type="pct"/>
            <w:shd w:val="clear" w:color="auto" w:fill="auto"/>
            <w:vAlign w:val="center"/>
          </w:tcPr>
          <w:p w14:paraId="49307745">
            <w:pPr>
              <w:widowControl/>
              <w:jc w:val="center"/>
              <w:rPr>
                <w:color w:val="000000"/>
                <w:kern w:val="0"/>
                <w:sz w:val="22"/>
                <w:szCs w:val="22"/>
              </w:rPr>
            </w:pPr>
            <w:r>
              <w:rPr>
                <w:color w:val="000000"/>
                <w:kern w:val="0"/>
                <w:sz w:val="22"/>
                <w:szCs w:val="22"/>
              </w:rPr>
              <w:t xml:space="preserve">15.3284 </w:t>
            </w:r>
          </w:p>
        </w:tc>
      </w:tr>
      <w:tr w14:paraId="6AF0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61C43CC">
            <w:pPr>
              <w:widowControl/>
              <w:jc w:val="center"/>
              <w:rPr>
                <w:color w:val="000000"/>
                <w:kern w:val="0"/>
                <w:sz w:val="22"/>
                <w:szCs w:val="22"/>
              </w:rPr>
            </w:pPr>
            <w:r>
              <w:rPr>
                <w:color w:val="000000"/>
                <w:kern w:val="0"/>
                <w:sz w:val="22"/>
                <w:szCs w:val="22"/>
              </w:rPr>
              <w:t>14</w:t>
            </w:r>
          </w:p>
        </w:tc>
        <w:tc>
          <w:tcPr>
            <w:tcW w:w="1572" w:type="pct"/>
            <w:gridSpan w:val="2"/>
            <w:shd w:val="clear" w:color="auto" w:fill="auto"/>
            <w:vAlign w:val="center"/>
          </w:tcPr>
          <w:p w14:paraId="7561C15F">
            <w:pPr>
              <w:widowControl/>
              <w:jc w:val="center"/>
              <w:rPr>
                <w:color w:val="000000"/>
                <w:kern w:val="0"/>
                <w:sz w:val="22"/>
                <w:szCs w:val="22"/>
              </w:rPr>
            </w:pPr>
            <w:r>
              <w:rPr>
                <w:color w:val="000000"/>
                <w:kern w:val="0"/>
                <w:sz w:val="22"/>
                <w:szCs w:val="22"/>
              </w:rPr>
              <w:t xml:space="preserve">14.4371 </w:t>
            </w:r>
          </w:p>
        </w:tc>
        <w:tc>
          <w:tcPr>
            <w:tcW w:w="1384" w:type="pct"/>
            <w:shd w:val="clear" w:color="auto" w:fill="auto"/>
            <w:vAlign w:val="center"/>
          </w:tcPr>
          <w:p w14:paraId="424458AA">
            <w:pPr>
              <w:widowControl/>
              <w:jc w:val="center"/>
              <w:rPr>
                <w:color w:val="000000"/>
                <w:kern w:val="0"/>
                <w:sz w:val="22"/>
                <w:szCs w:val="22"/>
              </w:rPr>
            </w:pPr>
            <w:r>
              <w:rPr>
                <w:color w:val="000000"/>
                <w:kern w:val="0"/>
                <w:sz w:val="22"/>
                <w:szCs w:val="22"/>
              </w:rPr>
              <w:t xml:space="preserve">13.3308 </w:t>
            </w:r>
          </w:p>
        </w:tc>
      </w:tr>
      <w:tr w14:paraId="73CD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ABB3BDD">
            <w:pPr>
              <w:widowControl/>
              <w:jc w:val="center"/>
              <w:rPr>
                <w:color w:val="000000"/>
                <w:kern w:val="0"/>
                <w:sz w:val="22"/>
                <w:szCs w:val="22"/>
              </w:rPr>
            </w:pPr>
            <w:r>
              <w:rPr>
                <w:color w:val="000000"/>
                <w:kern w:val="0"/>
                <w:sz w:val="22"/>
                <w:szCs w:val="22"/>
              </w:rPr>
              <w:t>15</w:t>
            </w:r>
          </w:p>
        </w:tc>
        <w:tc>
          <w:tcPr>
            <w:tcW w:w="1572" w:type="pct"/>
            <w:gridSpan w:val="2"/>
            <w:shd w:val="clear" w:color="auto" w:fill="auto"/>
            <w:vAlign w:val="center"/>
          </w:tcPr>
          <w:p w14:paraId="6BF44DA5">
            <w:pPr>
              <w:widowControl/>
              <w:jc w:val="center"/>
              <w:rPr>
                <w:color w:val="000000"/>
                <w:kern w:val="0"/>
                <w:sz w:val="22"/>
                <w:szCs w:val="22"/>
              </w:rPr>
            </w:pPr>
            <w:r>
              <w:rPr>
                <w:color w:val="000000"/>
                <w:kern w:val="0"/>
                <w:sz w:val="22"/>
                <w:szCs w:val="22"/>
              </w:rPr>
              <w:t xml:space="preserve">12.4656 </w:t>
            </w:r>
          </w:p>
        </w:tc>
        <w:tc>
          <w:tcPr>
            <w:tcW w:w="1384" w:type="pct"/>
            <w:shd w:val="clear" w:color="auto" w:fill="auto"/>
            <w:vAlign w:val="center"/>
          </w:tcPr>
          <w:p w14:paraId="1653B445">
            <w:pPr>
              <w:widowControl/>
              <w:jc w:val="center"/>
              <w:rPr>
                <w:color w:val="000000"/>
                <w:kern w:val="0"/>
                <w:sz w:val="22"/>
                <w:szCs w:val="22"/>
              </w:rPr>
            </w:pPr>
            <w:r>
              <w:rPr>
                <w:color w:val="000000"/>
                <w:kern w:val="0"/>
                <w:sz w:val="22"/>
                <w:szCs w:val="22"/>
              </w:rPr>
              <w:t xml:space="preserve">11.6562 </w:t>
            </w:r>
          </w:p>
        </w:tc>
      </w:tr>
      <w:tr w14:paraId="5F78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2839B2D">
            <w:pPr>
              <w:widowControl/>
              <w:jc w:val="center"/>
              <w:rPr>
                <w:color w:val="000000"/>
                <w:kern w:val="0"/>
                <w:sz w:val="22"/>
                <w:szCs w:val="22"/>
              </w:rPr>
            </w:pPr>
            <w:r>
              <w:rPr>
                <w:color w:val="000000"/>
                <w:kern w:val="0"/>
                <w:sz w:val="22"/>
                <w:szCs w:val="22"/>
              </w:rPr>
              <w:t>16</w:t>
            </w:r>
          </w:p>
        </w:tc>
        <w:tc>
          <w:tcPr>
            <w:tcW w:w="1572" w:type="pct"/>
            <w:gridSpan w:val="2"/>
            <w:shd w:val="clear" w:color="auto" w:fill="auto"/>
            <w:vAlign w:val="center"/>
          </w:tcPr>
          <w:p w14:paraId="7DE4DAE5">
            <w:pPr>
              <w:widowControl/>
              <w:jc w:val="center"/>
              <w:rPr>
                <w:color w:val="000000"/>
                <w:kern w:val="0"/>
                <w:sz w:val="22"/>
                <w:szCs w:val="22"/>
              </w:rPr>
            </w:pPr>
            <w:r>
              <w:rPr>
                <w:color w:val="000000"/>
                <w:kern w:val="0"/>
                <w:sz w:val="22"/>
                <w:szCs w:val="22"/>
              </w:rPr>
              <w:t xml:space="preserve">10.8575 </w:t>
            </w:r>
          </w:p>
        </w:tc>
        <w:tc>
          <w:tcPr>
            <w:tcW w:w="1384" w:type="pct"/>
            <w:shd w:val="clear" w:color="auto" w:fill="auto"/>
            <w:vAlign w:val="center"/>
          </w:tcPr>
          <w:p w14:paraId="4FAE8351">
            <w:pPr>
              <w:widowControl/>
              <w:jc w:val="center"/>
              <w:rPr>
                <w:color w:val="000000"/>
                <w:kern w:val="0"/>
                <w:sz w:val="22"/>
                <w:szCs w:val="22"/>
              </w:rPr>
            </w:pPr>
            <w:r>
              <w:rPr>
                <w:color w:val="000000"/>
                <w:kern w:val="0"/>
                <w:sz w:val="22"/>
                <w:szCs w:val="22"/>
              </w:rPr>
              <w:t xml:space="preserve">10.2548 </w:t>
            </w:r>
          </w:p>
        </w:tc>
      </w:tr>
      <w:tr w14:paraId="0BDE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A695340">
            <w:pPr>
              <w:widowControl/>
              <w:jc w:val="center"/>
              <w:rPr>
                <w:color w:val="000000"/>
                <w:kern w:val="0"/>
                <w:sz w:val="22"/>
                <w:szCs w:val="22"/>
              </w:rPr>
            </w:pPr>
            <w:r>
              <w:rPr>
                <w:color w:val="000000"/>
                <w:kern w:val="0"/>
                <w:sz w:val="22"/>
                <w:szCs w:val="22"/>
              </w:rPr>
              <w:t>17</w:t>
            </w:r>
          </w:p>
        </w:tc>
        <w:tc>
          <w:tcPr>
            <w:tcW w:w="1572" w:type="pct"/>
            <w:gridSpan w:val="2"/>
            <w:shd w:val="clear" w:color="auto" w:fill="auto"/>
            <w:vAlign w:val="center"/>
          </w:tcPr>
          <w:p w14:paraId="55AB81AF">
            <w:pPr>
              <w:widowControl/>
              <w:jc w:val="center"/>
              <w:rPr>
                <w:color w:val="000000"/>
                <w:kern w:val="0"/>
                <w:sz w:val="22"/>
                <w:szCs w:val="22"/>
              </w:rPr>
            </w:pPr>
            <w:r>
              <w:rPr>
                <w:color w:val="000000"/>
                <w:kern w:val="0"/>
                <w:sz w:val="22"/>
                <w:szCs w:val="22"/>
              </w:rPr>
              <w:t xml:space="preserve">9.5332 </w:t>
            </w:r>
          </w:p>
        </w:tc>
        <w:tc>
          <w:tcPr>
            <w:tcW w:w="1384" w:type="pct"/>
            <w:shd w:val="clear" w:color="auto" w:fill="auto"/>
            <w:vAlign w:val="center"/>
          </w:tcPr>
          <w:p w14:paraId="2F9B02B2">
            <w:pPr>
              <w:widowControl/>
              <w:jc w:val="center"/>
              <w:rPr>
                <w:color w:val="000000"/>
                <w:kern w:val="0"/>
                <w:sz w:val="22"/>
                <w:szCs w:val="22"/>
              </w:rPr>
            </w:pPr>
            <w:r>
              <w:rPr>
                <w:color w:val="000000"/>
                <w:kern w:val="0"/>
                <w:sz w:val="22"/>
                <w:szCs w:val="22"/>
              </w:rPr>
              <w:t xml:space="preserve">9.0776 </w:t>
            </w:r>
          </w:p>
        </w:tc>
      </w:tr>
      <w:tr w14:paraId="2295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423C848">
            <w:pPr>
              <w:widowControl/>
              <w:jc w:val="center"/>
              <w:rPr>
                <w:color w:val="000000"/>
                <w:kern w:val="0"/>
                <w:sz w:val="22"/>
                <w:szCs w:val="22"/>
              </w:rPr>
            </w:pPr>
            <w:r>
              <w:rPr>
                <w:color w:val="000000"/>
                <w:kern w:val="0"/>
                <w:sz w:val="22"/>
                <w:szCs w:val="22"/>
              </w:rPr>
              <w:t>18</w:t>
            </w:r>
          </w:p>
        </w:tc>
        <w:tc>
          <w:tcPr>
            <w:tcW w:w="1572" w:type="pct"/>
            <w:gridSpan w:val="2"/>
            <w:shd w:val="clear" w:color="auto" w:fill="auto"/>
            <w:vAlign w:val="center"/>
          </w:tcPr>
          <w:p w14:paraId="4BC76D57">
            <w:pPr>
              <w:widowControl/>
              <w:jc w:val="center"/>
              <w:rPr>
                <w:color w:val="000000"/>
                <w:kern w:val="0"/>
                <w:sz w:val="22"/>
                <w:szCs w:val="22"/>
              </w:rPr>
            </w:pPr>
            <w:r>
              <w:rPr>
                <w:color w:val="000000"/>
                <w:kern w:val="0"/>
                <w:sz w:val="22"/>
                <w:szCs w:val="22"/>
              </w:rPr>
              <w:t xml:space="preserve">8.4343 </w:t>
            </w:r>
          </w:p>
        </w:tc>
        <w:tc>
          <w:tcPr>
            <w:tcW w:w="1384" w:type="pct"/>
            <w:shd w:val="clear" w:color="auto" w:fill="auto"/>
            <w:vAlign w:val="center"/>
          </w:tcPr>
          <w:p w14:paraId="3CBA6DC2">
            <w:pPr>
              <w:widowControl/>
              <w:jc w:val="center"/>
              <w:rPr>
                <w:color w:val="000000"/>
                <w:kern w:val="0"/>
                <w:sz w:val="22"/>
                <w:szCs w:val="22"/>
              </w:rPr>
            </w:pPr>
            <w:r>
              <w:rPr>
                <w:color w:val="000000"/>
                <w:kern w:val="0"/>
                <w:sz w:val="22"/>
                <w:szCs w:val="22"/>
              </w:rPr>
              <w:t xml:space="preserve">8.0832 </w:t>
            </w:r>
          </w:p>
        </w:tc>
      </w:tr>
      <w:tr w14:paraId="70C7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27CB11A">
            <w:pPr>
              <w:widowControl/>
              <w:jc w:val="center"/>
              <w:rPr>
                <w:color w:val="000000"/>
                <w:kern w:val="0"/>
                <w:sz w:val="22"/>
                <w:szCs w:val="22"/>
              </w:rPr>
            </w:pPr>
            <w:r>
              <w:rPr>
                <w:color w:val="000000"/>
                <w:kern w:val="0"/>
                <w:sz w:val="22"/>
                <w:szCs w:val="22"/>
              </w:rPr>
              <w:t>19</w:t>
            </w:r>
          </w:p>
        </w:tc>
        <w:tc>
          <w:tcPr>
            <w:tcW w:w="1572" w:type="pct"/>
            <w:gridSpan w:val="2"/>
            <w:shd w:val="clear" w:color="auto" w:fill="auto"/>
            <w:vAlign w:val="center"/>
          </w:tcPr>
          <w:p w14:paraId="64A32BD4">
            <w:pPr>
              <w:widowControl/>
              <w:jc w:val="center"/>
              <w:rPr>
                <w:color w:val="000000"/>
                <w:kern w:val="0"/>
                <w:sz w:val="22"/>
                <w:szCs w:val="22"/>
              </w:rPr>
            </w:pPr>
            <w:r>
              <w:rPr>
                <w:color w:val="000000"/>
                <w:kern w:val="0"/>
                <w:sz w:val="22"/>
                <w:szCs w:val="22"/>
              </w:rPr>
              <w:t xml:space="preserve">7.5130 </w:t>
            </w:r>
          </w:p>
        </w:tc>
        <w:tc>
          <w:tcPr>
            <w:tcW w:w="1384" w:type="pct"/>
            <w:shd w:val="clear" w:color="auto" w:fill="auto"/>
            <w:vAlign w:val="center"/>
          </w:tcPr>
          <w:p w14:paraId="62D547BE">
            <w:pPr>
              <w:widowControl/>
              <w:jc w:val="center"/>
              <w:rPr>
                <w:color w:val="000000"/>
                <w:kern w:val="0"/>
                <w:sz w:val="22"/>
                <w:szCs w:val="22"/>
              </w:rPr>
            </w:pPr>
            <w:r>
              <w:rPr>
                <w:color w:val="000000"/>
                <w:kern w:val="0"/>
                <w:sz w:val="22"/>
                <w:szCs w:val="22"/>
              </w:rPr>
              <w:t xml:space="preserve">7.2385 </w:t>
            </w:r>
          </w:p>
        </w:tc>
      </w:tr>
      <w:tr w14:paraId="3DEF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2621706">
            <w:pPr>
              <w:widowControl/>
              <w:jc w:val="center"/>
              <w:rPr>
                <w:color w:val="000000"/>
                <w:kern w:val="0"/>
                <w:sz w:val="22"/>
                <w:szCs w:val="22"/>
              </w:rPr>
            </w:pPr>
            <w:r>
              <w:rPr>
                <w:color w:val="000000"/>
                <w:kern w:val="0"/>
                <w:sz w:val="22"/>
                <w:szCs w:val="22"/>
              </w:rPr>
              <w:t>20</w:t>
            </w:r>
          </w:p>
        </w:tc>
        <w:tc>
          <w:tcPr>
            <w:tcW w:w="1572" w:type="pct"/>
            <w:gridSpan w:val="2"/>
            <w:shd w:val="clear" w:color="auto" w:fill="auto"/>
            <w:vAlign w:val="center"/>
          </w:tcPr>
          <w:p w14:paraId="7819FF4B">
            <w:pPr>
              <w:widowControl/>
              <w:jc w:val="center"/>
              <w:rPr>
                <w:color w:val="000000"/>
                <w:kern w:val="0"/>
                <w:sz w:val="22"/>
                <w:szCs w:val="22"/>
              </w:rPr>
            </w:pPr>
            <w:r>
              <w:rPr>
                <w:color w:val="000000"/>
                <w:kern w:val="0"/>
                <w:sz w:val="22"/>
                <w:szCs w:val="22"/>
              </w:rPr>
              <w:t xml:space="preserve">6.7339 </w:t>
            </w:r>
          </w:p>
        </w:tc>
        <w:tc>
          <w:tcPr>
            <w:tcW w:w="1384" w:type="pct"/>
            <w:shd w:val="clear" w:color="auto" w:fill="auto"/>
            <w:vAlign w:val="center"/>
          </w:tcPr>
          <w:p w14:paraId="1863D057">
            <w:pPr>
              <w:widowControl/>
              <w:jc w:val="center"/>
              <w:rPr>
                <w:color w:val="000000"/>
                <w:kern w:val="0"/>
                <w:sz w:val="22"/>
                <w:szCs w:val="22"/>
              </w:rPr>
            </w:pPr>
            <w:r>
              <w:rPr>
                <w:color w:val="000000"/>
                <w:kern w:val="0"/>
                <w:sz w:val="22"/>
                <w:szCs w:val="22"/>
              </w:rPr>
              <w:t xml:space="preserve">6.5167 </w:t>
            </w:r>
          </w:p>
        </w:tc>
      </w:tr>
      <w:tr w14:paraId="5C80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5430245">
            <w:pPr>
              <w:widowControl/>
              <w:jc w:val="center"/>
              <w:rPr>
                <w:color w:val="000000"/>
                <w:kern w:val="0"/>
                <w:sz w:val="22"/>
                <w:szCs w:val="22"/>
              </w:rPr>
            </w:pPr>
            <w:r>
              <w:rPr>
                <w:color w:val="000000"/>
                <w:kern w:val="0"/>
                <w:sz w:val="22"/>
                <w:szCs w:val="22"/>
              </w:rPr>
              <w:t>21</w:t>
            </w:r>
          </w:p>
        </w:tc>
        <w:tc>
          <w:tcPr>
            <w:tcW w:w="1572" w:type="pct"/>
            <w:gridSpan w:val="2"/>
            <w:shd w:val="clear" w:color="auto" w:fill="auto"/>
            <w:vAlign w:val="center"/>
          </w:tcPr>
          <w:p w14:paraId="46BAD95F">
            <w:pPr>
              <w:widowControl/>
              <w:jc w:val="center"/>
              <w:rPr>
                <w:color w:val="000000"/>
                <w:kern w:val="0"/>
                <w:sz w:val="22"/>
                <w:szCs w:val="22"/>
              </w:rPr>
            </w:pPr>
            <w:r>
              <w:rPr>
                <w:color w:val="000000"/>
                <w:kern w:val="0"/>
                <w:sz w:val="22"/>
                <w:szCs w:val="22"/>
              </w:rPr>
              <w:t xml:space="preserve">6.0707 </w:t>
            </w:r>
          </w:p>
        </w:tc>
        <w:tc>
          <w:tcPr>
            <w:tcW w:w="1384" w:type="pct"/>
            <w:shd w:val="clear" w:color="auto" w:fill="auto"/>
            <w:vAlign w:val="center"/>
          </w:tcPr>
          <w:p w14:paraId="0931F638">
            <w:pPr>
              <w:widowControl/>
              <w:jc w:val="center"/>
              <w:rPr>
                <w:color w:val="000000"/>
                <w:kern w:val="0"/>
                <w:sz w:val="22"/>
                <w:szCs w:val="22"/>
              </w:rPr>
            </w:pPr>
            <w:r>
              <w:rPr>
                <w:color w:val="000000"/>
                <w:kern w:val="0"/>
                <w:sz w:val="22"/>
                <w:szCs w:val="22"/>
              </w:rPr>
              <w:t xml:space="preserve">5.8962 </w:t>
            </w:r>
          </w:p>
        </w:tc>
      </w:tr>
      <w:tr w14:paraId="5E5D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56EFA6E">
            <w:pPr>
              <w:widowControl/>
              <w:jc w:val="center"/>
              <w:rPr>
                <w:color w:val="000000"/>
                <w:kern w:val="0"/>
                <w:sz w:val="22"/>
                <w:szCs w:val="22"/>
              </w:rPr>
            </w:pPr>
            <w:r>
              <w:rPr>
                <w:color w:val="000000"/>
                <w:kern w:val="0"/>
                <w:sz w:val="22"/>
                <w:szCs w:val="22"/>
              </w:rPr>
              <w:t>22</w:t>
            </w:r>
          </w:p>
        </w:tc>
        <w:tc>
          <w:tcPr>
            <w:tcW w:w="1572" w:type="pct"/>
            <w:gridSpan w:val="2"/>
            <w:shd w:val="clear" w:color="auto" w:fill="auto"/>
            <w:vAlign w:val="center"/>
          </w:tcPr>
          <w:p w14:paraId="1D8A3F1B">
            <w:pPr>
              <w:widowControl/>
              <w:jc w:val="center"/>
              <w:rPr>
                <w:color w:val="000000"/>
                <w:kern w:val="0"/>
                <w:sz w:val="22"/>
                <w:szCs w:val="22"/>
              </w:rPr>
            </w:pPr>
            <w:r>
              <w:rPr>
                <w:color w:val="000000"/>
                <w:kern w:val="0"/>
                <w:sz w:val="22"/>
                <w:szCs w:val="22"/>
              </w:rPr>
              <w:t xml:space="preserve">5.5006 </w:t>
            </w:r>
          </w:p>
        </w:tc>
        <w:tc>
          <w:tcPr>
            <w:tcW w:w="1384" w:type="pct"/>
            <w:shd w:val="clear" w:color="auto" w:fill="auto"/>
            <w:vAlign w:val="center"/>
          </w:tcPr>
          <w:p w14:paraId="5BA3ACEC">
            <w:pPr>
              <w:widowControl/>
              <w:jc w:val="center"/>
              <w:rPr>
                <w:color w:val="000000"/>
                <w:kern w:val="0"/>
                <w:sz w:val="22"/>
                <w:szCs w:val="22"/>
              </w:rPr>
            </w:pPr>
            <w:r>
              <w:rPr>
                <w:color w:val="000000"/>
                <w:kern w:val="0"/>
                <w:sz w:val="22"/>
                <w:szCs w:val="22"/>
              </w:rPr>
              <w:t xml:space="preserve">5.3593 </w:t>
            </w:r>
          </w:p>
        </w:tc>
      </w:tr>
      <w:tr w14:paraId="4C1F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41BA72D">
            <w:pPr>
              <w:widowControl/>
              <w:jc w:val="center"/>
              <w:rPr>
                <w:color w:val="000000"/>
                <w:kern w:val="0"/>
                <w:sz w:val="22"/>
                <w:szCs w:val="22"/>
              </w:rPr>
            </w:pPr>
            <w:r>
              <w:rPr>
                <w:color w:val="000000"/>
                <w:kern w:val="0"/>
                <w:sz w:val="22"/>
                <w:szCs w:val="22"/>
              </w:rPr>
              <w:t>23</w:t>
            </w:r>
          </w:p>
        </w:tc>
        <w:tc>
          <w:tcPr>
            <w:tcW w:w="1572" w:type="pct"/>
            <w:gridSpan w:val="2"/>
            <w:shd w:val="clear" w:color="auto" w:fill="auto"/>
            <w:vAlign w:val="center"/>
          </w:tcPr>
          <w:p w14:paraId="43E9595E">
            <w:pPr>
              <w:widowControl/>
              <w:jc w:val="center"/>
              <w:rPr>
                <w:color w:val="000000"/>
                <w:kern w:val="0"/>
                <w:sz w:val="22"/>
                <w:szCs w:val="22"/>
              </w:rPr>
            </w:pPr>
            <w:r>
              <w:rPr>
                <w:color w:val="000000"/>
                <w:kern w:val="0"/>
                <w:sz w:val="22"/>
                <w:szCs w:val="22"/>
              </w:rPr>
              <w:t xml:space="preserve">5.0077 </w:t>
            </w:r>
          </w:p>
        </w:tc>
        <w:tc>
          <w:tcPr>
            <w:tcW w:w="1384" w:type="pct"/>
            <w:shd w:val="clear" w:color="auto" w:fill="auto"/>
            <w:vAlign w:val="center"/>
          </w:tcPr>
          <w:p w14:paraId="6A1633D4">
            <w:pPr>
              <w:widowControl/>
              <w:jc w:val="center"/>
              <w:rPr>
                <w:color w:val="000000"/>
                <w:kern w:val="0"/>
                <w:sz w:val="22"/>
                <w:szCs w:val="22"/>
              </w:rPr>
            </w:pPr>
            <w:r>
              <w:rPr>
                <w:color w:val="000000"/>
                <w:kern w:val="0"/>
                <w:sz w:val="22"/>
                <w:szCs w:val="22"/>
              </w:rPr>
              <w:t xml:space="preserve">4.8908 </w:t>
            </w:r>
          </w:p>
        </w:tc>
      </w:tr>
      <w:tr w14:paraId="15FC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9EE7194">
            <w:pPr>
              <w:widowControl/>
              <w:jc w:val="center"/>
              <w:rPr>
                <w:color w:val="000000"/>
                <w:kern w:val="0"/>
                <w:sz w:val="22"/>
                <w:szCs w:val="22"/>
              </w:rPr>
            </w:pPr>
            <w:r>
              <w:rPr>
                <w:color w:val="000000"/>
                <w:kern w:val="0"/>
                <w:sz w:val="22"/>
                <w:szCs w:val="22"/>
              </w:rPr>
              <w:t>24</w:t>
            </w:r>
          </w:p>
        </w:tc>
        <w:tc>
          <w:tcPr>
            <w:tcW w:w="1572" w:type="pct"/>
            <w:gridSpan w:val="2"/>
            <w:shd w:val="clear" w:color="auto" w:fill="auto"/>
            <w:vAlign w:val="center"/>
          </w:tcPr>
          <w:p w14:paraId="4B8839C5">
            <w:pPr>
              <w:widowControl/>
              <w:jc w:val="center"/>
              <w:rPr>
                <w:color w:val="000000"/>
                <w:kern w:val="0"/>
                <w:sz w:val="22"/>
                <w:szCs w:val="22"/>
              </w:rPr>
            </w:pPr>
            <w:r>
              <w:rPr>
                <w:color w:val="000000"/>
                <w:kern w:val="0"/>
                <w:sz w:val="22"/>
                <w:szCs w:val="22"/>
              </w:rPr>
              <w:t xml:space="preserve">4.5779 </w:t>
            </w:r>
          </w:p>
        </w:tc>
        <w:tc>
          <w:tcPr>
            <w:tcW w:w="1384" w:type="pct"/>
            <w:shd w:val="clear" w:color="auto" w:fill="auto"/>
            <w:vAlign w:val="center"/>
          </w:tcPr>
          <w:p w14:paraId="441D0FE9">
            <w:pPr>
              <w:widowControl/>
              <w:jc w:val="center"/>
              <w:rPr>
                <w:color w:val="000000"/>
                <w:kern w:val="0"/>
                <w:sz w:val="22"/>
                <w:szCs w:val="22"/>
              </w:rPr>
            </w:pPr>
            <w:r>
              <w:rPr>
                <w:color w:val="000000"/>
                <w:kern w:val="0"/>
                <w:sz w:val="22"/>
                <w:szCs w:val="22"/>
              </w:rPr>
              <w:t xml:space="preserve">4.4819 </w:t>
            </w:r>
          </w:p>
        </w:tc>
      </w:tr>
      <w:tr w14:paraId="0EA8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4697D23">
            <w:pPr>
              <w:widowControl/>
              <w:jc w:val="center"/>
              <w:rPr>
                <w:color w:val="000000"/>
                <w:kern w:val="0"/>
                <w:sz w:val="22"/>
                <w:szCs w:val="22"/>
              </w:rPr>
            </w:pPr>
            <w:r>
              <w:rPr>
                <w:color w:val="000000"/>
                <w:kern w:val="0"/>
                <w:sz w:val="22"/>
                <w:szCs w:val="22"/>
              </w:rPr>
              <w:t>25</w:t>
            </w:r>
          </w:p>
        </w:tc>
        <w:tc>
          <w:tcPr>
            <w:tcW w:w="1572" w:type="pct"/>
            <w:gridSpan w:val="2"/>
            <w:shd w:val="clear" w:color="auto" w:fill="auto"/>
            <w:vAlign w:val="center"/>
          </w:tcPr>
          <w:p w14:paraId="2DF26A8D">
            <w:pPr>
              <w:widowControl/>
              <w:jc w:val="center"/>
              <w:rPr>
                <w:color w:val="000000"/>
                <w:kern w:val="0"/>
                <w:sz w:val="22"/>
                <w:szCs w:val="22"/>
              </w:rPr>
            </w:pPr>
            <w:r>
              <w:rPr>
                <w:color w:val="000000"/>
                <w:kern w:val="0"/>
                <w:sz w:val="22"/>
                <w:szCs w:val="22"/>
              </w:rPr>
              <w:t xml:space="preserve">4.2023 </w:t>
            </w:r>
          </w:p>
        </w:tc>
        <w:tc>
          <w:tcPr>
            <w:tcW w:w="1384" w:type="pct"/>
            <w:shd w:val="clear" w:color="auto" w:fill="auto"/>
            <w:vAlign w:val="center"/>
          </w:tcPr>
          <w:p w14:paraId="47EE7DF6">
            <w:pPr>
              <w:widowControl/>
              <w:jc w:val="center"/>
              <w:rPr>
                <w:color w:val="000000"/>
                <w:kern w:val="0"/>
                <w:sz w:val="22"/>
                <w:szCs w:val="22"/>
              </w:rPr>
            </w:pPr>
            <w:r>
              <w:rPr>
                <w:color w:val="000000"/>
                <w:kern w:val="0"/>
                <w:sz w:val="22"/>
                <w:szCs w:val="22"/>
              </w:rPr>
              <w:t xml:space="preserve">4.1217 </w:t>
            </w:r>
          </w:p>
        </w:tc>
      </w:tr>
      <w:tr w14:paraId="6617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60340A9">
            <w:pPr>
              <w:widowControl/>
              <w:jc w:val="center"/>
              <w:rPr>
                <w:color w:val="000000"/>
                <w:kern w:val="0"/>
                <w:sz w:val="22"/>
                <w:szCs w:val="22"/>
              </w:rPr>
            </w:pPr>
            <w:r>
              <w:rPr>
                <w:color w:val="000000"/>
                <w:kern w:val="0"/>
                <w:sz w:val="22"/>
                <w:szCs w:val="22"/>
              </w:rPr>
              <w:t>26</w:t>
            </w:r>
          </w:p>
        </w:tc>
        <w:tc>
          <w:tcPr>
            <w:tcW w:w="1572" w:type="pct"/>
            <w:gridSpan w:val="2"/>
            <w:shd w:val="clear" w:color="auto" w:fill="auto"/>
            <w:vAlign w:val="center"/>
          </w:tcPr>
          <w:p w14:paraId="75D47ACB">
            <w:pPr>
              <w:widowControl/>
              <w:jc w:val="center"/>
              <w:rPr>
                <w:color w:val="000000"/>
                <w:kern w:val="0"/>
                <w:sz w:val="22"/>
                <w:szCs w:val="22"/>
              </w:rPr>
            </w:pPr>
            <w:r>
              <w:rPr>
                <w:color w:val="000000"/>
                <w:kern w:val="0"/>
                <w:sz w:val="22"/>
                <w:szCs w:val="22"/>
              </w:rPr>
              <w:t xml:space="preserve">3.8706 </w:t>
            </w:r>
          </w:p>
        </w:tc>
        <w:tc>
          <w:tcPr>
            <w:tcW w:w="1384" w:type="pct"/>
            <w:shd w:val="clear" w:color="auto" w:fill="auto"/>
            <w:vAlign w:val="center"/>
          </w:tcPr>
          <w:p w14:paraId="7377B10F">
            <w:pPr>
              <w:widowControl/>
              <w:jc w:val="center"/>
              <w:rPr>
                <w:color w:val="000000"/>
                <w:kern w:val="0"/>
                <w:sz w:val="22"/>
                <w:szCs w:val="22"/>
              </w:rPr>
            </w:pPr>
            <w:r>
              <w:rPr>
                <w:color w:val="000000"/>
                <w:kern w:val="0"/>
                <w:sz w:val="22"/>
                <w:szCs w:val="22"/>
              </w:rPr>
              <w:t xml:space="preserve">3.8034 </w:t>
            </w:r>
          </w:p>
        </w:tc>
      </w:tr>
      <w:tr w14:paraId="3FB6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D2F04B0">
            <w:pPr>
              <w:widowControl/>
              <w:jc w:val="center"/>
              <w:rPr>
                <w:color w:val="000000"/>
                <w:kern w:val="0"/>
                <w:sz w:val="22"/>
                <w:szCs w:val="22"/>
              </w:rPr>
            </w:pPr>
            <w:r>
              <w:rPr>
                <w:color w:val="000000"/>
                <w:kern w:val="0"/>
                <w:sz w:val="22"/>
                <w:szCs w:val="22"/>
              </w:rPr>
              <w:t>27</w:t>
            </w:r>
          </w:p>
        </w:tc>
        <w:tc>
          <w:tcPr>
            <w:tcW w:w="1572" w:type="pct"/>
            <w:gridSpan w:val="2"/>
            <w:shd w:val="clear" w:color="auto" w:fill="auto"/>
            <w:vAlign w:val="center"/>
          </w:tcPr>
          <w:p w14:paraId="7FD3939F">
            <w:pPr>
              <w:widowControl/>
              <w:jc w:val="center"/>
              <w:rPr>
                <w:color w:val="000000"/>
                <w:kern w:val="0"/>
                <w:sz w:val="22"/>
                <w:szCs w:val="22"/>
              </w:rPr>
            </w:pPr>
            <w:r>
              <w:rPr>
                <w:color w:val="000000"/>
                <w:kern w:val="0"/>
                <w:sz w:val="22"/>
                <w:szCs w:val="22"/>
              </w:rPr>
              <w:t xml:space="preserve">3.5765 </w:t>
            </w:r>
          </w:p>
        </w:tc>
        <w:tc>
          <w:tcPr>
            <w:tcW w:w="1384" w:type="pct"/>
            <w:shd w:val="clear" w:color="auto" w:fill="auto"/>
            <w:vAlign w:val="center"/>
          </w:tcPr>
          <w:p w14:paraId="72D34A19">
            <w:pPr>
              <w:widowControl/>
              <w:jc w:val="center"/>
              <w:rPr>
                <w:color w:val="000000"/>
                <w:kern w:val="0"/>
                <w:sz w:val="22"/>
                <w:szCs w:val="22"/>
              </w:rPr>
            </w:pPr>
            <w:r>
              <w:rPr>
                <w:color w:val="000000"/>
                <w:kern w:val="0"/>
                <w:sz w:val="22"/>
                <w:szCs w:val="22"/>
              </w:rPr>
              <w:t xml:space="preserve">3.5198 </w:t>
            </w:r>
          </w:p>
        </w:tc>
      </w:tr>
      <w:tr w14:paraId="6309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61633D7">
            <w:pPr>
              <w:widowControl/>
              <w:jc w:val="center"/>
              <w:rPr>
                <w:color w:val="000000"/>
                <w:kern w:val="0"/>
                <w:sz w:val="22"/>
                <w:szCs w:val="22"/>
              </w:rPr>
            </w:pPr>
            <w:r>
              <w:rPr>
                <w:color w:val="000000"/>
                <w:kern w:val="0"/>
                <w:sz w:val="22"/>
                <w:szCs w:val="22"/>
              </w:rPr>
              <w:t>28</w:t>
            </w:r>
          </w:p>
        </w:tc>
        <w:tc>
          <w:tcPr>
            <w:tcW w:w="1572" w:type="pct"/>
            <w:gridSpan w:val="2"/>
            <w:shd w:val="clear" w:color="auto" w:fill="auto"/>
            <w:vAlign w:val="center"/>
          </w:tcPr>
          <w:p w14:paraId="7CCFB231">
            <w:pPr>
              <w:widowControl/>
              <w:jc w:val="center"/>
              <w:rPr>
                <w:color w:val="000000"/>
                <w:kern w:val="0"/>
                <w:sz w:val="22"/>
                <w:szCs w:val="22"/>
              </w:rPr>
            </w:pPr>
            <w:r>
              <w:rPr>
                <w:color w:val="000000"/>
                <w:kern w:val="0"/>
                <w:sz w:val="22"/>
                <w:szCs w:val="22"/>
              </w:rPr>
              <w:t xml:space="preserve">3.3157 </w:t>
            </w:r>
          </w:p>
        </w:tc>
        <w:tc>
          <w:tcPr>
            <w:tcW w:w="1384" w:type="pct"/>
            <w:shd w:val="clear" w:color="auto" w:fill="auto"/>
            <w:vAlign w:val="center"/>
          </w:tcPr>
          <w:p w14:paraId="46F40201">
            <w:pPr>
              <w:widowControl/>
              <w:jc w:val="center"/>
              <w:rPr>
                <w:color w:val="000000"/>
                <w:kern w:val="0"/>
                <w:sz w:val="22"/>
                <w:szCs w:val="22"/>
              </w:rPr>
            </w:pPr>
            <w:r>
              <w:rPr>
                <w:color w:val="000000"/>
                <w:kern w:val="0"/>
                <w:sz w:val="22"/>
                <w:szCs w:val="22"/>
              </w:rPr>
              <w:t xml:space="preserve">3.2670 </w:t>
            </w:r>
          </w:p>
        </w:tc>
      </w:tr>
      <w:tr w14:paraId="277D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7A334D3F">
            <w:pPr>
              <w:widowControl/>
              <w:jc w:val="center"/>
              <w:rPr>
                <w:color w:val="000000"/>
                <w:kern w:val="0"/>
                <w:sz w:val="22"/>
                <w:szCs w:val="22"/>
              </w:rPr>
            </w:pPr>
            <w:r>
              <w:rPr>
                <w:color w:val="000000"/>
                <w:kern w:val="0"/>
                <w:sz w:val="22"/>
                <w:szCs w:val="22"/>
              </w:rPr>
              <w:t>29</w:t>
            </w:r>
          </w:p>
        </w:tc>
        <w:tc>
          <w:tcPr>
            <w:tcW w:w="1572" w:type="pct"/>
            <w:gridSpan w:val="2"/>
            <w:shd w:val="clear" w:color="auto" w:fill="auto"/>
            <w:vAlign w:val="center"/>
          </w:tcPr>
          <w:p w14:paraId="1D2766A5">
            <w:pPr>
              <w:widowControl/>
              <w:jc w:val="center"/>
              <w:rPr>
                <w:color w:val="000000"/>
                <w:kern w:val="0"/>
                <w:sz w:val="22"/>
                <w:szCs w:val="22"/>
              </w:rPr>
            </w:pPr>
            <w:r>
              <w:rPr>
                <w:color w:val="000000"/>
                <w:kern w:val="0"/>
                <w:sz w:val="22"/>
                <w:szCs w:val="22"/>
              </w:rPr>
              <w:t xml:space="preserve">3.0827 </w:t>
            </w:r>
          </w:p>
        </w:tc>
        <w:tc>
          <w:tcPr>
            <w:tcW w:w="1384" w:type="pct"/>
            <w:shd w:val="clear" w:color="auto" w:fill="auto"/>
            <w:vAlign w:val="center"/>
          </w:tcPr>
          <w:p w14:paraId="0B998C0E">
            <w:pPr>
              <w:widowControl/>
              <w:jc w:val="center"/>
              <w:rPr>
                <w:color w:val="000000"/>
                <w:kern w:val="0"/>
                <w:sz w:val="22"/>
                <w:szCs w:val="22"/>
              </w:rPr>
            </w:pPr>
            <w:r>
              <w:rPr>
                <w:color w:val="000000"/>
                <w:kern w:val="0"/>
                <w:sz w:val="22"/>
                <w:szCs w:val="22"/>
              </w:rPr>
              <w:t xml:space="preserve">3.0408 </w:t>
            </w:r>
          </w:p>
        </w:tc>
      </w:tr>
      <w:tr w14:paraId="6565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0ACA7FD">
            <w:pPr>
              <w:widowControl/>
              <w:jc w:val="center"/>
              <w:rPr>
                <w:color w:val="000000"/>
                <w:kern w:val="0"/>
                <w:sz w:val="22"/>
                <w:szCs w:val="22"/>
              </w:rPr>
            </w:pPr>
            <w:r>
              <w:rPr>
                <w:color w:val="000000"/>
                <w:kern w:val="0"/>
                <w:sz w:val="22"/>
                <w:szCs w:val="22"/>
              </w:rPr>
              <w:t>30</w:t>
            </w:r>
          </w:p>
        </w:tc>
        <w:tc>
          <w:tcPr>
            <w:tcW w:w="1572" w:type="pct"/>
            <w:gridSpan w:val="2"/>
            <w:shd w:val="clear" w:color="auto" w:fill="auto"/>
            <w:vAlign w:val="center"/>
          </w:tcPr>
          <w:p w14:paraId="1AB5471D">
            <w:pPr>
              <w:widowControl/>
              <w:jc w:val="center"/>
              <w:rPr>
                <w:color w:val="000000"/>
                <w:kern w:val="0"/>
                <w:sz w:val="22"/>
                <w:szCs w:val="22"/>
              </w:rPr>
            </w:pPr>
            <w:r>
              <w:rPr>
                <w:color w:val="000000"/>
                <w:kern w:val="0"/>
                <w:sz w:val="22"/>
                <w:szCs w:val="22"/>
              </w:rPr>
              <w:t xml:space="preserve">2.8736 </w:t>
            </w:r>
          </w:p>
        </w:tc>
        <w:tc>
          <w:tcPr>
            <w:tcW w:w="1384" w:type="pct"/>
            <w:shd w:val="clear" w:color="auto" w:fill="auto"/>
            <w:vAlign w:val="center"/>
          </w:tcPr>
          <w:p w14:paraId="3775F1D6">
            <w:pPr>
              <w:widowControl/>
              <w:jc w:val="center"/>
              <w:rPr>
                <w:color w:val="000000"/>
                <w:kern w:val="0"/>
                <w:sz w:val="22"/>
                <w:szCs w:val="22"/>
              </w:rPr>
            </w:pPr>
            <w:r>
              <w:rPr>
                <w:color w:val="000000"/>
                <w:kern w:val="0"/>
                <w:sz w:val="22"/>
                <w:szCs w:val="22"/>
              </w:rPr>
              <w:t xml:space="preserve">2.8367 </w:t>
            </w:r>
          </w:p>
        </w:tc>
      </w:tr>
      <w:tr w14:paraId="74BB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C9E0EB5">
            <w:pPr>
              <w:widowControl/>
              <w:jc w:val="center"/>
              <w:rPr>
                <w:color w:val="000000"/>
                <w:kern w:val="0"/>
                <w:sz w:val="22"/>
                <w:szCs w:val="22"/>
              </w:rPr>
            </w:pPr>
            <w:r>
              <w:rPr>
                <w:color w:val="000000"/>
                <w:kern w:val="0"/>
                <w:sz w:val="22"/>
                <w:szCs w:val="22"/>
              </w:rPr>
              <w:t>31</w:t>
            </w:r>
          </w:p>
        </w:tc>
        <w:tc>
          <w:tcPr>
            <w:tcW w:w="1572" w:type="pct"/>
            <w:gridSpan w:val="2"/>
            <w:shd w:val="clear" w:color="auto" w:fill="auto"/>
            <w:vAlign w:val="center"/>
          </w:tcPr>
          <w:p w14:paraId="26A6FA04">
            <w:pPr>
              <w:widowControl/>
              <w:jc w:val="center"/>
              <w:rPr>
                <w:color w:val="000000"/>
                <w:kern w:val="0"/>
                <w:sz w:val="22"/>
                <w:szCs w:val="22"/>
              </w:rPr>
            </w:pPr>
            <w:r>
              <w:rPr>
                <w:color w:val="000000"/>
                <w:kern w:val="0"/>
                <w:sz w:val="22"/>
                <w:szCs w:val="22"/>
              </w:rPr>
              <w:t xml:space="preserve">2.6848 </w:t>
            </w:r>
          </w:p>
        </w:tc>
        <w:tc>
          <w:tcPr>
            <w:tcW w:w="1384" w:type="pct"/>
            <w:shd w:val="clear" w:color="auto" w:fill="auto"/>
            <w:vAlign w:val="center"/>
          </w:tcPr>
          <w:p w14:paraId="6ED23122">
            <w:pPr>
              <w:widowControl/>
              <w:jc w:val="center"/>
              <w:rPr>
                <w:color w:val="000000"/>
                <w:kern w:val="0"/>
                <w:sz w:val="22"/>
                <w:szCs w:val="22"/>
              </w:rPr>
            </w:pPr>
            <w:r>
              <w:rPr>
                <w:color w:val="000000"/>
                <w:kern w:val="0"/>
                <w:sz w:val="22"/>
                <w:szCs w:val="22"/>
              </w:rPr>
              <w:t xml:space="preserve">2.6527 </w:t>
            </w:r>
          </w:p>
        </w:tc>
      </w:tr>
      <w:tr w14:paraId="5B6A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C758A43">
            <w:pPr>
              <w:widowControl/>
              <w:jc w:val="center"/>
              <w:rPr>
                <w:color w:val="000000"/>
                <w:kern w:val="0"/>
                <w:sz w:val="22"/>
                <w:szCs w:val="22"/>
              </w:rPr>
            </w:pPr>
            <w:r>
              <w:rPr>
                <w:color w:val="000000"/>
                <w:kern w:val="0"/>
                <w:sz w:val="22"/>
                <w:szCs w:val="22"/>
              </w:rPr>
              <w:t>32</w:t>
            </w:r>
          </w:p>
        </w:tc>
        <w:tc>
          <w:tcPr>
            <w:tcW w:w="1572" w:type="pct"/>
            <w:gridSpan w:val="2"/>
            <w:shd w:val="clear" w:color="auto" w:fill="auto"/>
            <w:vAlign w:val="center"/>
          </w:tcPr>
          <w:p w14:paraId="5446111E">
            <w:pPr>
              <w:widowControl/>
              <w:jc w:val="center"/>
              <w:rPr>
                <w:color w:val="000000"/>
                <w:kern w:val="0"/>
                <w:sz w:val="22"/>
                <w:szCs w:val="22"/>
              </w:rPr>
            </w:pPr>
            <w:r>
              <w:rPr>
                <w:color w:val="000000"/>
                <w:kern w:val="0"/>
                <w:sz w:val="22"/>
                <w:szCs w:val="22"/>
              </w:rPr>
              <w:t xml:space="preserve">2.5139 </w:t>
            </w:r>
          </w:p>
        </w:tc>
        <w:tc>
          <w:tcPr>
            <w:tcW w:w="1384" w:type="pct"/>
            <w:shd w:val="clear" w:color="auto" w:fill="auto"/>
            <w:vAlign w:val="center"/>
          </w:tcPr>
          <w:p w14:paraId="1F0B9181">
            <w:pPr>
              <w:widowControl/>
              <w:jc w:val="center"/>
              <w:rPr>
                <w:color w:val="000000"/>
                <w:kern w:val="0"/>
                <w:sz w:val="22"/>
                <w:szCs w:val="22"/>
              </w:rPr>
            </w:pPr>
            <w:r>
              <w:rPr>
                <w:color w:val="000000"/>
                <w:kern w:val="0"/>
                <w:sz w:val="22"/>
                <w:szCs w:val="22"/>
              </w:rPr>
              <w:t xml:space="preserve">2.4870 </w:t>
            </w:r>
          </w:p>
        </w:tc>
      </w:tr>
      <w:tr w14:paraId="4B2A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3878008">
            <w:pPr>
              <w:widowControl/>
              <w:jc w:val="center"/>
              <w:rPr>
                <w:color w:val="000000"/>
                <w:kern w:val="0"/>
                <w:sz w:val="22"/>
                <w:szCs w:val="22"/>
              </w:rPr>
            </w:pPr>
            <w:r>
              <w:rPr>
                <w:color w:val="000000"/>
                <w:kern w:val="0"/>
                <w:sz w:val="22"/>
                <w:szCs w:val="22"/>
              </w:rPr>
              <w:t>33</w:t>
            </w:r>
          </w:p>
        </w:tc>
        <w:tc>
          <w:tcPr>
            <w:tcW w:w="1572" w:type="pct"/>
            <w:gridSpan w:val="2"/>
            <w:shd w:val="clear" w:color="auto" w:fill="auto"/>
            <w:vAlign w:val="center"/>
          </w:tcPr>
          <w:p w14:paraId="204765B6">
            <w:pPr>
              <w:widowControl/>
              <w:jc w:val="center"/>
              <w:rPr>
                <w:color w:val="000000"/>
                <w:kern w:val="0"/>
                <w:sz w:val="22"/>
                <w:szCs w:val="22"/>
              </w:rPr>
            </w:pPr>
            <w:r>
              <w:rPr>
                <w:color w:val="000000"/>
                <w:kern w:val="0"/>
                <w:sz w:val="22"/>
                <w:szCs w:val="22"/>
              </w:rPr>
              <w:t xml:space="preserve">2.3596 </w:t>
            </w:r>
          </w:p>
        </w:tc>
        <w:tc>
          <w:tcPr>
            <w:tcW w:w="1384" w:type="pct"/>
            <w:shd w:val="clear" w:color="auto" w:fill="auto"/>
            <w:vAlign w:val="center"/>
          </w:tcPr>
          <w:p w14:paraId="6E15B06F">
            <w:pPr>
              <w:widowControl/>
              <w:jc w:val="center"/>
              <w:rPr>
                <w:color w:val="000000"/>
                <w:kern w:val="0"/>
                <w:sz w:val="22"/>
                <w:szCs w:val="22"/>
              </w:rPr>
            </w:pPr>
            <w:r>
              <w:rPr>
                <w:color w:val="000000"/>
                <w:kern w:val="0"/>
                <w:sz w:val="22"/>
                <w:szCs w:val="22"/>
              </w:rPr>
              <w:t xml:space="preserve">2.3358 </w:t>
            </w:r>
          </w:p>
        </w:tc>
      </w:tr>
      <w:tr w14:paraId="7ECA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7D6BD23">
            <w:pPr>
              <w:widowControl/>
              <w:jc w:val="center"/>
              <w:rPr>
                <w:color w:val="000000"/>
                <w:kern w:val="0"/>
                <w:sz w:val="22"/>
                <w:szCs w:val="22"/>
              </w:rPr>
            </w:pPr>
            <w:r>
              <w:rPr>
                <w:color w:val="000000"/>
                <w:kern w:val="0"/>
                <w:sz w:val="22"/>
                <w:szCs w:val="22"/>
              </w:rPr>
              <w:t>34</w:t>
            </w:r>
          </w:p>
        </w:tc>
        <w:tc>
          <w:tcPr>
            <w:tcW w:w="1572" w:type="pct"/>
            <w:gridSpan w:val="2"/>
            <w:shd w:val="clear" w:color="auto" w:fill="auto"/>
            <w:vAlign w:val="center"/>
          </w:tcPr>
          <w:p w14:paraId="1422C3E1">
            <w:pPr>
              <w:widowControl/>
              <w:jc w:val="center"/>
              <w:rPr>
                <w:color w:val="000000"/>
                <w:kern w:val="0"/>
                <w:sz w:val="22"/>
                <w:szCs w:val="22"/>
              </w:rPr>
            </w:pPr>
            <w:r>
              <w:rPr>
                <w:color w:val="000000"/>
                <w:kern w:val="0"/>
                <w:sz w:val="22"/>
                <w:szCs w:val="22"/>
              </w:rPr>
              <w:t xml:space="preserve">2.2193 </w:t>
            </w:r>
          </w:p>
        </w:tc>
        <w:tc>
          <w:tcPr>
            <w:tcW w:w="1384" w:type="pct"/>
            <w:shd w:val="clear" w:color="auto" w:fill="auto"/>
            <w:vAlign w:val="center"/>
          </w:tcPr>
          <w:p w14:paraId="14C15240">
            <w:pPr>
              <w:widowControl/>
              <w:jc w:val="center"/>
              <w:rPr>
                <w:color w:val="000000"/>
                <w:kern w:val="0"/>
                <w:sz w:val="22"/>
                <w:szCs w:val="22"/>
              </w:rPr>
            </w:pPr>
            <w:r>
              <w:rPr>
                <w:color w:val="000000"/>
                <w:kern w:val="0"/>
                <w:sz w:val="22"/>
                <w:szCs w:val="22"/>
              </w:rPr>
              <w:t xml:space="preserve">2.1974 </w:t>
            </w:r>
          </w:p>
        </w:tc>
      </w:tr>
      <w:tr w14:paraId="01BB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2F7A474">
            <w:pPr>
              <w:widowControl/>
              <w:jc w:val="center"/>
              <w:rPr>
                <w:color w:val="000000"/>
                <w:kern w:val="0"/>
                <w:sz w:val="22"/>
                <w:szCs w:val="22"/>
              </w:rPr>
            </w:pPr>
            <w:r>
              <w:rPr>
                <w:color w:val="000000"/>
                <w:kern w:val="0"/>
                <w:sz w:val="22"/>
                <w:szCs w:val="22"/>
              </w:rPr>
              <w:t>35</w:t>
            </w:r>
          </w:p>
        </w:tc>
        <w:tc>
          <w:tcPr>
            <w:tcW w:w="1572" w:type="pct"/>
            <w:gridSpan w:val="2"/>
            <w:shd w:val="clear" w:color="auto" w:fill="auto"/>
            <w:vAlign w:val="center"/>
          </w:tcPr>
          <w:p w14:paraId="616CC2F1">
            <w:pPr>
              <w:widowControl/>
              <w:jc w:val="center"/>
              <w:rPr>
                <w:color w:val="000000"/>
                <w:kern w:val="0"/>
                <w:sz w:val="22"/>
                <w:szCs w:val="22"/>
              </w:rPr>
            </w:pPr>
            <w:r>
              <w:rPr>
                <w:color w:val="000000"/>
                <w:kern w:val="0"/>
                <w:sz w:val="22"/>
                <w:szCs w:val="22"/>
              </w:rPr>
              <w:t xml:space="preserve">2.0907 </w:t>
            </w:r>
          </w:p>
        </w:tc>
        <w:tc>
          <w:tcPr>
            <w:tcW w:w="1384" w:type="pct"/>
            <w:shd w:val="clear" w:color="auto" w:fill="auto"/>
            <w:vAlign w:val="center"/>
          </w:tcPr>
          <w:p w14:paraId="247F785C">
            <w:pPr>
              <w:widowControl/>
              <w:jc w:val="center"/>
              <w:rPr>
                <w:color w:val="000000"/>
                <w:kern w:val="0"/>
                <w:sz w:val="22"/>
                <w:szCs w:val="22"/>
              </w:rPr>
            </w:pPr>
            <w:r>
              <w:rPr>
                <w:color w:val="000000"/>
                <w:kern w:val="0"/>
                <w:sz w:val="22"/>
                <w:szCs w:val="22"/>
              </w:rPr>
              <w:t xml:space="preserve">2.0716 </w:t>
            </w:r>
          </w:p>
        </w:tc>
      </w:tr>
      <w:tr w14:paraId="482F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7E42961">
            <w:pPr>
              <w:widowControl/>
              <w:jc w:val="center"/>
              <w:rPr>
                <w:color w:val="000000"/>
                <w:kern w:val="0"/>
                <w:sz w:val="22"/>
                <w:szCs w:val="22"/>
              </w:rPr>
            </w:pPr>
            <w:r>
              <w:rPr>
                <w:color w:val="000000"/>
                <w:kern w:val="0"/>
                <w:sz w:val="22"/>
                <w:szCs w:val="22"/>
              </w:rPr>
              <w:t>36</w:t>
            </w:r>
          </w:p>
        </w:tc>
        <w:tc>
          <w:tcPr>
            <w:tcW w:w="1572" w:type="pct"/>
            <w:gridSpan w:val="2"/>
            <w:shd w:val="clear" w:color="auto" w:fill="auto"/>
            <w:vAlign w:val="center"/>
          </w:tcPr>
          <w:p w14:paraId="27142876">
            <w:pPr>
              <w:widowControl/>
              <w:jc w:val="center"/>
              <w:rPr>
                <w:color w:val="000000"/>
                <w:kern w:val="0"/>
                <w:sz w:val="22"/>
                <w:szCs w:val="22"/>
              </w:rPr>
            </w:pPr>
            <w:r>
              <w:rPr>
                <w:color w:val="000000"/>
                <w:kern w:val="0"/>
                <w:sz w:val="22"/>
                <w:szCs w:val="22"/>
              </w:rPr>
              <w:t xml:space="preserve">1.9732 </w:t>
            </w:r>
          </w:p>
        </w:tc>
        <w:tc>
          <w:tcPr>
            <w:tcW w:w="1384" w:type="pct"/>
            <w:shd w:val="clear" w:color="auto" w:fill="auto"/>
            <w:vAlign w:val="center"/>
          </w:tcPr>
          <w:p w14:paraId="4B610684">
            <w:pPr>
              <w:widowControl/>
              <w:jc w:val="center"/>
              <w:rPr>
                <w:color w:val="000000"/>
                <w:kern w:val="0"/>
                <w:sz w:val="22"/>
                <w:szCs w:val="22"/>
              </w:rPr>
            </w:pPr>
            <w:r>
              <w:rPr>
                <w:color w:val="000000"/>
                <w:kern w:val="0"/>
                <w:sz w:val="22"/>
                <w:szCs w:val="22"/>
              </w:rPr>
              <w:t xml:space="preserve">1.9565 </w:t>
            </w:r>
          </w:p>
        </w:tc>
      </w:tr>
      <w:tr w14:paraId="1CB8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CE3A4EA">
            <w:pPr>
              <w:widowControl/>
              <w:jc w:val="center"/>
              <w:rPr>
                <w:color w:val="000000"/>
                <w:kern w:val="0"/>
                <w:sz w:val="22"/>
                <w:szCs w:val="22"/>
              </w:rPr>
            </w:pPr>
            <w:r>
              <w:rPr>
                <w:color w:val="000000"/>
                <w:kern w:val="0"/>
                <w:sz w:val="22"/>
                <w:szCs w:val="22"/>
              </w:rPr>
              <w:t>37</w:t>
            </w:r>
          </w:p>
        </w:tc>
        <w:tc>
          <w:tcPr>
            <w:tcW w:w="1572" w:type="pct"/>
            <w:gridSpan w:val="2"/>
            <w:shd w:val="clear" w:color="auto" w:fill="auto"/>
            <w:vAlign w:val="center"/>
          </w:tcPr>
          <w:p w14:paraId="743A89B5">
            <w:pPr>
              <w:widowControl/>
              <w:jc w:val="center"/>
              <w:rPr>
                <w:color w:val="000000"/>
                <w:kern w:val="0"/>
                <w:sz w:val="22"/>
                <w:szCs w:val="22"/>
              </w:rPr>
            </w:pPr>
            <w:r>
              <w:rPr>
                <w:color w:val="000000"/>
                <w:kern w:val="0"/>
                <w:sz w:val="22"/>
                <w:szCs w:val="22"/>
              </w:rPr>
              <w:t xml:space="preserve">1.8652 </w:t>
            </w:r>
          </w:p>
        </w:tc>
        <w:tc>
          <w:tcPr>
            <w:tcW w:w="1384" w:type="pct"/>
            <w:shd w:val="clear" w:color="auto" w:fill="auto"/>
            <w:vAlign w:val="center"/>
          </w:tcPr>
          <w:p w14:paraId="04C1E9C1">
            <w:pPr>
              <w:widowControl/>
              <w:jc w:val="center"/>
              <w:rPr>
                <w:color w:val="000000"/>
                <w:kern w:val="0"/>
                <w:sz w:val="22"/>
                <w:szCs w:val="22"/>
              </w:rPr>
            </w:pPr>
            <w:r>
              <w:rPr>
                <w:color w:val="000000"/>
                <w:kern w:val="0"/>
                <w:sz w:val="22"/>
                <w:szCs w:val="22"/>
              </w:rPr>
              <w:t xml:space="preserve">1.8498 </w:t>
            </w:r>
          </w:p>
        </w:tc>
      </w:tr>
      <w:tr w14:paraId="1D5F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9A8C0F6">
            <w:pPr>
              <w:widowControl/>
              <w:jc w:val="center"/>
              <w:rPr>
                <w:color w:val="000000"/>
                <w:kern w:val="0"/>
                <w:sz w:val="22"/>
                <w:szCs w:val="22"/>
              </w:rPr>
            </w:pPr>
            <w:r>
              <w:rPr>
                <w:color w:val="000000"/>
                <w:kern w:val="0"/>
                <w:sz w:val="22"/>
                <w:szCs w:val="22"/>
              </w:rPr>
              <w:t>38</w:t>
            </w:r>
          </w:p>
        </w:tc>
        <w:tc>
          <w:tcPr>
            <w:tcW w:w="1572" w:type="pct"/>
            <w:gridSpan w:val="2"/>
            <w:shd w:val="clear" w:color="auto" w:fill="auto"/>
            <w:vAlign w:val="center"/>
          </w:tcPr>
          <w:p w14:paraId="09FF8BBD">
            <w:pPr>
              <w:widowControl/>
              <w:jc w:val="center"/>
              <w:rPr>
                <w:color w:val="000000"/>
                <w:kern w:val="0"/>
                <w:sz w:val="22"/>
                <w:szCs w:val="22"/>
              </w:rPr>
            </w:pPr>
            <w:r>
              <w:rPr>
                <w:color w:val="000000"/>
                <w:kern w:val="0"/>
                <w:sz w:val="22"/>
                <w:szCs w:val="22"/>
              </w:rPr>
              <w:t xml:space="preserve">1.7659 </w:t>
            </w:r>
          </w:p>
        </w:tc>
        <w:tc>
          <w:tcPr>
            <w:tcW w:w="1384" w:type="pct"/>
            <w:shd w:val="clear" w:color="auto" w:fill="auto"/>
            <w:vAlign w:val="center"/>
          </w:tcPr>
          <w:p w14:paraId="2BA09A7E">
            <w:pPr>
              <w:widowControl/>
              <w:jc w:val="center"/>
              <w:rPr>
                <w:color w:val="000000"/>
                <w:kern w:val="0"/>
                <w:sz w:val="22"/>
                <w:szCs w:val="22"/>
              </w:rPr>
            </w:pPr>
            <w:r>
              <w:rPr>
                <w:color w:val="000000"/>
                <w:kern w:val="0"/>
                <w:sz w:val="22"/>
                <w:szCs w:val="22"/>
              </w:rPr>
              <w:t xml:space="preserve">1.7527 </w:t>
            </w:r>
          </w:p>
        </w:tc>
      </w:tr>
      <w:tr w14:paraId="51FB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FF564AE">
            <w:pPr>
              <w:widowControl/>
              <w:jc w:val="center"/>
              <w:rPr>
                <w:color w:val="000000"/>
                <w:kern w:val="0"/>
                <w:sz w:val="22"/>
                <w:szCs w:val="22"/>
              </w:rPr>
            </w:pPr>
            <w:r>
              <w:rPr>
                <w:color w:val="000000"/>
                <w:kern w:val="0"/>
                <w:sz w:val="22"/>
                <w:szCs w:val="22"/>
              </w:rPr>
              <w:t>39</w:t>
            </w:r>
          </w:p>
        </w:tc>
        <w:tc>
          <w:tcPr>
            <w:tcW w:w="1572" w:type="pct"/>
            <w:gridSpan w:val="2"/>
            <w:shd w:val="clear" w:color="auto" w:fill="auto"/>
            <w:vAlign w:val="center"/>
          </w:tcPr>
          <w:p w14:paraId="3424695D">
            <w:pPr>
              <w:widowControl/>
              <w:jc w:val="center"/>
              <w:rPr>
                <w:color w:val="000000"/>
                <w:kern w:val="0"/>
                <w:sz w:val="22"/>
                <w:szCs w:val="22"/>
              </w:rPr>
            </w:pPr>
            <w:r>
              <w:rPr>
                <w:color w:val="000000"/>
                <w:kern w:val="0"/>
                <w:sz w:val="22"/>
                <w:szCs w:val="22"/>
              </w:rPr>
              <w:t xml:space="preserve">1.6745 </w:t>
            </w:r>
          </w:p>
        </w:tc>
        <w:tc>
          <w:tcPr>
            <w:tcW w:w="1384" w:type="pct"/>
            <w:shd w:val="clear" w:color="auto" w:fill="auto"/>
            <w:vAlign w:val="center"/>
          </w:tcPr>
          <w:p w14:paraId="73EADBE4">
            <w:pPr>
              <w:widowControl/>
              <w:jc w:val="center"/>
              <w:rPr>
                <w:color w:val="000000"/>
                <w:kern w:val="0"/>
                <w:sz w:val="22"/>
                <w:szCs w:val="22"/>
              </w:rPr>
            </w:pPr>
            <w:r>
              <w:rPr>
                <w:color w:val="000000"/>
                <w:kern w:val="0"/>
                <w:sz w:val="22"/>
                <w:szCs w:val="22"/>
              </w:rPr>
              <w:t xml:space="preserve">1.6629 </w:t>
            </w:r>
          </w:p>
        </w:tc>
      </w:tr>
      <w:tr w14:paraId="54E9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682AF42">
            <w:pPr>
              <w:widowControl/>
              <w:jc w:val="center"/>
              <w:rPr>
                <w:color w:val="000000"/>
                <w:kern w:val="0"/>
                <w:sz w:val="22"/>
                <w:szCs w:val="22"/>
              </w:rPr>
            </w:pPr>
            <w:r>
              <w:rPr>
                <w:color w:val="000000"/>
                <w:kern w:val="0"/>
                <w:sz w:val="22"/>
                <w:szCs w:val="22"/>
              </w:rPr>
              <w:t>40</w:t>
            </w:r>
          </w:p>
        </w:tc>
        <w:tc>
          <w:tcPr>
            <w:tcW w:w="1572" w:type="pct"/>
            <w:gridSpan w:val="2"/>
            <w:shd w:val="clear" w:color="auto" w:fill="auto"/>
            <w:vAlign w:val="center"/>
          </w:tcPr>
          <w:p w14:paraId="7E8A41C0">
            <w:pPr>
              <w:widowControl/>
              <w:jc w:val="center"/>
              <w:rPr>
                <w:color w:val="000000"/>
                <w:kern w:val="0"/>
                <w:sz w:val="22"/>
                <w:szCs w:val="22"/>
              </w:rPr>
            </w:pPr>
            <w:r>
              <w:rPr>
                <w:color w:val="000000"/>
                <w:kern w:val="0"/>
                <w:sz w:val="22"/>
                <w:szCs w:val="22"/>
              </w:rPr>
              <w:t xml:space="preserve">1.5897 </w:t>
            </w:r>
          </w:p>
        </w:tc>
        <w:tc>
          <w:tcPr>
            <w:tcW w:w="1384" w:type="pct"/>
            <w:shd w:val="clear" w:color="auto" w:fill="auto"/>
            <w:vAlign w:val="center"/>
          </w:tcPr>
          <w:p w14:paraId="19096D98">
            <w:pPr>
              <w:widowControl/>
              <w:jc w:val="center"/>
              <w:rPr>
                <w:color w:val="000000"/>
                <w:kern w:val="0"/>
                <w:sz w:val="22"/>
                <w:szCs w:val="22"/>
              </w:rPr>
            </w:pPr>
            <w:r>
              <w:rPr>
                <w:color w:val="000000"/>
                <w:kern w:val="0"/>
                <w:sz w:val="22"/>
                <w:szCs w:val="22"/>
              </w:rPr>
              <w:t xml:space="preserve">1.5788 </w:t>
            </w:r>
          </w:p>
        </w:tc>
      </w:tr>
      <w:tr w14:paraId="4EC0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4D0CAEA">
            <w:pPr>
              <w:widowControl/>
              <w:jc w:val="center"/>
              <w:rPr>
                <w:color w:val="000000"/>
                <w:kern w:val="0"/>
                <w:sz w:val="22"/>
                <w:szCs w:val="22"/>
              </w:rPr>
            </w:pPr>
            <w:r>
              <w:rPr>
                <w:color w:val="000000"/>
                <w:kern w:val="0"/>
                <w:sz w:val="22"/>
                <w:szCs w:val="22"/>
              </w:rPr>
              <w:t>41</w:t>
            </w:r>
          </w:p>
        </w:tc>
        <w:tc>
          <w:tcPr>
            <w:tcW w:w="1572" w:type="pct"/>
            <w:gridSpan w:val="2"/>
            <w:shd w:val="clear" w:color="auto" w:fill="auto"/>
            <w:vAlign w:val="center"/>
          </w:tcPr>
          <w:p w14:paraId="790542A7">
            <w:pPr>
              <w:widowControl/>
              <w:jc w:val="center"/>
              <w:rPr>
                <w:color w:val="000000"/>
                <w:kern w:val="0"/>
                <w:sz w:val="22"/>
                <w:szCs w:val="22"/>
              </w:rPr>
            </w:pPr>
            <w:r>
              <w:rPr>
                <w:color w:val="000000"/>
                <w:kern w:val="0"/>
                <w:sz w:val="22"/>
                <w:szCs w:val="22"/>
              </w:rPr>
              <w:t xml:space="preserve">1.5115 </w:t>
            </w:r>
          </w:p>
        </w:tc>
        <w:tc>
          <w:tcPr>
            <w:tcW w:w="1384" w:type="pct"/>
            <w:shd w:val="clear" w:color="auto" w:fill="auto"/>
            <w:vAlign w:val="center"/>
          </w:tcPr>
          <w:p w14:paraId="59DB0417">
            <w:pPr>
              <w:widowControl/>
              <w:jc w:val="center"/>
              <w:rPr>
                <w:color w:val="000000"/>
                <w:kern w:val="0"/>
                <w:sz w:val="22"/>
                <w:szCs w:val="22"/>
              </w:rPr>
            </w:pPr>
            <w:r>
              <w:rPr>
                <w:color w:val="000000"/>
                <w:kern w:val="0"/>
                <w:sz w:val="22"/>
                <w:szCs w:val="22"/>
              </w:rPr>
              <w:t xml:space="preserve">1.5018 </w:t>
            </w:r>
          </w:p>
        </w:tc>
      </w:tr>
      <w:tr w14:paraId="6A6C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80F1A7A">
            <w:pPr>
              <w:widowControl/>
              <w:jc w:val="center"/>
              <w:rPr>
                <w:color w:val="000000"/>
                <w:kern w:val="0"/>
                <w:sz w:val="22"/>
                <w:szCs w:val="22"/>
              </w:rPr>
            </w:pPr>
            <w:r>
              <w:rPr>
                <w:color w:val="000000"/>
                <w:kern w:val="0"/>
                <w:sz w:val="22"/>
                <w:szCs w:val="22"/>
              </w:rPr>
              <w:t>42</w:t>
            </w:r>
          </w:p>
        </w:tc>
        <w:tc>
          <w:tcPr>
            <w:tcW w:w="1572" w:type="pct"/>
            <w:gridSpan w:val="2"/>
            <w:shd w:val="clear" w:color="auto" w:fill="auto"/>
            <w:vAlign w:val="center"/>
          </w:tcPr>
          <w:p w14:paraId="06779CB4">
            <w:pPr>
              <w:widowControl/>
              <w:jc w:val="center"/>
              <w:rPr>
                <w:color w:val="000000"/>
                <w:kern w:val="0"/>
                <w:sz w:val="22"/>
                <w:szCs w:val="22"/>
              </w:rPr>
            </w:pPr>
            <w:r>
              <w:rPr>
                <w:color w:val="000000"/>
                <w:kern w:val="0"/>
                <w:sz w:val="22"/>
                <w:szCs w:val="22"/>
              </w:rPr>
              <w:t xml:space="preserve">1.4389 </w:t>
            </w:r>
          </w:p>
        </w:tc>
        <w:tc>
          <w:tcPr>
            <w:tcW w:w="1384" w:type="pct"/>
            <w:shd w:val="clear" w:color="auto" w:fill="auto"/>
            <w:vAlign w:val="center"/>
          </w:tcPr>
          <w:p w14:paraId="35C36BD3">
            <w:pPr>
              <w:widowControl/>
              <w:jc w:val="center"/>
              <w:rPr>
                <w:color w:val="000000"/>
                <w:kern w:val="0"/>
                <w:sz w:val="22"/>
                <w:szCs w:val="22"/>
              </w:rPr>
            </w:pPr>
            <w:r>
              <w:rPr>
                <w:color w:val="000000"/>
                <w:kern w:val="0"/>
                <w:sz w:val="22"/>
                <w:szCs w:val="22"/>
              </w:rPr>
              <w:t xml:space="preserve">1.4304 </w:t>
            </w:r>
          </w:p>
        </w:tc>
      </w:tr>
      <w:tr w14:paraId="73B7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5AF2FD00">
            <w:pPr>
              <w:widowControl/>
              <w:jc w:val="center"/>
              <w:rPr>
                <w:color w:val="000000"/>
                <w:kern w:val="0"/>
                <w:sz w:val="22"/>
                <w:szCs w:val="22"/>
              </w:rPr>
            </w:pPr>
            <w:r>
              <w:rPr>
                <w:color w:val="000000"/>
                <w:kern w:val="0"/>
                <w:sz w:val="22"/>
                <w:szCs w:val="22"/>
              </w:rPr>
              <w:t>43</w:t>
            </w:r>
          </w:p>
        </w:tc>
        <w:tc>
          <w:tcPr>
            <w:tcW w:w="1572" w:type="pct"/>
            <w:gridSpan w:val="2"/>
            <w:shd w:val="clear" w:color="auto" w:fill="auto"/>
            <w:vAlign w:val="center"/>
          </w:tcPr>
          <w:p w14:paraId="36E0DF2A">
            <w:pPr>
              <w:widowControl/>
              <w:jc w:val="center"/>
              <w:rPr>
                <w:color w:val="000000"/>
                <w:kern w:val="0"/>
                <w:sz w:val="22"/>
                <w:szCs w:val="22"/>
              </w:rPr>
            </w:pPr>
            <w:r>
              <w:rPr>
                <w:color w:val="000000"/>
                <w:kern w:val="0"/>
                <w:sz w:val="22"/>
                <w:szCs w:val="22"/>
              </w:rPr>
              <w:t xml:space="preserve">1.3717 </w:t>
            </w:r>
          </w:p>
        </w:tc>
        <w:tc>
          <w:tcPr>
            <w:tcW w:w="1384" w:type="pct"/>
            <w:shd w:val="clear" w:color="auto" w:fill="auto"/>
            <w:vAlign w:val="center"/>
          </w:tcPr>
          <w:p w14:paraId="6BDE12E4">
            <w:pPr>
              <w:widowControl/>
              <w:jc w:val="center"/>
              <w:rPr>
                <w:color w:val="000000"/>
                <w:kern w:val="0"/>
                <w:sz w:val="22"/>
                <w:szCs w:val="22"/>
              </w:rPr>
            </w:pPr>
            <w:r>
              <w:rPr>
                <w:color w:val="000000"/>
                <w:kern w:val="0"/>
                <w:sz w:val="22"/>
                <w:szCs w:val="22"/>
              </w:rPr>
              <w:t xml:space="preserve">1.3637 </w:t>
            </w:r>
          </w:p>
        </w:tc>
      </w:tr>
      <w:tr w14:paraId="6359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CC6AE58">
            <w:pPr>
              <w:widowControl/>
              <w:jc w:val="center"/>
              <w:rPr>
                <w:color w:val="000000"/>
                <w:kern w:val="0"/>
                <w:sz w:val="22"/>
                <w:szCs w:val="22"/>
              </w:rPr>
            </w:pPr>
            <w:r>
              <w:rPr>
                <w:color w:val="000000"/>
                <w:kern w:val="0"/>
                <w:sz w:val="22"/>
                <w:szCs w:val="22"/>
              </w:rPr>
              <w:t>44</w:t>
            </w:r>
          </w:p>
        </w:tc>
        <w:tc>
          <w:tcPr>
            <w:tcW w:w="1572" w:type="pct"/>
            <w:gridSpan w:val="2"/>
            <w:shd w:val="clear" w:color="auto" w:fill="auto"/>
            <w:vAlign w:val="center"/>
          </w:tcPr>
          <w:p w14:paraId="1D1B4834">
            <w:pPr>
              <w:widowControl/>
              <w:jc w:val="center"/>
              <w:rPr>
                <w:color w:val="000000"/>
                <w:kern w:val="0"/>
                <w:sz w:val="22"/>
                <w:szCs w:val="22"/>
              </w:rPr>
            </w:pPr>
            <w:r>
              <w:rPr>
                <w:color w:val="000000"/>
                <w:kern w:val="0"/>
                <w:sz w:val="22"/>
                <w:szCs w:val="22"/>
              </w:rPr>
              <w:t xml:space="preserve">1.3088 </w:t>
            </w:r>
          </w:p>
        </w:tc>
        <w:tc>
          <w:tcPr>
            <w:tcW w:w="1384" w:type="pct"/>
            <w:shd w:val="clear" w:color="auto" w:fill="auto"/>
            <w:vAlign w:val="center"/>
          </w:tcPr>
          <w:p w14:paraId="3AADAB76">
            <w:pPr>
              <w:widowControl/>
              <w:jc w:val="center"/>
              <w:rPr>
                <w:color w:val="000000"/>
                <w:kern w:val="0"/>
                <w:sz w:val="22"/>
                <w:szCs w:val="22"/>
              </w:rPr>
            </w:pPr>
            <w:r>
              <w:rPr>
                <w:color w:val="000000"/>
                <w:kern w:val="0"/>
                <w:sz w:val="22"/>
                <w:szCs w:val="22"/>
              </w:rPr>
              <w:t xml:space="preserve">1.3015 </w:t>
            </w:r>
          </w:p>
        </w:tc>
      </w:tr>
      <w:tr w14:paraId="624B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064DB215">
            <w:pPr>
              <w:widowControl/>
              <w:jc w:val="center"/>
              <w:rPr>
                <w:color w:val="000000"/>
                <w:kern w:val="0"/>
                <w:sz w:val="22"/>
                <w:szCs w:val="22"/>
              </w:rPr>
            </w:pPr>
            <w:r>
              <w:rPr>
                <w:color w:val="000000"/>
                <w:kern w:val="0"/>
                <w:sz w:val="22"/>
                <w:szCs w:val="22"/>
              </w:rPr>
              <w:t>45</w:t>
            </w:r>
          </w:p>
        </w:tc>
        <w:tc>
          <w:tcPr>
            <w:tcW w:w="1572" w:type="pct"/>
            <w:gridSpan w:val="2"/>
            <w:shd w:val="clear" w:color="auto" w:fill="auto"/>
            <w:vAlign w:val="center"/>
          </w:tcPr>
          <w:p w14:paraId="6DB583A0">
            <w:pPr>
              <w:widowControl/>
              <w:jc w:val="center"/>
              <w:rPr>
                <w:color w:val="000000"/>
                <w:kern w:val="0"/>
                <w:sz w:val="22"/>
                <w:szCs w:val="22"/>
              </w:rPr>
            </w:pPr>
            <w:r>
              <w:rPr>
                <w:color w:val="000000"/>
                <w:kern w:val="0"/>
                <w:sz w:val="22"/>
                <w:szCs w:val="22"/>
              </w:rPr>
              <w:t xml:space="preserve">1.2503 </w:t>
            </w:r>
          </w:p>
        </w:tc>
        <w:tc>
          <w:tcPr>
            <w:tcW w:w="1384" w:type="pct"/>
            <w:shd w:val="clear" w:color="auto" w:fill="auto"/>
            <w:vAlign w:val="center"/>
          </w:tcPr>
          <w:p w14:paraId="67879393">
            <w:pPr>
              <w:widowControl/>
              <w:jc w:val="center"/>
              <w:rPr>
                <w:color w:val="000000"/>
                <w:kern w:val="0"/>
                <w:sz w:val="22"/>
                <w:szCs w:val="22"/>
              </w:rPr>
            </w:pPr>
            <w:r>
              <w:rPr>
                <w:color w:val="000000"/>
                <w:kern w:val="0"/>
                <w:sz w:val="22"/>
                <w:szCs w:val="22"/>
              </w:rPr>
              <w:t xml:space="preserve">1.2437 </w:t>
            </w:r>
          </w:p>
        </w:tc>
      </w:tr>
      <w:tr w14:paraId="0610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39D40FE">
            <w:pPr>
              <w:widowControl/>
              <w:jc w:val="center"/>
              <w:rPr>
                <w:color w:val="000000"/>
                <w:kern w:val="0"/>
                <w:sz w:val="22"/>
                <w:szCs w:val="22"/>
              </w:rPr>
            </w:pPr>
            <w:r>
              <w:rPr>
                <w:color w:val="000000"/>
                <w:kern w:val="0"/>
                <w:sz w:val="22"/>
                <w:szCs w:val="22"/>
              </w:rPr>
              <w:t>46</w:t>
            </w:r>
          </w:p>
        </w:tc>
        <w:tc>
          <w:tcPr>
            <w:tcW w:w="1572" w:type="pct"/>
            <w:gridSpan w:val="2"/>
            <w:shd w:val="clear" w:color="auto" w:fill="auto"/>
            <w:vAlign w:val="center"/>
          </w:tcPr>
          <w:p w14:paraId="12D30926">
            <w:pPr>
              <w:widowControl/>
              <w:jc w:val="center"/>
              <w:rPr>
                <w:color w:val="000000"/>
                <w:kern w:val="0"/>
                <w:sz w:val="22"/>
                <w:szCs w:val="22"/>
              </w:rPr>
            </w:pPr>
            <w:r>
              <w:rPr>
                <w:color w:val="000000"/>
                <w:kern w:val="0"/>
                <w:sz w:val="22"/>
                <w:szCs w:val="22"/>
              </w:rPr>
              <w:t xml:space="preserve">1.1959 </w:t>
            </w:r>
          </w:p>
        </w:tc>
        <w:tc>
          <w:tcPr>
            <w:tcW w:w="1384" w:type="pct"/>
            <w:shd w:val="clear" w:color="auto" w:fill="auto"/>
            <w:vAlign w:val="center"/>
          </w:tcPr>
          <w:p w14:paraId="4512A51C">
            <w:pPr>
              <w:widowControl/>
              <w:jc w:val="center"/>
              <w:rPr>
                <w:color w:val="000000"/>
                <w:kern w:val="0"/>
                <w:sz w:val="22"/>
                <w:szCs w:val="22"/>
              </w:rPr>
            </w:pPr>
            <w:r>
              <w:rPr>
                <w:color w:val="000000"/>
                <w:kern w:val="0"/>
                <w:sz w:val="22"/>
                <w:szCs w:val="22"/>
              </w:rPr>
              <w:t xml:space="preserve">1.1904 </w:t>
            </w:r>
          </w:p>
        </w:tc>
      </w:tr>
      <w:tr w14:paraId="3168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3FD05E9F">
            <w:pPr>
              <w:widowControl/>
              <w:jc w:val="center"/>
              <w:rPr>
                <w:color w:val="000000"/>
                <w:kern w:val="0"/>
                <w:sz w:val="22"/>
                <w:szCs w:val="22"/>
              </w:rPr>
            </w:pPr>
            <w:r>
              <w:rPr>
                <w:color w:val="000000"/>
                <w:kern w:val="0"/>
                <w:sz w:val="22"/>
                <w:szCs w:val="22"/>
              </w:rPr>
              <w:t>47</w:t>
            </w:r>
          </w:p>
        </w:tc>
        <w:tc>
          <w:tcPr>
            <w:tcW w:w="1572" w:type="pct"/>
            <w:gridSpan w:val="2"/>
            <w:shd w:val="clear" w:color="auto" w:fill="auto"/>
            <w:vAlign w:val="center"/>
          </w:tcPr>
          <w:p w14:paraId="37CAC19E">
            <w:pPr>
              <w:widowControl/>
              <w:jc w:val="center"/>
              <w:rPr>
                <w:color w:val="000000"/>
                <w:kern w:val="0"/>
                <w:sz w:val="22"/>
                <w:szCs w:val="22"/>
              </w:rPr>
            </w:pPr>
            <w:r>
              <w:rPr>
                <w:color w:val="000000"/>
                <w:kern w:val="0"/>
                <w:sz w:val="22"/>
                <w:szCs w:val="22"/>
              </w:rPr>
              <w:t xml:space="preserve">1.1449 </w:t>
            </w:r>
          </w:p>
        </w:tc>
        <w:tc>
          <w:tcPr>
            <w:tcW w:w="1384" w:type="pct"/>
            <w:shd w:val="clear" w:color="auto" w:fill="auto"/>
            <w:vAlign w:val="center"/>
          </w:tcPr>
          <w:p w14:paraId="7872ABA7">
            <w:pPr>
              <w:widowControl/>
              <w:jc w:val="center"/>
              <w:rPr>
                <w:color w:val="000000"/>
                <w:kern w:val="0"/>
                <w:sz w:val="22"/>
                <w:szCs w:val="22"/>
              </w:rPr>
            </w:pPr>
            <w:r>
              <w:rPr>
                <w:color w:val="000000"/>
                <w:kern w:val="0"/>
                <w:sz w:val="22"/>
                <w:szCs w:val="22"/>
              </w:rPr>
              <w:t xml:space="preserve">1.1395 </w:t>
            </w:r>
          </w:p>
        </w:tc>
      </w:tr>
      <w:tr w14:paraId="0D8F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23CEC904">
            <w:pPr>
              <w:widowControl/>
              <w:jc w:val="center"/>
              <w:rPr>
                <w:color w:val="000000"/>
                <w:kern w:val="0"/>
                <w:sz w:val="22"/>
                <w:szCs w:val="22"/>
              </w:rPr>
            </w:pPr>
            <w:r>
              <w:rPr>
                <w:color w:val="000000"/>
                <w:kern w:val="0"/>
                <w:sz w:val="22"/>
                <w:szCs w:val="22"/>
              </w:rPr>
              <w:t>48</w:t>
            </w:r>
          </w:p>
        </w:tc>
        <w:tc>
          <w:tcPr>
            <w:tcW w:w="1572" w:type="pct"/>
            <w:gridSpan w:val="2"/>
            <w:shd w:val="clear" w:color="auto" w:fill="auto"/>
            <w:vAlign w:val="center"/>
          </w:tcPr>
          <w:p w14:paraId="4F025B72">
            <w:pPr>
              <w:widowControl/>
              <w:jc w:val="center"/>
              <w:rPr>
                <w:color w:val="000000"/>
                <w:kern w:val="0"/>
                <w:sz w:val="22"/>
                <w:szCs w:val="22"/>
              </w:rPr>
            </w:pPr>
            <w:r>
              <w:rPr>
                <w:color w:val="000000"/>
                <w:kern w:val="0"/>
                <w:sz w:val="22"/>
                <w:szCs w:val="22"/>
              </w:rPr>
              <w:t xml:space="preserve">1.0971 </w:t>
            </w:r>
          </w:p>
        </w:tc>
        <w:tc>
          <w:tcPr>
            <w:tcW w:w="1384" w:type="pct"/>
            <w:shd w:val="clear" w:color="auto" w:fill="auto"/>
            <w:vAlign w:val="center"/>
          </w:tcPr>
          <w:p w14:paraId="287AF8B6">
            <w:pPr>
              <w:widowControl/>
              <w:jc w:val="center"/>
              <w:rPr>
                <w:color w:val="000000"/>
                <w:kern w:val="0"/>
                <w:sz w:val="22"/>
                <w:szCs w:val="22"/>
              </w:rPr>
            </w:pPr>
            <w:r>
              <w:rPr>
                <w:color w:val="000000"/>
                <w:kern w:val="0"/>
                <w:sz w:val="22"/>
                <w:szCs w:val="22"/>
              </w:rPr>
              <w:t xml:space="preserve">1.0917 </w:t>
            </w:r>
          </w:p>
        </w:tc>
      </w:tr>
      <w:tr w14:paraId="1225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61A29975">
            <w:pPr>
              <w:widowControl/>
              <w:jc w:val="center"/>
              <w:rPr>
                <w:color w:val="000000"/>
                <w:kern w:val="0"/>
                <w:sz w:val="22"/>
                <w:szCs w:val="22"/>
              </w:rPr>
            </w:pPr>
            <w:r>
              <w:rPr>
                <w:color w:val="000000"/>
                <w:kern w:val="0"/>
                <w:sz w:val="22"/>
                <w:szCs w:val="22"/>
              </w:rPr>
              <w:t>49</w:t>
            </w:r>
          </w:p>
        </w:tc>
        <w:tc>
          <w:tcPr>
            <w:tcW w:w="1572" w:type="pct"/>
            <w:gridSpan w:val="2"/>
            <w:shd w:val="clear" w:color="auto" w:fill="auto"/>
            <w:vAlign w:val="center"/>
          </w:tcPr>
          <w:p w14:paraId="35E617DD">
            <w:pPr>
              <w:widowControl/>
              <w:jc w:val="center"/>
              <w:rPr>
                <w:color w:val="000000"/>
                <w:kern w:val="0"/>
                <w:sz w:val="22"/>
                <w:szCs w:val="22"/>
              </w:rPr>
            </w:pPr>
            <w:r>
              <w:rPr>
                <w:color w:val="000000"/>
                <w:kern w:val="0"/>
                <w:sz w:val="22"/>
                <w:szCs w:val="22"/>
              </w:rPr>
              <w:t xml:space="preserve">1.0514 </w:t>
            </w:r>
          </w:p>
        </w:tc>
        <w:tc>
          <w:tcPr>
            <w:tcW w:w="1384" w:type="pct"/>
            <w:shd w:val="clear" w:color="auto" w:fill="auto"/>
            <w:vAlign w:val="center"/>
          </w:tcPr>
          <w:p w14:paraId="572E4483">
            <w:pPr>
              <w:widowControl/>
              <w:jc w:val="center"/>
              <w:rPr>
                <w:color w:val="000000"/>
                <w:kern w:val="0"/>
                <w:sz w:val="22"/>
                <w:szCs w:val="22"/>
              </w:rPr>
            </w:pPr>
            <w:r>
              <w:rPr>
                <w:color w:val="000000"/>
                <w:kern w:val="0"/>
                <w:sz w:val="22"/>
                <w:szCs w:val="22"/>
              </w:rPr>
              <w:t xml:space="preserve">1.0474 </w:t>
            </w:r>
          </w:p>
        </w:tc>
      </w:tr>
      <w:tr w14:paraId="1909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41B4C840">
            <w:pPr>
              <w:widowControl/>
              <w:jc w:val="center"/>
              <w:rPr>
                <w:color w:val="000000"/>
                <w:kern w:val="0"/>
                <w:sz w:val="22"/>
                <w:szCs w:val="22"/>
              </w:rPr>
            </w:pPr>
            <w:r>
              <w:rPr>
                <w:color w:val="000000"/>
                <w:kern w:val="0"/>
                <w:sz w:val="22"/>
                <w:szCs w:val="22"/>
              </w:rPr>
              <w:t>50</w:t>
            </w:r>
          </w:p>
        </w:tc>
        <w:tc>
          <w:tcPr>
            <w:tcW w:w="1572" w:type="pct"/>
            <w:gridSpan w:val="2"/>
            <w:shd w:val="clear" w:color="auto" w:fill="auto"/>
            <w:vAlign w:val="center"/>
          </w:tcPr>
          <w:p w14:paraId="4F732706">
            <w:pPr>
              <w:widowControl/>
              <w:jc w:val="center"/>
              <w:rPr>
                <w:color w:val="000000"/>
                <w:kern w:val="0"/>
                <w:sz w:val="22"/>
                <w:szCs w:val="22"/>
              </w:rPr>
            </w:pPr>
            <w:r>
              <w:rPr>
                <w:color w:val="000000"/>
                <w:kern w:val="0"/>
                <w:sz w:val="22"/>
                <w:szCs w:val="22"/>
              </w:rPr>
              <w:t xml:space="preserve">1.0099 </w:t>
            </w:r>
          </w:p>
        </w:tc>
        <w:tc>
          <w:tcPr>
            <w:tcW w:w="1384" w:type="pct"/>
            <w:shd w:val="clear" w:color="auto" w:fill="auto"/>
            <w:vAlign w:val="center"/>
          </w:tcPr>
          <w:p w14:paraId="0FAD00FA">
            <w:pPr>
              <w:widowControl/>
              <w:jc w:val="center"/>
              <w:rPr>
                <w:color w:val="000000"/>
                <w:kern w:val="0"/>
                <w:sz w:val="22"/>
                <w:szCs w:val="22"/>
              </w:rPr>
            </w:pPr>
            <w:r>
              <w:rPr>
                <w:color w:val="000000"/>
                <w:kern w:val="0"/>
                <w:sz w:val="22"/>
                <w:szCs w:val="22"/>
              </w:rPr>
              <w:t xml:space="preserve">1.0053 </w:t>
            </w:r>
          </w:p>
        </w:tc>
      </w:tr>
      <w:tr w14:paraId="7EC3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44" w:type="pct"/>
            <w:shd w:val="clear" w:color="auto" w:fill="auto"/>
            <w:vAlign w:val="center"/>
          </w:tcPr>
          <w:p w14:paraId="1BE4E33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工频磁场最大值</w:t>
            </w:r>
          </w:p>
        </w:tc>
        <w:tc>
          <w:tcPr>
            <w:tcW w:w="1572" w:type="pct"/>
            <w:gridSpan w:val="2"/>
            <w:shd w:val="clear" w:color="auto" w:fill="auto"/>
            <w:vAlign w:val="center"/>
          </w:tcPr>
          <w:p w14:paraId="36EE32FD">
            <w:pPr>
              <w:widowControl/>
              <w:jc w:val="center"/>
              <w:rPr>
                <w:b/>
                <w:bCs/>
                <w:color w:val="000000"/>
                <w:kern w:val="0"/>
                <w:sz w:val="22"/>
                <w:szCs w:val="22"/>
              </w:rPr>
            </w:pPr>
            <w:r>
              <w:rPr>
                <w:b/>
                <w:bCs/>
                <w:color w:val="000000"/>
                <w:kern w:val="0"/>
                <w:sz w:val="22"/>
                <w:szCs w:val="22"/>
              </w:rPr>
              <w:t xml:space="preserve">48.29 </w:t>
            </w:r>
          </w:p>
        </w:tc>
        <w:tc>
          <w:tcPr>
            <w:tcW w:w="1384" w:type="pct"/>
            <w:shd w:val="clear" w:color="auto" w:fill="auto"/>
            <w:vAlign w:val="center"/>
          </w:tcPr>
          <w:p w14:paraId="6B26E49B">
            <w:pPr>
              <w:widowControl/>
              <w:jc w:val="center"/>
              <w:rPr>
                <w:b/>
                <w:bCs/>
                <w:color w:val="000000"/>
                <w:kern w:val="0"/>
                <w:sz w:val="22"/>
                <w:szCs w:val="22"/>
              </w:rPr>
            </w:pPr>
            <w:r>
              <w:rPr>
                <w:b/>
                <w:bCs/>
                <w:color w:val="000000"/>
                <w:kern w:val="0"/>
                <w:sz w:val="22"/>
                <w:szCs w:val="22"/>
              </w:rPr>
              <w:t xml:space="preserve">38.96 </w:t>
            </w:r>
          </w:p>
        </w:tc>
      </w:tr>
    </w:tbl>
    <w:p w14:paraId="2C8E45D3">
      <w:pPr>
        <w:spacing w:line="360" w:lineRule="auto"/>
        <w:ind w:firstLine="480" w:firstLineChars="200"/>
        <w:rPr>
          <w:sz w:val="24"/>
        </w:rPr>
      </w:pPr>
      <w:r>
        <w:rPr>
          <w:sz w:val="24"/>
        </w:rPr>
        <w:t>从图6-3及表6-3可以看出，110kV单回输电线路通过非居民区及其附近导线最低允许高度为6m，在最不利塔型段（1B1Y6-Z2）线下距地面1.5m高处最大工频磁感应强度为48.29μT；通过居民区及其附近导线高度为7m时，线下距地1.5m高处最大工频磁感应强度38.96μT，均满足《电磁环境控制限值》（GB8702-2014）中评价标准100μT的限值要求。从衰减规律可看出，工频磁感应强度在线路中心地面投影附近出现最大值后，随着与线路中心的距离的增大，呈快速减小的趋势。</w:t>
      </w:r>
    </w:p>
    <w:p w14:paraId="5FCBB74B">
      <w:pPr>
        <w:spacing w:line="360" w:lineRule="auto"/>
        <w:ind w:firstLine="480" w:firstLineChars="200"/>
        <w:rPr>
          <w:sz w:val="24"/>
        </w:rPr>
      </w:pPr>
      <w:r>
        <w:rPr>
          <w:sz w:val="24"/>
        </w:rPr>
        <w:t>（3）预测结果</w:t>
      </w:r>
    </w:p>
    <w:p w14:paraId="390CABE3">
      <w:pPr>
        <w:spacing w:line="360" w:lineRule="auto"/>
        <w:ind w:firstLine="480" w:firstLineChars="200"/>
        <w:rPr>
          <w:sz w:val="24"/>
        </w:rPr>
      </w:pPr>
      <w:r>
        <w:rPr>
          <w:sz w:val="24"/>
        </w:rPr>
        <w:t>根据预测结果，110kV单回水平排列输电线路在最不利塔型（1B1Y6-Z2）线下，距地1.5m高处，非居民区及其附近导线最低允许高度为6m时，工频电场强度最大值为2.614kV/m（2613.955V/m），工频磁感应强度最大值为48.29μT，满足非居民区评价标准限值10kV/m及100μT的要求；</w:t>
      </w:r>
    </w:p>
    <w:p w14:paraId="362AF67C">
      <w:pPr>
        <w:spacing w:line="360" w:lineRule="auto"/>
        <w:ind w:firstLine="480" w:firstLineChars="200"/>
        <w:rPr>
          <w:sz w:val="24"/>
        </w:rPr>
      </w:pPr>
      <w:r>
        <w:rPr>
          <w:sz w:val="24"/>
        </w:rPr>
        <w:t>通过居民区及其附近导线高度为7m时，线下距地1.5m高处工频电场强度最大值为2.041kV/m（2041.2397V/m），工频磁感应强度最大值38.96μT，满足居民区评价标准限值4kV/m（4000V/m）及100μT的要求。从衰减规律可看出，工频电场强度在距离线路中心地面投影附近达到最大值后，随着与线路中心距离的增大，呈快速减小的趋势。</w:t>
      </w:r>
    </w:p>
    <w:p w14:paraId="3D17673F">
      <w:pPr>
        <w:spacing w:line="360" w:lineRule="auto"/>
        <w:ind w:firstLine="480" w:firstLineChars="200"/>
        <w:rPr>
          <w:sz w:val="24"/>
        </w:rPr>
      </w:pPr>
      <w:r>
        <w:rPr>
          <w:sz w:val="24"/>
        </w:rPr>
        <w:t>因此，本项目110kV单回输电线路工频磁感应强度及工频电场强度不会成为本线路工程建设的环境制约因素。</w:t>
      </w:r>
    </w:p>
    <w:p w14:paraId="11E60284">
      <w:pPr>
        <w:pStyle w:val="168"/>
        <w:spacing w:before="20" w:after="20" w:line="360" w:lineRule="auto"/>
        <w:outlineLvl w:val="9"/>
        <w:rPr>
          <w:rFonts w:eastAsia="宋体"/>
          <w:b/>
        </w:rPr>
      </w:pPr>
      <w:bookmarkStart w:id="350" w:name="_Toc227764371"/>
      <w:r>
        <w:rPr>
          <w:rFonts w:eastAsia="宋体"/>
          <w:b/>
        </w:rPr>
        <w:t>6.2线路对交叉跨越物的影响分析</w:t>
      </w:r>
      <w:bookmarkEnd w:id="350"/>
    </w:p>
    <w:p w14:paraId="6FCC08FE">
      <w:pPr>
        <w:snapToGrid w:val="0"/>
        <w:spacing w:line="360" w:lineRule="auto"/>
        <w:ind w:firstLine="480" w:firstLineChars="200"/>
        <w:rPr>
          <w:bCs/>
          <w:sz w:val="24"/>
        </w:rPr>
      </w:pPr>
      <w:r>
        <w:rPr>
          <w:sz w:val="24"/>
        </w:rPr>
        <w:t>根据《云南省电力设施保护条例》、《电力设施保护条例》、《电力设施保护条例实施细则》，110kV架空线路电力线路保护区为：导线边线向外侧水平延伸10m并垂直于地面所形成的两平行面内；杆塔外缘向周围延伸10m所形成的区域、拉线基础外缘向周围延伸3m所形成的区域。架空电力线路一般不得跨越房屋。本项目电力保护范围内</w:t>
      </w:r>
      <w:r>
        <w:rPr>
          <w:rFonts w:hint="eastAsia"/>
          <w:sz w:val="24"/>
        </w:rPr>
        <w:t>无</w:t>
      </w:r>
      <w:r>
        <w:rPr>
          <w:sz w:val="24"/>
        </w:rPr>
        <w:t>居民住宅等永久性建筑物</w:t>
      </w:r>
      <w:r>
        <w:rPr>
          <w:rFonts w:hint="eastAsia"/>
          <w:sz w:val="24"/>
        </w:rPr>
        <w:t>分布</w:t>
      </w:r>
      <w:r>
        <w:rPr>
          <w:sz w:val="24"/>
        </w:rPr>
        <w:t>，满足上述条例及</w:t>
      </w:r>
      <w:r>
        <w:rPr>
          <w:rFonts w:hint="eastAsia"/>
          <w:sz w:val="24"/>
        </w:rPr>
        <w:t>其</w:t>
      </w:r>
      <w:r>
        <w:rPr>
          <w:sz w:val="24"/>
        </w:rPr>
        <w:t>实施细则的要求。本项目全线交叉跨越情况见表3-2；本</w:t>
      </w:r>
      <w:r>
        <w:rPr>
          <w:rFonts w:hint="eastAsia"/>
          <w:sz w:val="24"/>
        </w:rPr>
        <w:t>项目输电线路未</w:t>
      </w:r>
      <w:r>
        <w:rPr>
          <w:sz w:val="24"/>
        </w:rPr>
        <w:t>跨（钻）越110kV</w:t>
      </w:r>
      <w:r>
        <w:rPr>
          <w:rFonts w:hint="eastAsia"/>
          <w:sz w:val="24"/>
        </w:rPr>
        <w:t>及以上</w:t>
      </w:r>
      <w:r>
        <w:rPr>
          <w:rFonts w:hint="eastAsia"/>
          <w:bCs/>
          <w:sz w:val="24"/>
        </w:rPr>
        <w:t>输电线路，因此线路对交叉跨越物的影响较小。</w:t>
      </w:r>
    </w:p>
    <w:p w14:paraId="0181DBA2">
      <w:pPr>
        <w:pStyle w:val="168"/>
        <w:spacing w:before="20" w:after="20" w:line="360" w:lineRule="auto"/>
        <w:outlineLvl w:val="9"/>
        <w:rPr>
          <w:rFonts w:eastAsia="宋体"/>
          <w:b/>
        </w:rPr>
      </w:pPr>
      <w:bookmarkStart w:id="351" w:name="_Toc21402"/>
      <w:bookmarkStart w:id="352" w:name="_Toc12956"/>
      <w:bookmarkStart w:id="353" w:name="_Toc16542"/>
      <w:bookmarkStart w:id="354" w:name="_Toc3006"/>
      <w:bookmarkStart w:id="355" w:name="_Toc227764372"/>
      <w:bookmarkStart w:id="356" w:name="_Toc16234"/>
      <w:bookmarkStart w:id="357" w:name="_Toc12685"/>
      <w:r>
        <w:rPr>
          <w:rFonts w:eastAsia="宋体"/>
          <w:b/>
        </w:rPr>
        <w:t>6.3对居民敏感点的电磁环境影响分析</w:t>
      </w:r>
      <w:bookmarkEnd w:id="351"/>
      <w:bookmarkEnd w:id="352"/>
      <w:bookmarkEnd w:id="353"/>
      <w:bookmarkEnd w:id="354"/>
      <w:bookmarkEnd w:id="355"/>
      <w:bookmarkEnd w:id="356"/>
      <w:bookmarkEnd w:id="357"/>
    </w:p>
    <w:p w14:paraId="6DD383EE">
      <w:pPr>
        <w:spacing w:line="360" w:lineRule="auto"/>
        <w:ind w:firstLine="480" w:firstLineChars="200"/>
        <w:rPr>
          <w:sz w:val="24"/>
        </w:rPr>
      </w:pPr>
      <w:r>
        <w:rPr>
          <w:sz w:val="24"/>
        </w:rPr>
        <w:t>根据项目输电线路路径走向设计及现场调查，本工程线路无包夹环境敏感目标的情况，项目输电线路边导线地面投影外两侧各30m的电磁环境评价范围内</w:t>
      </w:r>
      <w:r>
        <w:rPr>
          <w:rFonts w:hint="eastAsia"/>
          <w:sz w:val="24"/>
        </w:rPr>
        <w:t>分布有一处环境保护目标，为S204公路路侧民房，在N7塔基东南侧约1</w:t>
      </w:r>
      <w:r>
        <w:rPr>
          <w:sz w:val="24"/>
        </w:rPr>
        <w:t>00</w:t>
      </w:r>
      <w:r>
        <w:rPr>
          <w:rFonts w:hint="eastAsia"/>
          <w:sz w:val="24"/>
        </w:rPr>
        <w:t>m处，其距线路中心约37m，距边导线约3</w:t>
      </w:r>
      <w:r>
        <w:rPr>
          <w:sz w:val="24"/>
        </w:rPr>
        <w:t>0</w:t>
      </w:r>
      <w:r>
        <w:rPr>
          <w:rFonts w:hint="eastAsia"/>
          <w:sz w:val="24"/>
        </w:rPr>
        <w:t>m</w:t>
      </w:r>
      <w:r>
        <w:rPr>
          <w:sz w:val="24"/>
        </w:rPr>
        <w:t>。</w:t>
      </w:r>
    </w:p>
    <w:p w14:paraId="66793680">
      <w:pPr>
        <w:spacing w:line="360" w:lineRule="auto"/>
        <w:ind w:firstLine="480" w:firstLineChars="200"/>
        <w:rPr>
          <w:sz w:val="24"/>
        </w:rPr>
      </w:pPr>
      <w:r>
        <w:rPr>
          <w:sz w:val="24"/>
        </w:rPr>
        <w:t>本工程沿线环境保护目标的电场强度、磁感应强度分别取项目输电线路最不利塔型相应距离处电场强度、磁感应强度预测值；具体数值及预测结果见表6-4。</w:t>
      </w:r>
    </w:p>
    <w:p w14:paraId="532CA73D">
      <w:pPr>
        <w:spacing w:line="360" w:lineRule="auto"/>
        <w:jc w:val="center"/>
        <w:rPr>
          <w:rFonts w:eastAsia="黑体"/>
          <w:bCs/>
          <w:sz w:val="24"/>
        </w:rPr>
      </w:pPr>
      <w:r>
        <w:rPr>
          <w:rFonts w:eastAsia="黑体"/>
          <w:bCs/>
          <w:sz w:val="24"/>
        </w:rPr>
        <w:t>表6-4  环境保护目标的电磁环境影响预测结果表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72"/>
        <w:gridCol w:w="434"/>
        <w:gridCol w:w="405"/>
        <w:gridCol w:w="574"/>
        <w:gridCol w:w="505"/>
        <w:gridCol w:w="989"/>
        <w:gridCol w:w="879"/>
        <w:gridCol w:w="989"/>
        <w:gridCol w:w="879"/>
        <w:gridCol w:w="990"/>
        <w:gridCol w:w="880"/>
      </w:tblGrid>
      <w:tr w14:paraId="7977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0" w:type="auto"/>
            <w:vMerge w:val="restart"/>
            <w:vAlign w:val="center"/>
          </w:tcPr>
          <w:p w14:paraId="326838D6">
            <w:pPr>
              <w:jc w:val="center"/>
              <w:rPr>
                <w:color w:val="000000"/>
              </w:rPr>
            </w:pPr>
            <w:r>
              <w:rPr>
                <w:color w:val="000000"/>
              </w:rPr>
              <w:t>环境保护目</w:t>
            </w:r>
            <w:r>
              <w:rPr>
                <w:rFonts w:hint="eastAsia"/>
                <w:color w:val="000000"/>
              </w:rPr>
              <w:t>名称</w:t>
            </w:r>
          </w:p>
        </w:tc>
        <w:tc>
          <w:tcPr>
            <w:tcW w:w="0" w:type="auto"/>
            <w:vMerge w:val="restart"/>
            <w:vAlign w:val="center"/>
          </w:tcPr>
          <w:p w14:paraId="63594647">
            <w:pPr>
              <w:jc w:val="center"/>
              <w:rPr>
                <w:color w:val="000000"/>
              </w:rPr>
            </w:pPr>
            <w:r>
              <w:rPr>
                <w:rFonts w:hint="eastAsia"/>
                <w:color w:val="000000"/>
              </w:rPr>
              <w:t>导线对地高度</w:t>
            </w:r>
          </w:p>
        </w:tc>
        <w:tc>
          <w:tcPr>
            <w:tcW w:w="0" w:type="auto"/>
            <w:vMerge w:val="restart"/>
            <w:vAlign w:val="center"/>
          </w:tcPr>
          <w:p w14:paraId="72E9F824">
            <w:pPr>
              <w:jc w:val="center"/>
              <w:rPr>
                <w:color w:val="000000"/>
              </w:rPr>
            </w:pPr>
            <w:r>
              <w:rPr>
                <w:rFonts w:hint="eastAsia"/>
                <w:color w:val="000000"/>
              </w:rPr>
              <w:t>建筑特点及高度</w:t>
            </w:r>
          </w:p>
        </w:tc>
        <w:tc>
          <w:tcPr>
            <w:tcW w:w="0" w:type="auto"/>
            <w:vMerge w:val="restart"/>
            <w:vAlign w:val="center"/>
          </w:tcPr>
          <w:p w14:paraId="14E181EE">
            <w:pPr>
              <w:jc w:val="center"/>
              <w:rPr>
                <w:color w:val="000000"/>
              </w:rPr>
            </w:pPr>
            <w:r>
              <w:rPr>
                <w:rFonts w:hint="eastAsia"/>
                <w:color w:val="000000"/>
              </w:rPr>
              <w:t>距边导线</w:t>
            </w:r>
            <w:r>
              <w:rPr>
                <w:color w:val="000000"/>
              </w:rPr>
              <w:t>最近距离</w:t>
            </w:r>
          </w:p>
        </w:tc>
        <w:tc>
          <w:tcPr>
            <w:tcW w:w="0" w:type="auto"/>
            <w:vMerge w:val="restart"/>
            <w:vAlign w:val="center"/>
          </w:tcPr>
          <w:p w14:paraId="2A423CE3">
            <w:pPr>
              <w:jc w:val="center"/>
              <w:rPr>
                <w:color w:val="000000"/>
              </w:rPr>
            </w:pPr>
            <w:r>
              <w:rPr>
                <w:rFonts w:hint="eastAsia"/>
                <w:color w:val="000000"/>
              </w:rPr>
              <w:t>预测</w:t>
            </w:r>
          </w:p>
          <w:p w14:paraId="4A26977F">
            <w:pPr>
              <w:jc w:val="center"/>
              <w:rPr>
                <w:color w:val="000000"/>
              </w:rPr>
            </w:pPr>
            <w:r>
              <w:rPr>
                <w:rFonts w:hint="eastAsia"/>
                <w:color w:val="000000"/>
              </w:rPr>
              <w:t>点高度</w:t>
            </w:r>
          </w:p>
        </w:tc>
        <w:tc>
          <w:tcPr>
            <w:tcW w:w="0" w:type="auto"/>
            <w:gridSpan w:val="2"/>
            <w:vAlign w:val="center"/>
          </w:tcPr>
          <w:p w14:paraId="458EC478">
            <w:pPr>
              <w:jc w:val="center"/>
              <w:rPr>
                <w:color w:val="000000"/>
              </w:rPr>
            </w:pPr>
            <w:r>
              <w:rPr>
                <w:color w:val="000000"/>
              </w:rPr>
              <w:t>现状监测值</w:t>
            </w:r>
          </w:p>
        </w:tc>
        <w:tc>
          <w:tcPr>
            <w:tcW w:w="0" w:type="auto"/>
            <w:gridSpan w:val="2"/>
            <w:vAlign w:val="center"/>
          </w:tcPr>
          <w:p w14:paraId="11140790">
            <w:pPr>
              <w:jc w:val="center"/>
              <w:rPr>
                <w:color w:val="000000"/>
              </w:rPr>
            </w:pPr>
            <w:r>
              <w:rPr>
                <w:color w:val="000000"/>
              </w:rPr>
              <w:t>输电线路预测值</w:t>
            </w:r>
          </w:p>
        </w:tc>
        <w:tc>
          <w:tcPr>
            <w:tcW w:w="0" w:type="auto"/>
            <w:gridSpan w:val="2"/>
            <w:vAlign w:val="center"/>
          </w:tcPr>
          <w:p w14:paraId="4872DC3B">
            <w:pPr>
              <w:jc w:val="center"/>
              <w:rPr>
                <w:color w:val="000000"/>
              </w:rPr>
            </w:pPr>
            <w:r>
              <w:rPr>
                <w:color w:val="000000"/>
              </w:rPr>
              <w:t>对保护目标的影响</w:t>
            </w:r>
          </w:p>
        </w:tc>
      </w:tr>
      <w:tr w14:paraId="654F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2" w:hRule="atLeast"/>
          <w:jc w:val="center"/>
        </w:trPr>
        <w:tc>
          <w:tcPr>
            <w:tcW w:w="0" w:type="auto"/>
            <w:vMerge w:val="continue"/>
            <w:vAlign w:val="center"/>
          </w:tcPr>
          <w:p w14:paraId="7AF94DB2">
            <w:pPr>
              <w:jc w:val="center"/>
              <w:rPr>
                <w:color w:val="000000"/>
              </w:rPr>
            </w:pPr>
          </w:p>
        </w:tc>
        <w:tc>
          <w:tcPr>
            <w:tcW w:w="0" w:type="auto"/>
            <w:vMerge w:val="continue"/>
            <w:vAlign w:val="center"/>
          </w:tcPr>
          <w:p w14:paraId="4926A32B">
            <w:pPr>
              <w:jc w:val="center"/>
              <w:rPr>
                <w:color w:val="000000"/>
              </w:rPr>
            </w:pPr>
          </w:p>
        </w:tc>
        <w:tc>
          <w:tcPr>
            <w:tcW w:w="0" w:type="auto"/>
            <w:vMerge w:val="continue"/>
            <w:vAlign w:val="center"/>
          </w:tcPr>
          <w:p w14:paraId="6A4E8C0C">
            <w:pPr>
              <w:jc w:val="center"/>
              <w:rPr>
                <w:color w:val="000000"/>
              </w:rPr>
            </w:pPr>
          </w:p>
        </w:tc>
        <w:tc>
          <w:tcPr>
            <w:tcW w:w="0" w:type="auto"/>
            <w:vMerge w:val="continue"/>
            <w:vAlign w:val="center"/>
          </w:tcPr>
          <w:p w14:paraId="625FA9FC">
            <w:pPr>
              <w:jc w:val="center"/>
              <w:rPr>
                <w:color w:val="000000"/>
              </w:rPr>
            </w:pPr>
          </w:p>
        </w:tc>
        <w:tc>
          <w:tcPr>
            <w:tcW w:w="0" w:type="auto"/>
            <w:vMerge w:val="continue"/>
            <w:vAlign w:val="center"/>
          </w:tcPr>
          <w:p w14:paraId="0B090B88">
            <w:pPr>
              <w:jc w:val="center"/>
              <w:rPr>
                <w:color w:val="000000"/>
              </w:rPr>
            </w:pPr>
          </w:p>
        </w:tc>
        <w:tc>
          <w:tcPr>
            <w:tcW w:w="0" w:type="auto"/>
            <w:vAlign w:val="center"/>
          </w:tcPr>
          <w:p w14:paraId="750C11DB">
            <w:pPr>
              <w:jc w:val="center"/>
              <w:rPr>
                <w:color w:val="000000"/>
              </w:rPr>
            </w:pPr>
            <w:r>
              <w:rPr>
                <w:color w:val="000000"/>
              </w:rPr>
              <w:t>工频电场强度（V/m）</w:t>
            </w:r>
          </w:p>
        </w:tc>
        <w:tc>
          <w:tcPr>
            <w:tcW w:w="0" w:type="auto"/>
            <w:vAlign w:val="center"/>
          </w:tcPr>
          <w:p w14:paraId="6B15FA43">
            <w:pPr>
              <w:jc w:val="center"/>
              <w:rPr>
                <w:color w:val="000000"/>
              </w:rPr>
            </w:pPr>
            <w:r>
              <w:rPr>
                <w:color w:val="000000"/>
              </w:rPr>
              <w:t>工频磁感应强度（μT）</w:t>
            </w:r>
          </w:p>
        </w:tc>
        <w:tc>
          <w:tcPr>
            <w:tcW w:w="0" w:type="auto"/>
            <w:vAlign w:val="center"/>
          </w:tcPr>
          <w:p w14:paraId="452ED859">
            <w:pPr>
              <w:jc w:val="center"/>
              <w:rPr>
                <w:color w:val="000000"/>
              </w:rPr>
            </w:pPr>
            <w:r>
              <w:rPr>
                <w:color w:val="000000"/>
              </w:rPr>
              <w:t>工频电场强度（V/m）</w:t>
            </w:r>
          </w:p>
        </w:tc>
        <w:tc>
          <w:tcPr>
            <w:tcW w:w="0" w:type="auto"/>
            <w:vAlign w:val="center"/>
          </w:tcPr>
          <w:p w14:paraId="312E997D">
            <w:pPr>
              <w:jc w:val="center"/>
              <w:rPr>
                <w:color w:val="000000"/>
              </w:rPr>
            </w:pPr>
            <w:r>
              <w:rPr>
                <w:color w:val="000000"/>
              </w:rPr>
              <w:t>工频磁感应强度（μT）</w:t>
            </w:r>
          </w:p>
        </w:tc>
        <w:tc>
          <w:tcPr>
            <w:tcW w:w="0" w:type="auto"/>
            <w:vAlign w:val="center"/>
          </w:tcPr>
          <w:p w14:paraId="63C30B01">
            <w:pPr>
              <w:jc w:val="center"/>
              <w:rPr>
                <w:color w:val="000000"/>
              </w:rPr>
            </w:pPr>
            <w:r>
              <w:rPr>
                <w:color w:val="000000"/>
              </w:rPr>
              <w:t>工频电场强度（V/m）</w:t>
            </w:r>
          </w:p>
        </w:tc>
        <w:tc>
          <w:tcPr>
            <w:tcW w:w="0" w:type="auto"/>
            <w:vAlign w:val="center"/>
          </w:tcPr>
          <w:p w14:paraId="4C8A00DA">
            <w:pPr>
              <w:jc w:val="center"/>
              <w:rPr>
                <w:color w:val="000000"/>
              </w:rPr>
            </w:pPr>
            <w:r>
              <w:rPr>
                <w:color w:val="000000"/>
              </w:rPr>
              <w:t>工频磁感应强度（μT）</w:t>
            </w:r>
          </w:p>
        </w:tc>
      </w:tr>
      <w:tr w14:paraId="2AC5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6" w:hRule="atLeast"/>
          <w:jc w:val="center"/>
        </w:trPr>
        <w:tc>
          <w:tcPr>
            <w:tcW w:w="0" w:type="auto"/>
            <w:vMerge w:val="restart"/>
            <w:vAlign w:val="center"/>
          </w:tcPr>
          <w:p w14:paraId="0479F99F">
            <w:pPr>
              <w:widowControl/>
              <w:jc w:val="center"/>
              <w:textAlignment w:val="center"/>
              <w:rPr>
                <w:iCs/>
                <w:color w:val="000000"/>
                <w:kern w:val="0"/>
              </w:rPr>
            </w:pPr>
            <w:r>
              <w:rPr>
                <w:color w:val="000000"/>
                <w:kern w:val="0"/>
                <w:lang w:bidi="ar"/>
              </w:rPr>
              <w:t>S204</w:t>
            </w:r>
            <w:r>
              <w:rPr>
                <w:rFonts w:hint="eastAsia"/>
                <w:color w:val="000000"/>
                <w:kern w:val="0"/>
                <w:lang w:bidi="ar"/>
              </w:rPr>
              <w:t>公路路侧民房（无人居住）</w:t>
            </w:r>
          </w:p>
        </w:tc>
        <w:tc>
          <w:tcPr>
            <w:tcW w:w="0" w:type="auto"/>
            <w:vMerge w:val="restart"/>
            <w:vAlign w:val="center"/>
          </w:tcPr>
          <w:p w14:paraId="566A023C">
            <w:pPr>
              <w:widowControl/>
              <w:jc w:val="center"/>
              <w:textAlignment w:val="center"/>
            </w:pPr>
            <w:r>
              <w:rPr>
                <w:iCs/>
                <w:color w:val="000000"/>
                <w:kern w:val="0"/>
              </w:rPr>
              <w:t>7</w:t>
            </w:r>
            <w:r>
              <w:rPr>
                <w:rFonts w:hint="eastAsia"/>
                <w:iCs/>
                <w:color w:val="000000"/>
                <w:kern w:val="0"/>
              </w:rPr>
              <w:t>m</w:t>
            </w:r>
          </w:p>
        </w:tc>
        <w:tc>
          <w:tcPr>
            <w:tcW w:w="0" w:type="auto"/>
            <w:vMerge w:val="restart"/>
            <w:vAlign w:val="center"/>
          </w:tcPr>
          <w:p w14:paraId="3BE48E7B">
            <w:pPr>
              <w:widowControl/>
              <w:jc w:val="center"/>
              <w:textAlignment w:val="center"/>
              <w:rPr>
                <w:iCs/>
                <w:color w:val="000000"/>
                <w:kern w:val="0"/>
              </w:rPr>
            </w:pPr>
            <w:r>
              <w:rPr>
                <w:rFonts w:hint="eastAsia"/>
                <w:iCs/>
                <w:color w:val="000000"/>
                <w:kern w:val="0"/>
              </w:rPr>
              <w:t>3</w:t>
            </w:r>
            <w:r>
              <w:rPr>
                <w:iCs/>
                <w:color w:val="000000"/>
                <w:kern w:val="0"/>
              </w:rPr>
              <w:t>层</w:t>
            </w:r>
            <w:r>
              <w:rPr>
                <w:rFonts w:hint="eastAsia"/>
                <w:iCs/>
                <w:color w:val="000000"/>
                <w:kern w:val="0"/>
              </w:rPr>
              <w:t>平顶</w:t>
            </w:r>
          </w:p>
        </w:tc>
        <w:tc>
          <w:tcPr>
            <w:tcW w:w="0" w:type="auto"/>
            <w:vMerge w:val="restart"/>
            <w:vAlign w:val="center"/>
          </w:tcPr>
          <w:p w14:paraId="4A3AD54E">
            <w:pPr>
              <w:widowControl/>
              <w:jc w:val="center"/>
              <w:textAlignment w:val="center"/>
              <w:rPr>
                <w:iCs/>
                <w:color w:val="000000"/>
                <w:kern w:val="0"/>
              </w:rPr>
            </w:pPr>
            <w:r>
              <w:rPr>
                <w:iCs/>
                <w:color w:val="000000"/>
                <w:kern w:val="0"/>
              </w:rPr>
              <w:t>30</w:t>
            </w:r>
            <w:r>
              <w:rPr>
                <w:rFonts w:hint="eastAsia"/>
                <w:iCs/>
                <w:color w:val="000000"/>
                <w:kern w:val="0"/>
              </w:rPr>
              <w:t>m</w:t>
            </w:r>
          </w:p>
        </w:tc>
        <w:tc>
          <w:tcPr>
            <w:tcW w:w="0" w:type="auto"/>
            <w:vAlign w:val="center"/>
          </w:tcPr>
          <w:p w14:paraId="4E15FC42">
            <w:pPr>
              <w:widowControl/>
              <w:jc w:val="center"/>
              <w:textAlignment w:val="center"/>
              <w:rPr>
                <w:iCs/>
                <w:color w:val="000000"/>
                <w:kern w:val="0"/>
              </w:rPr>
            </w:pPr>
            <w:r>
              <w:rPr>
                <w:iCs/>
                <w:color w:val="000000"/>
                <w:kern w:val="0"/>
              </w:rPr>
              <w:t>1.5m</w:t>
            </w:r>
          </w:p>
        </w:tc>
        <w:tc>
          <w:tcPr>
            <w:tcW w:w="0" w:type="auto"/>
            <w:vMerge w:val="restart"/>
            <w:vAlign w:val="center"/>
          </w:tcPr>
          <w:p w14:paraId="3C7B5189">
            <w:pPr>
              <w:widowControl/>
              <w:jc w:val="center"/>
              <w:textAlignment w:val="center"/>
              <w:rPr>
                <w:iCs/>
                <w:color w:val="000000"/>
                <w:kern w:val="0"/>
              </w:rPr>
            </w:pPr>
            <w:r>
              <w:rPr>
                <w:iCs/>
                <w:color w:val="000000"/>
                <w:kern w:val="0"/>
              </w:rPr>
              <w:t>0.694</w:t>
            </w:r>
          </w:p>
        </w:tc>
        <w:tc>
          <w:tcPr>
            <w:tcW w:w="0" w:type="auto"/>
            <w:vMerge w:val="restart"/>
            <w:vAlign w:val="center"/>
          </w:tcPr>
          <w:p w14:paraId="61F3BB46">
            <w:pPr>
              <w:widowControl/>
              <w:jc w:val="center"/>
              <w:textAlignment w:val="center"/>
              <w:rPr>
                <w:iCs/>
                <w:color w:val="000000"/>
                <w:kern w:val="0"/>
              </w:rPr>
            </w:pPr>
            <w:r>
              <w:rPr>
                <w:iCs/>
                <w:color w:val="000000"/>
                <w:kern w:val="0"/>
              </w:rPr>
              <w:t>0.019</w:t>
            </w:r>
          </w:p>
        </w:tc>
        <w:tc>
          <w:tcPr>
            <w:tcW w:w="0" w:type="auto"/>
            <w:noWrap/>
            <w:vAlign w:val="center"/>
          </w:tcPr>
          <w:p w14:paraId="5E6469B5">
            <w:pPr>
              <w:widowControl/>
              <w:jc w:val="center"/>
              <w:textAlignment w:val="center"/>
              <w:rPr>
                <w:iCs/>
                <w:color w:val="000000"/>
                <w:kern w:val="0"/>
              </w:rPr>
            </w:pPr>
            <w:r>
              <w:rPr>
                <w:iCs/>
                <w:color w:val="000000"/>
                <w:kern w:val="0"/>
              </w:rPr>
              <w:t>63.7317</w:t>
            </w:r>
          </w:p>
        </w:tc>
        <w:tc>
          <w:tcPr>
            <w:tcW w:w="0" w:type="auto"/>
            <w:noWrap/>
            <w:vAlign w:val="center"/>
          </w:tcPr>
          <w:p w14:paraId="4D383991">
            <w:pPr>
              <w:widowControl/>
              <w:jc w:val="center"/>
              <w:textAlignment w:val="center"/>
              <w:rPr>
                <w:iCs/>
                <w:color w:val="000000"/>
                <w:kern w:val="0"/>
              </w:rPr>
            </w:pPr>
            <w:r>
              <w:rPr>
                <w:iCs/>
                <w:color w:val="000000"/>
                <w:kern w:val="0"/>
              </w:rPr>
              <w:t>1.8498</w:t>
            </w:r>
          </w:p>
        </w:tc>
        <w:tc>
          <w:tcPr>
            <w:tcW w:w="0" w:type="auto"/>
            <w:tcBorders>
              <w:top w:val="nil"/>
              <w:left w:val="nil"/>
              <w:bottom w:val="single" w:color="auto" w:sz="8" w:space="0"/>
              <w:right w:val="single" w:color="auto" w:sz="8" w:space="0"/>
            </w:tcBorders>
            <w:shd w:val="clear" w:color="auto" w:fill="auto"/>
            <w:noWrap/>
            <w:vAlign w:val="center"/>
          </w:tcPr>
          <w:p w14:paraId="01055056">
            <w:pPr>
              <w:widowControl/>
              <w:jc w:val="center"/>
              <w:textAlignment w:val="center"/>
              <w:rPr>
                <w:iCs/>
                <w:color w:val="000000"/>
                <w:kern w:val="0"/>
              </w:rPr>
            </w:pPr>
            <w:r>
              <w:rPr>
                <w:rFonts w:eastAsia="等线"/>
                <w:color w:val="000000"/>
              </w:rPr>
              <w:t>64.4257</w:t>
            </w:r>
          </w:p>
        </w:tc>
        <w:tc>
          <w:tcPr>
            <w:tcW w:w="0" w:type="auto"/>
            <w:tcBorders>
              <w:top w:val="nil"/>
              <w:left w:val="nil"/>
              <w:bottom w:val="single" w:color="auto" w:sz="8" w:space="0"/>
              <w:right w:val="single" w:color="auto" w:sz="8" w:space="0"/>
            </w:tcBorders>
            <w:shd w:val="clear" w:color="auto" w:fill="auto"/>
            <w:noWrap/>
            <w:vAlign w:val="center"/>
          </w:tcPr>
          <w:p w14:paraId="43E7B2DB">
            <w:pPr>
              <w:widowControl/>
              <w:jc w:val="center"/>
              <w:textAlignment w:val="center"/>
              <w:rPr>
                <w:iCs/>
                <w:color w:val="000000"/>
                <w:kern w:val="0"/>
              </w:rPr>
            </w:pPr>
            <w:r>
              <w:rPr>
                <w:rFonts w:eastAsia="等线"/>
                <w:color w:val="000000"/>
              </w:rPr>
              <w:t>1.8688</w:t>
            </w:r>
          </w:p>
        </w:tc>
      </w:tr>
      <w:tr w14:paraId="0BC3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6" w:hRule="atLeast"/>
          <w:jc w:val="center"/>
        </w:trPr>
        <w:tc>
          <w:tcPr>
            <w:tcW w:w="0" w:type="auto"/>
            <w:vMerge w:val="continue"/>
            <w:vAlign w:val="center"/>
          </w:tcPr>
          <w:p w14:paraId="70A35917">
            <w:pPr>
              <w:widowControl/>
              <w:jc w:val="center"/>
              <w:textAlignment w:val="center"/>
              <w:rPr>
                <w:color w:val="000000"/>
                <w:kern w:val="0"/>
                <w:lang w:bidi="ar"/>
              </w:rPr>
            </w:pPr>
          </w:p>
        </w:tc>
        <w:tc>
          <w:tcPr>
            <w:tcW w:w="0" w:type="auto"/>
            <w:vMerge w:val="continue"/>
            <w:vAlign w:val="center"/>
          </w:tcPr>
          <w:p w14:paraId="459DCA41">
            <w:pPr>
              <w:widowControl/>
              <w:jc w:val="center"/>
              <w:textAlignment w:val="center"/>
              <w:rPr>
                <w:iCs/>
                <w:color w:val="000000"/>
                <w:kern w:val="0"/>
              </w:rPr>
            </w:pPr>
          </w:p>
        </w:tc>
        <w:tc>
          <w:tcPr>
            <w:tcW w:w="0" w:type="auto"/>
            <w:vMerge w:val="continue"/>
            <w:vAlign w:val="center"/>
          </w:tcPr>
          <w:p w14:paraId="5165060A">
            <w:pPr>
              <w:widowControl/>
              <w:jc w:val="center"/>
              <w:textAlignment w:val="center"/>
              <w:rPr>
                <w:iCs/>
                <w:color w:val="000000"/>
                <w:kern w:val="0"/>
              </w:rPr>
            </w:pPr>
          </w:p>
        </w:tc>
        <w:tc>
          <w:tcPr>
            <w:tcW w:w="0" w:type="auto"/>
            <w:vMerge w:val="continue"/>
            <w:vAlign w:val="center"/>
          </w:tcPr>
          <w:p w14:paraId="2BA59316">
            <w:pPr>
              <w:widowControl/>
              <w:jc w:val="center"/>
              <w:textAlignment w:val="center"/>
              <w:rPr>
                <w:iCs/>
                <w:color w:val="000000"/>
                <w:kern w:val="0"/>
              </w:rPr>
            </w:pPr>
          </w:p>
        </w:tc>
        <w:tc>
          <w:tcPr>
            <w:tcW w:w="0" w:type="auto"/>
            <w:vAlign w:val="center"/>
          </w:tcPr>
          <w:p w14:paraId="0A088A96">
            <w:pPr>
              <w:widowControl/>
              <w:jc w:val="center"/>
              <w:textAlignment w:val="center"/>
              <w:rPr>
                <w:iCs/>
                <w:color w:val="000000"/>
                <w:kern w:val="0"/>
              </w:rPr>
            </w:pPr>
            <w:r>
              <w:rPr>
                <w:rFonts w:hint="eastAsia"/>
                <w:iCs/>
                <w:color w:val="000000"/>
                <w:kern w:val="0"/>
              </w:rPr>
              <w:t>4.5m</w:t>
            </w:r>
          </w:p>
        </w:tc>
        <w:tc>
          <w:tcPr>
            <w:tcW w:w="0" w:type="auto"/>
            <w:vMerge w:val="continue"/>
            <w:vAlign w:val="center"/>
          </w:tcPr>
          <w:p w14:paraId="04B95CEF">
            <w:pPr>
              <w:widowControl/>
              <w:jc w:val="center"/>
              <w:textAlignment w:val="center"/>
              <w:rPr>
                <w:iCs/>
                <w:color w:val="000000"/>
                <w:kern w:val="0"/>
              </w:rPr>
            </w:pPr>
          </w:p>
        </w:tc>
        <w:tc>
          <w:tcPr>
            <w:tcW w:w="0" w:type="auto"/>
            <w:vMerge w:val="continue"/>
            <w:vAlign w:val="center"/>
          </w:tcPr>
          <w:p w14:paraId="562EF864">
            <w:pPr>
              <w:widowControl/>
              <w:jc w:val="center"/>
              <w:textAlignment w:val="center"/>
              <w:rPr>
                <w:iCs/>
                <w:color w:val="000000"/>
                <w:kern w:val="0"/>
              </w:rPr>
            </w:pPr>
          </w:p>
        </w:tc>
        <w:tc>
          <w:tcPr>
            <w:tcW w:w="0" w:type="auto"/>
            <w:noWrap/>
            <w:vAlign w:val="center"/>
          </w:tcPr>
          <w:p w14:paraId="62FBFDAD">
            <w:pPr>
              <w:widowControl/>
              <w:jc w:val="center"/>
              <w:textAlignment w:val="center"/>
              <w:rPr>
                <w:iCs/>
                <w:color w:val="000000"/>
                <w:kern w:val="0"/>
              </w:rPr>
            </w:pPr>
            <w:r>
              <w:rPr>
                <w:iCs/>
                <w:color w:val="000000"/>
                <w:kern w:val="0"/>
              </w:rPr>
              <w:t>62.5139</w:t>
            </w:r>
          </w:p>
        </w:tc>
        <w:tc>
          <w:tcPr>
            <w:tcW w:w="0" w:type="auto"/>
            <w:noWrap/>
            <w:vAlign w:val="center"/>
          </w:tcPr>
          <w:p w14:paraId="783FBE85">
            <w:pPr>
              <w:widowControl/>
              <w:jc w:val="center"/>
              <w:textAlignment w:val="center"/>
              <w:rPr>
                <w:iCs/>
                <w:color w:val="000000"/>
                <w:kern w:val="0"/>
              </w:rPr>
            </w:pPr>
            <w:r>
              <w:rPr>
                <w:iCs/>
                <w:color w:val="000000"/>
                <w:kern w:val="0"/>
              </w:rPr>
              <w:t>1.8867</w:t>
            </w:r>
          </w:p>
        </w:tc>
        <w:tc>
          <w:tcPr>
            <w:tcW w:w="0" w:type="auto"/>
            <w:tcBorders>
              <w:top w:val="nil"/>
              <w:left w:val="nil"/>
              <w:bottom w:val="single" w:color="auto" w:sz="8" w:space="0"/>
              <w:right w:val="single" w:color="auto" w:sz="8" w:space="0"/>
            </w:tcBorders>
            <w:shd w:val="clear" w:color="auto" w:fill="auto"/>
            <w:noWrap/>
            <w:vAlign w:val="center"/>
          </w:tcPr>
          <w:p w14:paraId="407CEB01">
            <w:pPr>
              <w:widowControl/>
              <w:jc w:val="center"/>
              <w:textAlignment w:val="center"/>
              <w:rPr>
                <w:iCs/>
                <w:color w:val="000000"/>
                <w:kern w:val="0"/>
              </w:rPr>
            </w:pPr>
            <w:r>
              <w:rPr>
                <w:rFonts w:eastAsia="等线"/>
                <w:color w:val="000000"/>
              </w:rPr>
              <w:t>63.2079</w:t>
            </w:r>
          </w:p>
        </w:tc>
        <w:tc>
          <w:tcPr>
            <w:tcW w:w="0" w:type="auto"/>
            <w:tcBorders>
              <w:top w:val="nil"/>
              <w:left w:val="nil"/>
              <w:bottom w:val="single" w:color="auto" w:sz="8" w:space="0"/>
              <w:right w:val="single" w:color="auto" w:sz="8" w:space="0"/>
            </w:tcBorders>
            <w:shd w:val="clear" w:color="auto" w:fill="auto"/>
            <w:noWrap/>
            <w:vAlign w:val="center"/>
          </w:tcPr>
          <w:p w14:paraId="1350546A">
            <w:pPr>
              <w:widowControl/>
              <w:jc w:val="center"/>
              <w:textAlignment w:val="center"/>
              <w:rPr>
                <w:iCs/>
                <w:color w:val="000000"/>
                <w:kern w:val="0"/>
              </w:rPr>
            </w:pPr>
            <w:r>
              <w:rPr>
                <w:rFonts w:eastAsia="等线"/>
                <w:color w:val="000000"/>
              </w:rPr>
              <w:t>1.9057</w:t>
            </w:r>
          </w:p>
        </w:tc>
      </w:tr>
      <w:tr w14:paraId="4426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0" w:type="auto"/>
            <w:vMerge w:val="continue"/>
            <w:vAlign w:val="center"/>
          </w:tcPr>
          <w:p w14:paraId="5A692072">
            <w:pPr>
              <w:widowControl/>
              <w:jc w:val="center"/>
              <w:textAlignment w:val="center"/>
              <w:rPr>
                <w:color w:val="000000"/>
                <w:kern w:val="0"/>
                <w:lang w:bidi="ar"/>
              </w:rPr>
            </w:pPr>
          </w:p>
        </w:tc>
        <w:tc>
          <w:tcPr>
            <w:tcW w:w="0" w:type="auto"/>
            <w:vMerge w:val="continue"/>
            <w:vAlign w:val="center"/>
          </w:tcPr>
          <w:p w14:paraId="0E0E9A6C">
            <w:pPr>
              <w:widowControl/>
              <w:jc w:val="center"/>
              <w:textAlignment w:val="center"/>
              <w:rPr>
                <w:iCs/>
                <w:color w:val="000000"/>
                <w:kern w:val="0"/>
              </w:rPr>
            </w:pPr>
          </w:p>
        </w:tc>
        <w:tc>
          <w:tcPr>
            <w:tcW w:w="0" w:type="auto"/>
            <w:vMerge w:val="continue"/>
            <w:vAlign w:val="center"/>
          </w:tcPr>
          <w:p w14:paraId="6146CF04">
            <w:pPr>
              <w:widowControl/>
              <w:jc w:val="center"/>
              <w:textAlignment w:val="center"/>
              <w:rPr>
                <w:iCs/>
                <w:color w:val="000000"/>
                <w:kern w:val="0"/>
              </w:rPr>
            </w:pPr>
          </w:p>
        </w:tc>
        <w:tc>
          <w:tcPr>
            <w:tcW w:w="0" w:type="auto"/>
            <w:vMerge w:val="continue"/>
            <w:vAlign w:val="center"/>
          </w:tcPr>
          <w:p w14:paraId="7480A59D">
            <w:pPr>
              <w:widowControl/>
              <w:jc w:val="center"/>
              <w:textAlignment w:val="center"/>
              <w:rPr>
                <w:iCs/>
                <w:color w:val="000000"/>
                <w:kern w:val="0"/>
              </w:rPr>
            </w:pPr>
          </w:p>
        </w:tc>
        <w:tc>
          <w:tcPr>
            <w:tcW w:w="0" w:type="auto"/>
            <w:vAlign w:val="center"/>
          </w:tcPr>
          <w:p w14:paraId="065E7E16">
            <w:pPr>
              <w:widowControl/>
              <w:jc w:val="center"/>
              <w:textAlignment w:val="center"/>
              <w:rPr>
                <w:iCs/>
                <w:color w:val="000000"/>
                <w:kern w:val="0"/>
              </w:rPr>
            </w:pPr>
            <w:r>
              <w:rPr>
                <w:rFonts w:hint="eastAsia"/>
                <w:iCs/>
                <w:color w:val="000000"/>
                <w:kern w:val="0"/>
              </w:rPr>
              <w:t>7.5m</w:t>
            </w:r>
          </w:p>
        </w:tc>
        <w:tc>
          <w:tcPr>
            <w:tcW w:w="0" w:type="auto"/>
            <w:vMerge w:val="continue"/>
            <w:vAlign w:val="center"/>
          </w:tcPr>
          <w:p w14:paraId="7217C3D1">
            <w:pPr>
              <w:widowControl/>
              <w:jc w:val="center"/>
              <w:textAlignment w:val="center"/>
              <w:rPr>
                <w:iCs/>
                <w:color w:val="000000"/>
                <w:kern w:val="0"/>
              </w:rPr>
            </w:pPr>
          </w:p>
        </w:tc>
        <w:tc>
          <w:tcPr>
            <w:tcW w:w="0" w:type="auto"/>
            <w:vMerge w:val="continue"/>
            <w:vAlign w:val="center"/>
          </w:tcPr>
          <w:p w14:paraId="14C0211D">
            <w:pPr>
              <w:widowControl/>
              <w:jc w:val="center"/>
              <w:textAlignment w:val="center"/>
              <w:rPr>
                <w:iCs/>
                <w:color w:val="000000"/>
                <w:kern w:val="0"/>
              </w:rPr>
            </w:pPr>
          </w:p>
        </w:tc>
        <w:tc>
          <w:tcPr>
            <w:tcW w:w="0" w:type="auto"/>
            <w:noWrap/>
            <w:vAlign w:val="center"/>
          </w:tcPr>
          <w:p w14:paraId="29C31680">
            <w:pPr>
              <w:widowControl/>
              <w:jc w:val="center"/>
              <w:textAlignment w:val="center"/>
              <w:rPr>
                <w:iCs/>
                <w:color w:val="000000"/>
                <w:kern w:val="0"/>
              </w:rPr>
            </w:pPr>
            <w:r>
              <w:rPr>
                <w:iCs/>
                <w:color w:val="000000"/>
                <w:kern w:val="0"/>
              </w:rPr>
              <w:t>60.1842</w:t>
            </w:r>
          </w:p>
        </w:tc>
        <w:tc>
          <w:tcPr>
            <w:tcW w:w="0" w:type="auto"/>
            <w:noWrap/>
            <w:vAlign w:val="center"/>
          </w:tcPr>
          <w:p w14:paraId="3C42F27C">
            <w:pPr>
              <w:widowControl/>
              <w:jc w:val="center"/>
              <w:textAlignment w:val="center"/>
              <w:rPr>
                <w:iCs/>
                <w:color w:val="000000"/>
                <w:kern w:val="0"/>
              </w:rPr>
            </w:pPr>
            <w:r>
              <w:rPr>
                <w:iCs/>
                <w:color w:val="000000"/>
                <w:kern w:val="0"/>
              </w:rPr>
              <w:t>1.8957</w:t>
            </w:r>
          </w:p>
        </w:tc>
        <w:tc>
          <w:tcPr>
            <w:tcW w:w="0" w:type="auto"/>
            <w:tcBorders>
              <w:top w:val="nil"/>
              <w:left w:val="nil"/>
              <w:bottom w:val="single" w:color="auto" w:sz="8" w:space="0"/>
              <w:right w:val="single" w:color="auto" w:sz="8" w:space="0"/>
            </w:tcBorders>
            <w:shd w:val="clear" w:color="auto" w:fill="auto"/>
            <w:noWrap/>
            <w:vAlign w:val="center"/>
          </w:tcPr>
          <w:p w14:paraId="6F5D4B8C">
            <w:pPr>
              <w:widowControl/>
              <w:jc w:val="center"/>
              <w:textAlignment w:val="center"/>
              <w:rPr>
                <w:iCs/>
                <w:color w:val="000000"/>
                <w:kern w:val="0"/>
              </w:rPr>
            </w:pPr>
            <w:r>
              <w:rPr>
                <w:rFonts w:eastAsia="等线"/>
                <w:color w:val="000000"/>
              </w:rPr>
              <w:t>60.8782</w:t>
            </w:r>
          </w:p>
        </w:tc>
        <w:tc>
          <w:tcPr>
            <w:tcW w:w="0" w:type="auto"/>
            <w:tcBorders>
              <w:top w:val="nil"/>
              <w:left w:val="nil"/>
              <w:bottom w:val="single" w:color="auto" w:sz="8" w:space="0"/>
              <w:right w:val="single" w:color="auto" w:sz="8" w:space="0"/>
            </w:tcBorders>
            <w:shd w:val="clear" w:color="auto" w:fill="auto"/>
            <w:noWrap/>
            <w:vAlign w:val="center"/>
          </w:tcPr>
          <w:p w14:paraId="69282528">
            <w:pPr>
              <w:widowControl/>
              <w:jc w:val="center"/>
              <w:textAlignment w:val="center"/>
              <w:rPr>
                <w:iCs/>
                <w:color w:val="000000"/>
                <w:kern w:val="0"/>
              </w:rPr>
            </w:pPr>
            <w:r>
              <w:rPr>
                <w:rFonts w:eastAsia="等线"/>
                <w:color w:val="000000"/>
              </w:rPr>
              <w:t>1.9147</w:t>
            </w:r>
          </w:p>
        </w:tc>
      </w:tr>
      <w:tr w14:paraId="7901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6" w:hRule="atLeast"/>
          <w:jc w:val="center"/>
        </w:trPr>
        <w:tc>
          <w:tcPr>
            <w:tcW w:w="0" w:type="auto"/>
            <w:vMerge w:val="continue"/>
            <w:vAlign w:val="center"/>
          </w:tcPr>
          <w:p w14:paraId="0C7A8BF2">
            <w:pPr>
              <w:widowControl/>
              <w:jc w:val="center"/>
              <w:textAlignment w:val="center"/>
              <w:rPr>
                <w:color w:val="000000"/>
                <w:kern w:val="0"/>
                <w:lang w:bidi="ar"/>
              </w:rPr>
            </w:pPr>
          </w:p>
        </w:tc>
        <w:tc>
          <w:tcPr>
            <w:tcW w:w="0" w:type="auto"/>
            <w:vMerge w:val="continue"/>
            <w:vAlign w:val="center"/>
          </w:tcPr>
          <w:p w14:paraId="54577557">
            <w:pPr>
              <w:widowControl/>
              <w:jc w:val="center"/>
              <w:textAlignment w:val="center"/>
              <w:rPr>
                <w:iCs/>
                <w:color w:val="000000"/>
                <w:kern w:val="0"/>
              </w:rPr>
            </w:pPr>
          </w:p>
        </w:tc>
        <w:tc>
          <w:tcPr>
            <w:tcW w:w="0" w:type="auto"/>
            <w:vMerge w:val="continue"/>
            <w:vAlign w:val="center"/>
          </w:tcPr>
          <w:p w14:paraId="3A3D6DD0">
            <w:pPr>
              <w:widowControl/>
              <w:jc w:val="center"/>
              <w:textAlignment w:val="center"/>
              <w:rPr>
                <w:iCs/>
                <w:color w:val="000000"/>
                <w:kern w:val="0"/>
              </w:rPr>
            </w:pPr>
          </w:p>
        </w:tc>
        <w:tc>
          <w:tcPr>
            <w:tcW w:w="0" w:type="auto"/>
            <w:vMerge w:val="continue"/>
            <w:vAlign w:val="center"/>
          </w:tcPr>
          <w:p w14:paraId="61AA8AEB">
            <w:pPr>
              <w:widowControl/>
              <w:jc w:val="center"/>
              <w:textAlignment w:val="center"/>
              <w:rPr>
                <w:iCs/>
                <w:color w:val="000000"/>
                <w:kern w:val="0"/>
              </w:rPr>
            </w:pPr>
          </w:p>
        </w:tc>
        <w:tc>
          <w:tcPr>
            <w:tcW w:w="0" w:type="auto"/>
            <w:vAlign w:val="center"/>
          </w:tcPr>
          <w:p w14:paraId="66A048B6">
            <w:pPr>
              <w:widowControl/>
              <w:jc w:val="center"/>
              <w:textAlignment w:val="center"/>
              <w:rPr>
                <w:iCs/>
                <w:color w:val="000000"/>
                <w:kern w:val="0"/>
              </w:rPr>
            </w:pPr>
            <w:r>
              <w:rPr>
                <w:rFonts w:hint="eastAsia"/>
                <w:iCs/>
                <w:color w:val="000000"/>
                <w:kern w:val="0"/>
              </w:rPr>
              <w:t>9.5m</w:t>
            </w:r>
          </w:p>
        </w:tc>
        <w:tc>
          <w:tcPr>
            <w:tcW w:w="0" w:type="auto"/>
            <w:vMerge w:val="continue"/>
            <w:vAlign w:val="center"/>
          </w:tcPr>
          <w:p w14:paraId="2E126B2D">
            <w:pPr>
              <w:widowControl/>
              <w:jc w:val="center"/>
              <w:textAlignment w:val="center"/>
              <w:rPr>
                <w:iCs/>
                <w:color w:val="000000"/>
                <w:kern w:val="0"/>
              </w:rPr>
            </w:pPr>
          </w:p>
        </w:tc>
        <w:tc>
          <w:tcPr>
            <w:tcW w:w="0" w:type="auto"/>
            <w:vMerge w:val="continue"/>
            <w:vAlign w:val="center"/>
          </w:tcPr>
          <w:p w14:paraId="13A656E5">
            <w:pPr>
              <w:widowControl/>
              <w:jc w:val="center"/>
              <w:textAlignment w:val="center"/>
              <w:rPr>
                <w:iCs/>
                <w:color w:val="000000"/>
                <w:kern w:val="0"/>
              </w:rPr>
            </w:pPr>
          </w:p>
        </w:tc>
        <w:tc>
          <w:tcPr>
            <w:tcW w:w="0" w:type="auto"/>
            <w:noWrap/>
            <w:vAlign w:val="center"/>
          </w:tcPr>
          <w:p w14:paraId="6F6055D9">
            <w:pPr>
              <w:widowControl/>
              <w:jc w:val="center"/>
              <w:textAlignment w:val="center"/>
              <w:rPr>
                <w:iCs/>
                <w:color w:val="000000"/>
                <w:kern w:val="0"/>
              </w:rPr>
            </w:pPr>
            <w:r>
              <w:rPr>
                <w:iCs/>
                <w:color w:val="000000"/>
                <w:kern w:val="0"/>
              </w:rPr>
              <w:t>58.1061</w:t>
            </w:r>
          </w:p>
        </w:tc>
        <w:tc>
          <w:tcPr>
            <w:tcW w:w="0" w:type="auto"/>
            <w:noWrap/>
            <w:vAlign w:val="center"/>
          </w:tcPr>
          <w:p w14:paraId="5DCA4AAF">
            <w:pPr>
              <w:widowControl/>
              <w:jc w:val="center"/>
              <w:textAlignment w:val="center"/>
              <w:rPr>
                <w:iCs/>
                <w:color w:val="000000"/>
                <w:kern w:val="0"/>
              </w:rPr>
            </w:pPr>
            <w:r>
              <w:rPr>
                <w:rFonts w:hint="eastAsia"/>
                <w:iCs/>
                <w:color w:val="000000"/>
                <w:kern w:val="0"/>
              </w:rPr>
              <w:t>1.</w:t>
            </w:r>
            <w:r>
              <w:rPr>
                <w:iCs/>
                <w:color w:val="000000"/>
                <w:kern w:val="0"/>
              </w:rPr>
              <w:t>8867</w:t>
            </w:r>
          </w:p>
        </w:tc>
        <w:tc>
          <w:tcPr>
            <w:tcW w:w="0" w:type="auto"/>
            <w:tcBorders>
              <w:top w:val="nil"/>
              <w:left w:val="nil"/>
              <w:bottom w:val="single" w:color="auto" w:sz="8" w:space="0"/>
              <w:right w:val="single" w:color="auto" w:sz="8" w:space="0"/>
            </w:tcBorders>
            <w:shd w:val="clear" w:color="auto" w:fill="auto"/>
            <w:noWrap/>
            <w:vAlign w:val="center"/>
          </w:tcPr>
          <w:p w14:paraId="34A0084C">
            <w:pPr>
              <w:widowControl/>
              <w:jc w:val="center"/>
              <w:textAlignment w:val="center"/>
              <w:rPr>
                <w:iCs/>
                <w:color w:val="000000"/>
                <w:kern w:val="0"/>
              </w:rPr>
            </w:pPr>
            <w:r>
              <w:rPr>
                <w:rFonts w:eastAsia="等线"/>
                <w:color w:val="000000"/>
              </w:rPr>
              <w:t>58.8001</w:t>
            </w:r>
          </w:p>
        </w:tc>
        <w:tc>
          <w:tcPr>
            <w:tcW w:w="0" w:type="auto"/>
            <w:tcBorders>
              <w:top w:val="nil"/>
              <w:left w:val="nil"/>
              <w:bottom w:val="single" w:color="auto" w:sz="8" w:space="0"/>
              <w:right w:val="single" w:color="auto" w:sz="8" w:space="0"/>
            </w:tcBorders>
            <w:shd w:val="clear" w:color="auto" w:fill="auto"/>
            <w:noWrap/>
            <w:vAlign w:val="center"/>
          </w:tcPr>
          <w:p w14:paraId="7A6B1496">
            <w:pPr>
              <w:widowControl/>
              <w:jc w:val="center"/>
              <w:textAlignment w:val="center"/>
            </w:pPr>
            <w:r>
              <w:rPr>
                <w:rFonts w:eastAsia="等线"/>
                <w:color w:val="000000"/>
              </w:rPr>
              <w:t>1.9057</w:t>
            </w:r>
          </w:p>
        </w:tc>
      </w:tr>
    </w:tbl>
    <w:p w14:paraId="5D60983E">
      <w:pPr>
        <w:pStyle w:val="195"/>
        <w:spacing w:before="0" w:line="360" w:lineRule="auto"/>
        <w:ind w:firstLine="480" w:firstLineChars="200"/>
        <w:rPr>
          <w:rFonts w:eastAsia="宋体"/>
          <w:bCs/>
          <w:sz w:val="24"/>
        </w:rPr>
      </w:pPr>
      <w:r>
        <w:rPr>
          <w:rFonts w:eastAsia="宋体"/>
          <w:bCs/>
          <w:sz w:val="24"/>
        </w:rPr>
        <w:t>从上表计算得出的叠加值可以看出，输电线路附近环境保护目标的电磁环境影响都满足《电磁环境控制限值》（GB8702-2014）中规定的电场强度≤4kV/m，磁感应强度≤100µT的要求。且预测均选取了最不利条件进行，项目建成后的架设高度、运行工况一般优于预测参数，故实际电磁环境影响将小于预测值，项目对周边电磁环境及敏感点影响较小。</w:t>
      </w:r>
    </w:p>
    <w:p w14:paraId="5DBD5B9D">
      <w:pPr>
        <w:pStyle w:val="168"/>
        <w:spacing w:before="0" w:after="0" w:line="360" w:lineRule="auto"/>
        <w:outlineLvl w:val="9"/>
        <w:rPr>
          <w:rFonts w:eastAsia="宋体"/>
          <w:b/>
        </w:rPr>
      </w:pPr>
      <w:bookmarkStart w:id="358" w:name="_Toc8514"/>
      <w:bookmarkStart w:id="359" w:name="_Toc23893"/>
      <w:bookmarkStart w:id="360" w:name="_Toc6726"/>
      <w:bookmarkStart w:id="361" w:name="_Toc9999"/>
      <w:bookmarkStart w:id="362" w:name="_Toc11737"/>
      <w:bookmarkStart w:id="363" w:name="_Toc227764373"/>
      <w:bookmarkStart w:id="364" w:name="_Toc31807"/>
      <w:bookmarkStart w:id="365" w:name="_Toc445218926"/>
      <w:r>
        <w:rPr>
          <w:rFonts w:eastAsia="宋体"/>
          <w:b/>
        </w:rPr>
        <w:t>6.4电磁环境达标控制要求</w:t>
      </w:r>
      <w:bookmarkEnd w:id="358"/>
      <w:bookmarkEnd w:id="359"/>
      <w:bookmarkEnd w:id="360"/>
      <w:bookmarkEnd w:id="361"/>
      <w:bookmarkEnd w:id="362"/>
      <w:bookmarkEnd w:id="363"/>
      <w:bookmarkEnd w:id="364"/>
    </w:p>
    <w:bookmarkEnd w:id="365"/>
    <w:p w14:paraId="44706EC0">
      <w:pPr>
        <w:pStyle w:val="195"/>
        <w:spacing w:before="0" w:line="360" w:lineRule="auto"/>
        <w:ind w:firstLine="480" w:firstLineChars="200"/>
        <w:rPr>
          <w:rFonts w:eastAsia="宋体"/>
          <w:bCs/>
          <w:sz w:val="24"/>
        </w:rPr>
      </w:pPr>
      <w:bookmarkStart w:id="366" w:name="_Toc8851"/>
      <w:bookmarkStart w:id="367" w:name="_Toc523382150"/>
      <w:r>
        <w:rPr>
          <w:rFonts w:eastAsia="宋体"/>
          <w:bCs/>
          <w:sz w:val="24"/>
        </w:rPr>
        <w:t>本项目线路新建单回</w:t>
      </w:r>
      <w:r>
        <w:rPr>
          <w:rFonts w:hint="eastAsia" w:eastAsia="宋体"/>
          <w:bCs/>
          <w:sz w:val="24"/>
        </w:rPr>
        <w:t>水平</w:t>
      </w:r>
      <w:r>
        <w:rPr>
          <w:rFonts w:eastAsia="宋体"/>
          <w:bCs/>
          <w:sz w:val="24"/>
        </w:rPr>
        <w:t>排列塔段采用拟选塔中最不利塔型，按电力设计规程要求（在非居民区导线对地高度6m，居民区导线对地高度7m）实施</w:t>
      </w:r>
      <w:r>
        <w:rPr>
          <w:rFonts w:hint="eastAsia" w:eastAsia="宋体"/>
          <w:bCs/>
          <w:sz w:val="24"/>
        </w:rPr>
        <w:t>，预测不超标，无控制要求</w:t>
      </w:r>
      <w:r>
        <w:rPr>
          <w:rFonts w:eastAsia="宋体"/>
          <w:bCs/>
          <w:sz w:val="24"/>
        </w:rPr>
        <w:t>。按上述措施落实后，本项目线路投运后产生的电场强度、磁感应强度满足《电磁环境控制限值》（GB8702-2014）中相应评价标准要求。</w:t>
      </w:r>
    </w:p>
    <w:p w14:paraId="1710A937">
      <w:pPr>
        <w:pStyle w:val="275"/>
        <w:spacing w:before="0" w:after="0" w:line="360" w:lineRule="auto"/>
        <w:jc w:val="both"/>
        <w:outlineLvl w:val="1"/>
        <w:rPr>
          <w:b w:val="0"/>
          <w:bCs w:val="0"/>
        </w:rPr>
      </w:pPr>
      <w:bookmarkStart w:id="368" w:name="_Toc26583"/>
      <w:bookmarkStart w:id="369" w:name="_Toc1514"/>
      <w:bookmarkStart w:id="370" w:name="_Toc227764374"/>
      <w:bookmarkStart w:id="371" w:name="_Toc28865"/>
      <w:bookmarkStart w:id="372" w:name="_Toc225953002"/>
      <w:bookmarkStart w:id="373" w:name="_Toc30607"/>
      <w:bookmarkStart w:id="374" w:name="_Toc13334"/>
      <w:bookmarkStart w:id="375" w:name="_Toc4505"/>
      <w:r>
        <w:rPr>
          <w:rFonts w:eastAsia="宋体"/>
        </w:rPr>
        <w:t>7、</w:t>
      </w:r>
      <w:bookmarkEnd w:id="366"/>
      <w:bookmarkEnd w:id="367"/>
      <w:bookmarkEnd w:id="368"/>
      <w:bookmarkEnd w:id="369"/>
      <w:bookmarkEnd w:id="370"/>
      <w:bookmarkEnd w:id="371"/>
      <w:bookmarkEnd w:id="372"/>
      <w:bookmarkEnd w:id="373"/>
      <w:bookmarkEnd w:id="374"/>
      <w:bookmarkEnd w:id="375"/>
      <w:r>
        <w:rPr>
          <w:rFonts w:hint="eastAsia" w:eastAsia="宋体"/>
        </w:rPr>
        <w:t>电磁环境控制措施</w:t>
      </w:r>
    </w:p>
    <w:p w14:paraId="652CA4B9">
      <w:pPr>
        <w:spacing w:line="360" w:lineRule="auto"/>
        <w:ind w:firstLine="480" w:firstLineChars="200"/>
        <w:rPr>
          <w:color w:val="000000"/>
          <w:sz w:val="24"/>
          <w:szCs w:val="24"/>
        </w:rPr>
      </w:pPr>
      <w:r>
        <w:rPr>
          <w:color w:val="000000"/>
          <w:sz w:val="24"/>
          <w:szCs w:val="24"/>
        </w:rPr>
        <w:t>（1）</w:t>
      </w:r>
      <w:r>
        <w:rPr>
          <w:rFonts w:hint="eastAsia"/>
          <w:color w:val="000000"/>
          <w:sz w:val="24"/>
          <w:szCs w:val="24"/>
        </w:rPr>
        <w:t>项目运行期对线路和塔基进行定期巡查和检修，保障变电站及线路正常运行，防止由于运行故障产生的电磁环境影响。</w:t>
      </w:r>
    </w:p>
    <w:p w14:paraId="7CB82D30">
      <w:pPr>
        <w:spacing w:line="360" w:lineRule="auto"/>
        <w:ind w:firstLine="480" w:firstLineChars="200"/>
        <w:rPr>
          <w:color w:val="000000"/>
          <w:sz w:val="24"/>
          <w:szCs w:val="24"/>
        </w:rPr>
      </w:pPr>
      <w:r>
        <w:rPr>
          <w:color w:val="000000"/>
          <w:sz w:val="24"/>
          <w:szCs w:val="24"/>
        </w:rPr>
        <w:t>（2）对于新建输电线路，应优化导线的相序排列方式及杆塔型式，合理选择导线直径及导线分裂数，并提高线路的加工工艺，降低线路周围的工频场强。</w:t>
      </w:r>
    </w:p>
    <w:p w14:paraId="40AA7E6D">
      <w:pPr>
        <w:spacing w:line="360" w:lineRule="auto"/>
        <w:ind w:firstLine="480" w:firstLineChars="200"/>
        <w:rPr>
          <w:color w:val="000000"/>
          <w:sz w:val="24"/>
          <w:szCs w:val="24"/>
        </w:rPr>
      </w:pPr>
      <w:r>
        <w:rPr>
          <w:color w:val="000000"/>
          <w:sz w:val="24"/>
          <w:szCs w:val="24"/>
        </w:rPr>
        <w:t>（</w:t>
      </w:r>
      <w:r>
        <w:rPr>
          <w:rFonts w:hint="eastAsia"/>
          <w:color w:val="000000"/>
          <w:sz w:val="24"/>
          <w:szCs w:val="24"/>
        </w:rPr>
        <w:t>3</w:t>
      </w:r>
      <w:r>
        <w:rPr>
          <w:color w:val="000000"/>
          <w:sz w:val="24"/>
          <w:szCs w:val="24"/>
        </w:rPr>
        <w:t>）建设单位应在危险位置建立各种警告、防护标识，避免意外事故。对当地群众进行有关高压输电线路和设备方面的环境宣传工作，帮助群众建立环境保护意识和自我防护意识，减少在高压走廊内的停留时间。</w:t>
      </w:r>
    </w:p>
    <w:p w14:paraId="67C0FC54">
      <w:pPr>
        <w:spacing w:line="360" w:lineRule="auto"/>
        <w:ind w:firstLine="480" w:firstLineChars="200"/>
        <w:rPr>
          <w:color w:val="000000"/>
          <w:sz w:val="24"/>
          <w:szCs w:val="24"/>
        </w:rPr>
      </w:pPr>
      <w:r>
        <w:rPr>
          <w:rFonts w:hint="eastAsia"/>
          <w:color w:val="000000"/>
          <w:sz w:val="24"/>
          <w:szCs w:val="24"/>
        </w:rPr>
        <w:t>（</w:t>
      </w:r>
      <w:r>
        <w:rPr>
          <w:color w:val="000000"/>
          <w:sz w:val="24"/>
          <w:szCs w:val="24"/>
        </w:rPr>
        <w:t>4</w:t>
      </w:r>
      <w:r>
        <w:rPr>
          <w:rFonts w:hint="eastAsia"/>
          <w:color w:val="000000"/>
          <w:sz w:val="24"/>
          <w:szCs w:val="24"/>
        </w:rPr>
        <w:t>）设备定货时要求导线和其它金具等提高加工工艺，合理选择导线截面积和相导线结构，防止尖端放电和起电晕。</w:t>
      </w:r>
    </w:p>
    <w:p w14:paraId="719D0F75">
      <w:pPr>
        <w:spacing w:line="360" w:lineRule="auto"/>
        <w:ind w:firstLine="480" w:firstLineChars="200"/>
        <w:rPr>
          <w:sz w:val="24"/>
          <w:szCs w:val="24"/>
        </w:rPr>
      </w:pPr>
      <w:r>
        <w:rPr>
          <w:rFonts w:hint="eastAsia"/>
          <w:sz w:val="24"/>
          <w:szCs w:val="24"/>
        </w:rPr>
        <w:t>（</w:t>
      </w:r>
      <w:r>
        <w:rPr>
          <w:sz w:val="24"/>
          <w:szCs w:val="24"/>
        </w:rPr>
        <w:t>5</w:t>
      </w:r>
      <w:r>
        <w:rPr>
          <w:rFonts w:hint="eastAsia"/>
          <w:sz w:val="24"/>
          <w:szCs w:val="24"/>
        </w:rPr>
        <w:t>）采用良导体的钢芯铝绞线，减小静电感应、对地电压和杂音。</w:t>
      </w:r>
    </w:p>
    <w:p w14:paraId="3166FFC1">
      <w:pPr>
        <w:spacing w:line="360" w:lineRule="auto"/>
        <w:ind w:firstLine="480" w:firstLineChars="200"/>
        <w:rPr>
          <w:sz w:val="24"/>
          <w:szCs w:val="24"/>
        </w:rPr>
      </w:pPr>
      <w:r>
        <w:rPr>
          <w:rFonts w:hint="eastAsia"/>
          <w:sz w:val="24"/>
          <w:szCs w:val="24"/>
        </w:rPr>
        <w:t>（</w:t>
      </w:r>
      <w:r>
        <w:rPr>
          <w:sz w:val="24"/>
          <w:szCs w:val="24"/>
        </w:rPr>
        <w:t>6</w:t>
      </w:r>
      <w:r>
        <w:rPr>
          <w:rFonts w:hint="eastAsia"/>
          <w:sz w:val="24"/>
          <w:szCs w:val="24"/>
        </w:rPr>
        <w:t>）加强线路日常管理和维护，使线路保持良好运行状态。</w:t>
      </w:r>
    </w:p>
    <w:p w14:paraId="576E5984">
      <w:pPr>
        <w:spacing w:line="360" w:lineRule="auto"/>
        <w:ind w:firstLine="480" w:firstLineChars="200"/>
        <w:rPr>
          <w:sz w:val="24"/>
          <w:szCs w:val="24"/>
        </w:rPr>
      </w:pPr>
      <w:r>
        <w:rPr>
          <w:rFonts w:hint="eastAsia"/>
          <w:sz w:val="24"/>
          <w:szCs w:val="24"/>
        </w:rPr>
        <w:t>（7）在居民区附近设立相应的警示标志和防护标志，并做好警示宣传工作。</w:t>
      </w:r>
    </w:p>
    <w:p w14:paraId="3F6D04F4">
      <w:pPr>
        <w:spacing w:line="360" w:lineRule="auto"/>
        <w:ind w:firstLine="480" w:firstLineChars="200"/>
        <w:rPr>
          <w:sz w:val="24"/>
          <w:szCs w:val="24"/>
        </w:rPr>
      </w:pPr>
      <w:r>
        <w:rPr>
          <w:rFonts w:hint="eastAsia"/>
          <w:sz w:val="24"/>
          <w:szCs w:val="24"/>
        </w:rPr>
        <w:t>（</w:t>
      </w:r>
      <w:r>
        <w:rPr>
          <w:sz w:val="24"/>
          <w:szCs w:val="24"/>
        </w:rPr>
        <w:t>8</w:t>
      </w:r>
      <w:r>
        <w:rPr>
          <w:rFonts w:hint="eastAsia"/>
          <w:sz w:val="24"/>
          <w:szCs w:val="24"/>
        </w:rPr>
        <w:t>）应确保项目运营期工频电场强度、工频磁感应强度达《电磁环境控制限值》（GB8702-2014），严格按</w:t>
      </w:r>
      <w:r>
        <w:rPr>
          <w:kern w:val="0"/>
          <w:sz w:val="24"/>
          <w:szCs w:val="24"/>
        </w:rPr>
        <w:t>《110～750kV架空输电线路设计规范》（GB50545-2010）</w:t>
      </w:r>
      <w:r>
        <w:rPr>
          <w:rFonts w:hint="eastAsia"/>
          <w:kern w:val="0"/>
          <w:sz w:val="24"/>
          <w:szCs w:val="24"/>
        </w:rPr>
        <w:t>进行设计</w:t>
      </w:r>
      <w:r>
        <w:rPr>
          <w:rFonts w:hint="eastAsia"/>
          <w:sz w:val="24"/>
          <w:szCs w:val="24"/>
        </w:rPr>
        <w:t>。根据电磁环境预测结果可知，采用单回水平排列架线时，导线对地面距离为6m时，地面1.5m高处的工频电场强度可达</w:t>
      </w:r>
      <w:r>
        <w:rPr>
          <w:sz w:val="24"/>
          <w:szCs w:val="24"/>
        </w:rPr>
        <w:t>《电磁环境控制限值》（GB8702-2014）中架空输电线路线下的耕地、园地、牧草地、畜禽饲养地、养殖水面、道路等场所10kV/m的限值要求</w:t>
      </w:r>
      <w:r>
        <w:rPr>
          <w:rFonts w:hint="eastAsia"/>
          <w:sz w:val="24"/>
          <w:szCs w:val="24"/>
        </w:rPr>
        <w:t>，</w:t>
      </w:r>
      <w:r>
        <w:rPr>
          <w:sz w:val="24"/>
          <w:szCs w:val="24"/>
        </w:rPr>
        <w:t>工频磁场公众暴露控制限值100μT的限值</w:t>
      </w:r>
      <w:r>
        <w:rPr>
          <w:bCs/>
          <w:sz w:val="24"/>
          <w:szCs w:val="24"/>
        </w:rPr>
        <w:t>要求</w:t>
      </w:r>
      <w:r>
        <w:rPr>
          <w:rFonts w:hint="eastAsia"/>
          <w:bCs/>
          <w:sz w:val="24"/>
          <w:szCs w:val="24"/>
        </w:rPr>
        <w:t>。</w:t>
      </w:r>
      <w:r>
        <w:rPr>
          <w:rFonts w:hint="eastAsia"/>
          <w:sz w:val="24"/>
          <w:szCs w:val="24"/>
        </w:rPr>
        <w:t>导线对地面距离为7m时，地面1.5m高处的工频电场强度可达</w:t>
      </w:r>
      <w:r>
        <w:rPr>
          <w:sz w:val="24"/>
          <w:szCs w:val="24"/>
        </w:rPr>
        <w:t>《电磁环境控制限值》（GB8702-2014）</w:t>
      </w:r>
      <w:r>
        <w:rPr>
          <w:sz w:val="24"/>
          <w:szCs w:val="24"/>
          <w:lang w:bidi="ar"/>
        </w:rPr>
        <w:t>工频电场强度公众曝露控制限值4</w:t>
      </w:r>
      <w:r>
        <w:rPr>
          <w:sz w:val="24"/>
          <w:szCs w:val="24"/>
        </w:rPr>
        <w:t>kV/m的限值要求</w:t>
      </w:r>
      <w:r>
        <w:rPr>
          <w:rFonts w:hint="eastAsia"/>
          <w:sz w:val="24"/>
          <w:szCs w:val="24"/>
        </w:rPr>
        <w:t>，</w:t>
      </w:r>
      <w:r>
        <w:rPr>
          <w:sz w:val="24"/>
          <w:szCs w:val="24"/>
        </w:rPr>
        <w:t>工频磁场公众暴露控制限值100μT的限值</w:t>
      </w:r>
      <w:r>
        <w:rPr>
          <w:bCs/>
          <w:sz w:val="24"/>
          <w:szCs w:val="24"/>
        </w:rPr>
        <w:t>要求</w:t>
      </w:r>
      <w:r>
        <w:rPr>
          <w:rFonts w:hint="eastAsia"/>
          <w:bCs/>
          <w:sz w:val="24"/>
          <w:szCs w:val="24"/>
        </w:rPr>
        <w:t>。</w:t>
      </w:r>
    </w:p>
    <w:p w14:paraId="5463E2F9">
      <w:pPr>
        <w:spacing w:line="360" w:lineRule="auto"/>
        <w:ind w:firstLine="480" w:firstLineChars="200"/>
        <w:rPr>
          <w:sz w:val="24"/>
          <w:szCs w:val="24"/>
        </w:rPr>
      </w:pPr>
      <w:r>
        <w:rPr>
          <w:rFonts w:hint="eastAsia"/>
          <w:sz w:val="24"/>
          <w:szCs w:val="24"/>
        </w:rPr>
        <w:t>因此，项目输电线路架线时，经过居民区时，导线对地面距离应不小于</w:t>
      </w:r>
      <w:r>
        <w:rPr>
          <w:sz w:val="24"/>
          <w:szCs w:val="24"/>
        </w:rPr>
        <w:t>7</w:t>
      </w:r>
      <w:r>
        <w:rPr>
          <w:rFonts w:hint="eastAsia"/>
          <w:sz w:val="24"/>
          <w:szCs w:val="24"/>
        </w:rPr>
        <w:t>m，经过耕地、园地、牧草地、畜禽饲养地、养殖水面、道路等场所处时，导线对地面距离应不小于</w:t>
      </w:r>
      <w:r>
        <w:rPr>
          <w:sz w:val="24"/>
          <w:szCs w:val="24"/>
        </w:rPr>
        <w:t>6</w:t>
      </w:r>
      <w:r>
        <w:rPr>
          <w:rFonts w:hint="eastAsia"/>
          <w:sz w:val="24"/>
          <w:szCs w:val="24"/>
        </w:rPr>
        <w:t>m。加强对最小导线对地面距离的监督检查。</w:t>
      </w:r>
    </w:p>
    <w:p w14:paraId="2F6D9359">
      <w:pPr>
        <w:spacing w:line="360" w:lineRule="auto"/>
        <w:ind w:firstLine="480" w:firstLineChars="200"/>
        <w:rPr>
          <w:snapToGrid w:val="0"/>
          <w:sz w:val="24"/>
          <w:szCs w:val="24"/>
        </w:rPr>
      </w:pPr>
      <w:r>
        <w:rPr>
          <w:rFonts w:hint="eastAsia"/>
          <w:color w:val="000000"/>
          <w:sz w:val="24"/>
          <w:szCs w:val="24"/>
        </w:rPr>
        <w:t>（</w:t>
      </w:r>
      <w:r>
        <w:rPr>
          <w:color w:val="000000"/>
          <w:sz w:val="24"/>
          <w:szCs w:val="24"/>
        </w:rPr>
        <w:t>9</w:t>
      </w:r>
      <w:r>
        <w:rPr>
          <w:rFonts w:hint="eastAsia"/>
          <w:color w:val="000000"/>
          <w:sz w:val="24"/>
          <w:szCs w:val="24"/>
        </w:rPr>
        <w:t>）后期设计施工过程中考虑提升线路对地高度降低线下的电磁环境影响</w:t>
      </w:r>
      <w:r>
        <w:rPr>
          <w:snapToGrid w:val="0"/>
          <w:sz w:val="24"/>
          <w:szCs w:val="24"/>
        </w:rPr>
        <w:t>。</w:t>
      </w:r>
      <w:bookmarkStart w:id="376" w:name="_Toc18288"/>
      <w:bookmarkStart w:id="377" w:name="_Toc14367"/>
      <w:bookmarkStart w:id="378" w:name="_Toc3874"/>
      <w:bookmarkStart w:id="379" w:name="_Toc18169"/>
    </w:p>
    <w:p w14:paraId="3E508701">
      <w:pPr>
        <w:spacing w:line="360" w:lineRule="auto"/>
        <w:outlineLvl w:val="1"/>
        <w:rPr>
          <w:b/>
          <w:bCs/>
          <w:kern w:val="44"/>
          <w:sz w:val="30"/>
          <w:szCs w:val="30"/>
        </w:rPr>
      </w:pPr>
      <w:bookmarkStart w:id="380" w:name="_Toc225953003"/>
      <w:bookmarkStart w:id="381" w:name="_Toc227764375"/>
      <w:bookmarkStart w:id="382" w:name="_Toc15670"/>
      <w:bookmarkStart w:id="383" w:name="_Toc29943"/>
      <w:r>
        <w:rPr>
          <w:b/>
          <w:bCs/>
          <w:kern w:val="44"/>
          <w:sz w:val="30"/>
          <w:szCs w:val="30"/>
        </w:rPr>
        <w:t>8、评价结论</w:t>
      </w:r>
      <w:bookmarkEnd w:id="376"/>
      <w:bookmarkEnd w:id="377"/>
      <w:bookmarkEnd w:id="378"/>
      <w:bookmarkEnd w:id="379"/>
      <w:bookmarkEnd w:id="380"/>
      <w:bookmarkEnd w:id="381"/>
      <w:bookmarkEnd w:id="382"/>
      <w:bookmarkEnd w:id="383"/>
    </w:p>
    <w:p w14:paraId="469C644C">
      <w:pPr>
        <w:adjustRightInd w:val="0"/>
        <w:snapToGrid w:val="0"/>
        <w:spacing w:line="360" w:lineRule="auto"/>
        <w:ind w:firstLine="480" w:firstLineChars="200"/>
        <w:rPr>
          <w:sz w:val="24"/>
        </w:rPr>
      </w:pPr>
      <w:r>
        <w:rPr>
          <w:rFonts w:hint="eastAsia"/>
          <w:sz w:val="24"/>
        </w:rPr>
        <w:t>本项目排列方式包括水平排列和三角排列，但靠近敏感点的N</w:t>
      </w:r>
      <w:r>
        <w:rPr>
          <w:sz w:val="24"/>
        </w:rPr>
        <w:t>7</w:t>
      </w:r>
      <w:r>
        <w:rPr>
          <w:rFonts w:hint="eastAsia"/>
          <w:sz w:val="24"/>
        </w:rPr>
        <w:t>塔基为水平排列，因此</w:t>
      </w:r>
      <w:r>
        <w:rPr>
          <w:rFonts w:hAnsi="宋体"/>
          <w:color w:val="000000"/>
          <w:sz w:val="24"/>
        </w:rPr>
        <w:t>通过</w:t>
      </w:r>
      <w:r>
        <w:rPr>
          <w:rFonts w:hint="eastAsia" w:hAnsi="宋体"/>
          <w:color w:val="000000"/>
          <w:sz w:val="24"/>
        </w:rPr>
        <w:t>理论计算</w:t>
      </w:r>
      <w:r>
        <w:rPr>
          <w:rFonts w:hint="eastAsia"/>
          <w:sz w:val="24"/>
        </w:rPr>
        <w:t>，</w:t>
      </w:r>
      <w:r>
        <w:rPr>
          <w:sz w:val="24"/>
        </w:rPr>
        <w:t xml:space="preserve"> 110kV单回</w:t>
      </w:r>
      <w:r>
        <w:rPr>
          <w:rFonts w:hint="eastAsia"/>
          <w:sz w:val="24"/>
        </w:rPr>
        <w:t>水平排列</w:t>
      </w:r>
      <w:r>
        <w:rPr>
          <w:sz w:val="24"/>
        </w:rPr>
        <w:t>输电线路在最不利塔型（1B1Y6-Z2）线下，距地1.5m高处，非居民区及其附近导线最低允许高度为6m时，工频电场强度最大值为2.614kV/m（2613.955V/m），工频磁感应强度最大值为48.29μT</w:t>
      </w:r>
      <w:r>
        <w:rPr>
          <w:rFonts w:hint="eastAsia"/>
          <w:sz w:val="24"/>
        </w:rPr>
        <w:t>，</w:t>
      </w:r>
      <w:r>
        <w:rPr>
          <w:sz w:val="24"/>
        </w:rPr>
        <w:t>满足非居民区评价标准限值10kV/m</w:t>
      </w:r>
      <w:r>
        <w:rPr>
          <w:rFonts w:hint="eastAsia"/>
          <w:sz w:val="24"/>
        </w:rPr>
        <w:t>及</w:t>
      </w:r>
      <w:r>
        <w:rPr>
          <w:sz w:val="24"/>
        </w:rPr>
        <w:t>100μT的要求；通过居民区及其附近导线高度为7m时，线下距地1.5m高处工频电场强度最大值为2.041kV/m（2041.2397V/m）</w:t>
      </w:r>
      <w:r>
        <w:rPr>
          <w:sz w:val="24"/>
          <w:szCs w:val="24"/>
        </w:rPr>
        <w:t>，工频磁感应强度最大值</w:t>
      </w:r>
      <w:r>
        <w:rPr>
          <w:sz w:val="24"/>
        </w:rPr>
        <w:t>38.96</w:t>
      </w:r>
      <w:r>
        <w:rPr>
          <w:sz w:val="24"/>
          <w:szCs w:val="24"/>
        </w:rPr>
        <w:t>μT</w:t>
      </w:r>
      <w:r>
        <w:rPr>
          <w:rFonts w:hint="eastAsia"/>
          <w:sz w:val="24"/>
          <w:szCs w:val="24"/>
        </w:rPr>
        <w:t>，</w:t>
      </w:r>
      <w:r>
        <w:rPr>
          <w:sz w:val="24"/>
          <w:szCs w:val="24"/>
        </w:rPr>
        <w:t>满足居民区评价标准限值4kV/m（4000V/m）</w:t>
      </w:r>
      <w:r>
        <w:rPr>
          <w:rFonts w:hint="eastAsia"/>
          <w:sz w:val="24"/>
          <w:szCs w:val="24"/>
        </w:rPr>
        <w:t>及</w:t>
      </w:r>
      <w:r>
        <w:rPr>
          <w:sz w:val="24"/>
          <w:szCs w:val="24"/>
        </w:rPr>
        <w:t>100μT的要求。</w:t>
      </w:r>
    </w:p>
    <w:p w14:paraId="43163830">
      <w:pPr>
        <w:spacing w:line="360" w:lineRule="auto"/>
        <w:ind w:firstLine="480" w:firstLineChars="200"/>
        <w:rPr>
          <w:color w:val="000000"/>
          <w:sz w:val="24"/>
          <w:szCs w:val="24"/>
        </w:rPr>
      </w:pPr>
      <w:r>
        <w:rPr>
          <w:rFonts w:hint="eastAsia"/>
          <w:color w:val="000000"/>
          <w:sz w:val="24"/>
          <w:szCs w:val="24"/>
        </w:rPr>
        <w:t>综上，根据架空线路理论计算分析，本项目的工频电磁场强度在国家的相关标准值以下，项目运营对周围环境敏感目标影响可接受。</w:t>
      </w:r>
    </w:p>
    <w:p w14:paraId="46766693">
      <w:pPr>
        <w:spacing w:line="360" w:lineRule="auto"/>
        <w:outlineLvl w:val="1"/>
        <w:rPr>
          <w:b/>
          <w:bCs/>
          <w:kern w:val="44"/>
          <w:sz w:val="30"/>
          <w:szCs w:val="30"/>
        </w:rPr>
      </w:pPr>
      <w:r>
        <w:rPr>
          <w:b/>
          <w:bCs/>
          <w:kern w:val="44"/>
          <w:sz w:val="30"/>
          <w:szCs w:val="30"/>
        </w:rPr>
        <w:t>9、建议</w:t>
      </w:r>
    </w:p>
    <w:p w14:paraId="5573F030">
      <w:pPr>
        <w:tabs>
          <w:tab w:val="left" w:pos="3240"/>
        </w:tabs>
        <w:snapToGrid w:val="0"/>
        <w:spacing w:line="360" w:lineRule="auto"/>
        <w:ind w:firstLine="480" w:firstLineChars="200"/>
        <w:jc w:val="left"/>
        <w:rPr>
          <w:spacing w:val="4"/>
          <w:kern w:val="24"/>
          <w:sz w:val="24"/>
          <w:szCs w:val="24"/>
          <w:lang w:val="zh-CN"/>
        </w:rPr>
      </w:pPr>
      <w:r>
        <w:rPr>
          <w:rFonts w:hint="eastAsia"/>
          <w:kern w:val="24"/>
          <w:sz w:val="24"/>
          <w:szCs w:val="24"/>
        </w:rPr>
        <w:t>（1）加强对线路两侧保护区的巡视，如在保护区内发现违章建筑物应及时上报相关管理部门，避免相关事件的发生。</w:t>
      </w:r>
    </w:p>
    <w:p w14:paraId="5BD252F4">
      <w:pPr>
        <w:tabs>
          <w:tab w:val="left" w:pos="3240"/>
        </w:tabs>
        <w:snapToGrid w:val="0"/>
        <w:spacing w:line="360" w:lineRule="auto"/>
        <w:ind w:firstLine="480" w:firstLineChars="200"/>
        <w:jc w:val="left"/>
        <w:rPr>
          <w:spacing w:val="4"/>
          <w:kern w:val="24"/>
          <w:sz w:val="24"/>
          <w:szCs w:val="24"/>
          <w:lang w:val="zh-CN"/>
        </w:rPr>
      </w:pPr>
      <w:r>
        <w:rPr>
          <w:rFonts w:hint="eastAsia"/>
          <w:kern w:val="24"/>
          <w:sz w:val="24"/>
          <w:szCs w:val="24"/>
        </w:rPr>
        <w:t>（2）在有重大跨越（电力线路、公路）的杆塔，建议使用双绝缘子串，减轻安全事故发生的概率。</w:t>
      </w:r>
    </w:p>
    <w:p w14:paraId="245684F7">
      <w:pPr>
        <w:spacing w:line="360" w:lineRule="auto"/>
        <w:ind w:firstLine="480" w:firstLineChars="200"/>
        <w:rPr>
          <w:color w:val="000000"/>
          <w:sz w:val="24"/>
          <w:szCs w:val="24"/>
        </w:rPr>
      </w:pPr>
    </w:p>
    <w:sectPr>
      <w:pgSz w:w="11906" w:h="16838"/>
      <w:pgMar w:top="1440" w:right="1800" w:bottom="1440" w:left="1800" w:header="851" w:footer="107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swiss"/>
    <w:pitch w:val="default"/>
    <w:sig w:usb0="FFFFFFFF" w:usb1="E9FFFFFF" w:usb2="0000003F" w:usb3="00000000" w:csb0="603F01FF" w:csb1="FFFF0000"/>
  </w:font>
  <w:font w:name="Century Gothic">
    <w:panose1 w:val="020B0502020202020204"/>
    <w:charset w:val="00"/>
    <w:family w:val="swiss"/>
    <w:pitch w:val="default"/>
    <w:sig w:usb0="00000287" w:usb1="00000000" w:usb2="00000000" w:usb3="00000000" w:csb0="2000009F" w:csb1="DFD70000"/>
  </w:font>
  <w:font w:name="ˎ̥">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imesNewRomanPS-ItalicMT">
    <w:altName w:val="Times New Roman"/>
    <w:panose1 w:val="00000000000000000000"/>
    <w:charset w:val="00"/>
    <w:family w:val="roman"/>
    <w:pitch w:val="default"/>
    <w:sig w:usb0="00000000" w:usb1="00000000" w:usb2="00000010" w:usb3="00000000" w:csb0="00040001" w:csb1="00000000"/>
  </w:font>
  <w:font w:name="MS Gothic">
    <w:panose1 w:val="020B0609070205080204"/>
    <w:charset w:val="80"/>
    <w:family w:val="modern"/>
    <w:pitch w:val="default"/>
    <w:sig w:usb0="E00002FF" w:usb1="6AC7FDFB" w:usb2="08000012" w:usb3="00000000" w:csb0="4002009F" w:csb1="DFD7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F5638">
    <w:pPr>
      <w:pStyle w:val="3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08797">
    <w:pPr>
      <w:pStyle w:val="30"/>
      <w:framePr w:wrap="around" w:vAnchor="text" w:hAnchor="margin" w:xAlign="outside" w:y="1"/>
      <w:rPr>
        <w:rStyle w:val="51"/>
      </w:rPr>
    </w:pPr>
    <w:r>
      <w:fldChar w:fldCharType="begin"/>
    </w:r>
    <w:r>
      <w:rPr>
        <w:rStyle w:val="51"/>
      </w:rPr>
      <w:instrText xml:space="preserve">PAGE  </w:instrText>
    </w:r>
    <w:r>
      <w:fldChar w:fldCharType="end"/>
    </w:r>
  </w:p>
  <w:p w14:paraId="718E7BCD">
    <w:pPr>
      <w:pStyle w:val="3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7F118">
    <w:pPr>
      <w:pStyle w:val="3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84D6A">
    <w:pPr>
      <w:pStyle w:val="3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1263">
    <w:pPr>
      <w:pStyle w:val="3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B0D86">
    <w:pPr>
      <w:pStyle w:val="30"/>
      <w:jc w:val="center"/>
    </w:pPr>
    <w:r>
      <w:fldChar w:fldCharType="begin"/>
    </w:r>
    <w:r>
      <w:instrText xml:space="preserve">PAGE   \* MERGEFORMAT</w:instrText>
    </w:r>
    <w:r>
      <w:fldChar w:fldCharType="separate"/>
    </w:r>
    <w:r>
      <w:rPr>
        <w:lang w:val="zh-CN"/>
      </w:rPr>
      <w:t>2</w:t>
    </w:r>
    <w:r>
      <w:fldChar w:fldCharType="end"/>
    </w:r>
  </w:p>
  <w:p w14:paraId="6CF2D526">
    <w:pPr>
      <w:pStyle w:val="3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53D73">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635" b="0"/>
              <wp:wrapNone/>
              <wp:docPr id="3"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24BB536">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4vdRNAAAAACAQAADwAAAAAAAAABACAAAAAiAAAAZHJz&#10;L2Rvd25yZXYueG1sUEsBAhQAFAAAAAgAh07iQPM68KIMAgAAAgQAAA4AAAAAAAAAAQAgAAAAHwEA&#10;AGRycy9lMm9Eb2MueG1sUEsFBgAAAAAGAAYAWQEAAJ0FAAAAAA==&#10;">
              <v:fill on="f" focussize="0,0"/>
              <v:stroke on="f"/>
              <v:imagedata o:title=""/>
              <o:lock v:ext="edit" aspectratio="f"/>
              <v:textbox inset="0mm,0mm,0mm,0mm" style="mso-fit-shape-to-text:t;">
                <w:txbxContent>
                  <w:p w14:paraId="524BB536">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C570B">
    <w:pPr>
      <w:pStyle w:val="3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8A00B2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e4x+iQsCAAABBAAADgAAAAAAAAABACAAAAAfAQAA&#10;ZHJzL2Uyb0RvYy54bWxQSwUGAAAAAAYABgBZAQAAnAUAAAAA&#10;">
              <v:fill on="f" focussize="0,0"/>
              <v:stroke on="f"/>
              <v:imagedata o:title=""/>
              <o:lock v:ext="edit" aspectratio="f"/>
              <v:textbox inset="0mm,0mm,0mm,0mm" style="mso-fit-shape-to-text:t;">
                <w:txbxContent>
                  <w:p w14:paraId="28A00B2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1613550"/>
      <w:docPartObj>
        <w:docPartGallery w:val="autotext"/>
      </w:docPartObj>
    </w:sdtPr>
    <w:sdtContent>
      <w:p w14:paraId="06822E5A">
        <w:pPr>
          <w:pStyle w:val="30"/>
          <w:jc w:val="center"/>
        </w:pPr>
        <w:r>
          <w:fldChar w:fldCharType="begin"/>
        </w:r>
        <w:r>
          <w:instrText xml:space="preserve">PAGE   \* MERGEFORMAT</w:instrText>
        </w:r>
        <w:r>
          <w:fldChar w:fldCharType="separate"/>
        </w:r>
        <w:r>
          <w:rPr>
            <w:lang w:val="zh-CN"/>
          </w:rPr>
          <w:t>2</w:t>
        </w:r>
        <w:r>
          <w:fldChar w:fldCharType="end"/>
        </w:r>
      </w:p>
    </w:sdtContent>
  </w:sdt>
  <w:p w14:paraId="3AD2623C">
    <w:pPr>
      <w:pStyle w:val="3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1EA1F">
    <w:pPr>
      <w:pStyle w:val="31"/>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6E7BFE"/>
    <w:multiLevelType w:val="singleLevel"/>
    <w:tmpl w:val="B56E7BFE"/>
    <w:lvl w:ilvl="0" w:tentative="0">
      <w:start w:val="1"/>
      <w:numFmt w:val="chineseCounting"/>
      <w:suff w:val="nothing"/>
      <w:lvlText w:val="%1、"/>
      <w:lvlJc w:val="left"/>
      <w:rPr>
        <w:rFonts w:hint="eastAsia"/>
      </w:rPr>
    </w:lvl>
  </w:abstractNum>
  <w:abstractNum w:abstractNumId="1">
    <w:nsid w:val="DCF1D9F2"/>
    <w:multiLevelType w:val="singleLevel"/>
    <w:tmpl w:val="DCF1D9F2"/>
    <w:lvl w:ilvl="0" w:tentative="0">
      <w:start w:val="2"/>
      <w:numFmt w:val="chineseCounting"/>
      <w:suff w:val="nothing"/>
      <w:lvlText w:val="%1、"/>
      <w:lvlJc w:val="left"/>
      <w:rPr>
        <w:rFonts w:hint="eastAsia"/>
      </w:rPr>
    </w:lvl>
  </w:abstractNum>
  <w:abstractNum w:abstractNumId="2">
    <w:nsid w:val="07B539CC"/>
    <w:multiLevelType w:val="singleLevel"/>
    <w:tmpl w:val="07B539CC"/>
    <w:lvl w:ilvl="0" w:tentative="0">
      <w:start w:val="1"/>
      <w:numFmt w:val="decimal"/>
      <w:suff w:val="nothing"/>
      <w:lvlText w:val="%1、"/>
      <w:lvlJc w:val="left"/>
    </w:lvl>
  </w:abstractNum>
  <w:abstractNum w:abstractNumId="3">
    <w:nsid w:val="6F3EF379"/>
    <w:multiLevelType w:val="singleLevel"/>
    <w:tmpl w:val="6F3EF379"/>
    <w:lvl w:ilvl="0" w:tentative="0">
      <w:start w:val="2"/>
      <w:numFmt w:val="decimal"/>
      <w:pStyle w:val="217"/>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CED"/>
    <w:rsid w:val="00001E67"/>
    <w:rsid w:val="00003507"/>
    <w:rsid w:val="00003CD8"/>
    <w:rsid w:val="00006D45"/>
    <w:rsid w:val="00007D0E"/>
    <w:rsid w:val="00012956"/>
    <w:rsid w:val="00012AE6"/>
    <w:rsid w:val="00014965"/>
    <w:rsid w:val="0001523A"/>
    <w:rsid w:val="00016ECB"/>
    <w:rsid w:val="000260B3"/>
    <w:rsid w:val="000269F6"/>
    <w:rsid w:val="00030E89"/>
    <w:rsid w:val="00031709"/>
    <w:rsid w:val="00031939"/>
    <w:rsid w:val="00032D25"/>
    <w:rsid w:val="00033F08"/>
    <w:rsid w:val="00037DB2"/>
    <w:rsid w:val="0004292E"/>
    <w:rsid w:val="0005219D"/>
    <w:rsid w:val="0005323F"/>
    <w:rsid w:val="0005568F"/>
    <w:rsid w:val="0005590A"/>
    <w:rsid w:val="00056599"/>
    <w:rsid w:val="00057711"/>
    <w:rsid w:val="0006153D"/>
    <w:rsid w:val="00061B1F"/>
    <w:rsid w:val="00065C74"/>
    <w:rsid w:val="000664DB"/>
    <w:rsid w:val="00066834"/>
    <w:rsid w:val="000669FC"/>
    <w:rsid w:val="00066E0A"/>
    <w:rsid w:val="000701A0"/>
    <w:rsid w:val="0007127D"/>
    <w:rsid w:val="00071AE5"/>
    <w:rsid w:val="00072D6C"/>
    <w:rsid w:val="000735DC"/>
    <w:rsid w:val="00073CFA"/>
    <w:rsid w:val="00074783"/>
    <w:rsid w:val="000801E0"/>
    <w:rsid w:val="000804DC"/>
    <w:rsid w:val="000804EA"/>
    <w:rsid w:val="00082A29"/>
    <w:rsid w:val="0008331D"/>
    <w:rsid w:val="00083C18"/>
    <w:rsid w:val="00084026"/>
    <w:rsid w:val="000860CE"/>
    <w:rsid w:val="00092899"/>
    <w:rsid w:val="00095107"/>
    <w:rsid w:val="00095BAC"/>
    <w:rsid w:val="000A178E"/>
    <w:rsid w:val="000A3F20"/>
    <w:rsid w:val="000A557E"/>
    <w:rsid w:val="000A6522"/>
    <w:rsid w:val="000B058F"/>
    <w:rsid w:val="000B059E"/>
    <w:rsid w:val="000B224E"/>
    <w:rsid w:val="000B2532"/>
    <w:rsid w:val="000B5EA6"/>
    <w:rsid w:val="000B693F"/>
    <w:rsid w:val="000B6CD6"/>
    <w:rsid w:val="000B751F"/>
    <w:rsid w:val="000C09AC"/>
    <w:rsid w:val="000C0A63"/>
    <w:rsid w:val="000C0EA2"/>
    <w:rsid w:val="000C1380"/>
    <w:rsid w:val="000C3A62"/>
    <w:rsid w:val="000C3DD1"/>
    <w:rsid w:val="000C437E"/>
    <w:rsid w:val="000C6858"/>
    <w:rsid w:val="000C72C0"/>
    <w:rsid w:val="000C7C7F"/>
    <w:rsid w:val="000D0565"/>
    <w:rsid w:val="000D27CF"/>
    <w:rsid w:val="000D303E"/>
    <w:rsid w:val="000D7BF6"/>
    <w:rsid w:val="000E428F"/>
    <w:rsid w:val="000E492C"/>
    <w:rsid w:val="000E5F16"/>
    <w:rsid w:val="000E6C95"/>
    <w:rsid w:val="000F0A47"/>
    <w:rsid w:val="000F3ED2"/>
    <w:rsid w:val="000F4452"/>
    <w:rsid w:val="000F5795"/>
    <w:rsid w:val="000F6DA1"/>
    <w:rsid w:val="000F701B"/>
    <w:rsid w:val="000F780F"/>
    <w:rsid w:val="001056A0"/>
    <w:rsid w:val="00105F95"/>
    <w:rsid w:val="00115279"/>
    <w:rsid w:val="00115B26"/>
    <w:rsid w:val="00117459"/>
    <w:rsid w:val="0011749A"/>
    <w:rsid w:val="001237EA"/>
    <w:rsid w:val="00124CFA"/>
    <w:rsid w:val="00127A68"/>
    <w:rsid w:val="00133966"/>
    <w:rsid w:val="0013692D"/>
    <w:rsid w:val="00140B13"/>
    <w:rsid w:val="001410B6"/>
    <w:rsid w:val="00141B68"/>
    <w:rsid w:val="00142B35"/>
    <w:rsid w:val="0014342A"/>
    <w:rsid w:val="00145B75"/>
    <w:rsid w:val="001466DA"/>
    <w:rsid w:val="001549F4"/>
    <w:rsid w:val="00154DE1"/>
    <w:rsid w:val="00155B40"/>
    <w:rsid w:val="00155C51"/>
    <w:rsid w:val="0015640F"/>
    <w:rsid w:val="00157435"/>
    <w:rsid w:val="001575F3"/>
    <w:rsid w:val="001578B7"/>
    <w:rsid w:val="00163EEA"/>
    <w:rsid w:val="00167A07"/>
    <w:rsid w:val="00167F49"/>
    <w:rsid w:val="00167F5A"/>
    <w:rsid w:val="00167FC9"/>
    <w:rsid w:val="0017046A"/>
    <w:rsid w:val="001704A3"/>
    <w:rsid w:val="0017225F"/>
    <w:rsid w:val="00172A27"/>
    <w:rsid w:val="00172EE4"/>
    <w:rsid w:val="0017504D"/>
    <w:rsid w:val="00176B01"/>
    <w:rsid w:val="00176DCC"/>
    <w:rsid w:val="00177422"/>
    <w:rsid w:val="00184006"/>
    <w:rsid w:val="00184F10"/>
    <w:rsid w:val="00185342"/>
    <w:rsid w:val="00185546"/>
    <w:rsid w:val="0019146B"/>
    <w:rsid w:val="00192216"/>
    <w:rsid w:val="00192993"/>
    <w:rsid w:val="00193A2F"/>
    <w:rsid w:val="00194398"/>
    <w:rsid w:val="001A0CB5"/>
    <w:rsid w:val="001A305C"/>
    <w:rsid w:val="001A6CAC"/>
    <w:rsid w:val="001A7D2A"/>
    <w:rsid w:val="001B19F6"/>
    <w:rsid w:val="001B1C3A"/>
    <w:rsid w:val="001B2692"/>
    <w:rsid w:val="001B53AF"/>
    <w:rsid w:val="001B574C"/>
    <w:rsid w:val="001B687D"/>
    <w:rsid w:val="001B76B2"/>
    <w:rsid w:val="001C0AF9"/>
    <w:rsid w:val="001C1428"/>
    <w:rsid w:val="001C155A"/>
    <w:rsid w:val="001C3091"/>
    <w:rsid w:val="001C414F"/>
    <w:rsid w:val="001C48C0"/>
    <w:rsid w:val="001D103C"/>
    <w:rsid w:val="001D483F"/>
    <w:rsid w:val="001D4853"/>
    <w:rsid w:val="001D4B2C"/>
    <w:rsid w:val="001D5C29"/>
    <w:rsid w:val="001D6726"/>
    <w:rsid w:val="001E04B4"/>
    <w:rsid w:val="001E0F04"/>
    <w:rsid w:val="001E25AB"/>
    <w:rsid w:val="001E60EB"/>
    <w:rsid w:val="001F3347"/>
    <w:rsid w:val="001F4440"/>
    <w:rsid w:val="001F69E4"/>
    <w:rsid w:val="00201F5A"/>
    <w:rsid w:val="00205AEC"/>
    <w:rsid w:val="00206A65"/>
    <w:rsid w:val="00212D31"/>
    <w:rsid w:val="002130C7"/>
    <w:rsid w:val="002144CD"/>
    <w:rsid w:val="002149BE"/>
    <w:rsid w:val="002218A8"/>
    <w:rsid w:val="0022306D"/>
    <w:rsid w:val="00224F82"/>
    <w:rsid w:val="00226574"/>
    <w:rsid w:val="002278EC"/>
    <w:rsid w:val="002279F2"/>
    <w:rsid w:val="00230162"/>
    <w:rsid w:val="00231BE5"/>
    <w:rsid w:val="00232D9D"/>
    <w:rsid w:val="002341BD"/>
    <w:rsid w:val="002357C7"/>
    <w:rsid w:val="002367C4"/>
    <w:rsid w:val="00242C95"/>
    <w:rsid w:val="002438AE"/>
    <w:rsid w:val="0024453D"/>
    <w:rsid w:val="00244A65"/>
    <w:rsid w:val="00245D3A"/>
    <w:rsid w:val="002556B2"/>
    <w:rsid w:val="0025679E"/>
    <w:rsid w:val="00260C68"/>
    <w:rsid w:val="002648B0"/>
    <w:rsid w:val="00271BD5"/>
    <w:rsid w:val="002750B3"/>
    <w:rsid w:val="00275271"/>
    <w:rsid w:val="0027535E"/>
    <w:rsid w:val="00275604"/>
    <w:rsid w:val="00275AA6"/>
    <w:rsid w:val="002807D5"/>
    <w:rsid w:val="00282CCD"/>
    <w:rsid w:val="00284040"/>
    <w:rsid w:val="00287B07"/>
    <w:rsid w:val="0029310B"/>
    <w:rsid w:val="0029614E"/>
    <w:rsid w:val="002A168C"/>
    <w:rsid w:val="002A2C48"/>
    <w:rsid w:val="002A3079"/>
    <w:rsid w:val="002A3A40"/>
    <w:rsid w:val="002A3EED"/>
    <w:rsid w:val="002A4A39"/>
    <w:rsid w:val="002A5A17"/>
    <w:rsid w:val="002A5D29"/>
    <w:rsid w:val="002A6425"/>
    <w:rsid w:val="002B09EB"/>
    <w:rsid w:val="002B49E2"/>
    <w:rsid w:val="002B4BA8"/>
    <w:rsid w:val="002B7B00"/>
    <w:rsid w:val="002B7C44"/>
    <w:rsid w:val="002C1388"/>
    <w:rsid w:val="002C13EF"/>
    <w:rsid w:val="002C25E0"/>
    <w:rsid w:val="002C3C6A"/>
    <w:rsid w:val="002C55EC"/>
    <w:rsid w:val="002C7A27"/>
    <w:rsid w:val="002D011C"/>
    <w:rsid w:val="002D0151"/>
    <w:rsid w:val="002D1643"/>
    <w:rsid w:val="002D2080"/>
    <w:rsid w:val="002D429A"/>
    <w:rsid w:val="002D42DB"/>
    <w:rsid w:val="002D4F5D"/>
    <w:rsid w:val="002E0F4E"/>
    <w:rsid w:val="002E1F3A"/>
    <w:rsid w:val="002E298A"/>
    <w:rsid w:val="002E4073"/>
    <w:rsid w:val="002F02A4"/>
    <w:rsid w:val="002F272B"/>
    <w:rsid w:val="002F6017"/>
    <w:rsid w:val="002F70C1"/>
    <w:rsid w:val="002F7C6D"/>
    <w:rsid w:val="003027E4"/>
    <w:rsid w:val="0030332C"/>
    <w:rsid w:val="003068E4"/>
    <w:rsid w:val="00306E92"/>
    <w:rsid w:val="0030734D"/>
    <w:rsid w:val="00312296"/>
    <w:rsid w:val="0031340E"/>
    <w:rsid w:val="00313B75"/>
    <w:rsid w:val="00316464"/>
    <w:rsid w:val="00317FC1"/>
    <w:rsid w:val="0032073A"/>
    <w:rsid w:val="003212BE"/>
    <w:rsid w:val="00321D8E"/>
    <w:rsid w:val="00322E41"/>
    <w:rsid w:val="0032607E"/>
    <w:rsid w:val="00327550"/>
    <w:rsid w:val="0032782F"/>
    <w:rsid w:val="0033412A"/>
    <w:rsid w:val="00334996"/>
    <w:rsid w:val="00334E74"/>
    <w:rsid w:val="00335822"/>
    <w:rsid w:val="00336969"/>
    <w:rsid w:val="00336C52"/>
    <w:rsid w:val="00341B3E"/>
    <w:rsid w:val="00341B42"/>
    <w:rsid w:val="00344D3C"/>
    <w:rsid w:val="00345154"/>
    <w:rsid w:val="0034560E"/>
    <w:rsid w:val="00350523"/>
    <w:rsid w:val="0035098B"/>
    <w:rsid w:val="00352975"/>
    <w:rsid w:val="00352C24"/>
    <w:rsid w:val="00356868"/>
    <w:rsid w:val="00357963"/>
    <w:rsid w:val="00361042"/>
    <w:rsid w:val="00361DA2"/>
    <w:rsid w:val="00362E70"/>
    <w:rsid w:val="0036485B"/>
    <w:rsid w:val="00364C80"/>
    <w:rsid w:val="00366E09"/>
    <w:rsid w:val="00373B0D"/>
    <w:rsid w:val="00376988"/>
    <w:rsid w:val="00377C16"/>
    <w:rsid w:val="0038015F"/>
    <w:rsid w:val="00381A72"/>
    <w:rsid w:val="003830B1"/>
    <w:rsid w:val="003837B0"/>
    <w:rsid w:val="0039113D"/>
    <w:rsid w:val="00391303"/>
    <w:rsid w:val="00391C82"/>
    <w:rsid w:val="00391FB4"/>
    <w:rsid w:val="003960F8"/>
    <w:rsid w:val="003A1948"/>
    <w:rsid w:val="003A4B61"/>
    <w:rsid w:val="003B152A"/>
    <w:rsid w:val="003B2987"/>
    <w:rsid w:val="003B49BD"/>
    <w:rsid w:val="003B4DE5"/>
    <w:rsid w:val="003B545B"/>
    <w:rsid w:val="003B7409"/>
    <w:rsid w:val="003C1986"/>
    <w:rsid w:val="003C5E5C"/>
    <w:rsid w:val="003C6E4F"/>
    <w:rsid w:val="003C77F6"/>
    <w:rsid w:val="003D05AB"/>
    <w:rsid w:val="003D3EE9"/>
    <w:rsid w:val="003D4C11"/>
    <w:rsid w:val="003D5F30"/>
    <w:rsid w:val="003E0937"/>
    <w:rsid w:val="003E2E94"/>
    <w:rsid w:val="003E4113"/>
    <w:rsid w:val="003E7681"/>
    <w:rsid w:val="003F0809"/>
    <w:rsid w:val="003F611C"/>
    <w:rsid w:val="003F755C"/>
    <w:rsid w:val="004016A8"/>
    <w:rsid w:val="00406F01"/>
    <w:rsid w:val="00411B36"/>
    <w:rsid w:val="004121D7"/>
    <w:rsid w:val="00414686"/>
    <w:rsid w:val="00416D50"/>
    <w:rsid w:val="00417772"/>
    <w:rsid w:val="00420E6A"/>
    <w:rsid w:val="00421A2D"/>
    <w:rsid w:val="004250B6"/>
    <w:rsid w:val="0042541F"/>
    <w:rsid w:val="004317E4"/>
    <w:rsid w:val="00433CA9"/>
    <w:rsid w:val="004342D1"/>
    <w:rsid w:val="0043521D"/>
    <w:rsid w:val="00435708"/>
    <w:rsid w:val="0044103F"/>
    <w:rsid w:val="00441397"/>
    <w:rsid w:val="004413EE"/>
    <w:rsid w:val="00442024"/>
    <w:rsid w:val="0044254C"/>
    <w:rsid w:val="00443F6A"/>
    <w:rsid w:val="00446D63"/>
    <w:rsid w:val="00450A17"/>
    <w:rsid w:val="004528E1"/>
    <w:rsid w:val="00460D8C"/>
    <w:rsid w:val="00464C73"/>
    <w:rsid w:val="00466321"/>
    <w:rsid w:val="004672AF"/>
    <w:rsid w:val="00467710"/>
    <w:rsid w:val="004706CF"/>
    <w:rsid w:val="0047152B"/>
    <w:rsid w:val="004727B0"/>
    <w:rsid w:val="0047687E"/>
    <w:rsid w:val="00477C7C"/>
    <w:rsid w:val="00480247"/>
    <w:rsid w:val="0048081D"/>
    <w:rsid w:val="0048117E"/>
    <w:rsid w:val="00481274"/>
    <w:rsid w:val="00483E92"/>
    <w:rsid w:val="004855F6"/>
    <w:rsid w:val="00486F0C"/>
    <w:rsid w:val="00494670"/>
    <w:rsid w:val="004956D0"/>
    <w:rsid w:val="00496E75"/>
    <w:rsid w:val="004A0EB4"/>
    <w:rsid w:val="004A1169"/>
    <w:rsid w:val="004A2B10"/>
    <w:rsid w:val="004A3308"/>
    <w:rsid w:val="004A3823"/>
    <w:rsid w:val="004A59BB"/>
    <w:rsid w:val="004B43A3"/>
    <w:rsid w:val="004B4C49"/>
    <w:rsid w:val="004B58A5"/>
    <w:rsid w:val="004B63D9"/>
    <w:rsid w:val="004B6669"/>
    <w:rsid w:val="004B6C8B"/>
    <w:rsid w:val="004C0882"/>
    <w:rsid w:val="004C2F4E"/>
    <w:rsid w:val="004C4EE0"/>
    <w:rsid w:val="004C55BE"/>
    <w:rsid w:val="004C6B78"/>
    <w:rsid w:val="004C6E4C"/>
    <w:rsid w:val="004D113D"/>
    <w:rsid w:val="004D2219"/>
    <w:rsid w:val="004D274B"/>
    <w:rsid w:val="004D404C"/>
    <w:rsid w:val="004D52E1"/>
    <w:rsid w:val="004D5DE8"/>
    <w:rsid w:val="004E5B30"/>
    <w:rsid w:val="004F0779"/>
    <w:rsid w:val="004F1230"/>
    <w:rsid w:val="004F173F"/>
    <w:rsid w:val="004F177C"/>
    <w:rsid w:val="004F2DCE"/>
    <w:rsid w:val="004F37D7"/>
    <w:rsid w:val="004F6E7A"/>
    <w:rsid w:val="00501E0F"/>
    <w:rsid w:val="005029B5"/>
    <w:rsid w:val="005039CB"/>
    <w:rsid w:val="0050558F"/>
    <w:rsid w:val="005057E0"/>
    <w:rsid w:val="00506286"/>
    <w:rsid w:val="00510813"/>
    <w:rsid w:val="00511DE0"/>
    <w:rsid w:val="00511F23"/>
    <w:rsid w:val="005174AC"/>
    <w:rsid w:val="00517F02"/>
    <w:rsid w:val="00524547"/>
    <w:rsid w:val="005258A2"/>
    <w:rsid w:val="005269B9"/>
    <w:rsid w:val="00526E92"/>
    <w:rsid w:val="00530F7C"/>
    <w:rsid w:val="00534567"/>
    <w:rsid w:val="00534F43"/>
    <w:rsid w:val="00535A84"/>
    <w:rsid w:val="00536889"/>
    <w:rsid w:val="00542E07"/>
    <w:rsid w:val="00544AF3"/>
    <w:rsid w:val="00547992"/>
    <w:rsid w:val="00547EC9"/>
    <w:rsid w:val="00550E66"/>
    <w:rsid w:val="00552A5E"/>
    <w:rsid w:val="00554A7B"/>
    <w:rsid w:val="0055572C"/>
    <w:rsid w:val="00560116"/>
    <w:rsid w:val="0056064F"/>
    <w:rsid w:val="0056197A"/>
    <w:rsid w:val="00561B84"/>
    <w:rsid w:val="0056264F"/>
    <w:rsid w:val="00565D21"/>
    <w:rsid w:val="005715F9"/>
    <w:rsid w:val="00571D98"/>
    <w:rsid w:val="005720AE"/>
    <w:rsid w:val="005722E3"/>
    <w:rsid w:val="00574C58"/>
    <w:rsid w:val="00574F0F"/>
    <w:rsid w:val="00575185"/>
    <w:rsid w:val="0058030D"/>
    <w:rsid w:val="00580376"/>
    <w:rsid w:val="00582045"/>
    <w:rsid w:val="00583E97"/>
    <w:rsid w:val="00585C39"/>
    <w:rsid w:val="00590AE3"/>
    <w:rsid w:val="005918F1"/>
    <w:rsid w:val="00595676"/>
    <w:rsid w:val="005A06B7"/>
    <w:rsid w:val="005A0CB4"/>
    <w:rsid w:val="005A1467"/>
    <w:rsid w:val="005A1610"/>
    <w:rsid w:val="005A1759"/>
    <w:rsid w:val="005B1849"/>
    <w:rsid w:val="005B1D56"/>
    <w:rsid w:val="005B4A94"/>
    <w:rsid w:val="005B5FAF"/>
    <w:rsid w:val="005C47E5"/>
    <w:rsid w:val="005C7B64"/>
    <w:rsid w:val="005D0369"/>
    <w:rsid w:val="005D1965"/>
    <w:rsid w:val="005D3DF6"/>
    <w:rsid w:val="005D53FE"/>
    <w:rsid w:val="005D58ED"/>
    <w:rsid w:val="005D6F90"/>
    <w:rsid w:val="005D72BE"/>
    <w:rsid w:val="005D7A0F"/>
    <w:rsid w:val="005E0438"/>
    <w:rsid w:val="005E1791"/>
    <w:rsid w:val="005E2CE6"/>
    <w:rsid w:val="005E32EE"/>
    <w:rsid w:val="005E36C8"/>
    <w:rsid w:val="005E5554"/>
    <w:rsid w:val="005E6324"/>
    <w:rsid w:val="005E6AB0"/>
    <w:rsid w:val="005F228B"/>
    <w:rsid w:val="005F29CD"/>
    <w:rsid w:val="005F4DFB"/>
    <w:rsid w:val="005F50C7"/>
    <w:rsid w:val="005F551E"/>
    <w:rsid w:val="005F6CC0"/>
    <w:rsid w:val="00603E5B"/>
    <w:rsid w:val="00604BC8"/>
    <w:rsid w:val="00604FDA"/>
    <w:rsid w:val="00612E6D"/>
    <w:rsid w:val="00615B4C"/>
    <w:rsid w:val="00615B5D"/>
    <w:rsid w:val="00617505"/>
    <w:rsid w:val="00620BE1"/>
    <w:rsid w:val="0062146F"/>
    <w:rsid w:val="00627CF0"/>
    <w:rsid w:val="00631890"/>
    <w:rsid w:val="0063204F"/>
    <w:rsid w:val="006343AF"/>
    <w:rsid w:val="0063472E"/>
    <w:rsid w:val="00634855"/>
    <w:rsid w:val="0063634A"/>
    <w:rsid w:val="00642257"/>
    <w:rsid w:val="0064250D"/>
    <w:rsid w:val="006437FC"/>
    <w:rsid w:val="00644C93"/>
    <w:rsid w:val="006535EB"/>
    <w:rsid w:val="006568F6"/>
    <w:rsid w:val="00663016"/>
    <w:rsid w:val="00674605"/>
    <w:rsid w:val="006748B8"/>
    <w:rsid w:val="00674907"/>
    <w:rsid w:val="006820B3"/>
    <w:rsid w:val="00682625"/>
    <w:rsid w:val="0068270F"/>
    <w:rsid w:val="0068535B"/>
    <w:rsid w:val="0068736E"/>
    <w:rsid w:val="0069290A"/>
    <w:rsid w:val="0069433F"/>
    <w:rsid w:val="006947C5"/>
    <w:rsid w:val="00696752"/>
    <w:rsid w:val="00696D53"/>
    <w:rsid w:val="00697032"/>
    <w:rsid w:val="006975AC"/>
    <w:rsid w:val="006A15FB"/>
    <w:rsid w:val="006A3205"/>
    <w:rsid w:val="006A3A31"/>
    <w:rsid w:val="006A72BF"/>
    <w:rsid w:val="006B12F2"/>
    <w:rsid w:val="006B332A"/>
    <w:rsid w:val="006B33BD"/>
    <w:rsid w:val="006B3EFA"/>
    <w:rsid w:val="006C3F75"/>
    <w:rsid w:val="006C66F4"/>
    <w:rsid w:val="006C7E41"/>
    <w:rsid w:val="006C7F96"/>
    <w:rsid w:val="006D170E"/>
    <w:rsid w:val="006D7A89"/>
    <w:rsid w:val="006E06AF"/>
    <w:rsid w:val="006E340D"/>
    <w:rsid w:val="006E39D2"/>
    <w:rsid w:val="006E6024"/>
    <w:rsid w:val="006E633E"/>
    <w:rsid w:val="006E68A4"/>
    <w:rsid w:val="006E6E77"/>
    <w:rsid w:val="006F1789"/>
    <w:rsid w:val="00703B50"/>
    <w:rsid w:val="007041E9"/>
    <w:rsid w:val="00706C5D"/>
    <w:rsid w:val="007118E6"/>
    <w:rsid w:val="00711ED5"/>
    <w:rsid w:val="00717F53"/>
    <w:rsid w:val="00720AD4"/>
    <w:rsid w:val="007225C9"/>
    <w:rsid w:val="007274ED"/>
    <w:rsid w:val="00731377"/>
    <w:rsid w:val="00733D5B"/>
    <w:rsid w:val="00735CD7"/>
    <w:rsid w:val="00744C09"/>
    <w:rsid w:val="00752EAF"/>
    <w:rsid w:val="00754034"/>
    <w:rsid w:val="00754BF1"/>
    <w:rsid w:val="00755A30"/>
    <w:rsid w:val="00755E1C"/>
    <w:rsid w:val="00756556"/>
    <w:rsid w:val="007612FB"/>
    <w:rsid w:val="0076132B"/>
    <w:rsid w:val="007623AE"/>
    <w:rsid w:val="00762522"/>
    <w:rsid w:val="0076334E"/>
    <w:rsid w:val="00763382"/>
    <w:rsid w:val="00764200"/>
    <w:rsid w:val="00770B19"/>
    <w:rsid w:val="00772720"/>
    <w:rsid w:val="00773CFC"/>
    <w:rsid w:val="00774FA0"/>
    <w:rsid w:val="00776620"/>
    <w:rsid w:val="00777B6D"/>
    <w:rsid w:val="00781E9B"/>
    <w:rsid w:val="007836FF"/>
    <w:rsid w:val="00784609"/>
    <w:rsid w:val="00784855"/>
    <w:rsid w:val="00784F39"/>
    <w:rsid w:val="0078545C"/>
    <w:rsid w:val="0078609D"/>
    <w:rsid w:val="007863D1"/>
    <w:rsid w:val="00787194"/>
    <w:rsid w:val="00787497"/>
    <w:rsid w:val="007906C4"/>
    <w:rsid w:val="007940EA"/>
    <w:rsid w:val="00795B89"/>
    <w:rsid w:val="007967E8"/>
    <w:rsid w:val="007A63F2"/>
    <w:rsid w:val="007B118F"/>
    <w:rsid w:val="007B3638"/>
    <w:rsid w:val="007B5DE3"/>
    <w:rsid w:val="007B68DE"/>
    <w:rsid w:val="007C1857"/>
    <w:rsid w:val="007C514F"/>
    <w:rsid w:val="007C52AD"/>
    <w:rsid w:val="007C54C9"/>
    <w:rsid w:val="007D0261"/>
    <w:rsid w:val="007D0F95"/>
    <w:rsid w:val="007D7ECB"/>
    <w:rsid w:val="007E0128"/>
    <w:rsid w:val="007E17E3"/>
    <w:rsid w:val="007E25A1"/>
    <w:rsid w:val="007E4BD2"/>
    <w:rsid w:val="007E586D"/>
    <w:rsid w:val="007E7145"/>
    <w:rsid w:val="007F13BC"/>
    <w:rsid w:val="007F169E"/>
    <w:rsid w:val="007F2EEC"/>
    <w:rsid w:val="007F3916"/>
    <w:rsid w:val="007F5E9E"/>
    <w:rsid w:val="00801179"/>
    <w:rsid w:val="008014B5"/>
    <w:rsid w:val="00802479"/>
    <w:rsid w:val="00804A92"/>
    <w:rsid w:val="00805372"/>
    <w:rsid w:val="00805B7B"/>
    <w:rsid w:val="0081139B"/>
    <w:rsid w:val="0081191D"/>
    <w:rsid w:val="0081293E"/>
    <w:rsid w:val="00812FAE"/>
    <w:rsid w:val="00814FFB"/>
    <w:rsid w:val="00820053"/>
    <w:rsid w:val="00820568"/>
    <w:rsid w:val="00822570"/>
    <w:rsid w:val="00822FB7"/>
    <w:rsid w:val="0082698B"/>
    <w:rsid w:val="00831A80"/>
    <w:rsid w:val="008332C8"/>
    <w:rsid w:val="008334C3"/>
    <w:rsid w:val="00833743"/>
    <w:rsid w:val="00833DBD"/>
    <w:rsid w:val="008340A4"/>
    <w:rsid w:val="00836799"/>
    <w:rsid w:val="00837028"/>
    <w:rsid w:val="00837131"/>
    <w:rsid w:val="00845F57"/>
    <w:rsid w:val="00846FB3"/>
    <w:rsid w:val="00851244"/>
    <w:rsid w:val="008521E0"/>
    <w:rsid w:val="008525B0"/>
    <w:rsid w:val="00860354"/>
    <w:rsid w:val="00860BFD"/>
    <w:rsid w:val="00863E2A"/>
    <w:rsid w:val="008649B6"/>
    <w:rsid w:val="00867465"/>
    <w:rsid w:val="00867BB1"/>
    <w:rsid w:val="00867CBC"/>
    <w:rsid w:val="00872BE6"/>
    <w:rsid w:val="00876663"/>
    <w:rsid w:val="00876C30"/>
    <w:rsid w:val="00877017"/>
    <w:rsid w:val="008773C0"/>
    <w:rsid w:val="00877F33"/>
    <w:rsid w:val="00880364"/>
    <w:rsid w:val="0088139C"/>
    <w:rsid w:val="0088144F"/>
    <w:rsid w:val="0088163C"/>
    <w:rsid w:val="00883647"/>
    <w:rsid w:val="00883CF2"/>
    <w:rsid w:val="00884560"/>
    <w:rsid w:val="008861FF"/>
    <w:rsid w:val="00886C4C"/>
    <w:rsid w:val="0088711C"/>
    <w:rsid w:val="00892ECF"/>
    <w:rsid w:val="00892F06"/>
    <w:rsid w:val="00894285"/>
    <w:rsid w:val="008943CE"/>
    <w:rsid w:val="008A40AE"/>
    <w:rsid w:val="008A4E19"/>
    <w:rsid w:val="008A67C5"/>
    <w:rsid w:val="008B22E1"/>
    <w:rsid w:val="008B3C78"/>
    <w:rsid w:val="008B4788"/>
    <w:rsid w:val="008B4AE9"/>
    <w:rsid w:val="008C30AD"/>
    <w:rsid w:val="008C4E8A"/>
    <w:rsid w:val="008C796E"/>
    <w:rsid w:val="008D068E"/>
    <w:rsid w:val="008D0F7A"/>
    <w:rsid w:val="008D1603"/>
    <w:rsid w:val="008D3226"/>
    <w:rsid w:val="008D63BE"/>
    <w:rsid w:val="008E0CFF"/>
    <w:rsid w:val="008E5D6B"/>
    <w:rsid w:val="008E689B"/>
    <w:rsid w:val="008E76F0"/>
    <w:rsid w:val="008F0BA9"/>
    <w:rsid w:val="008F15FE"/>
    <w:rsid w:val="008F2A94"/>
    <w:rsid w:val="008F3A9E"/>
    <w:rsid w:val="008F5187"/>
    <w:rsid w:val="008F5673"/>
    <w:rsid w:val="008F709C"/>
    <w:rsid w:val="00900815"/>
    <w:rsid w:val="0090312B"/>
    <w:rsid w:val="00903ECE"/>
    <w:rsid w:val="0090433F"/>
    <w:rsid w:val="00904698"/>
    <w:rsid w:val="00904961"/>
    <w:rsid w:val="00904C89"/>
    <w:rsid w:val="00905A87"/>
    <w:rsid w:val="00915493"/>
    <w:rsid w:val="0091579D"/>
    <w:rsid w:val="00916947"/>
    <w:rsid w:val="0091736D"/>
    <w:rsid w:val="00917FAC"/>
    <w:rsid w:val="00931001"/>
    <w:rsid w:val="00931863"/>
    <w:rsid w:val="009325CA"/>
    <w:rsid w:val="00932F0C"/>
    <w:rsid w:val="00933524"/>
    <w:rsid w:val="0093452B"/>
    <w:rsid w:val="0094278D"/>
    <w:rsid w:val="009435EC"/>
    <w:rsid w:val="009439AA"/>
    <w:rsid w:val="00946AFB"/>
    <w:rsid w:val="00947F52"/>
    <w:rsid w:val="00947F61"/>
    <w:rsid w:val="009527F2"/>
    <w:rsid w:val="00952D19"/>
    <w:rsid w:val="0095308A"/>
    <w:rsid w:val="00955AEE"/>
    <w:rsid w:val="00956095"/>
    <w:rsid w:val="00956F14"/>
    <w:rsid w:val="00961D58"/>
    <w:rsid w:val="009620FD"/>
    <w:rsid w:val="0096247A"/>
    <w:rsid w:val="00965F4B"/>
    <w:rsid w:val="00966E6B"/>
    <w:rsid w:val="009676F3"/>
    <w:rsid w:val="00970F8A"/>
    <w:rsid w:val="00971FB5"/>
    <w:rsid w:val="00972D2A"/>
    <w:rsid w:val="00973D69"/>
    <w:rsid w:val="00975897"/>
    <w:rsid w:val="00975CC5"/>
    <w:rsid w:val="00976328"/>
    <w:rsid w:val="00976B4E"/>
    <w:rsid w:val="00981E8E"/>
    <w:rsid w:val="00984458"/>
    <w:rsid w:val="00985283"/>
    <w:rsid w:val="00987322"/>
    <w:rsid w:val="0099035A"/>
    <w:rsid w:val="00993405"/>
    <w:rsid w:val="009A00DC"/>
    <w:rsid w:val="009A0F3B"/>
    <w:rsid w:val="009A3FDA"/>
    <w:rsid w:val="009A5265"/>
    <w:rsid w:val="009A72C7"/>
    <w:rsid w:val="009A7339"/>
    <w:rsid w:val="009B0897"/>
    <w:rsid w:val="009B23F2"/>
    <w:rsid w:val="009B2AB5"/>
    <w:rsid w:val="009B79F1"/>
    <w:rsid w:val="009D06AD"/>
    <w:rsid w:val="009D0852"/>
    <w:rsid w:val="009D1FBF"/>
    <w:rsid w:val="009D364C"/>
    <w:rsid w:val="009D5804"/>
    <w:rsid w:val="009D77FA"/>
    <w:rsid w:val="009E0AA7"/>
    <w:rsid w:val="009E0F7D"/>
    <w:rsid w:val="009E399C"/>
    <w:rsid w:val="009E3CBD"/>
    <w:rsid w:val="009E43C1"/>
    <w:rsid w:val="009E5320"/>
    <w:rsid w:val="009E67F6"/>
    <w:rsid w:val="009E6A1F"/>
    <w:rsid w:val="009E7E95"/>
    <w:rsid w:val="009F116F"/>
    <w:rsid w:val="009F2EA5"/>
    <w:rsid w:val="009F329E"/>
    <w:rsid w:val="009F3862"/>
    <w:rsid w:val="009F7ED3"/>
    <w:rsid w:val="00A03607"/>
    <w:rsid w:val="00A047FF"/>
    <w:rsid w:val="00A04FEF"/>
    <w:rsid w:val="00A06FA5"/>
    <w:rsid w:val="00A122CD"/>
    <w:rsid w:val="00A12A32"/>
    <w:rsid w:val="00A14248"/>
    <w:rsid w:val="00A142BA"/>
    <w:rsid w:val="00A14947"/>
    <w:rsid w:val="00A23354"/>
    <w:rsid w:val="00A23DC5"/>
    <w:rsid w:val="00A270C4"/>
    <w:rsid w:val="00A31643"/>
    <w:rsid w:val="00A32EAF"/>
    <w:rsid w:val="00A34028"/>
    <w:rsid w:val="00A35568"/>
    <w:rsid w:val="00A37056"/>
    <w:rsid w:val="00A411B7"/>
    <w:rsid w:val="00A4358F"/>
    <w:rsid w:val="00A46F67"/>
    <w:rsid w:val="00A53028"/>
    <w:rsid w:val="00A53A3D"/>
    <w:rsid w:val="00A54AA1"/>
    <w:rsid w:val="00A54C7D"/>
    <w:rsid w:val="00A568FF"/>
    <w:rsid w:val="00A61496"/>
    <w:rsid w:val="00A61833"/>
    <w:rsid w:val="00A624C6"/>
    <w:rsid w:val="00A62F22"/>
    <w:rsid w:val="00A63CEC"/>
    <w:rsid w:val="00A649CF"/>
    <w:rsid w:val="00A64DD6"/>
    <w:rsid w:val="00A700A3"/>
    <w:rsid w:val="00A7031E"/>
    <w:rsid w:val="00A70F90"/>
    <w:rsid w:val="00A712E7"/>
    <w:rsid w:val="00A728B1"/>
    <w:rsid w:val="00A763DE"/>
    <w:rsid w:val="00A803D6"/>
    <w:rsid w:val="00A81282"/>
    <w:rsid w:val="00A817C6"/>
    <w:rsid w:val="00A8368F"/>
    <w:rsid w:val="00A86F1E"/>
    <w:rsid w:val="00A87023"/>
    <w:rsid w:val="00A8713F"/>
    <w:rsid w:val="00A91167"/>
    <w:rsid w:val="00A9171C"/>
    <w:rsid w:val="00A92FFD"/>
    <w:rsid w:val="00A95380"/>
    <w:rsid w:val="00A956E1"/>
    <w:rsid w:val="00A95975"/>
    <w:rsid w:val="00A96D6F"/>
    <w:rsid w:val="00A9708D"/>
    <w:rsid w:val="00AA10A5"/>
    <w:rsid w:val="00AA2C17"/>
    <w:rsid w:val="00AA2FE6"/>
    <w:rsid w:val="00AA4172"/>
    <w:rsid w:val="00AA5A41"/>
    <w:rsid w:val="00AA7D30"/>
    <w:rsid w:val="00AB1914"/>
    <w:rsid w:val="00AB210F"/>
    <w:rsid w:val="00AB5330"/>
    <w:rsid w:val="00AB6F1F"/>
    <w:rsid w:val="00AB7747"/>
    <w:rsid w:val="00AC2532"/>
    <w:rsid w:val="00AC34DF"/>
    <w:rsid w:val="00AC3BA4"/>
    <w:rsid w:val="00AC409D"/>
    <w:rsid w:val="00AC5293"/>
    <w:rsid w:val="00AC53DC"/>
    <w:rsid w:val="00AC5E8D"/>
    <w:rsid w:val="00AC65B7"/>
    <w:rsid w:val="00AC7530"/>
    <w:rsid w:val="00AD1507"/>
    <w:rsid w:val="00AD2807"/>
    <w:rsid w:val="00AD5A70"/>
    <w:rsid w:val="00AD5D72"/>
    <w:rsid w:val="00AD738B"/>
    <w:rsid w:val="00AE1BF4"/>
    <w:rsid w:val="00AE3502"/>
    <w:rsid w:val="00AE3AA7"/>
    <w:rsid w:val="00AE41DE"/>
    <w:rsid w:val="00AE5D97"/>
    <w:rsid w:val="00AE6794"/>
    <w:rsid w:val="00AF0E07"/>
    <w:rsid w:val="00AF21BF"/>
    <w:rsid w:val="00AF3F0C"/>
    <w:rsid w:val="00AF5833"/>
    <w:rsid w:val="00AF6554"/>
    <w:rsid w:val="00AF7F2A"/>
    <w:rsid w:val="00B01110"/>
    <w:rsid w:val="00B01F30"/>
    <w:rsid w:val="00B02262"/>
    <w:rsid w:val="00B02E43"/>
    <w:rsid w:val="00B03CEC"/>
    <w:rsid w:val="00B06D8C"/>
    <w:rsid w:val="00B06F2E"/>
    <w:rsid w:val="00B0710A"/>
    <w:rsid w:val="00B1209F"/>
    <w:rsid w:val="00B120F8"/>
    <w:rsid w:val="00B12AD0"/>
    <w:rsid w:val="00B13596"/>
    <w:rsid w:val="00B24F30"/>
    <w:rsid w:val="00B25762"/>
    <w:rsid w:val="00B31ABF"/>
    <w:rsid w:val="00B335AE"/>
    <w:rsid w:val="00B345EE"/>
    <w:rsid w:val="00B36436"/>
    <w:rsid w:val="00B37CE1"/>
    <w:rsid w:val="00B407B6"/>
    <w:rsid w:val="00B40ACF"/>
    <w:rsid w:val="00B43114"/>
    <w:rsid w:val="00B46BAA"/>
    <w:rsid w:val="00B50B5F"/>
    <w:rsid w:val="00B54128"/>
    <w:rsid w:val="00B5430C"/>
    <w:rsid w:val="00B55826"/>
    <w:rsid w:val="00B56066"/>
    <w:rsid w:val="00B562F3"/>
    <w:rsid w:val="00B60426"/>
    <w:rsid w:val="00B622DD"/>
    <w:rsid w:val="00B63522"/>
    <w:rsid w:val="00B700F8"/>
    <w:rsid w:val="00B713A9"/>
    <w:rsid w:val="00B71FA5"/>
    <w:rsid w:val="00B72100"/>
    <w:rsid w:val="00B75030"/>
    <w:rsid w:val="00B76F1D"/>
    <w:rsid w:val="00B808A0"/>
    <w:rsid w:val="00B85DF2"/>
    <w:rsid w:val="00B91640"/>
    <w:rsid w:val="00B92A19"/>
    <w:rsid w:val="00B9544C"/>
    <w:rsid w:val="00B95E2C"/>
    <w:rsid w:val="00B95E3A"/>
    <w:rsid w:val="00BA0147"/>
    <w:rsid w:val="00BA0797"/>
    <w:rsid w:val="00BA1E90"/>
    <w:rsid w:val="00BA29E9"/>
    <w:rsid w:val="00BA400A"/>
    <w:rsid w:val="00BA675A"/>
    <w:rsid w:val="00BB3618"/>
    <w:rsid w:val="00BB749D"/>
    <w:rsid w:val="00BC0C9E"/>
    <w:rsid w:val="00BC25C1"/>
    <w:rsid w:val="00BC32DC"/>
    <w:rsid w:val="00BC42BC"/>
    <w:rsid w:val="00BD10B6"/>
    <w:rsid w:val="00BD128A"/>
    <w:rsid w:val="00BD1679"/>
    <w:rsid w:val="00BD1B51"/>
    <w:rsid w:val="00BD2175"/>
    <w:rsid w:val="00BD45EB"/>
    <w:rsid w:val="00BD47F6"/>
    <w:rsid w:val="00BD70B8"/>
    <w:rsid w:val="00BE0241"/>
    <w:rsid w:val="00BE2B0E"/>
    <w:rsid w:val="00BE312D"/>
    <w:rsid w:val="00BE3CFB"/>
    <w:rsid w:val="00BE3FCA"/>
    <w:rsid w:val="00BE4B35"/>
    <w:rsid w:val="00BE6E4F"/>
    <w:rsid w:val="00BF16E8"/>
    <w:rsid w:val="00BF2466"/>
    <w:rsid w:val="00C05719"/>
    <w:rsid w:val="00C06DF5"/>
    <w:rsid w:val="00C07F46"/>
    <w:rsid w:val="00C10578"/>
    <w:rsid w:val="00C135F3"/>
    <w:rsid w:val="00C17D62"/>
    <w:rsid w:val="00C20613"/>
    <w:rsid w:val="00C20811"/>
    <w:rsid w:val="00C20B41"/>
    <w:rsid w:val="00C21FDC"/>
    <w:rsid w:val="00C225C8"/>
    <w:rsid w:val="00C22AA6"/>
    <w:rsid w:val="00C24EE7"/>
    <w:rsid w:val="00C2596A"/>
    <w:rsid w:val="00C271BE"/>
    <w:rsid w:val="00C27425"/>
    <w:rsid w:val="00C328FE"/>
    <w:rsid w:val="00C33A05"/>
    <w:rsid w:val="00C414CB"/>
    <w:rsid w:val="00C42500"/>
    <w:rsid w:val="00C4409D"/>
    <w:rsid w:val="00C455BE"/>
    <w:rsid w:val="00C45B05"/>
    <w:rsid w:val="00C464DB"/>
    <w:rsid w:val="00C46F7E"/>
    <w:rsid w:val="00C50BF5"/>
    <w:rsid w:val="00C51E5F"/>
    <w:rsid w:val="00C57C29"/>
    <w:rsid w:val="00C60A02"/>
    <w:rsid w:val="00C61E4B"/>
    <w:rsid w:val="00C62E3A"/>
    <w:rsid w:val="00C64503"/>
    <w:rsid w:val="00C64A1F"/>
    <w:rsid w:val="00C64BFF"/>
    <w:rsid w:val="00C65903"/>
    <w:rsid w:val="00C67BDF"/>
    <w:rsid w:val="00C75871"/>
    <w:rsid w:val="00C763C9"/>
    <w:rsid w:val="00C77D37"/>
    <w:rsid w:val="00C80057"/>
    <w:rsid w:val="00C8180D"/>
    <w:rsid w:val="00C82C79"/>
    <w:rsid w:val="00C84753"/>
    <w:rsid w:val="00C86B03"/>
    <w:rsid w:val="00C870BF"/>
    <w:rsid w:val="00C91611"/>
    <w:rsid w:val="00C9229C"/>
    <w:rsid w:val="00CA3585"/>
    <w:rsid w:val="00CA3D5A"/>
    <w:rsid w:val="00CA4C7C"/>
    <w:rsid w:val="00CA768C"/>
    <w:rsid w:val="00CB0183"/>
    <w:rsid w:val="00CB0CC3"/>
    <w:rsid w:val="00CB117A"/>
    <w:rsid w:val="00CB1238"/>
    <w:rsid w:val="00CB1EA3"/>
    <w:rsid w:val="00CB2FA9"/>
    <w:rsid w:val="00CB552C"/>
    <w:rsid w:val="00CB61D5"/>
    <w:rsid w:val="00CB6A9E"/>
    <w:rsid w:val="00CC4391"/>
    <w:rsid w:val="00CC5DE6"/>
    <w:rsid w:val="00CC6181"/>
    <w:rsid w:val="00CD1E1B"/>
    <w:rsid w:val="00CD2BCD"/>
    <w:rsid w:val="00CD36AA"/>
    <w:rsid w:val="00CD3791"/>
    <w:rsid w:val="00CD41CD"/>
    <w:rsid w:val="00CD65B0"/>
    <w:rsid w:val="00CE02CD"/>
    <w:rsid w:val="00CE10E9"/>
    <w:rsid w:val="00CE2EE1"/>
    <w:rsid w:val="00CE589B"/>
    <w:rsid w:val="00CE7421"/>
    <w:rsid w:val="00CE760A"/>
    <w:rsid w:val="00CF2149"/>
    <w:rsid w:val="00CF6ACE"/>
    <w:rsid w:val="00CF7A50"/>
    <w:rsid w:val="00D00652"/>
    <w:rsid w:val="00D0072E"/>
    <w:rsid w:val="00D06E7E"/>
    <w:rsid w:val="00D15727"/>
    <w:rsid w:val="00D15AF8"/>
    <w:rsid w:val="00D16332"/>
    <w:rsid w:val="00D17D8B"/>
    <w:rsid w:val="00D20472"/>
    <w:rsid w:val="00D2491E"/>
    <w:rsid w:val="00D24972"/>
    <w:rsid w:val="00D2515E"/>
    <w:rsid w:val="00D308ED"/>
    <w:rsid w:val="00D336BD"/>
    <w:rsid w:val="00D37E95"/>
    <w:rsid w:val="00D4630E"/>
    <w:rsid w:val="00D46641"/>
    <w:rsid w:val="00D46E1F"/>
    <w:rsid w:val="00D473B9"/>
    <w:rsid w:val="00D47C52"/>
    <w:rsid w:val="00D53CC5"/>
    <w:rsid w:val="00D560C4"/>
    <w:rsid w:val="00D56178"/>
    <w:rsid w:val="00D56CF0"/>
    <w:rsid w:val="00D56F5C"/>
    <w:rsid w:val="00D57FD6"/>
    <w:rsid w:val="00D65C7F"/>
    <w:rsid w:val="00D704B1"/>
    <w:rsid w:val="00D70B63"/>
    <w:rsid w:val="00D70D13"/>
    <w:rsid w:val="00D72B92"/>
    <w:rsid w:val="00D72ED4"/>
    <w:rsid w:val="00D73F61"/>
    <w:rsid w:val="00D754C0"/>
    <w:rsid w:val="00D776A2"/>
    <w:rsid w:val="00D801C4"/>
    <w:rsid w:val="00D84FCB"/>
    <w:rsid w:val="00D85D22"/>
    <w:rsid w:val="00D90836"/>
    <w:rsid w:val="00D94771"/>
    <w:rsid w:val="00D95896"/>
    <w:rsid w:val="00D95CC6"/>
    <w:rsid w:val="00DA2DA3"/>
    <w:rsid w:val="00DA48CE"/>
    <w:rsid w:val="00DA6615"/>
    <w:rsid w:val="00DA76AE"/>
    <w:rsid w:val="00DB081B"/>
    <w:rsid w:val="00DB181E"/>
    <w:rsid w:val="00DB1C7A"/>
    <w:rsid w:val="00DB27E7"/>
    <w:rsid w:val="00DB2983"/>
    <w:rsid w:val="00DB343D"/>
    <w:rsid w:val="00DB3D42"/>
    <w:rsid w:val="00DB5579"/>
    <w:rsid w:val="00DB5CFE"/>
    <w:rsid w:val="00DB69AF"/>
    <w:rsid w:val="00DB7C2A"/>
    <w:rsid w:val="00DC72A6"/>
    <w:rsid w:val="00DD2113"/>
    <w:rsid w:val="00DD265E"/>
    <w:rsid w:val="00DD3E75"/>
    <w:rsid w:val="00DD763F"/>
    <w:rsid w:val="00DE0C19"/>
    <w:rsid w:val="00DE20D1"/>
    <w:rsid w:val="00DE39D0"/>
    <w:rsid w:val="00DF1930"/>
    <w:rsid w:val="00DF4540"/>
    <w:rsid w:val="00DF514A"/>
    <w:rsid w:val="00DF5BEA"/>
    <w:rsid w:val="00DF5C5A"/>
    <w:rsid w:val="00DF6912"/>
    <w:rsid w:val="00E0156A"/>
    <w:rsid w:val="00E0358D"/>
    <w:rsid w:val="00E05A9D"/>
    <w:rsid w:val="00E05F8A"/>
    <w:rsid w:val="00E06022"/>
    <w:rsid w:val="00E06327"/>
    <w:rsid w:val="00E069D1"/>
    <w:rsid w:val="00E077C1"/>
    <w:rsid w:val="00E102D1"/>
    <w:rsid w:val="00E11A76"/>
    <w:rsid w:val="00E14454"/>
    <w:rsid w:val="00E158C6"/>
    <w:rsid w:val="00E177FA"/>
    <w:rsid w:val="00E2064B"/>
    <w:rsid w:val="00E23684"/>
    <w:rsid w:val="00E25239"/>
    <w:rsid w:val="00E255C4"/>
    <w:rsid w:val="00E25F49"/>
    <w:rsid w:val="00E262B6"/>
    <w:rsid w:val="00E265B1"/>
    <w:rsid w:val="00E26E36"/>
    <w:rsid w:val="00E275B0"/>
    <w:rsid w:val="00E30AE6"/>
    <w:rsid w:val="00E30D76"/>
    <w:rsid w:val="00E31C3C"/>
    <w:rsid w:val="00E33665"/>
    <w:rsid w:val="00E36D0D"/>
    <w:rsid w:val="00E40522"/>
    <w:rsid w:val="00E412D0"/>
    <w:rsid w:val="00E43713"/>
    <w:rsid w:val="00E47CDB"/>
    <w:rsid w:val="00E517D7"/>
    <w:rsid w:val="00E55F50"/>
    <w:rsid w:val="00E564E8"/>
    <w:rsid w:val="00E566BC"/>
    <w:rsid w:val="00E56EF3"/>
    <w:rsid w:val="00E5702E"/>
    <w:rsid w:val="00E57525"/>
    <w:rsid w:val="00E60982"/>
    <w:rsid w:val="00E60C8D"/>
    <w:rsid w:val="00E6162F"/>
    <w:rsid w:val="00E6276C"/>
    <w:rsid w:val="00E6311B"/>
    <w:rsid w:val="00E63D6E"/>
    <w:rsid w:val="00E65D97"/>
    <w:rsid w:val="00E67EFD"/>
    <w:rsid w:val="00E702DC"/>
    <w:rsid w:val="00E717EB"/>
    <w:rsid w:val="00E71FFB"/>
    <w:rsid w:val="00E76D1D"/>
    <w:rsid w:val="00E806F8"/>
    <w:rsid w:val="00E85A4D"/>
    <w:rsid w:val="00E87752"/>
    <w:rsid w:val="00E8793B"/>
    <w:rsid w:val="00E90F81"/>
    <w:rsid w:val="00E91811"/>
    <w:rsid w:val="00E91A6D"/>
    <w:rsid w:val="00E9242D"/>
    <w:rsid w:val="00E938ED"/>
    <w:rsid w:val="00E93990"/>
    <w:rsid w:val="00E9407C"/>
    <w:rsid w:val="00E94EA8"/>
    <w:rsid w:val="00EA1C6B"/>
    <w:rsid w:val="00EA42AC"/>
    <w:rsid w:val="00EA48BD"/>
    <w:rsid w:val="00EB041C"/>
    <w:rsid w:val="00EB0533"/>
    <w:rsid w:val="00EB356A"/>
    <w:rsid w:val="00EB6210"/>
    <w:rsid w:val="00EB67C0"/>
    <w:rsid w:val="00EB7291"/>
    <w:rsid w:val="00EC02F3"/>
    <w:rsid w:val="00EC1E7B"/>
    <w:rsid w:val="00EC258E"/>
    <w:rsid w:val="00EC2648"/>
    <w:rsid w:val="00EC5874"/>
    <w:rsid w:val="00ED044D"/>
    <w:rsid w:val="00ED11D5"/>
    <w:rsid w:val="00ED192D"/>
    <w:rsid w:val="00ED2C01"/>
    <w:rsid w:val="00ED2CD5"/>
    <w:rsid w:val="00ED30B4"/>
    <w:rsid w:val="00ED31F5"/>
    <w:rsid w:val="00ED4A42"/>
    <w:rsid w:val="00ED4DE7"/>
    <w:rsid w:val="00EE1754"/>
    <w:rsid w:val="00EE2042"/>
    <w:rsid w:val="00EE27CC"/>
    <w:rsid w:val="00EE3F4F"/>
    <w:rsid w:val="00EE47EF"/>
    <w:rsid w:val="00EF2759"/>
    <w:rsid w:val="00EF2A6D"/>
    <w:rsid w:val="00EF45EB"/>
    <w:rsid w:val="00EF5099"/>
    <w:rsid w:val="00EF5E33"/>
    <w:rsid w:val="00EF7324"/>
    <w:rsid w:val="00F00075"/>
    <w:rsid w:val="00F0325B"/>
    <w:rsid w:val="00F07822"/>
    <w:rsid w:val="00F10BE9"/>
    <w:rsid w:val="00F13633"/>
    <w:rsid w:val="00F15C95"/>
    <w:rsid w:val="00F15CAC"/>
    <w:rsid w:val="00F22985"/>
    <w:rsid w:val="00F22B15"/>
    <w:rsid w:val="00F241AB"/>
    <w:rsid w:val="00F25193"/>
    <w:rsid w:val="00F30B46"/>
    <w:rsid w:val="00F31382"/>
    <w:rsid w:val="00F32128"/>
    <w:rsid w:val="00F35829"/>
    <w:rsid w:val="00F35BDC"/>
    <w:rsid w:val="00F42868"/>
    <w:rsid w:val="00F44D2E"/>
    <w:rsid w:val="00F46394"/>
    <w:rsid w:val="00F465A7"/>
    <w:rsid w:val="00F46744"/>
    <w:rsid w:val="00F50B7C"/>
    <w:rsid w:val="00F5129D"/>
    <w:rsid w:val="00F5202D"/>
    <w:rsid w:val="00F52B1B"/>
    <w:rsid w:val="00F52CF6"/>
    <w:rsid w:val="00F542EC"/>
    <w:rsid w:val="00F54496"/>
    <w:rsid w:val="00F55026"/>
    <w:rsid w:val="00F61097"/>
    <w:rsid w:val="00F6364E"/>
    <w:rsid w:val="00F64D32"/>
    <w:rsid w:val="00F70911"/>
    <w:rsid w:val="00F70DAD"/>
    <w:rsid w:val="00F73706"/>
    <w:rsid w:val="00F74345"/>
    <w:rsid w:val="00F74441"/>
    <w:rsid w:val="00F751ED"/>
    <w:rsid w:val="00F76926"/>
    <w:rsid w:val="00F77F30"/>
    <w:rsid w:val="00F813E1"/>
    <w:rsid w:val="00F82589"/>
    <w:rsid w:val="00F82A3B"/>
    <w:rsid w:val="00F82B19"/>
    <w:rsid w:val="00F87E98"/>
    <w:rsid w:val="00F90AA7"/>
    <w:rsid w:val="00F90D87"/>
    <w:rsid w:val="00F9212D"/>
    <w:rsid w:val="00FA148B"/>
    <w:rsid w:val="00FA301A"/>
    <w:rsid w:val="00FA334F"/>
    <w:rsid w:val="00FA406A"/>
    <w:rsid w:val="00FA5CB6"/>
    <w:rsid w:val="00FB1A1E"/>
    <w:rsid w:val="00FB1DB8"/>
    <w:rsid w:val="00FB784C"/>
    <w:rsid w:val="00FC66AC"/>
    <w:rsid w:val="00FD0338"/>
    <w:rsid w:val="00FD18F4"/>
    <w:rsid w:val="00FD21B5"/>
    <w:rsid w:val="00FD389A"/>
    <w:rsid w:val="00FD488D"/>
    <w:rsid w:val="00FD6976"/>
    <w:rsid w:val="00FD74B4"/>
    <w:rsid w:val="00FD7BCE"/>
    <w:rsid w:val="00FE1A06"/>
    <w:rsid w:val="00FE57D1"/>
    <w:rsid w:val="00FE5B94"/>
    <w:rsid w:val="00FF3EDF"/>
    <w:rsid w:val="00FF6FCE"/>
    <w:rsid w:val="00FF719B"/>
    <w:rsid w:val="00FF7518"/>
    <w:rsid w:val="00FF7FD8"/>
    <w:rsid w:val="01072ED0"/>
    <w:rsid w:val="010D68C2"/>
    <w:rsid w:val="011262CE"/>
    <w:rsid w:val="012C5837"/>
    <w:rsid w:val="019D5669"/>
    <w:rsid w:val="01BB3CAB"/>
    <w:rsid w:val="01CA5A40"/>
    <w:rsid w:val="020835F3"/>
    <w:rsid w:val="02113575"/>
    <w:rsid w:val="025265D0"/>
    <w:rsid w:val="02895EE6"/>
    <w:rsid w:val="02C41FAA"/>
    <w:rsid w:val="02C567F1"/>
    <w:rsid w:val="02D406C4"/>
    <w:rsid w:val="02F5647D"/>
    <w:rsid w:val="03116A7A"/>
    <w:rsid w:val="03132CF8"/>
    <w:rsid w:val="031658DA"/>
    <w:rsid w:val="0329459F"/>
    <w:rsid w:val="034C374E"/>
    <w:rsid w:val="034F4F4D"/>
    <w:rsid w:val="03517203"/>
    <w:rsid w:val="03622BB6"/>
    <w:rsid w:val="036A3A22"/>
    <w:rsid w:val="03751CF6"/>
    <w:rsid w:val="03E83239"/>
    <w:rsid w:val="041E137F"/>
    <w:rsid w:val="0460439F"/>
    <w:rsid w:val="0461266D"/>
    <w:rsid w:val="046A4B92"/>
    <w:rsid w:val="046F0D47"/>
    <w:rsid w:val="049A1D66"/>
    <w:rsid w:val="04E365F6"/>
    <w:rsid w:val="05146491"/>
    <w:rsid w:val="051F2D8A"/>
    <w:rsid w:val="05233139"/>
    <w:rsid w:val="05742AC8"/>
    <w:rsid w:val="0578403F"/>
    <w:rsid w:val="058A23C1"/>
    <w:rsid w:val="05A3673C"/>
    <w:rsid w:val="05D06DDA"/>
    <w:rsid w:val="05D44A70"/>
    <w:rsid w:val="06340970"/>
    <w:rsid w:val="06352F05"/>
    <w:rsid w:val="063E7D85"/>
    <w:rsid w:val="065E2617"/>
    <w:rsid w:val="067B5C2E"/>
    <w:rsid w:val="06834D88"/>
    <w:rsid w:val="06BC0254"/>
    <w:rsid w:val="06D313F1"/>
    <w:rsid w:val="06DE77B0"/>
    <w:rsid w:val="06E6641E"/>
    <w:rsid w:val="06FA23E3"/>
    <w:rsid w:val="070875E0"/>
    <w:rsid w:val="071B7230"/>
    <w:rsid w:val="07293586"/>
    <w:rsid w:val="07295285"/>
    <w:rsid w:val="075D436E"/>
    <w:rsid w:val="076C3EDE"/>
    <w:rsid w:val="076C6CF0"/>
    <w:rsid w:val="07770C56"/>
    <w:rsid w:val="078A4FBA"/>
    <w:rsid w:val="07904BE4"/>
    <w:rsid w:val="07926CE3"/>
    <w:rsid w:val="07A354D4"/>
    <w:rsid w:val="07A42476"/>
    <w:rsid w:val="07C92B37"/>
    <w:rsid w:val="081D3AF3"/>
    <w:rsid w:val="084D1751"/>
    <w:rsid w:val="08536255"/>
    <w:rsid w:val="0884373F"/>
    <w:rsid w:val="08854149"/>
    <w:rsid w:val="08A05695"/>
    <w:rsid w:val="08C62C34"/>
    <w:rsid w:val="08E33722"/>
    <w:rsid w:val="08FC23B7"/>
    <w:rsid w:val="08FE3551"/>
    <w:rsid w:val="0911331F"/>
    <w:rsid w:val="092217DD"/>
    <w:rsid w:val="093A7294"/>
    <w:rsid w:val="09405D42"/>
    <w:rsid w:val="095201DF"/>
    <w:rsid w:val="097C0A8C"/>
    <w:rsid w:val="09E97094"/>
    <w:rsid w:val="09F021C7"/>
    <w:rsid w:val="0A6674B4"/>
    <w:rsid w:val="0A7E6DC9"/>
    <w:rsid w:val="0A9D6ACD"/>
    <w:rsid w:val="0AD855B5"/>
    <w:rsid w:val="0ADB522C"/>
    <w:rsid w:val="0AE32852"/>
    <w:rsid w:val="0AE55F58"/>
    <w:rsid w:val="0AFD555C"/>
    <w:rsid w:val="0B344DB2"/>
    <w:rsid w:val="0B3E091E"/>
    <w:rsid w:val="0B780F49"/>
    <w:rsid w:val="0B9C609F"/>
    <w:rsid w:val="0B9F7771"/>
    <w:rsid w:val="0BCD6E81"/>
    <w:rsid w:val="0BCF03D7"/>
    <w:rsid w:val="0BD27BF6"/>
    <w:rsid w:val="0BE77EF7"/>
    <w:rsid w:val="0C264BC0"/>
    <w:rsid w:val="0C28528A"/>
    <w:rsid w:val="0C521CA9"/>
    <w:rsid w:val="0C950487"/>
    <w:rsid w:val="0CB24163"/>
    <w:rsid w:val="0CDB672F"/>
    <w:rsid w:val="0CE105CD"/>
    <w:rsid w:val="0CE119E6"/>
    <w:rsid w:val="0D0B5BE1"/>
    <w:rsid w:val="0D303F7E"/>
    <w:rsid w:val="0D51035F"/>
    <w:rsid w:val="0D677607"/>
    <w:rsid w:val="0D68571A"/>
    <w:rsid w:val="0D74030D"/>
    <w:rsid w:val="0D862C81"/>
    <w:rsid w:val="0D8E5E31"/>
    <w:rsid w:val="0D9C49BC"/>
    <w:rsid w:val="0DA75801"/>
    <w:rsid w:val="0DC77AF0"/>
    <w:rsid w:val="0DD70D23"/>
    <w:rsid w:val="0DDB2F48"/>
    <w:rsid w:val="0DFE7425"/>
    <w:rsid w:val="0E08689F"/>
    <w:rsid w:val="0E110D06"/>
    <w:rsid w:val="0E6444DA"/>
    <w:rsid w:val="0ECD52B7"/>
    <w:rsid w:val="0ECE2A8A"/>
    <w:rsid w:val="0EE46DFA"/>
    <w:rsid w:val="0EFB3964"/>
    <w:rsid w:val="0F034586"/>
    <w:rsid w:val="0F13775A"/>
    <w:rsid w:val="0F43103C"/>
    <w:rsid w:val="0F466EF2"/>
    <w:rsid w:val="0F5554C5"/>
    <w:rsid w:val="0F6A6BAD"/>
    <w:rsid w:val="0F9A112B"/>
    <w:rsid w:val="0FD068F7"/>
    <w:rsid w:val="0FD636A1"/>
    <w:rsid w:val="0FDC41B5"/>
    <w:rsid w:val="10691C83"/>
    <w:rsid w:val="106D2F64"/>
    <w:rsid w:val="107D1778"/>
    <w:rsid w:val="109E2A63"/>
    <w:rsid w:val="10B63710"/>
    <w:rsid w:val="10BB64CE"/>
    <w:rsid w:val="111C2F7A"/>
    <w:rsid w:val="112840CD"/>
    <w:rsid w:val="112C1B32"/>
    <w:rsid w:val="113013DE"/>
    <w:rsid w:val="115B1CD3"/>
    <w:rsid w:val="115B64D8"/>
    <w:rsid w:val="1174139A"/>
    <w:rsid w:val="119102E5"/>
    <w:rsid w:val="11920127"/>
    <w:rsid w:val="11B369F7"/>
    <w:rsid w:val="11C64C28"/>
    <w:rsid w:val="11D11586"/>
    <w:rsid w:val="12090670"/>
    <w:rsid w:val="121376E8"/>
    <w:rsid w:val="122B06C2"/>
    <w:rsid w:val="128F6301"/>
    <w:rsid w:val="12A128F3"/>
    <w:rsid w:val="12C63D51"/>
    <w:rsid w:val="12E650C2"/>
    <w:rsid w:val="12F1528F"/>
    <w:rsid w:val="12F215BA"/>
    <w:rsid w:val="12FA113D"/>
    <w:rsid w:val="130445D6"/>
    <w:rsid w:val="131C5736"/>
    <w:rsid w:val="132E0FC3"/>
    <w:rsid w:val="134478F9"/>
    <w:rsid w:val="1359092E"/>
    <w:rsid w:val="135B33B1"/>
    <w:rsid w:val="136A2AF4"/>
    <w:rsid w:val="13951726"/>
    <w:rsid w:val="13EC3E98"/>
    <w:rsid w:val="13F5597E"/>
    <w:rsid w:val="13FB4308"/>
    <w:rsid w:val="1407086A"/>
    <w:rsid w:val="14396509"/>
    <w:rsid w:val="1447165C"/>
    <w:rsid w:val="14561412"/>
    <w:rsid w:val="145D7407"/>
    <w:rsid w:val="14656440"/>
    <w:rsid w:val="14A4753F"/>
    <w:rsid w:val="14B81645"/>
    <w:rsid w:val="14C57350"/>
    <w:rsid w:val="14CE1FED"/>
    <w:rsid w:val="14E651E6"/>
    <w:rsid w:val="14ED7840"/>
    <w:rsid w:val="14FC358F"/>
    <w:rsid w:val="151E7047"/>
    <w:rsid w:val="15247267"/>
    <w:rsid w:val="154B6784"/>
    <w:rsid w:val="157731D9"/>
    <w:rsid w:val="1587244E"/>
    <w:rsid w:val="15B71E8C"/>
    <w:rsid w:val="15C32D7E"/>
    <w:rsid w:val="15D3162C"/>
    <w:rsid w:val="15DD4A83"/>
    <w:rsid w:val="161D3D8F"/>
    <w:rsid w:val="16352BB4"/>
    <w:rsid w:val="16643232"/>
    <w:rsid w:val="166509E5"/>
    <w:rsid w:val="166E6481"/>
    <w:rsid w:val="167A1A69"/>
    <w:rsid w:val="16873FFB"/>
    <w:rsid w:val="168A4028"/>
    <w:rsid w:val="168C356D"/>
    <w:rsid w:val="169611E1"/>
    <w:rsid w:val="16C32A49"/>
    <w:rsid w:val="16C513AF"/>
    <w:rsid w:val="16EF369D"/>
    <w:rsid w:val="170A6120"/>
    <w:rsid w:val="175F1EFB"/>
    <w:rsid w:val="17735226"/>
    <w:rsid w:val="17764F4B"/>
    <w:rsid w:val="179F4C1D"/>
    <w:rsid w:val="17C938E2"/>
    <w:rsid w:val="17F1201F"/>
    <w:rsid w:val="17F15BB7"/>
    <w:rsid w:val="17F16F20"/>
    <w:rsid w:val="17F21FDE"/>
    <w:rsid w:val="18446899"/>
    <w:rsid w:val="185C780D"/>
    <w:rsid w:val="1872385C"/>
    <w:rsid w:val="18CC0D53"/>
    <w:rsid w:val="19434ABA"/>
    <w:rsid w:val="19455F91"/>
    <w:rsid w:val="194917E3"/>
    <w:rsid w:val="19684A24"/>
    <w:rsid w:val="19BA0AFF"/>
    <w:rsid w:val="19D53C3F"/>
    <w:rsid w:val="19E777AC"/>
    <w:rsid w:val="19F57D79"/>
    <w:rsid w:val="19FC6BD4"/>
    <w:rsid w:val="1A000389"/>
    <w:rsid w:val="1A04761E"/>
    <w:rsid w:val="1A1C66C0"/>
    <w:rsid w:val="1A42393B"/>
    <w:rsid w:val="1A43324A"/>
    <w:rsid w:val="1A88082D"/>
    <w:rsid w:val="1AF079B3"/>
    <w:rsid w:val="1AF91760"/>
    <w:rsid w:val="1B046F80"/>
    <w:rsid w:val="1B13523C"/>
    <w:rsid w:val="1B3267B5"/>
    <w:rsid w:val="1B694307"/>
    <w:rsid w:val="1B802DCA"/>
    <w:rsid w:val="1B9F35FB"/>
    <w:rsid w:val="1B9F754A"/>
    <w:rsid w:val="1BA03749"/>
    <w:rsid w:val="1BA27ABE"/>
    <w:rsid w:val="1BB36E25"/>
    <w:rsid w:val="1BC25DC8"/>
    <w:rsid w:val="1BD4086A"/>
    <w:rsid w:val="1BD73A3D"/>
    <w:rsid w:val="1BDF0BA3"/>
    <w:rsid w:val="1BE77E23"/>
    <w:rsid w:val="1C3B227A"/>
    <w:rsid w:val="1C5E7925"/>
    <w:rsid w:val="1C72520E"/>
    <w:rsid w:val="1C887FC8"/>
    <w:rsid w:val="1CA0798D"/>
    <w:rsid w:val="1CC23E2E"/>
    <w:rsid w:val="1CDC77F6"/>
    <w:rsid w:val="1D3A4C22"/>
    <w:rsid w:val="1D497C25"/>
    <w:rsid w:val="1D5E02C6"/>
    <w:rsid w:val="1D5F6196"/>
    <w:rsid w:val="1D6132A5"/>
    <w:rsid w:val="1D8E56D5"/>
    <w:rsid w:val="1DB21056"/>
    <w:rsid w:val="1DBD569D"/>
    <w:rsid w:val="1DC90875"/>
    <w:rsid w:val="1DE4716E"/>
    <w:rsid w:val="1DE834D0"/>
    <w:rsid w:val="1DFB4454"/>
    <w:rsid w:val="1E006A79"/>
    <w:rsid w:val="1E15529B"/>
    <w:rsid w:val="1E204530"/>
    <w:rsid w:val="1E25067A"/>
    <w:rsid w:val="1E3A1E20"/>
    <w:rsid w:val="1E5809A9"/>
    <w:rsid w:val="1E7A43DA"/>
    <w:rsid w:val="1E9D77EE"/>
    <w:rsid w:val="1EA87B17"/>
    <w:rsid w:val="1EAF55CB"/>
    <w:rsid w:val="1EB277FE"/>
    <w:rsid w:val="1EBD1039"/>
    <w:rsid w:val="1EE0647A"/>
    <w:rsid w:val="1F05539D"/>
    <w:rsid w:val="1F0F544F"/>
    <w:rsid w:val="1F5B1FD4"/>
    <w:rsid w:val="1F8A21C6"/>
    <w:rsid w:val="1FAC0564"/>
    <w:rsid w:val="1FAF46DF"/>
    <w:rsid w:val="1FC81E3C"/>
    <w:rsid w:val="1FC84483"/>
    <w:rsid w:val="1FDA5412"/>
    <w:rsid w:val="1FE7539E"/>
    <w:rsid w:val="1FF70C72"/>
    <w:rsid w:val="20056666"/>
    <w:rsid w:val="204A3E9F"/>
    <w:rsid w:val="20643D6E"/>
    <w:rsid w:val="207C59AA"/>
    <w:rsid w:val="20963CB8"/>
    <w:rsid w:val="20B07FB6"/>
    <w:rsid w:val="20E866D4"/>
    <w:rsid w:val="20EC6108"/>
    <w:rsid w:val="212044F9"/>
    <w:rsid w:val="212B2D23"/>
    <w:rsid w:val="212F6384"/>
    <w:rsid w:val="213B74B1"/>
    <w:rsid w:val="215A2310"/>
    <w:rsid w:val="215B6765"/>
    <w:rsid w:val="21A70F6B"/>
    <w:rsid w:val="21C52FFB"/>
    <w:rsid w:val="21C81DCC"/>
    <w:rsid w:val="21D03E5F"/>
    <w:rsid w:val="21D30FE1"/>
    <w:rsid w:val="21DE318A"/>
    <w:rsid w:val="21EA03E8"/>
    <w:rsid w:val="21EF5B80"/>
    <w:rsid w:val="21F47E07"/>
    <w:rsid w:val="22576990"/>
    <w:rsid w:val="229C4EAB"/>
    <w:rsid w:val="22CE0348"/>
    <w:rsid w:val="23B4429F"/>
    <w:rsid w:val="240C1662"/>
    <w:rsid w:val="24574680"/>
    <w:rsid w:val="24800747"/>
    <w:rsid w:val="248B74E3"/>
    <w:rsid w:val="248D632C"/>
    <w:rsid w:val="24DB1B3F"/>
    <w:rsid w:val="24E53CFD"/>
    <w:rsid w:val="24FE4DE6"/>
    <w:rsid w:val="25017D1F"/>
    <w:rsid w:val="250214B7"/>
    <w:rsid w:val="250616E4"/>
    <w:rsid w:val="252D53FE"/>
    <w:rsid w:val="252E2045"/>
    <w:rsid w:val="25312765"/>
    <w:rsid w:val="25753F39"/>
    <w:rsid w:val="25C519CD"/>
    <w:rsid w:val="25DA190F"/>
    <w:rsid w:val="25EC2D81"/>
    <w:rsid w:val="25FD3957"/>
    <w:rsid w:val="260C20BA"/>
    <w:rsid w:val="26183E3E"/>
    <w:rsid w:val="264528BD"/>
    <w:rsid w:val="26536329"/>
    <w:rsid w:val="26554FE4"/>
    <w:rsid w:val="265931FE"/>
    <w:rsid w:val="2663730A"/>
    <w:rsid w:val="26724873"/>
    <w:rsid w:val="26725671"/>
    <w:rsid w:val="267D4490"/>
    <w:rsid w:val="2692784A"/>
    <w:rsid w:val="26B369A6"/>
    <w:rsid w:val="26C51447"/>
    <w:rsid w:val="270E743C"/>
    <w:rsid w:val="273B06F3"/>
    <w:rsid w:val="275B64E9"/>
    <w:rsid w:val="276D1C2B"/>
    <w:rsid w:val="27C41357"/>
    <w:rsid w:val="27CE6CFA"/>
    <w:rsid w:val="27D15DD1"/>
    <w:rsid w:val="27E57A88"/>
    <w:rsid w:val="27F87344"/>
    <w:rsid w:val="28063E6B"/>
    <w:rsid w:val="281A1A91"/>
    <w:rsid w:val="28343DAA"/>
    <w:rsid w:val="286068F8"/>
    <w:rsid w:val="286116F9"/>
    <w:rsid w:val="28904CC6"/>
    <w:rsid w:val="28A76295"/>
    <w:rsid w:val="28DC2B1C"/>
    <w:rsid w:val="28EC3499"/>
    <w:rsid w:val="28FE0C29"/>
    <w:rsid w:val="29206EB8"/>
    <w:rsid w:val="297E569B"/>
    <w:rsid w:val="29826E20"/>
    <w:rsid w:val="298409AA"/>
    <w:rsid w:val="29A21353"/>
    <w:rsid w:val="29C235A5"/>
    <w:rsid w:val="29C53B9C"/>
    <w:rsid w:val="29C6654C"/>
    <w:rsid w:val="29DD4D3A"/>
    <w:rsid w:val="29E325E0"/>
    <w:rsid w:val="29F83435"/>
    <w:rsid w:val="2A405D70"/>
    <w:rsid w:val="2A452503"/>
    <w:rsid w:val="2A47391B"/>
    <w:rsid w:val="2A567B02"/>
    <w:rsid w:val="2A5D55EF"/>
    <w:rsid w:val="2A690465"/>
    <w:rsid w:val="2A6D1117"/>
    <w:rsid w:val="2A72155F"/>
    <w:rsid w:val="2A8278D7"/>
    <w:rsid w:val="2AAF0A8F"/>
    <w:rsid w:val="2AB01B19"/>
    <w:rsid w:val="2B076E3A"/>
    <w:rsid w:val="2B212EF5"/>
    <w:rsid w:val="2B462062"/>
    <w:rsid w:val="2B4E36F2"/>
    <w:rsid w:val="2B7814FB"/>
    <w:rsid w:val="2B8E0192"/>
    <w:rsid w:val="2B926746"/>
    <w:rsid w:val="2BA936A8"/>
    <w:rsid w:val="2BAA37FD"/>
    <w:rsid w:val="2BDB2782"/>
    <w:rsid w:val="2BFC1FE9"/>
    <w:rsid w:val="2C1A0B12"/>
    <w:rsid w:val="2C266597"/>
    <w:rsid w:val="2C315A5A"/>
    <w:rsid w:val="2C360D2C"/>
    <w:rsid w:val="2C484083"/>
    <w:rsid w:val="2C604625"/>
    <w:rsid w:val="2C645770"/>
    <w:rsid w:val="2CA527C8"/>
    <w:rsid w:val="2CA918B3"/>
    <w:rsid w:val="2CCB6BEF"/>
    <w:rsid w:val="2CED0AF3"/>
    <w:rsid w:val="2CF3064F"/>
    <w:rsid w:val="2CF4470A"/>
    <w:rsid w:val="2CF70480"/>
    <w:rsid w:val="2D265D52"/>
    <w:rsid w:val="2D397F19"/>
    <w:rsid w:val="2D4D749C"/>
    <w:rsid w:val="2D814E60"/>
    <w:rsid w:val="2D853D81"/>
    <w:rsid w:val="2D923AA3"/>
    <w:rsid w:val="2D9E56F5"/>
    <w:rsid w:val="2DA77642"/>
    <w:rsid w:val="2DE63220"/>
    <w:rsid w:val="2E0149E2"/>
    <w:rsid w:val="2E3B4F51"/>
    <w:rsid w:val="2E5D5E30"/>
    <w:rsid w:val="2E667F96"/>
    <w:rsid w:val="2E8226AB"/>
    <w:rsid w:val="2E8B178A"/>
    <w:rsid w:val="2E8C0AA0"/>
    <w:rsid w:val="2E90316A"/>
    <w:rsid w:val="2EBA37C0"/>
    <w:rsid w:val="2ED171D6"/>
    <w:rsid w:val="2EDF69A7"/>
    <w:rsid w:val="2F161E43"/>
    <w:rsid w:val="2F180322"/>
    <w:rsid w:val="2F316955"/>
    <w:rsid w:val="2F6D7D7A"/>
    <w:rsid w:val="2F715E01"/>
    <w:rsid w:val="2F832C79"/>
    <w:rsid w:val="2FA46023"/>
    <w:rsid w:val="2FA8323D"/>
    <w:rsid w:val="2FAD387D"/>
    <w:rsid w:val="2FB20818"/>
    <w:rsid w:val="2FBC1EE1"/>
    <w:rsid w:val="2FE35F8C"/>
    <w:rsid w:val="2FE86A21"/>
    <w:rsid w:val="2FEF2D58"/>
    <w:rsid w:val="302C19A4"/>
    <w:rsid w:val="30544B10"/>
    <w:rsid w:val="30580BC9"/>
    <w:rsid w:val="305D31D2"/>
    <w:rsid w:val="30902BF7"/>
    <w:rsid w:val="30962843"/>
    <w:rsid w:val="30BE0028"/>
    <w:rsid w:val="30C13DA9"/>
    <w:rsid w:val="30CA6F4F"/>
    <w:rsid w:val="30CF5E9E"/>
    <w:rsid w:val="310D2C6E"/>
    <w:rsid w:val="3117478E"/>
    <w:rsid w:val="311E2ED7"/>
    <w:rsid w:val="3120713C"/>
    <w:rsid w:val="312318B9"/>
    <w:rsid w:val="31237350"/>
    <w:rsid w:val="31437038"/>
    <w:rsid w:val="314A07D4"/>
    <w:rsid w:val="315C449C"/>
    <w:rsid w:val="318B063B"/>
    <w:rsid w:val="31966E9E"/>
    <w:rsid w:val="31B82709"/>
    <w:rsid w:val="31CD78CD"/>
    <w:rsid w:val="32147BCE"/>
    <w:rsid w:val="322E4D53"/>
    <w:rsid w:val="32334601"/>
    <w:rsid w:val="32400B34"/>
    <w:rsid w:val="325C07E1"/>
    <w:rsid w:val="327B66CA"/>
    <w:rsid w:val="329B1470"/>
    <w:rsid w:val="329E6876"/>
    <w:rsid w:val="331C0665"/>
    <w:rsid w:val="3346441E"/>
    <w:rsid w:val="334975E0"/>
    <w:rsid w:val="334C0D81"/>
    <w:rsid w:val="336A572E"/>
    <w:rsid w:val="33C51668"/>
    <w:rsid w:val="33D154BA"/>
    <w:rsid w:val="33D40484"/>
    <w:rsid w:val="33D934D4"/>
    <w:rsid w:val="33F90437"/>
    <w:rsid w:val="33FE2F6A"/>
    <w:rsid w:val="34045B6E"/>
    <w:rsid w:val="3415464F"/>
    <w:rsid w:val="347121F6"/>
    <w:rsid w:val="34BC712B"/>
    <w:rsid w:val="34C16F0A"/>
    <w:rsid w:val="34E00190"/>
    <w:rsid w:val="34E76308"/>
    <w:rsid w:val="34E8569A"/>
    <w:rsid w:val="34ED079A"/>
    <w:rsid w:val="3514051A"/>
    <w:rsid w:val="352A2602"/>
    <w:rsid w:val="353E2BA1"/>
    <w:rsid w:val="35416210"/>
    <w:rsid w:val="356B1069"/>
    <w:rsid w:val="357424BE"/>
    <w:rsid w:val="358C5E4C"/>
    <w:rsid w:val="35BC594C"/>
    <w:rsid w:val="35D25CD2"/>
    <w:rsid w:val="35F3400B"/>
    <w:rsid w:val="35FB3CCB"/>
    <w:rsid w:val="3601249E"/>
    <w:rsid w:val="36074A7F"/>
    <w:rsid w:val="361B1059"/>
    <w:rsid w:val="362C734E"/>
    <w:rsid w:val="364760FA"/>
    <w:rsid w:val="364B4A84"/>
    <w:rsid w:val="3669004C"/>
    <w:rsid w:val="36923549"/>
    <w:rsid w:val="36A02C10"/>
    <w:rsid w:val="36B75FBF"/>
    <w:rsid w:val="36C460B3"/>
    <w:rsid w:val="36D857C9"/>
    <w:rsid w:val="36FB4891"/>
    <w:rsid w:val="37034724"/>
    <w:rsid w:val="37FB21B9"/>
    <w:rsid w:val="38435389"/>
    <w:rsid w:val="38721723"/>
    <w:rsid w:val="389505AB"/>
    <w:rsid w:val="389A52A9"/>
    <w:rsid w:val="389C1AE4"/>
    <w:rsid w:val="38B9787F"/>
    <w:rsid w:val="38EF3C8A"/>
    <w:rsid w:val="38F12CD3"/>
    <w:rsid w:val="38F94775"/>
    <w:rsid w:val="392004A7"/>
    <w:rsid w:val="392971ED"/>
    <w:rsid w:val="392F151B"/>
    <w:rsid w:val="394E5D3E"/>
    <w:rsid w:val="396507E7"/>
    <w:rsid w:val="39C216C6"/>
    <w:rsid w:val="39F1794B"/>
    <w:rsid w:val="39F82933"/>
    <w:rsid w:val="3A011830"/>
    <w:rsid w:val="3A0A0A05"/>
    <w:rsid w:val="3A2747CD"/>
    <w:rsid w:val="3A376FCF"/>
    <w:rsid w:val="3A4B1765"/>
    <w:rsid w:val="3A4C6A72"/>
    <w:rsid w:val="3A50153E"/>
    <w:rsid w:val="3A7308B2"/>
    <w:rsid w:val="3A9E56E5"/>
    <w:rsid w:val="3ADE765D"/>
    <w:rsid w:val="3AE32F45"/>
    <w:rsid w:val="3AE7175D"/>
    <w:rsid w:val="3AF86A2B"/>
    <w:rsid w:val="3B062BA1"/>
    <w:rsid w:val="3B3763D1"/>
    <w:rsid w:val="3B64249C"/>
    <w:rsid w:val="3B680144"/>
    <w:rsid w:val="3BA048D6"/>
    <w:rsid w:val="3BE47317"/>
    <w:rsid w:val="3BEB0CDB"/>
    <w:rsid w:val="3BEC6400"/>
    <w:rsid w:val="3C1901E3"/>
    <w:rsid w:val="3C1D4AC6"/>
    <w:rsid w:val="3C2E755A"/>
    <w:rsid w:val="3C372995"/>
    <w:rsid w:val="3C4F28E5"/>
    <w:rsid w:val="3C5F167F"/>
    <w:rsid w:val="3C824706"/>
    <w:rsid w:val="3C917ECB"/>
    <w:rsid w:val="3C9A2E86"/>
    <w:rsid w:val="3CB80F66"/>
    <w:rsid w:val="3CBE7164"/>
    <w:rsid w:val="3CCA7E7E"/>
    <w:rsid w:val="3CDA245A"/>
    <w:rsid w:val="3CEE0A37"/>
    <w:rsid w:val="3D17278D"/>
    <w:rsid w:val="3D274643"/>
    <w:rsid w:val="3D6551DD"/>
    <w:rsid w:val="3D797F35"/>
    <w:rsid w:val="3D81660B"/>
    <w:rsid w:val="3D925A97"/>
    <w:rsid w:val="3DD87B2F"/>
    <w:rsid w:val="3E170B19"/>
    <w:rsid w:val="3E1D5959"/>
    <w:rsid w:val="3E1D5C80"/>
    <w:rsid w:val="3E5D6395"/>
    <w:rsid w:val="3EA35608"/>
    <w:rsid w:val="3EA923D9"/>
    <w:rsid w:val="3EAB52CE"/>
    <w:rsid w:val="3EC17B1B"/>
    <w:rsid w:val="3EC374CB"/>
    <w:rsid w:val="3EC66984"/>
    <w:rsid w:val="3ECA6F99"/>
    <w:rsid w:val="3F0041D8"/>
    <w:rsid w:val="3F1368A4"/>
    <w:rsid w:val="3F1715A3"/>
    <w:rsid w:val="3F660E74"/>
    <w:rsid w:val="3F707E8E"/>
    <w:rsid w:val="3F735559"/>
    <w:rsid w:val="3F8C51F0"/>
    <w:rsid w:val="3F95226D"/>
    <w:rsid w:val="3FAC2104"/>
    <w:rsid w:val="3FBC3FEA"/>
    <w:rsid w:val="4038148A"/>
    <w:rsid w:val="405E4DCF"/>
    <w:rsid w:val="406E70CB"/>
    <w:rsid w:val="407A6407"/>
    <w:rsid w:val="408C2196"/>
    <w:rsid w:val="40A02A8F"/>
    <w:rsid w:val="40BE5A03"/>
    <w:rsid w:val="40D25083"/>
    <w:rsid w:val="40D640C9"/>
    <w:rsid w:val="40E00CEE"/>
    <w:rsid w:val="41001560"/>
    <w:rsid w:val="4156575F"/>
    <w:rsid w:val="415D6611"/>
    <w:rsid w:val="41795A35"/>
    <w:rsid w:val="41815909"/>
    <w:rsid w:val="41AA67D4"/>
    <w:rsid w:val="41BF0FA3"/>
    <w:rsid w:val="41C32342"/>
    <w:rsid w:val="41C54F61"/>
    <w:rsid w:val="41E415B2"/>
    <w:rsid w:val="41F667BE"/>
    <w:rsid w:val="420D338A"/>
    <w:rsid w:val="42233366"/>
    <w:rsid w:val="42306DA6"/>
    <w:rsid w:val="42385EC4"/>
    <w:rsid w:val="423A3BCC"/>
    <w:rsid w:val="423E6344"/>
    <w:rsid w:val="42444912"/>
    <w:rsid w:val="424F2481"/>
    <w:rsid w:val="42532C08"/>
    <w:rsid w:val="425A0885"/>
    <w:rsid w:val="429B024B"/>
    <w:rsid w:val="42A04024"/>
    <w:rsid w:val="42B42F92"/>
    <w:rsid w:val="42D5715D"/>
    <w:rsid w:val="42F01E00"/>
    <w:rsid w:val="43030679"/>
    <w:rsid w:val="430A1083"/>
    <w:rsid w:val="431060C7"/>
    <w:rsid w:val="431A2401"/>
    <w:rsid w:val="43304A0C"/>
    <w:rsid w:val="433A6FE6"/>
    <w:rsid w:val="434D2A07"/>
    <w:rsid w:val="43504270"/>
    <w:rsid w:val="4350713C"/>
    <w:rsid w:val="435A55A3"/>
    <w:rsid w:val="436653E0"/>
    <w:rsid w:val="437256C1"/>
    <w:rsid w:val="438B628C"/>
    <w:rsid w:val="43917A40"/>
    <w:rsid w:val="439D4618"/>
    <w:rsid w:val="43B047B5"/>
    <w:rsid w:val="441B6DE0"/>
    <w:rsid w:val="447A73E3"/>
    <w:rsid w:val="448D7685"/>
    <w:rsid w:val="44C16843"/>
    <w:rsid w:val="44C60628"/>
    <w:rsid w:val="44CD14E0"/>
    <w:rsid w:val="450A2F3C"/>
    <w:rsid w:val="450C6EB4"/>
    <w:rsid w:val="45125754"/>
    <w:rsid w:val="452824F4"/>
    <w:rsid w:val="45842F08"/>
    <w:rsid w:val="458946E9"/>
    <w:rsid w:val="45C63335"/>
    <w:rsid w:val="45F366DD"/>
    <w:rsid w:val="460A7DA8"/>
    <w:rsid w:val="4615357C"/>
    <w:rsid w:val="46362ACE"/>
    <w:rsid w:val="466F0CD2"/>
    <w:rsid w:val="468A4D8B"/>
    <w:rsid w:val="46A66427"/>
    <w:rsid w:val="46AA3DD6"/>
    <w:rsid w:val="46BF05C5"/>
    <w:rsid w:val="46C73BF1"/>
    <w:rsid w:val="46D955A7"/>
    <w:rsid w:val="46EA1311"/>
    <w:rsid w:val="471206B5"/>
    <w:rsid w:val="47133957"/>
    <w:rsid w:val="472457AF"/>
    <w:rsid w:val="472769A1"/>
    <w:rsid w:val="472E014F"/>
    <w:rsid w:val="473D5062"/>
    <w:rsid w:val="47627AFE"/>
    <w:rsid w:val="4779329E"/>
    <w:rsid w:val="47A07E0C"/>
    <w:rsid w:val="47CC7A93"/>
    <w:rsid w:val="47F04687"/>
    <w:rsid w:val="480812A8"/>
    <w:rsid w:val="48142491"/>
    <w:rsid w:val="48154344"/>
    <w:rsid w:val="481C5453"/>
    <w:rsid w:val="483E1699"/>
    <w:rsid w:val="48407663"/>
    <w:rsid w:val="4844721A"/>
    <w:rsid w:val="486419EF"/>
    <w:rsid w:val="486C78B4"/>
    <w:rsid w:val="4870272E"/>
    <w:rsid w:val="48845F90"/>
    <w:rsid w:val="48C17044"/>
    <w:rsid w:val="48D90AA3"/>
    <w:rsid w:val="48FD5BC0"/>
    <w:rsid w:val="4904567B"/>
    <w:rsid w:val="494955FD"/>
    <w:rsid w:val="49572A60"/>
    <w:rsid w:val="49907D6F"/>
    <w:rsid w:val="49C01457"/>
    <w:rsid w:val="49DC7715"/>
    <w:rsid w:val="49F97F58"/>
    <w:rsid w:val="4A023139"/>
    <w:rsid w:val="4A0734F7"/>
    <w:rsid w:val="4A3A3C39"/>
    <w:rsid w:val="4A471A66"/>
    <w:rsid w:val="4A571F54"/>
    <w:rsid w:val="4A7B576F"/>
    <w:rsid w:val="4AAC75CC"/>
    <w:rsid w:val="4AE967EA"/>
    <w:rsid w:val="4B141D6C"/>
    <w:rsid w:val="4B27169A"/>
    <w:rsid w:val="4B4B7159"/>
    <w:rsid w:val="4B4E1AFF"/>
    <w:rsid w:val="4BAC4716"/>
    <w:rsid w:val="4BCA29D6"/>
    <w:rsid w:val="4BDC49F5"/>
    <w:rsid w:val="4BDD58DD"/>
    <w:rsid w:val="4BEE0FF2"/>
    <w:rsid w:val="4C1F2D54"/>
    <w:rsid w:val="4C21775F"/>
    <w:rsid w:val="4C26244C"/>
    <w:rsid w:val="4C294E4D"/>
    <w:rsid w:val="4C2E58C3"/>
    <w:rsid w:val="4C3B499A"/>
    <w:rsid w:val="4C4A0649"/>
    <w:rsid w:val="4C95678E"/>
    <w:rsid w:val="4CA16531"/>
    <w:rsid w:val="4CAA35ED"/>
    <w:rsid w:val="4CAB3DED"/>
    <w:rsid w:val="4CB603F8"/>
    <w:rsid w:val="4CC84B02"/>
    <w:rsid w:val="4CE470D3"/>
    <w:rsid w:val="4CFB1F75"/>
    <w:rsid w:val="4CFE1AA6"/>
    <w:rsid w:val="4D1432F1"/>
    <w:rsid w:val="4D187189"/>
    <w:rsid w:val="4D1A2105"/>
    <w:rsid w:val="4D1F7AFF"/>
    <w:rsid w:val="4D2027E6"/>
    <w:rsid w:val="4D5F2CA2"/>
    <w:rsid w:val="4D64034B"/>
    <w:rsid w:val="4D783745"/>
    <w:rsid w:val="4D812844"/>
    <w:rsid w:val="4DA05C0E"/>
    <w:rsid w:val="4DEC4FB0"/>
    <w:rsid w:val="4E075D8A"/>
    <w:rsid w:val="4E0D6572"/>
    <w:rsid w:val="4E271308"/>
    <w:rsid w:val="4E511053"/>
    <w:rsid w:val="4E6A4A5F"/>
    <w:rsid w:val="4E9344F8"/>
    <w:rsid w:val="4F005452"/>
    <w:rsid w:val="4F18309B"/>
    <w:rsid w:val="4F3D53D3"/>
    <w:rsid w:val="4F626108"/>
    <w:rsid w:val="4F7324CB"/>
    <w:rsid w:val="4F7C3B64"/>
    <w:rsid w:val="4FAC09AB"/>
    <w:rsid w:val="4FB122BD"/>
    <w:rsid w:val="4FC62A8C"/>
    <w:rsid w:val="4FE20F0D"/>
    <w:rsid w:val="504608AC"/>
    <w:rsid w:val="50504C4B"/>
    <w:rsid w:val="506C19DD"/>
    <w:rsid w:val="509C6E7C"/>
    <w:rsid w:val="50A02479"/>
    <w:rsid w:val="50AE0F69"/>
    <w:rsid w:val="50E716E2"/>
    <w:rsid w:val="50FB1195"/>
    <w:rsid w:val="51126F8D"/>
    <w:rsid w:val="512756FA"/>
    <w:rsid w:val="51461244"/>
    <w:rsid w:val="514F664F"/>
    <w:rsid w:val="515E2DB2"/>
    <w:rsid w:val="5162104E"/>
    <w:rsid w:val="51926067"/>
    <w:rsid w:val="51984095"/>
    <w:rsid w:val="51C769B9"/>
    <w:rsid w:val="51E14666"/>
    <w:rsid w:val="52471301"/>
    <w:rsid w:val="524F5CF2"/>
    <w:rsid w:val="525318AE"/>
    <w:rsid w:val="52586956"/>
    <w:rsid w:val="525D02C7"/>
    <w:rsid w:val="52A8310A"/>
    <w:rsid w:val="52BA7B29"/>
    <w:rsid w:val="52F4406D"/>
    <w:rsid w:val="53041F32"/>
    <w:rsid w:val="53190C34"/>
    <w:rsid w:val="5337425F"/>
    <w:rsid w:val="533A414A"/>
    <w:rsid w:val="536015B5"/>
    <w:rsid w:val="536D43C2"/>
    <w:rsid w:val="53856A8C"/>
    <w:rsid w:val="53A039CC"/>
    <w:rsid w:val="53A1505A"/>
    <w:rsid w:val="53B231AE"/>
    <w:rsid w:val="53C12C42"/>
    <w:rsid w:val="53DF20D3"/>
    <w:rsid w:val="53E04BF9"/>
    <w:rsid w:val="53E75F29"/>
    <w:rsid w:val="53E835A2"/>
    <w:rsid w:val="53EC118B"/>
    <w:rsid w:val="53FD5081"/>
    <w:rsid w:val="54063E08"/>
    <w:rsid w:val="541333FC"/>
    <w:rsid w:val="54185049"/>
    <w:rsid w:val="54187A04"/>
    <w:rsid w:val="54300EB3"/>
    <w:rsid w:val="543437E8"/>
    <w:rsid w:val="543C164C"/>
    <w:rsid w:val="54494606"/>
    <w:rsid w:val="545152A3"/>
    <w:rsid w:val="5453081C"/>
    <w:rsid w:val="54943654"/>
    <w:rsid w:val="549D2B2F"/>
    <w:rsid w:val="54B742E7"/>
    <w:rsid w:val="54DF6CC5"/>
    <w:rsid w:val="54F55CE9"/>
    <w:rsid w:val="552506CB"/>
    <w:rsid w:val="55317A30"/>
    <w:rsid w:val="55510DAB"/>
    <w:rsid w:val="55592145"/>
    <w:rsid w:val="55665D0A"/>
    <w:rsid w:val="556D72ED"/>
    <w:rsid w:val="5575419B"/>
    <w:rsid w:val="558137BF"/>
    <w:rsid w:val="559B174B"/>
    <w:rsid w:val="55B1343C"/>
    <w:rsid w:val="55C93158"/>
    <w:rsid w:val="55CE0CF4"/>
    <w:rsid w:val="56085F29"/>
    <w:rsid w:val="56321CF5"/>
    <w:rsid w:val="566613AF"/>
    <w:rsid w:val="5692777B"/>
    <w:rsid w:val="56A1736B"/>
    <w:rsid w:val="56AB311F"/>
    <w:rsid w:val="56B22A9C"/>
    <w:rsid w:val="56C42F2C"/>
    <w:rsid w:val="56C669EF"/>
    <w:rsid w:val="56CA06FF"/>
    <w:rsid w:val="56DD2728"/>
    <w:rsid w:val="56DF2B1F"/>
    <w:rsid w:val="56EF6686"/>
    <w:rsid w:val="56FD4E7D"/>
    <w:rsid w:val="57076C37"/>
    <w:rsid w:val="571B2943"/>
    <w:rsid w:val="57874821"/>
    <w:rsid w:val="57AB3D7D"/>
    <w:rsid w:val="57B72A76"/>
    <w:rsid w:val="57C413F2"/>
    <w:rsid w:val="57F823A5"/>
    <w:rsid w:val="57F97801"/>
    <w:rsid w:val="58014169"/>
    <w:rsid w:val="5817004E"/>
    <w:rsid w:val="5829429C"/>
    <w:rsid w:val="58565BE4"/>
    <w:rsid w:val="585C301F"/>
    <w:rsid w:val="58714B48"/>
    <w:rsid w:val="58817F83"/>
    <w:rsid w:val="58A321B7"/>
    <w:rsid w:val="58C11381"/>
    <w:rsid w:val="591C41D0"/>
    <w:rsid w:val="591D3EFF"/>
    <w:rsid w:val="592E1E78"/>
    <w:rsid w:val="594C634F"/>
    <w:rsid w:val="596F5415"/>
    <w:rsid w:val="59A21FF0"/>
    <w:rsid w:val="59B376E8"/>
    <w:rsid w:val="59C56B76"/>
    <w:rsid w:val="59E26E4C"/>
    <w:rsid w:val="59F925E7"/>
    <w:rsid w:val="5A232665"/>
    <w:rsid w:val="5A3C747D"/>
    <w:rsid w:val="5A420227"/>
    <w:rsid w:val="5A5C7C73"/>
    <w:rsid w:val="5A6978B4"/>
    <w:rsid w:val="5A962DD8"/>
    <w:rsid w:val="5AA40EEF"/>
    <w:rsid w:val="5AA86FCC"/>
    <w:rsid w:val="5AAD39A6"/>
    <w:rsid w:val="5ABE2233"/>
    <w:rsid w:val="5AC22E75"/>
    <w:rsid w:val="5ADC51F3"/>
    <w:rsid w:val="5B0272ED"/>
    <w:rsid w:val="5B207260"/>
    <w:rsid w:val="5B276D18"/>
    <w:rsid w:val="5B3639C3"/>
    <w:rsid w:val="5B435B87"/>
    <w:rsid w:val="5B860E1D"/>
    <w:rsid w:val="5BA82070"/>
    <w:rsid w:val="5BAD0C4B"/>
    <w:rsid w:val="5BBE67F9"/>
    <w:rsid w:val="5BDF5D95"/>
    <w:rsid w:val="5C082B59"/>
    <w:rsid w:val="5C0A6206"/>
    <w:rsid w:val="5C0E4915"/>
    <w:rsid w:val="5C2723B7"/>
    <w:rsid w:val="5C381550"/>
    <w:rsid w:val="5C3B534D"/>
    <w:rsid w:val="5C5B603E"/>
    <w:rsid w:val="5C6667A5"/>
    <w:rsid w:val="5C773EB4"/>
    <w:rsid w:val="5C921E92"/>
    <w:rsid w:val="5C923140"/>
    <w:rsid w:val="5CAD2C5E"/>
    <w:rsid w:val="5CC57BF4"/>
    <w:rsid w:val="5CE260E2"/>
    <w:rsid w:val="5D0163F1"/>
    <w:rsid w:val="5D1008D2"/>
    <w:rsid w:val="5D550897"/>
    <w:rsid w:val="5D972FAA"/>
    <w:rsid w:val="5DD30276"/>
    <w:rsid w:val="5DD340AD"/>
    <w:rsid w:val="5DF87A0F"/>
    <w:rsid w:val="5E1861DD"/>
    <w:rsid w:val="5E2A57E4"/>
    <w:rsid w:val="5E42361A"/>
    <w:rsid w:val="5E5C2273"/>
    <w:rsid w:val="5E6A5D46"/>
    <w:rsid w:val="5E7A183E"/>
    <w:rsid w:val="5E9B1709"/>
    <w:rsid w:val="5EC549BD"/>
    <w:rsid w:val="5ED45E84"/>
    <w:rsid w:val="5EDD5D66"/>
    <w:rsid w:val="5F0871B2"/>
    <w:rsid w:val="5F0B36AD"/>
    <w:rsid w:val="5F0E151A"/>
    <w:rsid w:val="5F10464D"/>
    <w:rsid w:val="5F1309EF"/>
    <w:rsid w:val="5F1A2B43"/>
    <w:rsid w:val="5F526965"/>
    <w:rsid w:val="5F591D9E"/>
    <w:rsid w:val="5F6A25B6"/>
    <w:rsid w:val="5F713849"/>
    <w:rsid w:val="5F7D4CD1"/>
    <w:rsid w:val="5F7E2973"/>
    <w:rsid w:val="5F806D66"/>
    <w:rsid w:val="5F9A30E9"/>
    <w:rsid w:val="5FAE4A91"/>
    <w:rsid w:val="5FB53C63"/>
    <w:rsid w:val="5FB837BB"/>
    <w:rsid w:val="5FD94B98"/>
    <w:rsid w:val="5FDD7B11"/>
    <w:rsid w:val="60264E6A"/>
    <w:rsid w:val="604720C0"/>
    <w:rsid w:val="606A3CE4"/>
    <w:rsid w:val="60765F74"/>
    <w:rsid w:val="60796409"/>
    <w:rsid w:val="6084614D"/>
    <w:rsid w:val="60B92027"/>
    <w:rsid w:val="60C24F15"/>
    <w:rsid w:val="60E23609"/>
    <w:rsid w:val="60EF54A6"/>
    <w:rsid w:val="60FB0F25"/>
    <w:rsid w:val="612B2B3B"/>
    <w:rsid w:val="613C144D"/>
    <w:rsid w:val="6182445A"/>
    <w:rsid w:val="61991AA5"/>
    <w:rsid w:val="61DB1480"/>
    <w:rsid w:val="61F109BB"/>
    <w:rsid w:val="61FE339D"/>
    <w:rsid w:val="62205FBE"/>
    <w:rsid w:val="622116F2"/>
    <w:rsid w:val="623616DF"/>
    <w:rsid w:val="62364782"/>
    <w:rsid w:val="624F7AAC"/>
    <w:rsid w:val="62515B87"/>
    <w:rsid w:val="625C6971"/>
    <w:rsid w:val="62C76F5B"/>
    <w:rsid w:val="62D57E1A"/>
    <w:rsid w:val="62E97F12"/>
    <w:rsid w:val="63054B15"/>
    <w:rsid w:val="631A7ADF"/>
    <w:rsid w:val="63473173"/>
    <w:rsid w:val="63683D72"/>
    <w:rsid w:val="637422AE"/>
    <w:rsid w:val="637F28EA"/>
    <w:rsid w:val="638B6C09"/>
    <w:rsid w:val="63A95C46"/>
    <w:rsid w:val="63C313DD"/>
    <w:rsid w:val="63D40BE9"/>
    <w:rsid w:val="63E0211F"/>
    <w:rsid w:val="63E72CAD"/>
    <w:rsid w:val="63FA191F"/>
    <w:rsid w:val="640D36F8"/>
    <w:rsid w:val="6416727E"/>
    <w:rsid w:val="641F2517"/>
    <w:rsid w:val="64370F57"/>
    <w:rsid w:val="644429E0"/>
    <w:rsid w:val="644A2DBC"/>
    <w:rsid w:val="644E1477"/>
    <w:rsid w:val="648A14D6"/>
    <w:rsid w:val="64967870"/>
    <w:rsid w:val="64B33014"/>
    <w:rsid w:val="64DA0124"/>
    <w:rsid w:val="64E334A8"/>
    <w:rsid w:val="652278A5"/>
    <w:rsid w:val="65373578"/>
    <w:rsid w:val="656939E3"/>
    <w:rsid w:val="65A43E27"/>
    <w:rsid w:val="65BB11ED"/>
    <w:rsid w:val="65BE1E8D"/>
    <w:rsid w:val="65C35505"/>
    <w:rsid w:val="65DA4BF5"/>
    <w:rsid w:val="65F51B61"/>
    <w:rsid w:val="6631234D"/>
    <w:rsid w:val="666850C3"/>
    <w:rsid w:val="666F5231"/>
    <w:rsid w:val="668354BD"/>
    <w:rsid w:val="668737F3"/>
    <w:rsid w:val="66B05571"/>
    <w:rsid w:val="66B52C4E"/>
    <w:rsid w:val="66C6455C"/>
    <w:rsid w:val="66D76C6B"/>
    <w:rsid w:val="66FD33A9"/>
    <w:rsid w:val="670359C1"/>
    <w:rsid w:val="670B22BF"/>
    <w:rsid w:val="672F1CBF"/>
    <w:rsid w:val="673F2C7A"/>
    <w:rsid w:val="67505F86"/>
    <w:rsid w:val="67656B48"/>
    <w:rsid w:val="67692C61"/>
    <w:rsid w:val="677E01E6"/>
    <w:rsid w:val="678A2D98"/>
    <w:rsid w:val="67B22418"/>
    <w:rsid w:val="67E421CF"/>
    <w:rsid w:val="67EC2C73"/>
    <w:rsid w:val="67EE52F3"/>
    <w:rsid w:val="67F2198B"/>
    <w:rsid w:val="681F6961"/>
    <w:rsid w:val="68267489"/>
    <w:rsid w:val="682D636D"/>
    <w:rsid w:val="68522653"/>
    <w:rsid w:val="68567F53"/>
    <w:rsid w:val="685E5827"/>
    <w:rsid w:val="68610A2F"/>
    <w:rsid w:val="68764729"/>
    <w:rsid w:val="68777E99"/>
    <w:rsid w:val="68805514"/>
    <w:rsid w:val="689D6807"/>
    <w:rsid w:val="68E62125"/>
    <w:rsid w:val="68F253BD"/>
    <w:rsid w:val="68FC3961"/>
    <w:rsid w:val="692C0FE8"/>
    <w:rsid w:val="69314075"/>
    <w:rsid w:val="69373E29"/>
    <w:rsid w:val="694E2071"/>
    <w:rsid w:val="694F6173"/>
    <w:rsid w:val="69696780"/>
    <w:rsid w:val="697A3B33"/>
    <w:rsid w:val="69802B82"/>
    <w:rsid w:val="698D0ABE"/>
    <w:rsid w:val="69926828"/>
    <w:rsid w:val="699E2456"/>
    <w:rsid w:val="69C25733"/>
    <w:rsid w:val="69F83F40"/>
    <w:rsid w:val="6A5025B3"/>
    <w:rsid w:val="6A5706D4"/>
    <w:rsid w:val="6A7007FA"/>
    <w:rsid w:val="6AC12212"/>
    <w:rsid w:val="6AD4502D"/>
    <w:rsid w:val="6ADB068C"/>
    <w:rsid w:val="6B050AAC"/>
    <w:rsid w:val="6B0C237E"/>
    <w:rsid w:val="6B12134B"/>
    <w:rsid w:val="6B1333EF"/>
    <w:rsid w:val="6B174A08"/>
    <w:rsid w:val="6B225C77"/>
    <w:rsid w:val="6B237F54"/>
    <w:rsid w:val="6B322639"/>
    <w:rsid w:val="6B414DBB"/>
    <w:rsid w:val="6B443D60"/>
    <w:rsid w:val="6B45469A"/>
    <w:rsid w:val="6B4E323A"/>
    <w:rsid w:val="6B67031D"/>
    <w:rsid w:val="6B875B0E"/>
    <w:rsid w:val="6BF31AAC"/>
    <w:rsid w:val="6C26175B"/>
    <w:rsid w:val="6C4E7586"/>
    <w:rsid w:val="6C636C38"/>
    <w:rsid w:val="6C687B34"/>
    <w:rsid w:val="6C810A47"/>
    <w:rsid w:val="6CCD1086"/>
    <w:rsid w:val="6CD049FA"/>
    <w:rsid w:val="6CE2032E"/>
    <w:rsid w:val="6D06726F"/>
    <w:rsid w:val="6D2F2C59"/>
    <w:rsid w:val="6D4000EB"/>
    <w:rsid w:val="6D411383"/>
    <w:rsid w:val="6D50792B"/>
    <w:rsid w:val="6D5B6DAA"/>
    <w:rsid w:val="6D6D1B42"/>
    <w:rsid w:val="6D8768BE"/>
    <w:rsid w:val="6DB34098"/>
    <w:rsid w:val="6DB545B6"/>
    <w:rsid w:val="6E0C0817"/>
    <w:rsid w:val="6E38053B"/>
    <w:rsid w:val="6E4301C1"/>
    <w:rsid w:val="6E4375A0"/>
    <w:rsid w:val="6E514CED"/>
    <w:rsid w:val="6E554402"/>
    <w:rsid w:val="6E5960FC"/>
    <w:rsid w:val="6E771378"/>
    <w:rsid w:val="6E79491A"/>
    <w:rsid w:val="6E90679A"/>
    <w:rsid w:val="6EB563D5"/>
    <w:rsid w:val="6EBC143C"/>
    <w:rsid w:val="6F182EDA"/>
    <w:rsid w:val="6F225983"/>
    <w:rsid w:val="6F28083F"/>
    <w:rsid w:val="6F481045"/>
    <w:rsid w:val="6F6B0A17"/>
    <w:rsid w:val="6F937374"/>
    <w:rsid w:val="6FFC5590"/>
    <w:rsid w:val="70167FBF"/>
    <w:rsid w:val="701910B3"/>
    <w:rsid w:val="70301DA3"/>
    <w:rsid w:val="706D1DD0"/>
    <w:rsid w:val="70835F02"/>
    <w:rsid w:val="70856B87"/>
    <w:rsid w:val="709C7761"/>
    <w:rsid w:val="70D527EE"/>
    <w:rsid w:val="70D54A4C"/>
    <w:rsid w:val="70DE2EDF"/>
    <w:rsid w:val="70F97007"/>
    <w:rsid w:val="710213DF"/>
    <w:rsid w:val="71140E25"/>
    <w:rsid w:val="71145CEA"/>
    <w:rsid w:val="71547888"/>
    <w:rsid w:val="715B5300"/>
    <w:rsid w:val="715F4BD7"/>
    <w:rsid w:val="71697777"/>
    <w:rsid w:val="71760C45"/>
    <w:rsid w:val="717F61A5"/>
    <w:rsid w:val="7187244B"/>
    <w:rsid w:val="71942A04"/>
    <w:rsid w:val="719621A4"/>
    <w:rsid w:val="7199085C"/>
    <w:rsid w:val="71A16BC9"/>
    <w:rsid w:val="71A17739"/>
    <w:rsid w:val="71D27F8A"/>
    <w:rsid w:val="71EF62CF"/>
    <w:rsid w:val="71F744C6"/>
    <w:rsid w:val="71F960CF"/>
    <w:rsid w:val="721E7AD4"/>
    <w:rsid w:val="72637DBF"/>
    <w:rsid w:val="727042AA"/>
    <w:rsid w:val="72B86A44"/>
    <w:rsid w:val="72F63932"/>
    <w:rsid w:val="73061671"/>
    <w:rsid w:val="73107CAC"/>
    <w:rsid w:val="73170860"/>
    <w:rsid w:val="731F5D5E"/>
    <w:rsid w:val="73240151"/>
    <w:rsid w:val="73353A6C"/>
    <w:rsid w:val="737265C5"/>
    <w:rsid w:val="738C03F5"/>
    <w:rsid w:val="73C2171A"/>
    <w:rsid w:val="73ED570B"/>
    <w:rsid w:val="73FC4598"/>
    <w:rsid w:val="7409407C"/>
    <w:rsid w:val="740F045F"/>
    <w:rsid w:val="741E793C"/>
    <w:rsid w:val="746F6D41"/>
    <w:rsid w:val="74820DD9"/>
    <w:rsid w:val="74B04F46"/>
    <w:rsid w:val="74F633F9"/>
    <w:rsid w:val="75397D24"/>
    <w:rsid w:val="755064BD"/>
    <w:rsid w:val="758D75E2"/>
    <w:rsid w:val="759D2CC8"/>
    <w:rsid w:val="75D056A7"/>
    <w:rsid w:val="75E94520"/>
    <w:rsid w:val="75FE694A"/>
    <w:rsid w:val="7616082D"/>
    <w:rsid w:val="761A2220"/>
    <w:rsid w:val="764562ED"/>
    <w:rsid w:val="764E5F25"/>
    <w:rsid w:val="76545030"/>
    <w:rsid w:val="767E3CF6"/>
    <w:rsid w:val="768279D7"/>
    <w:rsid w:val="76B01D4D"/>
    <w:rsid w:val="76E97F47"/>
    <w:rsid w:val="76F67B59"/>
    <w:rsid w:val="77137A39"/>
    <w:rsid w:val="772267E9"/>
    <w:rsid w:val="77256DC6"/>
    <w:rsid w:val="772A2B2C"/>
    <w:rsid w:val="772A7D4E"/>
    <w:rsid w:val="774B5D66"/>
    <w:rsid w:val="7767299E"/>
    <w:rsid w:val="77762421"/>
    <w:rsid w:val="778F713D"/>
    <w:rsid w:val="77980472"/>
    <w:rsid w:val="77A721BA"/>
    <w:rsid w:val="77DF24F9"/>
    <w:rsid w:val="77F63281"/>
    <w:rsid w:val="78036C46"/>
    <w:rsid w:val="780F09F4"/>
    <w:rsid w:val="78530C7B"/>
    <w:rsid w:val="785A6C01"/>
    <w:rsid w:val="785D5031"/>
    <w:rsid w:val="787107C2"/>
    <w:rsid w:val="78811963"/>
    <w:rsid w:val="789C4F47"/>
    <w:rsid w:val="78A767C2"/>
    <w:rsid w:val="78A90480"/>
    <w:rsid w:val="78B0576F"/>
    <w:rsid w:val="78C60DC4"/>
    <w:rsid w:val="78F05AA3"/>
    <w:rsid w:val="793079A3"/>
    <w:rsid w:val="795E7121"/>
    <w:rsid w:val="796F3BC6"/>
    <w:rsid w:val="797C387E"/>
    <w:rsid w:val="79811327"/>
    <w:rsid w:val="798617C0"/>
    <w:rsid w:val="79B273AE"/>
    <w:rsid w:val="79C16623"/>
    <w:rsid w:val="79E44E11"/>
    <w:rsid w:val="79F34106"/>
    <w:rsid w:val="7A364017"/>
    <w:rsid w:val="7A8265E1"/>
    <w:rsid w:val="7ABF28B7"/>
    <w:rsid w:val="7ABF7335"/>
    <w:rsid w:val="7AD75531"/>
    <w:rsid w:val="7AD7609C"/>
    <w:rsid w:val="7AE9413E"/>
    <w:rsid w:val="7B066AE2"/>
    <w:rsid w:val="7B14584D"/>
    <w:rsid w:val="7B2456B6"/>
    <w:rsid w:val="7B391F50"/>
    <w:rsid w:val="7B4538E0"/>
    <w:rsid w:val="7B577C27"/>
    <w:rsid w:val="7B5B3614"/>
    <w:rsid w:val="7B686D42"/>
    <w:rsid w:val="7B841746"/>
    <w:rsid w:val="7B90162F"/>
    <w:rsid w:val="7B9162F3"/>
    <w:rsid w:val="7B920A3D"/>
    <w:rsid w:val="7B990270"/>
    <w:rsid w:val="7BA1096B"/>
    <w:rsid w:val="7BA952E4"/>
    <w:rsid w:val="7BC724B4"/>
    <w:rsid w:val="7BDC2E1B"/>
    <w:rsid w:val="7BFB5EC8"/>
    <w:rsid w:val="7C04593D"/>
    <w:rsid w:val="7C0533C5"/>
    <w:rsid w:val="7C2D4FCE"/>
    <w:rsid w:val="7C395895"/>
    <w:rsid w:val="7C53123C"/>
    <w:rsid w:val="7C572C9F"/>
    <w:rsid w:val="7CBD6FF9"/>
    <w:rsid w:val="7CE441CA"/>
    <w:rsid w:val="7D0239FF"/>
    <w:rsid w:val="7D0E2D3B"/>
    <w:rsid w:val="7D1E7437"/>
    <w:rsid w:val="7D2666EB"/>
    <w:rsid w:val="7D3761C0"/>
    <w:rsid w:val="7D401361"/>
    <w:rsid w:val="7D5E40CD"/>
    <w:rsid w:val="7D693BED"/>
    <w:rsid w:val="7DBF7B55"/>
    <w:rsid w:val="7DCE343B"/>
    <w:rsid w:val="7DE10DF3"/>
    <w:rsid w:val="7DF7037A"/>
    <w:rsid w:val="7E156974"/>
    <w:rsid w:val="7E2147B2"/>
    <w:rsid w:val="7E247AFF"/>
    <w:rsid w:val="7E466E3B"/>
    <w:rsid w:val="7E7B679F"/>
    <w:rsid w:val="7E7C19B2"/>
    <w:rsid w:val="7E836C10"/>
    <w:rsid w:val="7E973746"/>
    <w:rsid w:val="7EE26707"/>
    <w:rsid w:val="7EE96A4E"/>
    <w:rsid w:val="7EEA0136"/>
    <w:rsid w:val="7F0543A4"/>
    <w:rsid w:val="7F2B48A3"/>
    <w:rsid w:val="7F36225C"/>
    <w:rsid w:val="7F441B45"/>
    <w:rsid w:val="7F4F6F66"/>
    <w:rsid w:val="7F9A6781"/>
    <w:rsid w:val="7FDC36AE"/>
    <w:rsid w:val="7FDF7B62"/>
    <w:rsid w:val="7FE47E50"/>
    <w:rsid w:val="7FEC1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qFormat="1" w:unhideWhenUsed="0" w:uiPriority="0" w:semiHidden="0" w:name="toc 6" w:locked="1"/>
    <w:lsdException w:unhideWhenUsed="0" w:uiPriority="0" w:semiHidden="0" w:name="toc 7" w:locked="1"/>
    <w:lsdException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20" w:semiHidden="0" w:name="Emphasis" w:locked="1"/>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1"/>
    <w:next w:val="1"/>
    <w:link w:val="112"/>
    <w:qFormat/>
    <w:locked/>
    <w:uiPriority w:val="0"/>
    <w:pPr>
      <w:keepNext/>
      <w:keepLines/>
      <w:spacing w:before="260" w:after="260" w:line="416" w:lineRule="auto"/>
      <w:outlineLvl w:val="1"/>
    </w:pPr>
    <w:rPr>
      <w:rFonts w:ascii="等线 Light" w:hAnsi="等线 Light" w:eastAsia="等线 Light"/>
      <w:b/>
      <w:bCs/>
      <w:sz w:val="32"/>
      <w:szCs w:val="32"/>
    </w:rPr>
  </w:style>
  <w:style w:type="paragraph" w:styleId="6">
    <w:name w:val="heading 3"/>
    <w:basedOn w:val="1"/>
    <w:next w:val="1"/>
    <w:link w:val="64"/>
    <w:qFormat/>
    <w:locked/>
    <w:uiPriority w:val="0"/>
    <w:pPr>
      <w:keepNext/>
      <w:keepLines/>
      <w:spacing w:before="260" w:after="260" w:line="416" w:lineRule="auto"/>
      <w:outlineLvl w:val="2"/>
    </w:pPr>
    <w:rPr>
      <w:b/>
      <w:bCs/>
      <w:sz w:val="32"/>
      <w:szCs w:val="32"/>
    </w:rPr>
  </w:style>
  <w:style w:type="paragraph" w:styleId="7">
    <w:name w:val="heading 4"/>
    <w:basedOn w:val="1"/>
    <w:next w:val="1"/>
    <w:link w:val="145"/>
    <w:qFormat/>
    <w:locked/>
    <w:uiPriority w:val="0"/>
    <w:pPr>
      <w:keepNext/>
      <w:keepLines/>
      <w:spacing w:before="280" w:after="290" w:line="376" w:lineRule="auto"/>
      <w:outlineLvl w:val="3"/>
    </w:pPr>
    <w:rPr>
      <w:rFonts w:ascii="等线 Light" w:hAnsi="等线 Light" w:eastAsia="等线 Light"/>
      <w:b/>
      <w:bCs/>
      <w:sz w:val="28"/>
      <w:szCs w:val="28"/>
    </w:rPr>
  </w:style>
  <w:style w:type="paragraph" w:styleId="8">
    <w:name w:val="heading 5"/>
    <w:basedOn w:val="1"/>
    <w:next w:val="1"/>
    <w:link w:val="123"/>
    <w:qFormat/>
    <w:locked/>
    <w:uiPriority w:val="0"/>
    <w:pPr>
      <w:adjustRightInd w:val="0"/>
      <w:spacing w:line="460" w:lineRule="exact"/>
      <w:ind w:firstLine="510"/>
      <w:jc w:val="left"/>
      <w:textAlignment w:val="baseline"/>
      <w:outlineLvl w:val="4"/>
    </w:pPr>
    <w:rPr>
      <w:kern w:val="0"/>
      <w:sz w:val="24"/>
      <w:szCs w:val="20"/>
    </w:rPr>
  </w:style>
  <w:style w:type="paragraph" w:styleId="9">
    <w:name w:val="heading 6"/>
    <w:basedOn w:val="1"/>
    <w:next w:val="1"/>
    <w:link w:val="62"/>
    <w:qFormat/>
    <w:locked/>
    <w:uiPriority w:val="0"/>
    <w:pPr>
      <w:keepNext/>
      <w:keepLines/>
      <w:spacing w:before="240" w:after="64" w:line="320" w:lineRule="auto"/>
      <w:outlineLvl w:val="5"/>
    </w:pPr>
    <w:rPr>
      <w:rFonts w:ascii="Calibri Light" w:hAnsi="Calibri Light"/>
      <w:b/>
      <w:bCs/>
      <w:sz w:val="24"/>
    </w:rPr>
  </w:style>
  <w:style w:type="paragraph" w:styleId="10">
    <w:name w:val="heading 7"/>
    <w:basedOn w:val="1"/>
    <w:next w:val="1"/>
    <w:link w:val="82"/>
    <w:qFormat/>
    <w:locked/>
    <w:uiPriority w:val="0"/>
    <w:pPr>
      <w:keepNext/>
      <w:keepLines/>
      <w:spacing w:before="240" w:after="64" w:line="320" w:lineRule="auto"/>
      <w:outlineLvl w:val="6"/>
    </w:pPr>
    <w:rPr>
      <w:b/>
      <w:bCs/>
      <w:sz w:val="24"/>
    </w:rPr>
  </w:style>
  <w:style w:type="paragraph" w:styleId="11">
    <w:name w:val="heading 8"/>
    <w:basedOn w:val="1"/>
    <w:link w:val="95"/>
    <w:qFormat/>
    <w:locked/>
    <w:uiPriority w:val="0"/>
    <w:pPr>
      <w:adjustRightInd w:val="0"/>
      <w:spacing w:line="460" w:lineRule="exact"/>
      <w:ind w:left="1021" w:hanging="284"/>
      <w:jc w:val="left"/>
      <w:textAlignment w:val="baseline"/>
      <w:outlineLvl w:val="7"/>
    </w:pPr>
    <w:rPr>
      <w:kern w:val="0"/>
      <w:sz w:val="24"/>
      <w:szCs w:val="20"/>
    </w:rPr>
  </w:style>
  <w:style w:type="paragraph" w:styleId="12">
    <w:name w:val="heading 9"/>
    <w:basedOn w:val="1"/>
    <w:next w:val="1"/>
    <w:link w:val="108"/>
    <w:qFormat/>
    <w:locked/>
    <w:uiPriority w:val="0"/>
    <w:pPr>
      <w:keepNext/>
      <w:keepLines/>
      <w:adjustRightInd w:val="0"/>
      <w:spacing w:before="240" w:after="64" w:line="320" w:lineRule="atLeast"/>
      <w:jc w:val="left"/>
      <w:textAlignment w:val="baseline"/>
      <w:outlineLvl w:val="8"/>
    </w:pPr>
    <w:rPr>
      <w:rFonts w:ascii="Arial" w:hAnsi="Arial" w:eastAsia="黑体"/>
      <w:kern w:val="0"/>
      <w:sz w:val="24"/>
      <w:szCs w:val="20"/>
    </w:rPr>
  </w:style>
  <w:style w:type="character" w:default="1" w:styleId="49">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161"/>
    <w:qFormat/>
    <w:uiPriority w:val="99"/>
    <w:pPr>
      <w:widowControl/>
      <w:snapToGrid w:val="0"/>
      <w:spacing w:before="60" w:after="160" w:line="259" w:lineRule="auto"/>
      <w:ind w:right="113"/>
    </w:pPr>
    <w:rPr>
      <w:kern w:val="0"/>
      <w:sz w:val="18"/>
      <w:szCs w:val="18"/>
    </w:rPr>
  </w:style>
  <w:style w:type="paragraph" w:styleId="3">
    <w:name w:val="macro"/>
    <w:link w:val="15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qFormat/>
    <w:uiPriority w:val="0"/>
    <w:pPr>
      <w:jc w:val="center"/>
    </w:pPr>
    <w:rPr>
      <w:rFonts w:eastAsia="仿宋_GB2312"/>
      <w:kern w:val="12"/>
      <w:szCs w:val="28"/>
    </w:rPr>
  </w:style>
  <w:style w:type="paragraph" w:styleId="14">
    <w:name w:val="Note Heading"/>
    <w:basedOn w:val="1"/>
    <w:next w:val="1"/>
    <w:link w:val="159"/>
    <w:qFormat/>
    <w:uiPriority w:val="0"/>
    <w:pPr>
      <w:widowControl/>
      <w:jc w:val="center"/>
    </w:pPr>
    <w:rPr>
      <w:sz w:val="24"/>
      <w:lang w:eastAsia="en-US" w:bidi="en-US"/>
    </w:rPr>
  </w:style>
  <w:style w:type="paragraph" w:styleId="15">
    <w:name w:val="index 8"/>
    <w:basedOn w:val="1"/>
    <w:next w:val="1"/>
    <w:qFormat/>
    <w:uiPriority w:val="0"/>
    <w:pPr>
      <w:overflowPunct w:val="0"/>
      <w:adjustRightInd w:val="0"/>
      <w:spacing w:line="360" w:lineRule="auto"/>
      <w:ind w:left="1920" w:hanging="240"/>
    </w:pPr>
    <w:rPr>
      <w:rFonts w:ascii="Calibri" w:hAnsi="宋体" w:cs="Calibri"/>
      <w:spacing w:val="12"/>
      <w:sz w:val="20"/>
    </w:rPr>
  </w:style>
  <w:style w:type="paragraph" w:styleId="16">
    <w:name w:val="Normal Indent"/>
    <w:basedOn w:val="1"/>
    <w:link w:val="113"/>
    <w:qFormat/>
    <w:uiPriority w:val="0"/>
    <w:pPr>
      <w:widowControl/>
      <w:spacing w:after="160" w:line="259" w:lineRule="auto"/>
    </w:pPr>
    <w:rPr>
      <w:spacing w:val="4"/>
      <w:kern w:val="0"/>
      <w:sz w:val="22"/>
    </w:rPr>
  </w:style>
  <w:style w:type="paragraph" w:styleId="17">
    <w:name w:val="caption"/>
    <w:basedOn w:val="1"/>
    <w:next w:val="1"/>
    <w:link w:val="114"/>
    <w:qFormat/>
    <w:locked/>
    <w:uiPriority w:val="0"/>
    <w:pPr>
      <w:spacing w:before="152" w:after="160"/>
      <w:ind w:left="-40" w:leftChars="-40" w:right="-40" w:rightChars="-40"/>
    </w:pPr>
    <w:rPr>
      <w:rFonts w:ascii="Arial" w:hAnsi="Arial" w:eastAsia="黑体"/>
      <w:kern w:val="0"/>
      <w:sz w:val="20"/>
      <w:szCs w:val="20"/>
    </w:rPr>
  </w:style>
  <w:style w:type="paragraph" w:styleId="18">
    <w:name w:val="index 5"/>
    <w:basedOn w:val="1"/>
    <w:next w:val="1"/>
    <w:qFormat/>
    <w:uiPriority w:val="0"/>
    <w:pPr>
      <w:ind w:left="800" w:leftChars="800"/>
    </w:pPr>
  </w:style>
  <w:style w:type="paragraph" w:styleId="19">
    <w:name w:val="Document Map"/>
    <w:basedOn w:val="1"/>
    <w:link w:val="160"/>
    <w:qFormat/>
    <w:uiPriority w:val="0"/>
    <w:pPr>
      <w:shd w:val="clear" w:color="auto" w:fill="000080"/>
    </w:pPr>
  </w:style>
  <w:style w:type="paragraph" w:styleId="20">
    <w:name w:val="toa heading"/>
    <w:basedOn w:val="1"/>
    <w:next w:val="1"/>
    <w:qFormat/>
    <w:uiPriority w:val="0"/>
    <w:pPr>
      <w:spacing w:before="120"/>
    </w:pPr>
    <w:rPr>
      <w:rFonts w:ascii="Arial" w:hAnsi="Arial" w:cs="Arial"/>
      <w:sz w:val="24"/>
    </w:rPr>
  </w:style>
  <w:style w:type="paragraph" w:styleId="21">
    <w:name w:val="annotation text"/>
    <w:basedOn w:val="1"/>
    <w:link w:val="156"/>
    <w:semiHidden/>
    <w:qFormat/>
    <w:uiPriority w:val="0"/>
    <w:pPr>
      <w:jc w:val="left"/>
    </w:pPr>
    <w:rPr>
      <w:kern w:val="0"/>
      <w:sz w:val="20"/>
    </w:rPr>
  </w:style>
  <w:style w:type="paragraph" w:styleId="22">
    <w:name w:val="Body Text Indent"/>
    <w:basedOn w:val="1"/>
    <w:link w:val="120"/>
    <w:qFormat/>
    <w:uiPriority w:val="0"/>
    <w:pPr>
      <w:spacing w:after="120"/>
      <w:ind w:left="420" w:leftChars="200"/>
    </w:pPr>
  </w:style>
  <w:style w:type="paragraph" w:styleId="23">
    <w:name w:val="Block Text"/>
    <w:basedOn w:val="1"/>
    <w:qFormat/>
    <w:uiPriority w:val="0"/>
    <w:pPr>
      <w:spacing w:after="120"/>
      <w:ind w:left="1440" w:leftChars="700" w:right="1440" w:rightChars="700"/>
    </w:pPr>
  </w:style>
  <w:style w:type="paragraph" w:styleId="24">
    <w:name w:val="index 4"/>
    <w:basedOn w:val="1"/>
    <w:next w:val="1"/>
    <w:qFormat/>
    <w:uiPriority w:val="0"/>
    <w:pPr>
      <w:ind w:left="600" w:leftChars="600"/>
    </w:pPr>
  </w:style>
  <w:style w:type="paragraph" w:styleId="25">
    <w:name w:val="toc 3"/>
    <w:basedOn w:val="1"/>
    <w:next w:val="1"/>
    <w:qFormat/>
    <w:locked/>
    <w:uiPriority w:val="39"/>
    <w:pPr>
      <w:ind w:left="840" w:leftChars="400"/>
    </w:pPr>
  </w:style>
  <w:style w:type="paragraph" w:styleId="26">
    <w:name w:val="Plain Text"/>
    <w:basedOn w:val="1"/>
    <w:link w:val="133"/>
    <w:qFormat/>
    <w:uiPriority w:val="0"/>
    <w:pPr>
      <w:spacing w:line="240" w:lineRule="atLeast"/>
    </w:pPr>
    <w:rPr>
      <w:rFonts w:ascii="宋体" w:hAnsi="Courier New"/>
      <w:kern w:val="0"/>
      <w:sz w:val="28"/>
    </w:rPr>
  </w:style>
  <w:style w:type="paragraph" w:styleId="27">
    <w:name w:val="Date"/>
    <w:basedOn w:val="1"/>
    <w:next w:val="1"/>
    <w:link w:val="101"/>
    <w:qFormat/>
    <w:uiPriority w:val="0"/>
    <w:pPr>
      <w:ind w:left="100" w:leftChars="2500"/>
    </w:pPr>
    <w:rPr>
      <w:kern w:val="0"/>
      <w:sz w:val="20"/>
    </w:rPr>
  </w:style>
  <w:style w:type="paragraph" w:styleId="28">
    <w:name w:val="Body Text Indent 2"/>
    <w:basedOn w:val="1"/>
    <w:link w:val="109"/>
    <w:qFormat/>
    <w:uiPriority w:val="0"/>
    <w:pPr>
      <w:spacing w:after="120" w:line="480" w:lineRule="auto"/>
      <w:ind w:left="420" w:leftChars="200"/>
    </w:pPr>
  </w:style>
  <w:style w:type="paragraph" w:styleId="29">
    <w:name w:val="Balloon Text"/>
    <w:basedOn w:val="1"/>
    <w:link w:val="153"/>
    <w:qFormat/>
    <w:uiPriority w:val="0"/>
    <w:rPr>
      <w:sz w:val="18"/>
      <w:szCs w:val="18"/>
    </w:rPr>
  </w:style>
  <w:style w:type="paragraph" w:styleId="30">
    <w:name w:val="footer"/>
    <w:basedOn w:val="1"/>
    <w:link w:val="152"/>
    <w:qFormat/>
    <w:uiPriority w:val="99"/>
    <w:pPr>
      <w:tabs>
        <w:tab w:val="center" w:pos="4153"/>
        <w:tab w:val="right" w:pos="8306"/>
      </w:tabs>
      <w:snapToGrid w:val="0"/>
      <w:jc w:val="left"/>
    </w:pPr>
    <w:rPr>
      <w:sz w:val="18"/>
      <w:szCs w:val="18"/>
    </w:rPr>
  </w:style>
  <w:style w:type="paragraph" w:styleId="31">
    <w:name w:val="header"/>
    <w:basedOn w:val="1"/>
    <w:link w:val="158"/>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locked/>
    <w:uiPriority w:val="39"/>
  </w:style>
  <w:style w:type="paragraph" w:styleId="33">
    <w:name w:val="footnote text"/>
    <w:basedOn w:val="1"/>
    <w:link w:val="87"/>
    <w:qFormat/>
    <w:uiPriority w:val="0"/>
    <w:pPr>
      <w:snapToGrid w:val="0"/>
      <w:jc w:val="left"/>
    </w:pPr>
    <w:rPr>
      <w:sz w:val="18"/>
      <w:szCs w:val="18"/>
    </w:rPr>
  </w:style>
  <w:style w:type="paragraph" w:styleId="34">
    <w:name w:val="toc 6"/>
    <w:basedOn w:val="1"/>
    <w:next w:val="1"/>
    <w:qFormat/>
    <w:locked/>
    <w:uiPriority w:val="0"/>
    <w:pPr>
      <w:ind w:right="105" w:rightChars="50"/>
      <w:jc w:val="center"/>
    </w:pPr>
  </w:style>
  <w:style w:type="paragraph" w:styleId="35">
    <w:name w:val="Body Text Indent 3"/>
    <w:basedOn w:val="1"/>
    <w:link w:val="92"/>
    <w:qFormat/>
    <w:uiPriority w:val="0"/>
    <w:pPr>
      <w:spacing w:after="120"/>
      <w:ind w:left="420" w:leftChars="200"/>
    </w:pPr>
    <w:rPr>
      <w:sz w:val="16"/>
      <w:szCs w:val="16"/>
    </w:rPr>
  </w:style>
  <w:style w:type="paragraph" w:styleId="36">
    <w:name w:val="toc 2"/>
    <w:basedOn w:val="1"/>
    <w:next w:val="1"/>
    <w:qFormat/>
    <w:locked/>
    <w:uiPriority w:val="39"/>
    <w:pPr>
      <w:ind w:left="420" w:leftChars="200"/>
    </w:pPr>
  </w:style>
  <w:style w:type="paragraph" w:styleId="37">
    <w:name w:val="toc 9"/>
    <w:basedOn w:val="1"/>
    <w:next w:val="1"/>
    <w:qFormat/>
    <w:locked/>
    <w:uiPriority w:val="0"/>
    <w:pPr>
      <w:ind w:left="3360" w:leftChars="1600"/>
    </w:pPr>
  </w:style>
  <w:style w:type="paragraph" w:styleId="38">
    <w:name w:val="Body Text 2"/>
    <w:basedOn w:val="1"/>
    <w:link w:val="85"/>
    <w:qFormat/>
    <w:uiPriority w:val="0"/>
    <w:pPr>
      <w:spacing w:after="120" w:line="480" w:lineRule="auto"/>
    </w:pPr>
  </w:style>
  <w:style w:type="paragraph" w:styleId="39">
    <w:name w:val="Normal (Web)"/>
    <w:basedOn w:val="1"/>
    <w:link w:val="106"/>
    <w:qFormat/>
    <w:uiPriority w:val="99"/>
    <w:pPr>
      <w:widowControl/>
      <w:spacing w:before="100" w:beforeAutospacing="1" w:after="100" w:afterAutospacing="1"/>
      <w:jc w:val="left"/>
    </w:pPr>
    <w:rPr>
      <w:rFonts w:ascii="宋体" w:hAnsi="宋体"/>
      <w:kern w:val="0"/>
      <w:sz w:val="24"/>
    </w:rPr>
  </w:style>
  <w:style w:type="paragraph" w:styleId="40">
    <w:name w:val="index 1"/>
    <w:basedOn w:val="1"/>
    <w:next w:val="1"/>
    <w:qFormat/>
    <w:uiPriority w:val="0"/>
  </w:style>
  <w:style w:type="paragraph" w:styleId="41">
    <w:name w:val="Title"/>
    <w:basedOn w:val="1"/>
    <w:link w:val="67"/>
    <w:qFormat/>
    <w:locked/>
    <w:uiPriority w:val="0"/>
    <w:pPr>
      <w:spacing w:before="240" w:after="60"/>
      <w:jc w:val="center"/>
      <w:outlineLvl w:val="0"/>
    </w:pPr>
    <w:rPr>
      <w:rFonts w:ascii="Arial" w:hAnsi="Arial" w:cs="Arial"/>
      <w:b/>
      <w:bCs/>
      <w:sz w:val="32"/>
      <w:szCs w:val="32"/>
    </w:rPr>
  </w:style>
  <w:style w:type="paragraph" w:styleId="42">
    <w:name w:val="annotation subject"/>
    <w:basedOn w:val="21"/>
    <w:next w:val="21"/>
    <w:link w:val="149"/>
    <w:semiHidden/>
    <w:qFormat/>
    <w:uiPriority w:val="0"/>
    <w:rPr>
      <w:b/>
      <w:bCs/>
    </w:rPr>
  </w:style>
  <w:style w:type="paragraph" w:styleId="43">
    <w:name w:val="Body Text First Indent"/>
    <w:basedOn w:val="2"/>
    <w:link w:val="94"/>
    <w:qFormat/>
    <w:uiPriority w:val="0"/>
    <w:pPr>
      <w:widowControl w:val="0"/>
      <w:snapToGrid/>
      <w:spacing w:before="0" w:after="120" w:line="240" w:lineRule="auto"/>
      <w:ind w:right="0" w:firstLine="420" w:firstLineChars="100"/>
    </w:pPr>
    <w:rPr>
      <w:kern w:val="2"/>
      <w:sz w:val="21"/>
      <w:szCs w:val="24"/>
    </w:rPr>
  </w:style>
  <w:style w:type="paragraph" w:styleId="44">
    <w:name w:val="Body Text First Indent 2"/>
    <w:basedOn w:val="22"/>
    <w:link w:val="103"/>
    <w:qFormat/>
    <w:uiPriority w:val="0"/>
    <w:pPr>
      <w:ind w:firstLine="420" w:firstLineChars="200"/>
    </w:p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7">
    <w:name w:val="Table Theme"/>
    <w:basedOn w:val="45"/>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Elegant"/>
    <w:basedOn w:val="45"/>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50">
    <w:name w:val="Strong"/>
    <w:qFormat/>
    <w:locked/>
    <w:uiPriority w:val="0"/>
    <w:rPr>
      <w:b/>
      <w:bCs/>
    </w:rPr>
  </w:style>
  <w:style w:type="character" w:styleId="51">
    <w:name w:val="page number"/>
    <w:qFormat/>
    <w:uiPriority w:val="0"/>
  </w:style>
  <w:style w:type="character" w:styleId="52">
    <w:name w:val="FollowedHyperlink"/>
    <w:qFormat/>
    <w:uiPriority w:val="99"/>
    <w:rPr>
      <w:color w:val="800080"/>
      <w:u w:val="single"/>
    </w:rPr>
  </w:style>
  <w:style w:type="character" w:styleId="53">
    <w:name w:val="Emphasis"/>
    <w:qFormat/>
    <w:locked/>
    <w:uiPriority w:val="20"/>
    <w:rPr>
      <w:i/>
      <w:iCs/>
      <w:color w:val="auto"/>
    </w:rPr>
  </w:style>
  <w:style w:type="character" w:styleId="54">
    <w:name w:val="HTML Typewriter"/>
    <w:qFormat/>
    <w:uiPriority w:val="0"/>
    <w:rPr>
      <w:rFonts w:ascii="宋体" w:hAnsi="宋体" w:eastAsia="宋体" w:cs="宋体"/>
      <w:sz w:val="24"/>
      <w:szCs w:val="24"/>
    </w:rPr>
  </w:style>
  <w:style w:type="character" w:styleId="55">
    <w:name w:val="HTML Acronym"/>
    <w:unhideWhenUsed/>
    <w:qFormat/>
    <w:uiPriority w:val="0"/>
    <w:rPr>
      <w:rFonts w:hint="default" w:ascii="Verdana" w:hAnsi="Verdana" w:eastAsia="仿宋_GB2312"/>
      <w:b/>
      <w:sz w:val="24"/>
      <w:lang w:val="en-US" w:eastAsia="en-US" w:bidi="ar-SA"/>
    </w:rPr>
  </w:style>
  <w:style w:type="character" w:styleId="56">
    <w:name w:val="HTML Variable"/>
    <w:qFormat/>
    <w:uiPriority w:val="0"/>
    <w:rPr>
      <w:i/>
      <w:iCs/>
    </w:rPr>
  </w:style>
  <w:style w:type="character" w:styleId="57">
    <w:name w:val="Hyperlink"/>
    <w:qFormat/>
    <w:uiPriority w:val="99"/>
    <w:rPr>
      <w:color w:val="0563C1"/>
      <w:u w:val="single"/>
    </w:rPr>
  </w:style>
  <w:style w:type="character" w:styleId="58">
    <w:name w:val="annotation reference"/>
    <w:semiHidden/>
    <w:qFormat/>
    <w:uiPriority w:val="0"/>
    <w:rPr>
      <w:sz w:val="21"/>
    </w:rPr>
  </w:style>
  <w:style w:type="character" w:styleId="59">
    <w:name w:val="footnote reference"/>
    <w:qFormat/>
    <w:uiPriority w:val="0"/>
    <w:rPr>
      <w:vertAlign w:val="superscript"/>
    </w:rPr>
  </w:style>
  <w:style w:type="character" w:customStyle="1" w:styleId="60">
    <w:name w:val="sb-正文 Char"/>
    <w:link w:val="61"/>
    <w:qFormat/>
    <w:uiPriority w:val="0"/>
    <w:rPr>
      <w:rFonts w:ascii="仿宋_GB2312" w:eastAsia="仿宋_GB2312" w:cs="宋体"/>
      <w:spacing w:val="-2"/>
      <w:sz w:val="24"/>
      <w:szCs w:val="30"/>
    </w:rPr>
  </w:style>
  <w:style w:type="paragraph" w:customStyle="1" w:styleId="61">
    <w:name w:val="sb-正文"/>
    <w:basedOn w:val="1"/>
    <w:link w:val="60"/>
    <w:qFormat/>
    <w:uiPriority w:val="0"/>
    <w:pPr>
      <w:spacing w:line="360" w:lineRule="auto"/>
      <w:ind w:firstLine="200" w:firstLineChars="200"/>
    </w:pPr>
    <w:rPr>
      <w:rFonts w:ascii="仿宋_GB2312" w:eastAsia="仿宋_GB2312" w:cs="宋体"/>
      <w:spacing w:val="-2"/>
      <w:kern w:val="0"/>
      <w:sz w:val="24"/>
      <w:szCs w:val="30"/>
    </w:rPr>
  </w:style>
  <w:style w:type="character" w:customStyle="1" w:styleId="62">
    <w:name w:val="标题 6 字符"/>
    <w:link w:val="9"/>
    <w:qFormat/>
    <w:uiPriority w:val="0"/>
    <w:rPr>
      <w:rFonts w:ascii="Calibri Light" w:hAnsi="Calibri Light" w:eastAsia="宋体" w:cs="Times New Roman"/>
      <w:b/>
      <w:bCs/>
      <w:kern w:val="2"/>
      <w:sz w:val="24"/>
      <w:szCs w:val="24"/>
    </w:rPr>
  </w:style>
  <w:style w:type="character" w:customStyle="1" w:styleId="63">
    <w:name w:val="font21"/>
    <w:qFormat/>
    <w:uiPriority w:val="0"/>
    <w:rPr>
      <w:rFonts w:hint="eastAsia" w:ascii="宋体" w:hAnsi="宋体" w:eastAsia="宋体" w:cs="宋体"/>
      <w:color w:val="000000"/>
      <w:sz w:val="18"/>
      <w:szCs w:val="18"/>
      <w:u w:val="none"/>
      <w:vertAlign w:val="superscript"/>
    </w:rPr>
  </w:style>
  <w:style w:type="character" w:customStyle="1" w:styleId="64">
    <w:name w:val="标题 3 字符"/>
    <w:link w:val="6"/>
    <w:qFormat/>
    <w:uiPriority w:val="0"/>
    <w:rPr>
      <w:b/>
      <w:bCs/>
      <w:kern w:val="2"/>
      <w:sz w:val="32"/>
      <w:szCs w:val="32"/>
    </w:rPr>
  </w:style>
  <w:style w:type="character" w:customStyle="1" w:styleId="65">
    <w:name w:val="gf正文 Char"/>
    <w:link w:val="66"/>
    <w:qFormat/>
    <w:locked/>
    <w:uiPriority w:val="0"/>
    <w:rPr>
      <w:kern w:val="2"/>
      <w:sz w:val="24"/>
    </w:rPr>
  </w:style>
  <w:style w:type="paragraph" w:customStyle="1" w:styleId="66">
    <w:name w:val="gf正文"/>
    <w:basedOn w:val="1"/>
    <w:link w:val="65"/>
    <w:qFormat/>
    <w:uiPriority w:val="0"/>
    <w:pPr>
      <w:adjustRightInd w:val="0"/>
      <w:snapToGrid w:val="0"/>
      <w:spacing w:line="520" w:lineRule="exact"/>
      <w:ind w:firstLine="200" w:firstLineChars="200"/>
    </w:pPr>
    <w:rPr>
      <w:sz w:val="24"/>
      <w:szCs w:val="20"/>
    </w:rPr>
  </w:style>
  <w:style w:type="character" w:customStyle="1" w:styleId="67">
    <w:name w:val="标题 字符"/>
    <w:link w:val="41"/>
    <w:qFormat/>
    <w:uiPriority w:val="0"/>
    <w:rPr>
      <w:rFonts w:ascii="Arial" w:hAnsi="Arial" w:cs="Arial"/>
      <w:b/>
      <w:bCs/>
      <w:kern w:val="2"/>
      <w:sz w:val="32"/>
      <w:szCs w:val="32"/>
    </w:rPr>
  </w:style>
  <w:style w:type="character" w:customStyle="1" w:styleId="68">
    <w:name w:val="正文改 字符"/>
    <w:link w:val="69"/>
    <w:qFormat/>
    <w:uiPriority w:val="0"/>
    <w:rPr>
      <w:color w:val="FF0000"/>
    </w:rPr>
  </w:style>
  <w:style w:type="paragraph" w:customStyle="1" w:styleId="69">
    <w:name w:val="正文改"/>
    <w:basedOn w:val="70"/>
    <w:link w:val="68"/>
    <w:qFormat/>
    <w:uiPriority w:val="0"/>
  </w:style>
  <w:style w:type="paragraph" w:customStyle="1" w:styleId="70">
    <w:name w:val="SB·文本"/>
    <w:basedOn w:val="71"/>
    <w:qFormat/>
    <w:uiPriority w:val="0"/>
    <w:rPr>
      <w:color w:val="FF0000"/>
    </w:rPr>
  </w:style>
  <w:style w:type="paragraph" w:customStyle="1" w:styleId="71">
    <w:name w:val="报告正文·改"/>
    <w:basedOn w:val="1"/>
    <w:qFormat/>
    <w:uiPriority w:val="0"/>
    <w:pPr>
      <w:spacing w:line="360" w:lineRule="auto"/>
      <w:ind w:firstLine="480" w:firstLineChars="200"/>
    </w:pPr>
    <w:rPr>
      <w:rFonts w:ascii="Calibri" w:hAnsi="Calibri" w:eastAsia="仿宋_GB2312"/>
      <w:bCs/>
      <w:snapToGrid w:val="0"/>
      <w:kern w:val="0"/>
      <w:sz w:val="24"/>
      <w:lang w:bidi="en-US"/>
    </w:rPr>
  </w:style>
  <w:style w:type="character" w:customStyle="1" w:styleId="72">
    <w:name w:val="正文缩2 Char"/>
    <w:link w:val="73"/>
    <w:qFormat/>
    <w:uiPriority w:val="0"/>
    <w:rPr>
      <w:kern w:val="2"/>
      <w:sz w:val="24"/>
      <w:szCs w:val="24"/>
    </w:rPr>
  </w:style>
  <w:style w:type="paragraph" w:customStyle="1" w:styleId="73">
    <w:name w:val="正文缩2"/>
    <w:basedOn w:val="1"/>
    <w:link w:val="72"/>
    <w:qFormat/>
    <w:uiPriority w:val="0"/>
    <w:pPr>
      <w:spacing w:line="360" w:lineRule="auto"/>
      <w:ind w:firstLine="200" w:firstLineChars="200"/>
    </w:pPr>
    <w:rPr>
      <w:sz w:val="24"/>
    </w:rPr>
  </w:style>
  <w:style w:type="character" w:customStyle="1" w:styleId="74">
    <w:name w:val="04 Char"/>
    <w:link w:val="75"/>
    <w:qFormat/>
    <w:uiPriority w:val="0"/>
    <w:rPr>
      <w:bCs/>
      <w:kern w:val="44"/>
      <w:sz w:val="28"/>
      <w:szCs w:val="28"/>
    </w:rPr>
  </w:style>
  <w:style w:type="paragraph" w:customStyle="1" w:styleId="75">
    <w:name w:val="04"/>
    <w:basedOn w:val="1"/>
    <w:link w:val="74"/>
    <w:qFormat/>
    <w:uiPriority w:val="0"/>
    <w:pPr>
      <w:spacing w:line="360" w:lineRule="auto"/>
      <w:ind w:firstLine="200" w:firstLineChars="200"/>
    </w:pPr>
    <w:rPr>
      <w:bCs/>
      <w:kern w:val="44"/>
      <w:sz w:val="28"/>
      <w:szCs w:val="28"/>
    </w:rPr>
  </w:style>
  <w:style w:type="character" w:customStyle="1" w:styleId="76">
    <w:name w:val="正文文本 (2) + Times New Roman3"/>
    <w:qFormat/>
    <w:uiPriority w:val="0"/>
    <w:rPr>
      <w:rFonts w:ascii="Times New Roman" w:hAnsi="Times New Roman" w:eastAsia="MingLiU" w:cs="Times New Roman"/>
      <w:sz w:val="19"/>
      <w:szCs w:val="19"/>
      <w:u w:val="none"/>
      <w:shd w:val="clear" w:color="auto" w:fill="FFFFFF"/>
      <w:lang w:val="en-US" w:eastAsia="en-US"/>
    </w:rPr>
  </w:style>
  <w:style w:type="character" w:customStyle="1" w:styleId="77">
    <w:name w:val="表标题 Char"/>
    <w:link w:val="78"/>
    <w:qFormat/>
    <w:uiPriority w:val="0"/>
    <w:rPr>
      <w:rFonts w:eastAsia="黑体"/>
      <w:bCs/>
      <w:kern w:val="44"/>
      <w:sz w:val="24"/>
      <w:szCs w:val="28"/>
    </w:rPr>
  </w:style>
  <w:style w:type="paragraph" w:customStyle="1" w:styleId="78">
    <w:name w:val="表标题"/>
    <w:basedOn w:val="1"/>
    <w:next w:val="1"/>
    <w:link w:val="77"/>
    <w:qFormat/>
    <w:uiPriority w:val="0"/>
    <w:pPr>
      <w:spacing w:before="156" w:beforeLines="50" w:after="156" w:afterLines="50"/>
      <w:jc w:val="center"/>
    </w:pPr>
    <w:rPr>
      <w:rFonts w:eastAsia="黑体"/>
      <w:bCs/>
      <w:kern w:val="44"/>
      <w:sz w:val="24"/>
      <w:szCs w:val="28"/>
    </w:rPr>
  </w:style>
  <w:style w:type="character" w:customStyle="1" w:styleId="79">
    <w:name w:val="Char Char Char Char Char"/>
    <w:link w:val="80"/>
    <w:qFormat/>
    <w:uiPriority w:val="0"/>
    <w:rPr>
      <w:rFonts w:ascii="宋体" w:hAnsi="宋体" w:cs="宋体"/>
      <w:kern w:val="2"/>
      <w:sz w:val="24"/>
      <w:szCs w:val="24"/>
    </w:rPr>
  </w:style>
  <w:style w:type="paragraph" w:customStyle="1" w:styleId="80">
    <w:name w:val="Char Char Char Char"/>
    <w:basedOn w:val="1"/>
    <w:link w:val="79"/>
    <w:qFormat/>
    <w:uiPriority w:val="0"/>
    <w:pPr>
      <w:spacing w:line="360" w:lineRule="auto"/>
      <w:ind w:firstLine="200" w:firstLineChars="200"/>
    </w:pPr>
    <w:rPr>
      <w:rFonts w:ascii="宋体" w:hAnsi="宋体" w:cs="宋体"/>
      <w:sz w:val="24"/>
    </w:rPr>
  </w:style>
  <w:style w:type="character" w:customStyle="1" w:styleId="81">
    <w:name w:val="普通文字 Char"/>
    <w:qFormat/>
    <w:uiPriority w:val="0"/>
    <w:rPr>
      <w:rFonts w:ascii="宋体" w:hAnsi="Courier New" w:eastAsia="宋体"/>
      <w:kern w:val="2"/>
      <w:sz w:val="21"/>
      <w:lang w:val="en-US" w:eastAsia="zh-CN" w:bidi="ar-SA"/>
    </w:rPr>
  </w:style>
  <w:style w:type="character" w:customStyle="1" w:styleId="82">
    <w:name w:val="标题 7 字符"/>
    <w:link w:val="10"/>
    <w:qFormat/>
    <w:uiPriority w:val="0"/>
    <w:rPr>
      <w:b/>
      <w:bCs/>
      <w:kern w:val="2"/>
      <w:sz w:val="24"/>
      <w:szCs w:val="21"/>
    </w:rPr>
  </w:style>
  <w:style w:type="character" w:customStyle="1" w:styleId="83">
    <w:name w:val="纯文本 字符1"/>
    <w:qFormat/>
    <w:uiPriority w:val="0"/>
    <w:rPr>
      <w:rFonts w:ascii="宋体" w:hAnsi="Courier New" w:cs="Courier New"/>
      <w:kern w:val="2"/>
      <w:sz w:val="21"/>
      <w:szCs w:val="21"/>
    </w:rPr>
  </w:style>
  <w:style w:type="character" w:customStyle="1" w:styleId="84">
    <w:name w:val="普通文字 Char Char"/>
    <w:qFormat/>
    <w:locked/>
    <w:uiPriority w:val="0"/>
    <w:rPr>
      <w:rFonts w:ascii="宋体" w:hAnsi="Courier New" w:eastAsia="宋体"/>
      <w:kern w:val="2"/>
      <w:sz w:val="28"/>
      <w:lang w:val="en-US" w:eastAsia="zh-CN" w:bidi="ar-SA"/>
    </w:rPr>
  </w:style>
  <w:style w:type="character" w:customStyle="1" w:styleId="85">
    <w:name w:val="正文文本 2 字符"/>
    <w:link w:val="38"/>
    <w:qFormat/>
    <w:uiPriority w:val="0"/>
    <w:rPr>
      <w:kern w:val="2"/>
      <w:sz w:val="21"/>
      <w:szCs w:val="21"/>
    </w:rPr>
  </w:style>
  <w:style w:type="character" w:customStyle="1" w:styleId="86">
    <w:name w:val="标题 1 Char"/>
    <w:qFormat/>
    <w:uiPriority w:val="0"/>
    <w:rPr>
      <w:rFonts w:eastAsia="黑体"/>
      <w:b/>
      <w:bCs/>
      <w:kern w:val="44"/>
      <w:sz w:val="30"/>
      <w:szCs w:val="28"/>
      <w:lang w:val="en-US" w:eastAsia="zh-CN" w:bidi="ar-SA"/>
    </w:rPr>
  </w:style>
  <w:style w:type="character" w:customStyle="1" w:styleId="87">
    <w:name w:val="脚注文本 字符"/>
    <w:link w:val="33"/>
    <w:qFormat/>
    <w:uiPriority w:val="0"/>
    <w:rPr>
      <w:kern w:val="2"/>
      <w:sz w:val="18"/>
      <w:szCs w:val="18"/>
    </w:rPr>
  </w:style>
  <w:style w:type="character" w:customStyle="1" w:styleId="88">
    <w:name w:val="纯文本 Char2"/>
    <w:qFormat/>
    <w:uiPriority w:val="0"/>
    <w:rPr>
      <w:rFonts w:ascii="宋体" w:hAnsi="Courier New"/>
    </w:rPr>
  </w:style>
  <w:style w:type="character" w:customStyle="1" w:styleId="89">
    <w:name w:val="yxMark"/>
    <w:qFormat/>
    <w:uiPriority w:val="0"/>
    <w:rPr>
      <w:rFonts w:ascii="Courier New" w:hAnsi="Courier New"/>
      <w:vanish/>
      <w:color w:val="800000"/>
      <w:vertAlign w:val="subscript"/>
    </w:rPr>
  </w:style>
  <w:style w:type="character" w:customStyle="1" w:styleId="90">
    <w:name w:val="font11"/>
    <w:qFormat/>
    <w:uiPriority w:val="0"/>
    <w:rPr>
      <w:rFonts w:hint="default" w:ascii="Times New Roman" w:hAnsi="Times New Roman" w:cs="Times New Roman"/>
      <w:color w:val="000000"/>
      <w:sz w:val="21"/>
      <w:szCs w:val="21"/>
      <w:u w:val="none"/>
      <w:vertAlign w:val="superscript"/>
    </w:rPr>
  </w:style>
  <w:style w:type="character" w:customStyle="1" w:styleId="91">
    <w:name w:val="正文文本 (2) + 10 pt"/>
    <w:qFormat/>
    <w:uiPriority w:val="0"/>
    <w:rPr>
      <w:rFonts w:ascii="MingLiU" w:eastAsia="MingLiU" w:cs="MingLiU"/>
      <w:sz w:val="20"/>
      <w:szCs w:val="20"/>
      <w:u w:val="none"/>
      <w:shd w:val="clear" w:color="auto" w:fill="FFFFFF"/>
    </w:rPr>
  </w:style>
  <w:style w:type="character" w:customStyle="1" w:styleId="92">
    <w:name w:val="正文文本缩进 3 字符"/>
    <w:link w:val="35"/>
    <w:qFormat/>
    <w:uiPriority w:val="0"/>
    <w:rPr>
      <w:kern w:val="2"/>
      <w:sz w:val="16"/>
      <w:szCs w:val="16"/>
    </w:rPr>
  </w:style>
  <w:style w:type="character" w:customStyle="1" w:styleId="93">
    <w:name w:val="Char Char2"/>
    <w:qFormat/>
    <w:uiPriority w:val="0"/>
    <w:rPr>
      <w:rFonts w:eastAsia="宋体"/>
      <w:kern w:val="2"/>
      <w:sz w:val="21"/>
      <w:szCs w:val="21"/>
      <w:lang w:val="en-US" w:eastAsia="zh-CN" w:bidi="ar-SA"/>
    </w:rPr>
  </w:style>
  <w:style w:type="character" w:customStyle="1" w:styleId="94">
    <w:name w:val="正文文本首行缩进 字符"/>
    <w:link w:val="43"/>
    <w:qFormat/>
    <w:uiPriority w:val="0"/>
    <w:rPr>
      <w:kern w:val="2"/>
      <w:sz w:val="21"/>
      <w:szCs w:val="24"/>
    </w:rPr>
  </w:style>
  <w:style w:type="character" w:customStyle="1" w:styleId="95">
    <w:name w:val="标题 8 字符"/>
    <w:link w:val="11"/>
    <w:qFormat/>
    <w:uiPriority w:val="0"/>
    <w:rPr>
      <w:sz w:val="24"/>
    </w:rPr>
  </w:style>
  <w:style w:type="character" w:customStyle="1" w:styleId="96">
    <w:name w:val="段 Char"/>
    <w:link w:val="97"/>
    <w:qFormat/>
    <w:uiPriority w:val="0"/>
    <w:rPr>
      <w:rFonts w:ascii="宋体"/>
      <w:kern w:val="2"/>
      <w:sz w:val="21"/>
      <w:szCs w:val="22"/>
    </w:rPr>
  </w:style>
  <w:style w:type="paragraph" w:customStyle="1" w:styleId="97">
    <w:name w:val="段"/>
    <w:link w:val="96"/>
    <w:qFormat/>
    <w:uiPriority w:val="0"/>
    <w:pPr>
      <w:autoSpaceDE w:val="0"/>
      <w:autoSpaceDN w:val="0"/>
      <w:ind w:left="-40" w:leftChars="-40" w:right="-40" w:rightChars="-40" w:firstLine="200" w:firstLineChars="200"/>
      <w:jc w:val="both"/>
    </w:pPr>
    <w:rPr>
      <w:rFonts w:ascii="宋体" w:hAnsi="Times New Roman" w:eastAsia="宋体" w:cs="Times New Roman"/>
      <w:kern w:val="2"/>
      <w:sz w:val="21"/>
      <w:szCs w:val="22"/>
      <w:lang w:val="en-US" w:eastAsia="zh-CN" w:bidi="ar-SA"/>
    </w:rPr>
  </w:style>
  <w:style w:type="character" w:customStyle="1" w:styleId="98">
    <w:name w:val="正文文本 (2)_"/>
    <w:link w:val="99"/>
    <w:qFormat/>
    <w:uiPriority w:val="0"/>
    <w:rPr>
      <w:rFonts w:ascii="MingLiU" w:eastAsia="MingLiU"/>
      <w:sz w:val="26"/>
      <w:szCs w:val="26"/>
      <w:shd w:val="clear" w:color="auto" w:fill="FFFFFF"/>
    </w:rPr>
  </w:style>
  <w:style w:type="paragraph" w:customStyle="1" w:styleId="99">
    <w:name w:val="正文文本 (2)1"/>
    <w:basedOn w:val="1"/>
    <w:link w:val="98"/>
    <w:qFormat/>
    <w:uiPriority w:val="0"/>
    <w:pPr>
      <w:shd w:val="clear" w:color="auto" w:fill="FFFFFF"/>
      <w:spacing w:before="540" w:line="595" w:lineRule="exact"/>
      <w:jc w:val="left"/>
    </w:pPr>
    <w:rPr>
      <w:rFonts w:ascii="MingLiU" w:eastAsia="MingLiU"/>
      <w:kern w:val="0"/>
      <w:sz w:val="26"/>
      <w:szCs w:val="26"/>
    </w:rPr>
  </w:style>
  <w:style w:type="character" w:customStyle="1" w:styleId="100">
    <w:name w:val="新标题2 Char"/>
    <w:qFormat/>
    <w:uiPriority w:val="0"/>
    <w:rPr>
      <w:rFonts w:ascii="宋体" w:hAnsi="宋体" w:eastAsia="宋体"/>
      <w:kern w:val="2"/>
      <w:sz w:val="24"/>
      <w:szCs w:val="24"/>
      <w:lang w:val="en-US" w:eastAsia="zh-CN" w:bidi="ar-SA"/>
    </w:rPr>
  </w:style>
  <w:style w:type="character" w:customStyle="1" w:styleId="101">
    <w:name w:val="日期 字符1"/>
    <w:link w:val="27"/>
    <w:qFormat/>
    <w:locked/>
    <w:uiPriority w:val="0"/>
    <w:rPr>
      <w:rFonts w:ascii="Times New Roman" w:hAnsi="Times New Roman" w:eastAsia="宋体"/>
      <w:sz w:val="24"/>
    </w:rPr>
  </w:style>
  <w:style w:type="character" w:customStyle="1" w:styleId="102">
    <w:name w:val="正文文本 Char1"/>
    <w:qFormat/>
    <w:uiPriority w:val="0"/>
    <w:rPr>
      <w:rFonts w:eastAsia="宋体"/>
      <w:kern w:val="2"/>
      <w:sz w:val="21"/>
      <w:szCs w:val="24"/>
      <w:lang w:val="en-US" w:eastAsia="zh-CN" w:bidi="ar-SA"/>
    </w:rPr>
  </w:style>
  <w:style w:type="character" w:customStyle="1" w:styleId="103">
    <w:name w:val="正文文本首行缩进 2 字符"/>
    <w:link w:val="44"/>
    <w:qFormat/>
    <w:uiPriority w:val="0"/>
    <w:rPr>
      <w:rFonts w:ascii="Times New Roman" w:hAnsi="Times New Roman" w:eastAsia="宋体" w:cs="Times New Roman"/>
      <w:kern w:val="2"/>
      <w:sz w:val="21"/>
      <w:szCs w:val="24"/>
    </w:rPr>
  </w:style>
  <w:style w:type="character" w:customStyle="1" w:styleId="104">
    <w:name w:val="正文文本缩进 2 Char"/>
    <w:qFormat/>
    <w:uiPriority w:val="0"/>
    <w:rPr>
      <w:kern w:val="2"/>
      <w:sz w:val="21"/>
      <w:szCs w:val="24"/>
    </w:rPr>
  </w:style>
  <w:style w:type="character" w:customStyle="1" w:styleId="105">
    <w:name w:val="yxJump"/>
    <w:qFormat/>
    <w:uiPriority w:val="0"/>
    <w:rPr>
      <w:rFonts w:ascii="Courier New" w:hAnsi="Courier New"/>
      <w:color w:val="008080"/>
    </w:rPr>
  </w:style>
  <w:style w:type="character" w:customStyle="1" w:styleId="106">
    <w:name w:val="普通(网站) 字符"/>
    <w:link w:val="39"/>
    <w:qFormat/>
    <w:locked/>
    <w:uiPriority w:val="99"/>
    <w:rPr>
      <w:rFonts w:ascii="宋体" w:hAnsi="宋体" w:eastAsia="宋体"/>
      <w:sz w:val="24"/>
    </w:rPr>
  </w:style>
  <w:style w:type="character" w:customStyle="1" w:styleId="107">
    <w:name w:val="正文文本 字符1"/>
    <w:semiHidden/>
    <w:qFormat/>
    <w:uiPriority w:val="0"/>
    <w:rPr>
      <w:rFonts w:ascii="Times New Roman" w:hAnsi="Times New Roman" w:eastAsia="宋体" w:cs="Times New Roman"/>
      <w:sz w:val="24"/>
      <w:szCs w:val="24"/>
    </w:rPr>
  </w:style>
  <w:style w:type="character" w:customStyle="1" w:styleId="108">
    <w:name w:val="标题 9 字符"/>
    <w:link w:val="12"/>
    <w:qFormat/>
    <w:uiPriority w:val="0"/>
    <w:rPr>
      <w:rFonts w:ascii="Arial" w:hAnsi="Arial" w:eastAsia="黑体"/>
      <w:sz w:val="24"/>
    </w:rPr>
  </w:style>
  <w:style w:type="character" w:customStyle="1" w:styleId="109">
    <w:name w:val="正文文本缩进 2 字符"/>
    <w:link w:val="28"/>
    <w:qFormat/>
    <w:uiPriority w:val="0"/>
    <w:rPr>
      <w:kern w:val="2"/>
      <w:sz w:val="21"/>
      <w:szCs w:val="24"/>
    </w:rPr>
  </w:style>
  <w:style w:type="character" w:customStyle="1" w:styleId="110">
    <w:name w:val="headline-content"/>
    <w:qFormat/>
    <w:uiPriority w:val="0"/>
  </w:style>
  <w:style w:type="character" w:customStyle="1" w:styleId="111">
    <w:name w:val="yxNone"/>
    <w:qFormat/>
    <w:uiPriority w:val="0"/>
  </w:style>
  <w:style w:type="character" w:customStyle="1" w:styleId="112">
    <w:name w:val="标题 2 字符"/>
    <w:link w:val="5"/>
    <w:qFormat/>
    <w:uiPriority w:val="0"/>
    <w:rPr>
      <w:rFonts w:ascii="等线 Light" w:hAnsi="等线 Light" w:eastAsia="等线 Light" w:cs="Times New Roman"/>
      <w:b/>
      <w:bCs/>
      <w:kern w:val="2"/>
      <w:sz w:val="32"/>
      <w:szCs w:val="32"/>
    </w:rPr>
  </w:style>
  <w:style w:type="character" w:customStyle="1" w:styleId="113">
    <w:name w:val="正文缩进 字符"/>
    <w:link w:val="16"/>
    <w:qFormat/>
    <w:uiPriority w:val="0"/>
    <w:rPr>
      <w:rFonts w:eastAsia="宋体" w:cs="Times New Roman"/>
      <w:spacing w:val="4"/>
      <w:sz w:val="22"/>
      <w:szCs w:val="24"/>
    </w:rPr>
  </w:style>
  <w:style w:type="character" w:customStyle="1" w:styleId="114">
    <w:name w:val="题注 字符"/>
    <w:link w:val="17"/>
    <w:qFormat/>
    <w:uiPriority w:val="0"/>
    <w:rPr>
      <w:rFonts w:ascii="Arial" w:hAnsi="Arial" w:eastAsia="黑体"/>
    </w:rPr>
  </w:style>
  <w:style w:type="character" w:customStyle="1" w:styleId="115">
    <w:name w:val="font41"/>
    <w:qFormat/>
    <w:uiPriority w:val="0"/>
    <w:rPr>
      <w:rFonts w:hint="default" w:ascii="Times New Roman" w:hAnsi="Times New Roman" w:cs="Times New Roman"/>
      <w:color w:val="000000"/>
      <w:sz w:val="21"/>
      <w:szCs w:val="21"/>
      <w:u w:val="none"/>
    </w:rPr>
  </w:style>
  <w:style w:type="character" w:customStyle="1" w:styleId="116">
    <w:name w:val="正文2 Char"/>
    <w:qFormat/>
    <w:uiPriority w:val="0"/>
    <w:rPr>
      <w:rFonts w:eastAsia="宋体"/>
      <w:kern w:val="2"/>
      <w:sz w:val="24"/>
      <w:szCs w:val="24"/>
      <w:lang w:val="en-US" w:eastAsia="zh-CN" w:bidi="ar-SA"/>
    </w:rPr>
  </w:style>
  <w:style w:type="character" w:customStyle="1" w:styleId="117">
    <w:name w:val="style9"/>
    <w:qFormat/>
    <w:uiPriority w:val="0"/>
  </w:style>
  <w:style w:type="character" w:customStyle="1" w:styleId="118">
    <w:name w:val="表名 Char"/>
    <w:qFormat/>
    <w:uiPriority w:val="0"/>
    <w:rPr>
      <w:rFonts w:eastAsia="黑体"/>
      <w:kern w:val="2"/>
      <w:sz w:val="28"/>
      <w:lang w:val="en-US" w:eastAsia="zh-CN" w:bidi="ar-SA"/>
    </w:rPr>
  </w:style>
  <w:style w:type="character" w:customStyle="1" w:styleId="119">
    <w:name w:val="yxPopup"/>
    <w:qFormat/>
    <w:uiPriority w:val="0"/>
    <w:rPr>
      <w:rFonts w:ascii="Courier New" w:hAnsi="Courier New"/>
      <w:color w:val="008000"/>
    </w:rPr>
  </w:style>
  <w:style w:type="character" w:customStyle="1" w:styleId="120">
    <w:name w:val="正文文本缩进 字符"/>
    <w:link w:val="22"/>
    <w:qFormat/>
    <w:locked/>
    <w:uiPriority w:val="0"/>
    <w:rPr>
      <w:rFonts w:ascii="Times New Roman" w:hAnsi="Times New Roman" w:eastAsia="宋体" w:cs="Times New Roman"/>
      <w:sz w:val="24"/>
      <w:szCs w:val="24"/>
    </w:rPr>
  </w:style>
  <w:style w:type="character" w:customStyle="1" w:styleId="121">
    <w:name w:val="表格内容 Char"/>
    <w:link w:val="122"/>
    <w:qFormat/>
    <w:uiPriority w:val="0"/>
    <w:rPr>
      <w:kern w:val="2"/>
      <w:sz w:val="21"/>
      <w:szCs w:val="24"/>
    </w:rPr>
  </w:style>
  <w:style w:type="paragraph" w:customStyle="1" w:styleId="122">
    <w:name w:val="表格内容"/>
    <w:basedOn w:val="1"/>
    <w:link w:val="121"/>
    <w:qFormat/>
    <w:uiPriority w:val="0"/>
    <w:pPr>
      <w:jc w:val="center"/>
    </w:pPr>
  </w:style>
  <w:style w:type="character" w:customStyle="1" w:styleId="123">
    <w:name w:val="标题 5 字符"/>
    <w:link w:val="8"/>
    <w:qFormat/>
    <w:uiPriority w:val="0"/>
    <w:rPr>
      <w:sz w:val="24"/>
    </w:rPr>
  </w:style>
  <w:style w:type="character" w:customStyle="1" w:styleId="124">
    <w:name w:val="Char Char1"/>
    <w:qFormat/>
    <w:uiPriority w:val="0"/>
    <w:rPr>
      <w:rFonts w:eastAsia="黑体"/>
      <w:b/>
      <w:bCs/>
      <w:kern w:val="2"/>
      <w:sz w:val="24"/>
      <w:szCs w:val="32"/>
      <w:lang w:val="en-US" w:eastAsia="zh-CN" w:bidi="ar-SA"/>
    </w:rPr>
  </w:style>
  <w:style w:type="character" w:customStyle="1" w:styleId="125">
    <w:name w:val="表格 Char Char"/>
    <w:qFormat/>
    <w:uiPriority w:val="0"/>
    <w:rPr>
      <w:rFonts w:eastAsia="宋体"/>
      <w:sz w:val="21"/>
      <w:lang w:bidi="ar-SA"/>
    </w:rPr>
  </w:style>
  <w:style w:type="character" w:customStyle="1" w:styleId="126">
    <w:name w:val="表格正文 Char"/>
    <w:qFormat/>
    <w:uiPriority w:val="0"/>
    <w:rPr>
      <w:rFonts w:eastAsia="宋体"/>
      <w:sz w:val="24"/>
      <w:lang w:val="en-US" w:eastAsia="zh-CN" w:bidi="ar-SA"/>
    </w:rPr>
  </w:style>
  <w:style w:type="character" w:customStyle="1" w:styleId="127">
    <w:name w:val="日期 字符"/>
    <w:semiHidden/>
    <w:qFormat/>
    <w:uiPriority w:val="0"/>
    <w:rPr>
      <w:rFonts w:ascii="Times New Roman" w:hAnsi="Times New Roman" w:eastAsia="宋体" w:cs="Times New Roman"/>
      <w:sz w:val="24"/>
      <w:szCs w:val="24"/>
    </w:rPr>
  </w:style>
  <w:style w:type="character" w:customStyle="1" w:styleId="128">
    <w:name w:val="font51"/>
    <w:qFormat/>
    <w:uiPriority w:val="0"/>
    <w:rPr>
      <w:rFonts w:hint="default" w:ascii="仿宋_GB2312" w:eastAsia="仿宋_GB2312" w:cs="仿宋_GB2312"/>
      <w:color w:val="000000"/>
      <w:sz w:val="21"/>
      <w:szCs w:val="21"/>
      <w:u w:val="none"/>
    </w:rPr>
  </w:style>
  <w:style w:type="character" w:customStyle="1" w:styleId="129">
    <w:name w:val="font31"/>
    <w:qFormat/>
    <w:uiPriority w:val="0"/>
    <w:rPr>
      <w:rFonts w:hint="default" w:ascii="Times New Roman" w:hAnsi="Times New Roman" w:cs="Times New Roman"/>
      <w:color w:val="000000"/>
      <w:sz w:val="20"/>
      <w:szCs w:val="20"/>
      <w:u w:val="none"/>
    </w:rPr>
  </w:style>
  <w:style w:type="character" w:customStyle="1" w:styleId="130">
    <w:name w:val="yxInternal"/>
    <w:qFormat/>
    <w:uiPriority w:val="0"/>
    <w:rPr>
      <w:rFonts w:ascii="Courier New" w:hAnsi="Courier New"/>
      <w:color w:val="FF0000"/>
    </w:rPr>
  </w:style>
  <w:style w:type="character" w:customStyle="1" w:styleId="131">
    <w:name w:val="表格 Char"/>
    <w:link w:val="132"/>
    <w:qFormat/>
    <w:locked/>
    <w:uiPriority w:val="0"/>
    <w:rPr>
      <w:rFonts w:ascii="宋体"/>
      <w:sz w:val="21"/>
    </w:rPr>
  </w:style>
  <w:style w:type="paragraph" w:customStyle="1" w:styleId="132">
    <w:name w:val="表格"/>
    <w:basedOn w:val="1"/>
    <w:next w:val="1"/>
    <w:link w:val="131"/>
    <w:qFormat/>
    <w:uiPriority w:val="0"/>
    <w:pPr>
      <w:adjustRightInd w:val="0"/>
      <w:snapToGrid w:val="0"/>
      <w:spacing w:beforeLines="10" w:afterLines="10" w:line="259" w:lineRule="auto"/>
      <w:jc w:val="center"/>
    </w:pPr>
    <w:rPr>
      <w:rFonts w:ascii="宋体"/>
      <w:kern w:val="0"/>
      <w:sz w:val="20"/>
    </w:rPr>
  </w:style>
  <w:style w:type="character" w:customStyle="1" w:styleId="133">
    <w:name w:val="纯文本 字符"/>
    <w:link w:val="26"/>
    <w:qFormat/>
    <w:uiPriority w:val="0"/>
    <w:rPr>
      <w:rFonts w:ascii="宋体" w:hAnsi="Courier New"/>
      <w:sz w:val="28"/>
      <w:szCs w:val="21"/>
    </w:rPr>
  </w:style>
  <w:style w:type="character" w:customStyle="1" w:styleId="134">
    <w:name w:val="表头. Char"/>
    <w:link w:val="135"/>
    <w:qFormat/>
    <w:uiPriority w:val="0"/>
    <w:rPr>
      <w:rFonts w:cs="宋体"/>
      <w:b/>
      <w:bCs/>
      <w:kern w:val="2"/>
      <w:sz w:val="24"/>
    </w:rPr>
  </w:style>
  <w:style w:type="paragraph" w:customStyle="1" w:styleId="135">
    <w:name w:val="表头."/>
    <w:basedOn w:val="1"/>
    <w:link w:val="134"/>
    <w:qFormat/>
    <w:uiPriority w:val="0"/>
    <w:pPr>
      <w:spacing w:before="60" w:after="60" w:line="380" w:lineRule="exact"/>
      <w:jc w:val="center"/>
    </w:pPr>
    <w:rPr>
      <w:rFonts w:cs="宋体"/>
      <w:b/>
      <w:bCs/>
      <w:sz w:val="24"/>
      <w:szCs w:val="20"/>
    </w:rPr>
  </w:style>
  <w:style w:type="character" w:customStyle="1" w:styleId="136">
    <w:name w:val="font71"/>
    <w:qFormat/>
    <w:uiPriority w:val="0"/>
    <w:rPr>
      <w:rFonts w:hint="eastAsia" w:ascii="宋体" w:hAnsi="宋体" w:eastAsia="宋体" w:cs="宋体"/>
      <w:color w:val="FF0000"/>
      <w:sz w:val="21"/>
      <w:szCs w:val="21"/>
      <w:u w:val="none"/>
    </w:rPr>
  </w:style>
  <w:style w:type="character" w:customStyle="1" w:styleId="137">
    <w:name w:val="Char Char5"/>
    <w:qFormat/>
    <w:uiPriority w:val="0"/>
    <w:rPr>
      <w:rFonts w:eastAsia="宋体"/>
      <w:kern w:val="2"/>
      <w:sz w:val="21"/>
      <w:szCs w:val="21"/>
      <w:lang w:val="en-US" w:eastAsia="zh-CN" w:bidi="ar-SA"/>
    </w:rPr>
  </w:style>
  <w:style w:type="character" w:customStyle="1" w:styleId="138">
    <w:name w:val="样式 标题 2 + 黑体 小四 Char"/>
    <w:qFormat/>
    <w:uiPriority w:val="0"/>
    <w:rPr>
      <w:rFonts w:ascii="黑体" w:hAnsi="黑体" w:eastAsia="黑体"/>
      <w:b/>
      <w:bCs/>
      <w:kern w:val="2"/>
      <w:sz w:val="24"/>
      <w:szCs w:val="32"/>
      <w:lang w:val="en-US" w:eastAsia="zh-CN" w:bidi="ar-SA"/>
    </w:rPr>
  </w:style>
  <w:style w:type="character" w:customStyle="1" w:styleId="139">
    <w:name w:val="表文 Char"/>
    <w:qFormat/>
    <w:uiPriority w:val="0"/>
    <w:rPr>
      <w:rFonts w:eastAsia="宋体"/>
      <w:kern w:val="2"/>
      <w:sz w:val="24"/>
      <w:lang w:val="en-US" w:eastAsia="zh-CN" w:bidi="ar-SA"/>
    </w:rPr>
  </w:style>
  <w:style w:type="character" w:customStyle="1" w:styleId="140">
    <w:name w:val="正文（报告表）_ Char Char"/>
    <w:link w:val="141"/>
    <w:qFormat/>
    <w:uiPriority w:val="0"/>
    <w:rPr>
      <w:kern w:val="2"/>
      <w:sz w:val="24"/>
      <w:szCs w:val="24"/>
    </w:rPr>
  </w:style>
  <w:style w:type="paragraph" w:customStyle="1" w:styleId="141">
    <w:name w:val="正文（报告表）_"/>
    <w:basedOn w:val="1"/>
    <w:link w:val="140"/>
    <w:qFormat/>
    <w:uiPriority w:val="0"/>
    <w:pPr>
      <w:spacing w:line="400" w:lineRule="atLeast"/>
      <w:ind w:firstLine="200" w:firstLineChars="200"/>
    </w:pPr>
    <w:rPr>
      <w:sz w:val="24"/>
    </w:rPr>
  </w:style>
  <w:style w:type="character" w:customStyle="1" w:styleId="142">
    <w:name w:val="pass-placeholder-smsphone"/>
    <w:uiPriority w:val="0"/>
  </w:style>
  <w:style w:type="character" w:customStyle="1" w:styleId="143">
    <w:name w:val="图表 Char"/>
    <w:link w:val="144"/>
    <w:qFormat/>
    <w:uiPriority w:val="0"/>
    <w:rPr>
      <w:kern w:val="2"/>
      <w:sz w:val="21"/>
      <w:szCs w:val="24"/>
    </w:rPr>
  </w:style>
  <w:style w:type="paragraph" w:customStyle="1" w:styleId="144">
    <w:name w:val="图表"/>
    <w:basedOn w:val="1"/>
    <w:next w:val="1"/>
    <w:link w:val="143"/>
    <w:qFormat/>
    <w:uiPriority w:val="0"/>
    <w:pPr>
      <w:adjustRightInd w:val="0"/>
      <w:snapToGrid w:val="0"/>
      <w:spacing w:line="320" w:lineRule="exact"/>
      <w:jc w:val="center"/>
    </w:pPr>
  </w:style>
  <w:style w:type="character" w:customStyle="1" w:styleId="145">
    <w:name w:val="标题 4 字符"/>
    <w:link w:val="7"/>
    <w:qFormat/>
    <w:uiPriority w:val="0"/>
    <w:rPr>
      <w:rFonts w:ascii="等线 Light" w:hAnsi="等线 Light" w:eastAsia="等线 Light" w:cs="Times New Roman"/>
      <w:b/>
      <w:bCs/>
      <w:kern w:val="2"/>
      <w:sz w:val="28"/>
      <w:szCs w:val="28"/>
    </w:rPr>
  </w:style>
  <w:style w:type="character" w:customStyle="1" w:styleId="146">
    <w:name w:val="纯文本 Char Char Char Char Char Char Char1"/>
    <w:uiPriority w:val="0"/>
    <w:rPr>
      <w:rFonts w:ascii="宋体" w:hAnsi="Courier New"/>
      <w:kern w:val="2"/>
      <w:sz w:val="21"/>
    </w:rPr>
  </w:style>
  <w:style w:type="character" w:customStyle="1" w:styleId="147">
    <w:name w:val="yxExternal"/>
    <w:uiPriority w:val="0"/>
    <w:rPr>
      <w:rFonts w:ascii="Courier New" w:hAnsi="Courier New"/>
      <w:color w:val="808080"/>
    </w:rPr>
  </w:style>
  <w:style w:type="character" w:customStyle="1" w:styleId="148">
    <w:name w:val="abtflag"/>
    <w:qFormat/>
    <w:uiPriority w:val="0"/>
  </w:style>
  <w:style w:type="character" w:customStyle="1" w:styleId="149">
    <w:name w:val="批注主题 字符"/>
    <w:link w:val="42"/>
    <w:semiHidden/>
    <w:qFormat/>
    <w:locked/>
    <w:uiPriority w:val="0"/>
    <w:rPr>
      <w:rFonts w:ascii="Times New Roman" w:hAnsi="Times New Roman" w:eastAsia="宋体" w:cs="Times New Roman"/>
      <w:b/>
      <w:bCs/>
      <w:kern w:val="2"/>
      <w:sz w:val="24"/>
      <w:szCs w:val="24"/>
    </w:rPr>
  </w:style>
  <w:style w:type="character" w:customStyle="1" w:styleId="150">
    <w:name w:val="font61"/>
    <w:qFormat/>
    <w:uiPriority w:val="0"/>
    <w:rPr>
      <w:rFonts w:hint="eastAsia" w:ascii="宋体" w:hAnsi="宋体" w:eastAsia="宋体" w:cs="宋体"/>
      <w:color w:val="000000"/>
      <w:sz w:val="21"/>
      <w:szCs w:val="21"/>
      <w:u w:val="none"/>
    </w:rPr>
  </w:style>
  <w:style w:type="character" w:customStyle="1" w:styleId="151">
    <w:name w:val="宏文本 字符"/>
    <w:link w:val="3"/>
    <w:qFormat/>
    <w:uiPriority w:val="0"/>
    <w:rPr>
      <w:rFonts w:ascii="Courier New" w:hAnsi="Courier New" w:cs="Courier New"/>
      <w:kern w:val="2"/>
      <w:sz w:val="24"/>
      <w:szCs w:val="24"/>
    </w:rPr>
  </w:style>
  <w:style w:type="character" w:customStyle="1" w:styleId="152">
    <w:name w:val="页脚 字符"/>
    <w:link w:val="30"/>
    <w:locked/>
    <w:uiPriority w:val="99"/>
    <w:rPr>
      <w:rFonts w:cs="Times New Roman"/>
      <w:sz w:val="18"/>
      <w:szCs w:val="18"/>
    </w:rPr>
  </w:style>
  <w:style w:type="character" w:customStyle="1" w:styleId="153">
    <w:name w:val="批注框文本 字符"/>
    <w:link w:val="29"/>
    <w:qFormat/>
    <w:locked/>
    <w:uiPriority w:val="0"/>
    <w:rPr>
      <w:rFonts w:ascii="Times New Roman" w:hAnsi="Times New Roman" w:eastAsia="宋体" w:cs="Times New Roman"/>
      <w:sz w:val="18"/>
      <w:szCs w:val="18"/>
    </w:rPr>
  </w:style>
  <w:style w:type="character" w:customStyle="1" w:styleId="154">
    <w:name w:val="font81"/>
    <w:qFormat/>
    <w:uiPriority w:val="0"/>
    <w:rPr>
      <w:rFonts w:hint="eastAsia" w:ascii="宋体" w:hAnsi="宋体" w:eastAsia="宋体" w:cs="宋体"/>
      <w:color w:val="auto"/>
      <w:sz w:val="21"/>
      <w:szCs w:val="21"/>
      <w:u w:val="none"/>
    </w:rPr>
  </w:style>
  <w:style w:type="character" w:customStyle="1" w:styleId="155">
    <w:name w:val="Char Char"/>
    <w:qFormat/>
    <w:uiPriority w:val="0"/>
    <w:rPr>
      <w:rFonts w:eastAsia="宋体"/>
      <w:b/>
      <w:sz w:val="24"/>
      <w:lang w:val="en-US" w:eastAsia="zh-CN" w:bidi="ar-SA"/>
    </w:rPr>
  </w:style>
  <w:style w:type="character" w:customStyle="1" w:styleId="156">
    <w:name w:val="批注文字 字符"/>
    <w:link w:val="21"/>
    <w:qFormat/>
    <w:locked/>
    <w:uiPriority w:val="0"/>
    <w:rPr>
      <w:rFonts w:ascii="Times New Roman" w:hAnsi="Times New Roman" w:eastAsia="宋体"/>
      <w:sz w:val="24"/>
    </w:rPr>
  </w:style>
  <w:style w:type="character" w:customStyle="1" w:styleId="157">
    <w:name w:val="正文缩进 Char1"/>
    <w:qFormat/>
    <w:uiPriority w:val="0"/>
    <w:rPr>
      <w:rFonts w:eastAsia="宋体"/>
      <w:kern w:val="2"/>
      <w:sz w:val="21"/>
      <w:szCs w:val="24"/>
      <w:lang w:val="en-US" w:eastAsia="zh-CN" w:bidi="ar-SA"/>
    </w:rPr>
  </w:style>
  <w:style w:type="character" w:customStyle="1" w:styleId="158">
    <w:name w:val="页眉 字符"/>
    <w:link w:val="31"/>
    <w:qFormat/>
    <w:locked/>
    <w:uiPriority w:val="0"/>
    <w:rPr>
      <w:rFonts w:cs="Times New Roman"/>
      <w:sz w:val="18"/>
      <w:szCs w:val="18"/>
    </w:rPr>
  </w:style>
  <w:style w:type="character" w:customStyle="1" w:styleId="159">
    <w:name w:val="注释标题 字符"/>
    <w:link w:val="14"/>
    <w:qFormat/>
    <w:uiPriority w:val="0"/>
    <w:rPr>
      <w:kern w:val="2"/>
      <w:sz w:val="24"/>
      <w:szCs w:val="24"/>
      <w:lang w:eastAsia="en-US" w:bidi="en-US"/>
    </w:rPr>
  </w:style>
  <w:style w:type="character" w:customStyle="1" w:styleId="160">
    <w:name w:val="文档结构图 字符"/>
    <w:link w:val="19"/>
    <w:qFormat/>
    <w:uiPriority w:val="0"/>
    <w:rPr>
      <w:kern w:val="2"/>
      <w:sz w:val="21"/>
      <w:szCs w:val="21"/>
      <w:shd w:val="clear" w:color="auto" w:fill="000080"/>
    </w:rPr>
  </w:style>
  <w:style w:type="character" w:customStyle="1" w:styleId="161">
    <w:name w:val="正文文本 字符"/>
    <w:link w:val="2"/>
    <w:qFormat/>
    <w:locked/>
    <w:uiPriority w:val="99"/>
    <w:rPr>
      <w:sz w:val="18"/>
    </w:rPr>
  </w:style>
  <w:style w:type="character" w:customStyle="1" w:styleId="162">
    <w:name w:val="普通(网站) Char"/>
    <w:qFormat/>
    <w:locked/>
    <w:uiPriority w:val="0"/>
    <w:rPr>
      <w:rFonts w:ascii="宋体" w:hAnsi="宋体" w:eastAsia="宋体"/>
      <w:sz w:val="24"/>
    </w:rPr>
  </w:style>
  <w:style w:type="character" w:customStyle="1" w:styleId="163">
    <w:name w:val="批注文字 字符1"/>
    <w:semiHidden/>
    <w:qFormat/>
    <w:uiPriority w:val="0"/>
    <w:rPr>
      <w:rFonts w:ascii="Times New Roman" w:hAnsi="Times New Roman" w:eastAsia="宋体" w:cs="Times New Roman"/>
      <w:sz w:val="24"/>
      <w:szCs w:val="24"/>
    </w:rPr>
  </w:style>
  <w:style w:type="paragraph" w:customStyle="1" w:styleId="164">
    <w:name w:val="CM21"/>
    <w:basedOn w:val="165"/>
    <w:next w:val="165"/>
    <w:qFormat/>
    <w:uiPriority w:val="0"/>
    <w:pPr>
      <w:spacing w:line="546" w:lineRule="atLeast"/>
    </w:pPr>
    <w:rPr>
      <w:rFonts w:cs="Times New Roman"/>
      <w:color w:val="auto"/>
    </w:rPr>
  </w:style>
  <w:style w:type="paragraph" w:customStyle="1" w:styleId="1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6">
    <w:name w:val="小黑标"/>
    <w:basedOn w:val="1"/>
    <w:qFormat/>
    <w:uiPriority w:val="0"/>
    <w:pPr>
      <w:spacing w:before="50" w:line="360" w:lineRule="auto"/>
    </w:pPr>
    <w:rPr>
      <w:rFonts w:ascii="黑体" w:eastAsia="黑体"/>
      <w:b/>
      <w:sz w:val="24"/>
      <w:szCs w:val="20"/>
    </w:rPr>
  </w:style>
  <w:style w:type="paragraph" w:customStyle="1" w:styleId="167">
    <w:name w:val="CM18"/>
    <w:basedOn w:val="165"/>
    <w:next w:val="165"/>
    <w:qFormat/>
    <w:uiPriority w:val="0"/>
    <w:pPr>
      <w:spacing w:line="548" w:lineRule="atLeast"/>
    </w:pPr>
    <w:rPr>
      <w:rFonts w:cs="Times New Roman"/>
      <w:color w:val="auto"/>
    </w:rPr>
  </w:style>
  <w:style w:type="paragraph" w:customStyle="1" w:styleId="168">
    <w:name w:val="1.1_"/>
    <w:basedOn w:val="1"/>
    <w:qFormat/>
    <w:uiPriority w:val="0"/>
    <w:pPr>
      <w:spacing w:before="360" w:after="360" w:line="400" w:lineRule="atLeast"/>
      <w:outlineLvl w:val="1"/>
    </w:pPr>
    <w:rPr>
      <w:rFonts w:eastAsia="黑体"/>
      <w:kern w:val="0"/>
      <w:sz w:val="28"/>
      <w:szCs w:val="28"/>
    </w:rPr>
  </w:style>
  <w:style w:type="paragraph" w:customStyle="1" w:styleId="169">
    <w:name w:val="CM27"/>
    <w:basedOn w:val="165"/>
    <w:next w:val="165"/>
    <w:qFormat/>
    <w:uiPriority w:val="0"/>
    <w:pPr>
      <w:spacing w:line="588" w:lineRule="atLeast"/>
    </w:pPr>
    <w:rPr>
      <w:rFonts w:cs="Times New Roman"/>
      <w:color w:val="auto"/>
    </w:rPr>
  </w:style>
  <w:style w:type="paragraph" w:customStyle="1" w:styleId="170">
    <w:name w:val="表头"/>
    <w:basedOn w:val="1"/>
    <w:qFormat/>
    <w:uiPriority w:val="0"/>
    <w:pPr>
      <w:spacing w:line="360" w:lineRule="auto"/>
      <w:ind w:firstLine="200" w:firstLineChars="200"/>
      <w:jc w:val="center"/>
    </w:pPr>
    <w:rPr>
      <w:rFonts w:ascii="宋体" w:hAnsi="宋体" w:cs="宋体"/>
    </w:rPr>
  </w:style>
  <w:style w:type="paragraph" w:customStyle="1" w:styleId="171">
    <w:name w:val="图表文字注释"/>
    <w:qFormat/>
    <w:uiPriority w:val="0"/>
    <w:pPr>
      <w:spacing w:line="360" w:lineRule="auto"/>
      <w:jc w:val="center"/>
      <w:outlineLvl w:val="3"/>
    </w:pPr>
    <w:rPr>
      <w:rFonts w:ascii="Times New Roman" w:hAnsi="Times New Roman" w:eastAsia="宋体" w:cs="Times New Roman"/>
      <w:kern w:val="2"/>
      <w:sz w:val="21"/>
      <w:szCs w:val="24"/>
      <w:lang w:val="en-US" w:eastAsia="zh-CN" w:bidi="ar-SA"/>
    </w:rPr>
  </w:style>
  <w:style w:type="paragraph" w:customStyle="1" w:styleId="172">
    <w:name w:val="CM53"/>
    <w:basedOn w:val="165"/>
    <w:next w:val="165"/>
    <w:qFormat/>
    <w:uiPriority w:val="0"/>
    <w:rPr>
      <w:rFonts w:cs="Times New Roman"/>
      <w:color w:val="auto"/>
    </w:rPr>
  </w:style>
  <w:style w:type="paragraph" w:customStyle="1" w:styleId="173">
    <w:name w:val="正文2"/>
    <w:basedOn w:val="1"/>
    <w:qFormat/>
    <w:uiPriority w:val="0"/>
    <w:pPr>
      <w:spacing w:line="360" w:lineRule="auto"/>
      <w:ind w:firstLine="200" w:firstLineChars="200"/>
    </w:pPr>
    <w:rPr>
      <w:sz w:val="24"/>
    </w:rPr>
  </w:style>
  <w:style w:type="paragraph" w:customStyle="1" w:styleId="174">
    <w:name w:val="A 报批正文"/>
    <w:basedOn w:val="70"/>
    <w:qFormat/>
    <w:uiPriority w:val="0"/>
  </w:style>
  <w:style w:type="paragraph" w:customStyle="1" w:styleId="175">
    <w:name w:val="Table Paragraph"/>
    <w:basedOn w:val="1"/>
    <w:qFormat/>
    <w:uiPriority w:val="1"/>
    <w:pPr>
      <w:autoSpaceDE w:val="0"/>
      <w:autoSpaceDN w:val="0"/>
      <w:jc w:val="center"/>
    </w:pPr>
    <w:rPr>
      <w:rFonts w:ascii="宋体" w:hAnsi="宋体" w:cs="宋体"/>
      <w:kern w:val="0"/>
      <w:sz w:val="22"/>
      <w:szCs w:val="22"/>
      <w:lang w:eastAsia="en-US"/>
    </w:rPr>
  </w:style>
  <w:style w:type="paragraph" w:customStyle="1" w:styleId="176">
    <w:name w:val="1.1.1_"/>
    <w:basedOn w:val="1"/>
    <w:qFormat/>
    <w:uiPriority w:val="0"/>
    <w:pPr>
      <w:spacing w:before="240" w:after="240" w:line="400" w:lineRule="atLeast"/>
      <w:outlineLvl w:val="2"/>
    </w:pPr>
    <w:rPr>
      <w:rFonts w:eastAsia="黑体"/>
      <w:kern w:val="0"/>
      <w:sz w:val="28"/>
      <w:szCs w:val="28"/>
    </w:rPr>
  </w:style>
  <w:style w:type="paragraph" w:customStyle="1" w:styleId="177">
    <w:name w:val="表文"/>
    <w:basedOn w:val="1"/>
    <w:qFormat/>
    <w:uiPriority w:val="0"/>
    <w:pPr>
      <w:overflowPunct w:val="0"/>
      <w:jc w:val="center"/>
      <w:textAlignment w:val="baseline"/>
    </w:pPr>
    <w:rPr>
      <w:sz w:val="24"/>
      <w:szCs w:val="20"/>
    </w:rPr>
  </w:style>
  <w:style w:type="paragraph" w:customStyle="1" w:styleId="178">
    <w:name w:val="纯文本1"/>
    <w:basedOn w:val="1"/>
    <w:qFormat/>
    <w:uiPriority w:val="0"/>
    <w:rPr>
      <w:rFonts w:ascii="宋体" w:hAnsi="Courier New" w:cs="宋体"/>
    </w:rPr>
  </w:style>
  <w:style w:type="paragraph" w:customStyle="1" w:styleId="179">
    <w:name w:val="KD正文"/>
    <w:qFormat/>
    <w:uiPriority w:val="0"/>
    <w:pPr>
      <w:autoSpaceDE w:val="0"/>
      <w:autoSpaceDN w:val="0"/>
      <w:spacing w:line="360" w:lineRule="auto"/>
      <w:ind w:firstLine="200" w:firstLineChars="200"/>
      <w:jc w:val="both"/>
    </w:pPr>
    <w:rPr>
      <w:rFonts w:ascii="Times New Roman" w:hAnsi="Times New Roman" w:eastAsia="宋体" w:cs="Times New Roman"/>
      <w:kern w:val="2"/>
      <w:sz w:val="28"/>
      <w:szCs w:val="22"/>
      <w:lang w:val="en-US" w:eastAsia="zh-CN" w:bidi="ar-SA"/>
    </w:rPr>
  </w:style>
  <w:style w:type="paragraph" w:customStyle="1" w:styleId="180">
    <w:name w:val="样式 标题 2 + 黑体 小四"/>
    <w:qFormat/>
    <w:uiPriority w:val="0"/>
    <w:rPr>
      <w:rFonts w:ascii="黑体" w:hAnsi="黑体" w:eastAsia="黑体" w:cs="Times New Roman"/>
      <w:b/>
      <w:bCs/>
      <w:kern w:val="2"/>
      <w:sz w:val="24"/>
      <w:szCs w:val="32"/>
      <w:lang w:val="en-US" w:eastAsia="zh-CN" w:bidi="ar-SA"/>
    </w:rPr>
  </w:style>
  <w:style w:type="paragraph" w:customStyle="1" w:styleId="181">
    <w:name w:val="表内文字"/>
    <w:basedOn w:val="1"/>
    <w:qFormat/>
    <w:uiPriority w:val="0"/>
    <w:pPr>
      <w:spacing w:line="320" w:lineRule="exact"/>
      <w:jc w:val="center"/>
    </w:pPr>
    <w:rPr>
      <w:rFonts w:eastAsia="仿宋_GB2312"/>
    </w:rPr>
  </w:style>
  <w:style w:type="paragraph" w:customStyle="1" w:styleId="182">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183">
    <w:name w:val="_Style 2"/>
    <w:basedOn w:val="4"/>
    <w:next w:val="1"/>
    <w:unhideWhenUsed/>
    <w:qFormat/>
    <w:uiPriority w:val="39"/>
    <w:pPr>
      <w:keepLines/>
      <w:widowControl/>
      <w:overflowPunct/>
      <w:snapToGrid/>
      <w:spacing w:before="240" w:after="0"/>
      <w:ind w:left="0" w:firstLine="0"/>
      <w:jc w:val="left"/>
      <w:outlineLvl w:val="9"/>
    </w:pPr>
    <w:rPr>
      <w:rFonts w:ascii="等线 Light" w:hAnsi="等线 Light" w:eastAsia="等线 Light"/>
      <w:b w:val="0"/>
      <w:bCs w:val="0"/>
      <w:color w:val="2E74B5"/>
      <w:kern w:val="0"/>
      <w:sz w:val="32"/>
      <w:szCs w:val="32"/>
    </w:rPr>
  </w:style>
  <w:style w:type="paragraph" w:customStyle="1" w:styleId="184">
    <w:name w:val="标题1"/>
    <w:basedOn w:val="20"/>
    <w:qFormat/>
    <w:uiPriority w:val="0"/>
    <w:rPr>
      <w:rFonts w:ascii="黑体" w:eastAsia="黑体"/>
      <w:b/>
      <w:sz w:val="28"/>
    </w:rPr>
  </w:style>
  <w:style w:type="paragraph" w:customStyle="1" w:styleId="185">
    <w:name w:val="样式 标题 1 + 行距: 1.5 倍行距"/>
    <w:basedOn w:val="4"/>
    <w:qFormat/>
    <w:uiPriority w:val="0"/>
    <w:pPr>
      <w:keepLines/>
      <w:overflowPunct/>
      <w:adjustRightInd w:val="0"/>
      <w:snapToGrid/>
      <w:spacing w:before="0" w:after="0" w:line="360" w:lineRule="auto"/>
      <w:ind w:left="0" w:firstLine="0"/>
      <w:jc w:val="left"/>
      <w:textAlignment w:val="baseline"/>
    </w:pPr>
    <w:rPr>
      <w:rFonts w:cs="宋体"/>
      <w:color w:val="auto"/>
      <w:sz w:val="24"/>
      <w:szCs w:val="20"/>
    </w:rPr>
  </w:style>
  <w:style w:type="paragraph" w:customStyle="1" w:styleId="186">
    <w:name w:val="CM63"/>
    <w:basedOn w:val="165"/>
    <w:next w:val="165"/>
    <w:qFormat/>
    <w:uiPriority w:val="0"/>
    <w:pPr>
      <w:spacing w:line="626" w:lineRule="atLeast"/>
    </w:pPr>
    <w:rPr>
      <w:rFonts w:cs="Times New Roman"/>
      <w:color w:val="auto"/>
    </w:rPr>
  </w:style>
  <w:style w:type="paragraph" w:customStyle="1" w:styleId="187">
    <w:name w:val="Char4 Char Char Char Char Char Char1"/>
    <w:basedOn w:val="1"/>
    <w:qFormat/>
    <w:uiPriority w:val="0"/>
    <w:pPr>
      <w:spacing w:line="360" w:lineRule="auto"/>
      <w:ind w:firstLine="200" w:firstLineChars="200"/>
    </w:pPr>
    <w:rPr>
      <w:rFonts w:ascii="宋体" w:hAnsi="宋体" w:cs="宋体"/>
      <w:sz w:val="24"/>
    </w:rPr>
  </w:style>
  <w:style w:type="paragraph" w:customStyle="1" w:styleId="188">
    <w:name w:val="正文（首行缩进2字符）"/>
    <w:basedOn w:val="1"/>
    <w:qFormat/>
    <w:uiPriority w:val="0"/>
    <w:pPr>
      <w:widowControl/>
      <w:topLinePunct/>
      <w:adjustRightInd w:val="0"/>
      <w:snapToGrid w:val="0"/>
      <w:spacing w:line="360" w:lineRule="auto"/>
      <w:textAlignment w:val="baseline"/>
    </w:pPr>
    <w:rPr>
      <w:rFonts w:ascii="宋体" w:hAnsi="宋体" w:cs="宋体"/>
      <w:kern w:val="0"/>
      <w:szCs w:val="28"/>
    </w:rPr>
  </w:style>
  <w:style w:type="paragraph" w:customStyle="1" w:styleId="189">
    <w:name w:val="样式 标题 1 + 四号 段前: 0 磅 段后: 0 磅 行距: 1.5 倍行距"/>
    <w:basedOn w:val="182"/>
    <w:next w:val="190"/>
    <w:qFormat/>
    <w:uiPriority w:val="0"/>
    <w:pPr>
      <w:snapToGrid w:val="0"/>
      <w:spacing w:line="360" w:lineRule="auto"/>
      <w:ind w:firstLine="200" w:firstLineChars="200"/>
      <w:jc w:val="center"/>
    </w:pPr>
    <w:rPr>
      <w:sz w:val="28"/>
    </w:rPr>
  </w:style>
  <w:style w:type="paragraph" w:customStyle="1" w:styleId="190">
    <w:name w:val="文本正文"/>
    <w:basedOn w:val="1"/>
    <w:qFormat/>
    <w:uiPriority w:val="0"/>
    <w:pPr>
      <w:snapToGrid w:val="0"/>
      <w:spacing w:line="360" w:lineRule="auto"/>
      <w:ind w:firstLine="510"/>
      <w:jc w:val="left"/>
    </w:pPr>
    <w:rPr>
      <w:spacing w:val="4"/>
      <w:kern w:val="24"/>
      <w:szCs w:val="24"/>
      <w:lang w:val="zh-CN"/>
    </w:rPr>
  </w:style>
  <w:style w:type="paragraph" w:customStyle="1" w:styleId="191">
    <w:name w:val="默认段落字体 Para Char"/>
    <w:basedOn w:val="1"/>
    <w:qFormat/>
    <w:uiPriority w:val="0"/>
    <w:rPr>
      <w:rFonts w:ascii="宋体"/>
      <w:sz w:val="28"/>
    </w:rPr>
  </w:style>
  <w:style w:type="paragraph" w:customStyle="1" w:styleId="192">
    <w:name w:val="无悬挂正文5号"/>
    <w:basedOn w:val="1"/>
    <w:qFormat/>
    <w:uiPriority w:val="0"/>
    <w:pPr>
      <w:jc w:val="center"/>
    </w:pPr>
  </w:style>
  <w:style w:type="paragraph" w:customStyle="1" w:styleId="193">
    <w:name w:val="Char2"/>
    <w:basedOn w:val="1"/>
    <w:qFormat/>
    <w:uiPriority w:val="0"/>
    <w:pPr>
      <w:spacing w:line="360" w:lineRule="auto"/>
      <w:ind w:firstLine="200" w:firstLineChars="200"/>
    </w:pPr>
    <w:rPr>
      <w:rFonts w:ascii="宋体" w:hAnsi="宋体" w:cs="宋体"/>
      <w:sz w:val="24"/>
    </w:rPr>
  </w:style>
  <w:style w:type="paragraph" w:customStyle="1" w:styleId="194">
    <w:name w:val="CM121"/>
    <w:basedOn w:val="165"/>
    <w:next w:val="165"/>
    <w:qFormat/>
    <w:uiPriority w:val="0"/>
    <w:pPr>
      <w:spacing w:after="450"/>
    </w:pPr>
    <w:rPr>
      <w:rFonts w:cs="Times New Roman"/>
      <w:color w:val="auto"/>
    </w:rPr>
  </w:style>
  <w:style w:type="paragraph" w:customStyle="1" w:styleId="195">
    <w:name w:val="表名"/>
    <w:basedOn w:val="1"/>
    <w:qFormat/>
    <w:uiPriority w:val="0"/>
    <w:pPr>
      <w:overflowPunct w:val="0"/>
      <w:spacing w:before="120" w:line="300" w:lineRule="exact"/>
      <w:textAlignment w:val="baseline"/>
    </w:pPr>
    <w:rPr>
      <w:rFonts w:eastAsia="黑体"/>
      <w:sz w:val="28"/>
      <w:szCs w:val="20"/>
    </w:rPr>
  </w:style>
  <w:style w:type="paragraph" w:customStyle="1" w:styleId="196">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197">
    <w:name w:val="内容"/>
    <w:basedOn w:val="1"/>
    <w:qFormat/>
    <w:uiPriority w:val="0"/>
    <w:pPr>
      <w:adjustRightInd w:val="0"/>
      <w:snapToGrid w:val="0"/>
      <w:spacing w:before="156" w:beforeLines="50" w:line="360" w:lineRule="auto"/>
      <w:ind w:firstLine="200" w:firstLineChars="200"/>
      <w:textAlignment w:val="center"/>
    </w:pPr>
    <w:rPr>
      <w:rFonts w:eastAsia="仿宋"/>
      <w:color w:val="000000"/>
      <w:sz w:val="28"/>
      <w:szCs w:val="28"/>
    </w:rPr>
  </w:style>
  <w:style w:type="paragraph" w:customStyle="1" w:styleId="198">
    <w:name w:val="表格后空行"/>
    <w:basedOn w:val="1"/>
    <w:qFormat/>
    <w:uiPriority w:val="0"/>
    <w:rPr>
      <w:sz w:val="24"/>
    </w:rPr>
  </w:style>
  <w:style w:type="paragraph" w:customStyle="1" w:styleId="199">
    <w:name w:val="表格标题"/>
    <w:basedOn w:val="4"/>
    <w:qFormat/>
    <w:uiPriority w:val="0"/>
    <w:pPr>
      <w:keepLines/>
      <w:overflowPunct/>
      <w:adjustRightInd w:val="0"/>
      <w:snapToGrid/>
      <w:spacing w:before="156" w:beforeLines="50" w:after="0" w:line="360" w:lineRule="auto"/>
      <w:ind w:left="0" w:firstLine="0"/>
      <w:jc w:val="center"/>
      <w:textAlignment w:val="baseline"/>
    </w:pPr>
    <w:rPr>
      <w:rFonts w:eastAsia="宋体"/>
      <w:b w:val="0"/>
      <w:bCs w:val="0"/>
      <w:color w:val="auto"/>
      <w:sz w:val="24"/>
      <w:szCs w:val="24"/>
    </w:rPr>
  </w:style>
  <w:style w:type="paragraph" w:customStyle="1" w:styleId="200">
    <w:name w:val="正文文本8"/>
    <w:basedOn w:val="1"/>
    <w:qFormat/>
    <w:uiPriority w:val="0"/>
    <w:pPr>
      <w:shd w:val="clear" w:color="auto" w:fill="FFFFFF"/>
      <w:spacing w:line="461" w:lineRule="exact"/>
      <w:jc w:val="left"/>
    </w:pPr>
    <w:rPr>
      <w:rFonts w:ascii="Arial Unicode MS" w:hAnsi="Arial Unicode MS" w:eastAsia="Arial Unicode MS"/>
      <w:spacing w:val="30"/>
      <w:sz w:val="23"/>
      <w:szCs w:val="23"/>
      <w:shd w:val="clear" w:color="auto" w:fill="FFFFFF"/>
    </w:rPr>
  </w:style>
  <w:style w:type="paragraph" w:customStyle="1" w:styleId="201">
    <w:name w:val="Char Char Char Char Char Char Char Char Char Char Char Char Char Char Char Char Char Char Char"/>
    <w:basedOn w:val="1"/>
    <w:semiHidden/>
    <w:qFormat/>
    <w:uiPriority w:val="0"/>
  </w:style>
  <w:style w:type="paragraph" w:customStyle="1" w:styleId="202">
    <w:name w:val="样式 样式 正文缩进s4 + 首行缩进:  2 字符 + 首行缩进:  2 字符"/>
    <w:basedOn w:val="1"/>
    <w:qFormat/>
    <w:uiPriority w:val="0"/>
    <w:rPr>
      <w:rFonts w:ascii="宋体" w:hAnsi="宋体"/>
      <w:sz w:val="24"/>
    </w:rPr>
  </w:style>
  <w:style w:type="paragraph" w:customStyle="1" w:styleId="203">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04">
    <w:name w:val="二级标题"/>
    <w:basedOn w:val="5"/>
    <w:qFormat/>
    <w:uiPriority w:val="0"/>
    <w:pPr>
      <w:keepNext w:val="0"/>
      <w:keepLines w:val="0"/>
      <w:widowControl/>
      <w:autoSpaceDE w:val="0"/>
      <w:autoSpaceDN w:val="0"/>
      <w:adjustRightInd w:val="0"/>
      <w:snapToGrid w:val="0"/>
      <w:spacing w:before="0" w:after="156" w:afterLines="50" w:line="360" w:lineRule="auto"/>
      <w:jc w:val="left"/>
      <w:textAlignment w:val="baseline"/>
    </w:pPr>
    <w:rPr>
      <w:rFonts w:ascii="Times New Roman" w:hAnsi="Times New Roman" w:eastAsia="宋体"/>
      <w:snapToGrid w:val="0"/>
      <w:kern w:val="0"/>
      <w:sz w:val="24"/>
      <w:szCs w:val="24"/>
    </w:rPr>
  </w:style>
  <w:style w:type="paragraph" w:customStyle="1" w:styleId="205">
    <w:name w:val="表中文字"/>
    <w:basedOn w:val="1"/>
    <w:qFormat/>
    <w:uiPriority w:val="0"/>
    <w:pPr>
      <w:jc w:val="center"/>
    </w:pPr>
    <w:rPr>
      <w:rFonts w:ascii="宋体"/>
      <w:color w:val="000000"/>
      <w:spacing w:val="4"/>
    </w:rPr>
  </w:style>
  <w:style w:type="paragraph" w:customStyle="1" w:styleId="206">
    <w:name w:val="新标题1"/>
    <w:qFormat/>
    <w:uiPriority w:val="0"/>
    <w:pPr>
      <w:outlineLvl w:val="0"/>
    </w:pPr>
    <w:rPr>
      <w:rFonts w:ascii="黑体" w:hAnsi="Times New Roman" w:eastAsia="黑体" w:cs="Times New Roman"/>
      <w:b/>
      <w:kern w:val="2"/>
      <w:sz w:val="28"/>
      <w:szCs w:val="52"/>
      <w:lang w:val="en-US" w:eastAsia="zh-CN" w:bidi="ar-SA"/>
    </w:rPr>
  </w:style>
  <w:style w:type="paragraph" w:customStyle="1" w:styleId="207">
    <w:name w:val="文章正文"/>
    <w:basedOn w:val="1"/>
    <w:qFormat/>
    <w:uiPriority w:val="0"/>
    <w:pPr>
      <w:spacing w:line="360" w:lineRule="auto"/>
      <w:ind w:left="420" w:leftChars="200" w:firstLine="560" w:firstLineChars="200"/>
    </w:pPr>
    <w:rPr>
      <w:rFonts w:ascii="宋体" w:hAnsi="宋体"/>
      <w:sz w:val="28"/>
      <w:szCs w:val="24"/>
    </w:rPr>
  </w:style>
  <w:style w:type="paragraph" w:customStyle="1" w:styleId="208">
    <w:name w:val="Char Char Char Char Char Char Char"/>
    <w:basedOn w:val="1"/>
    <w:qFormat/>
    <w:uiPriority w:val="0"/>
    <w:pPr>
      <w:spacing w:line="360" w:lineRule="auto"/>
      <w:ind w:firstLine="200" w:firstLineChars="200"/>
    </w:pPr>
    <w:rPr>
      <w:rFonts w:ascii="宋体" w:hAnsi="宋体" w:cs="宋体"/>
      <w:sz w:val="24"/>
    </w:rPr>
  </w:style>
  <w:style w:type="paragraph" w:customStyle="1" w:styleId="209">
    <w:name w:val="Char4 Char Char Char Char Char Char11"/>
    <w:basedOn w:val="1"/>
    <w:qFormat/>
    <w:uiPriority w:val="0"/>
    <w:pPr>
      <w:spacing w:line="360" w:lineRule="auto"/>
      <w:ind w:firstLine="200" w:firstLineChars="200"/>
    </w:pPr>
    <w:rPr>
      <w:rFonts w:ascii="宋体" w:hAnsi="宋体" w:cs="宋体"/>
      <w:sz w:val="24"/>
    </w:rPr>
  </w:style>
  <w:style w:type="paragraph" w:customStyle="1" w:styleId="210">
    <w:name w:val="标题2"/>
    <w:basedOn w:val="1"/>
    <w:qFormat/>
    <w:uiPriority w:val="0"/>
    <w:pPr>
      <w:adjustRightInd w:val="0"/>
      <w:snapToGrid w:val="0"/>
      <w:jc w:val="center"/>
    </w:pPr>
    <w:rPr>
      <w:rFonts w:ascii="宋体" w:hAnsi="宋体"/>
      <w:b/>
      <w:color w:val="000000"/>
      <w:sz w:val="24"/>
    </w:rPr>
  </w:style>
  <w:style w:type="paragraph" w:customStyle="1" w:styleId="211">
    <w:name w:val="样式 行距: 固定值 20 磅"/>
    <w:basedOn w:val="1"/>
    <w:qFormat/>
    <w:uiPriority w:val="0"/>
    <w:pPr>
      <w:spacing w:before="312" w:beforeLines="100" w:after="312" w:afterLines="100" w:line="400" w:lineRule="exact"/>
    </w:pPr>
    <w:rPr>
      <w:rFonts w:cs="宋体"/>
      <w:szCs w:val="20"/>
    </w:rPr>
  </w:style>
  <w:style w:type="paragraph" w:customStyle="1" w:styleId="21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13">
    <w:name w:val="宋标一"/>
    <w:basedOn w:val="1"/>
    <w:qFormat/>
    <w:uiPriority w:val="0"/>
    <w:pPr>
      <w:spacing w:before="156" w:beforeLines="50" w:line="360" w:lineRule="auto"/>
      <w:ind w:firstLine="200" w:firstLineChars="200"/>
    </w:pPr>
    <w:rPr>
      <w:sz w:val="24"/>
    </w:rPr>
  </w:style>
  <w:style w:type="paragraph" w:customStyle="1" w:styleId="214">
    <w:name w:val="SB·表格"/>
    <w:basedOn w:val="71"/>
    <w:qFormat/>
    <w:uiPriority w:val="0"/>
    <w:pPr>
      <w:ind w:firstLine="0" w:firstLineChars="0"/>
      <w:jc w:val="center"/>
    </w:pPr>
    <w:rPr>
      <w:b/>
      <w:snapToGrid/>
      <w:szCs w:val="15"/>
    </w:rPr>
  </w:style>
  <w:style w:type="paragraph" w:customStyle="1" w:styleId="215">
    <w:name w:val="标题5"/>
    <w:basedOn w:val="18"/>
    <w:qFormat/>
    <w:uiPriority w:val="0"/>
    <w:pPr>
      <w:spacing w:line="324" w:lineRule="auto"/>
      <w:ind w:left="0" w:leftChars="0" w:firstLine="480" w:firstLineChars="200"/>
      <w:outlineLvl w:val="4"/>
    </w:pPr>
    <w:rPr>
      <w:sz w:val="24"/>
    </w:rPr>
  </w:style>
  <w:style w:type="paragraph" w:customStyle="1" w:styleId="216">
    <w:name w:val="大风丫口正文"/>
    <w:basedOn w:val="1"/>
    <w:qFormat/>
    <w:uiPriority w:val="0"/>
    <w:pPr>
      <w:spacing w:line="360" w:lineRule="auto"/>
      <w:ind w:firstLine="200" w:firstLineChars="200"/>
    </w:pPr>
    <w:rPr>
      <w:spacing w:val="10"/>
      <w:sz w:val="24"/>
    </w:rPr>
  </w:style>
  <w:style w:type="paragraph" w:customStyle="1" w:styleId="217">
    <w:name w:val="样式1"/>
    <w:basedOn w:val="1"/>
    <w:qFormat/>
    <w:uiPriority w:val="0"/>
    <w:pPr>
      <w:numPr>
        <w:ilvl w:val="0"/>
        <w:numId w:val="1"/>
      </w:numPr>
      <w:tabs>
        <w:tab w:val="left" w:pos="900"/>
      </w:tabs>
      <w:spacing w:before="312" w:beforeLines="100" w:after="312" w:afterLines="100" w:line="400" w:lineRule="exact"/>
      <w:jc w:val="center"/>
      <w:outlineLvl w:val="0"/>
    </w:pPr>
    <w:rPr>
      <w:rFonts w:ascii="宋体" w:hAnsi="宋体"/>
      <w:b/>
      <w:sz w:val="30"/>
      <w:szCs w:val="30"/>
    </w:rPr>
  </w:style>
  <w:style w:type="paragraph" w:customStyle="1" w:styleId="218">
    <w:name w:val="KD表格标题"/>
    <w:next w:val="179"/>
    <w:qFormat/>
    <w:uiPriority w:val="0"/>
    <w:pPr>
      <w:spacing w:before="120" w:after="60"/>
      <w:jc w:val="center"/>
    </w:pPr>
    <w:rPr>
      <w:rFonts w:ascii="Times New Roman" w:hAnsi="Times New Roman" w:eastAsia="黑体" w:cs="黑体"/>
      <w:kern w:val="2"/>
      <w:sz w:val="24"/>
      <w:szCs w:val="22"/>
      <w:lang w:val="en-US" w:eastAsia="zh-CN" w:bidi="ar-SA"/>
    </w:rPr>
  </w:style>
  <w:style w:type="paragraph" w:customStyle="1" w:styleId="219">
    <w:name w:val="表格小五"/>
    <w:basedOn w:val="1"/>
    <w:qFormat/>
    <w:uiPriority w:val="0"/>
    <w:pPr>
      <w:adjustRightInd w:val="0"/>
      <w:snapToGrid w:val="0"/>
      <w:spacing w:afterLines="30" w:line="240" w:lineRule="atLeast"/>
      <w:ind w:firstLine="510"/>
      <w:jc w:val="left"/>
    </w:pPr>
    <w:rPr>
      <w:spacing w:val="16"/>
      <w:kern w:val="0"/>
      <w:sz w:val="18"/>
      <w:szCs w:val="20"/>
    </w:rPr>
  </w:style>
  <w:style w:type="paragraph" w:customStyle="1" w:styleId="220">
    <w:name w:val="新标题2"/>
    <w:qFormat/>
    <w:uiPriority w:val="0"/>
    <w:pPr>
      <w:widowControl w:val="0"/>
      <w:spacing w:line="440" w:lineRule="exact"/>
      <w:ind w:firstLine="480" w:firstLineChars="200"/>
      <w:jc w:val="both"/>
      <w:outlineLvl w:val="1"/>
    </w:pPr>
    <w:rPr>
      <w:rFonts w:ascii="Times New Roman" w:hAnsi="Times New Roman" w:eastAsia="宋体" w:cs="Times New Roman"/>
      <w:color w:val="FF0000"/>
      <w:kern w:val="2"/>
      <w:sz w:val="24"/>
      <w:szCs w:val="24"/>
      <w:lang w:val="en-US" w:eastAsia="zh-CN" w:bidi="ar-SA"/>
    </w:rPr>
  </w:style>
  <w:style w:type="paragraph" w:customStyle="1" w:styleId="221">
    <w:name w:val="_Style 3"/>
    <w:basedOn w:val="1"/>
    <w:next w:val="1"/>
    <w:qFormat/>
    <w:uiPriority w:val="0"/>
    <w:pPr>
      <w:spacing w:line="360" w:lineRule="auto"/>
      <w:ind w:firstLine="200" w:firstLineChars="200"/>
    </w:pPr>
    <w:rPr>
      <w:szCs w:val="20"/>
    </w:rPr>
  </w:style>
  <w:style w:type="paragraph" w:customStyle="1" w:styleId="222">
    <w:name w:val="Char Char Char Char Char Char"/>
    <w:basedOn w:val="1"/>
    <w:next w:val="3"/>
    <w:qFormat/>
    <w:uiPriority w:val="0"/>
    <w:rPr>
      <w:sz w:val="28"/>
      <w:szCs w:val="28"/>
    </w:rPr>
  </w:style>
  <w:style w:type="paragraph" w:customStyle="1" w:styleId="223">
    <w:name w:val="CM25"/>
    <w:basedOn w:val="165"/>
    <w:next w:val="165"/>
    <w:qFormat/>
    <w:uiPriority w:val="0"/>
    <w:pPr>
      <w:spacing w:line="588" w:lineRule="atLeast"/>
    </w:pPr>
    <w:rPr>
      <w:rFonts w:cs="Times New Roman"/>
      <w:color w:val="auto"/>
    </w:rPr>
  </w:style>
  <w:style w:type="paragraph" w:customStyle="1" w:styleId="224">
    <w:name w:val="正文缩进（自定义）"/>
    <w:basedOn w:val="1"/>
    <w:qFormat/>
    <w:uiPriority w:val="0"/>
    <w:pPr>
      <w:spacing w:before="120" w:after="120" w:line="360" w:lineRule="auto"/>
      <w:ind w:firstLine="480" w:firstLineChars="200"/>
    </w:pPr>
    <w:rPr>
      <w:rFonts w:ascii="Century Gothic" w:hAnsi="Century Gothic"/>
      <w:kern w:val="0"/>
      <w:sz w:val="24"/>
    </w:rPr>
  </w:style>
  <w:style w:type="paragraph" w:customStyle="1" w:styleId="225">
    <w:name w:val="PlainText"/>
    <w:basedOn w:val="1"/>
    <w:qFormat/>
    <w:uiPriority w:val="0"/>
    <w:pPr>
      <w:textAlignment w:val="baseline"/>
    </w:pPr>
    <w:rPr>
      <w:rFonts w:ascii="宋体" w:hAnsi="Courier New"/>
    </w:rPr>
  </w:style>
  <w:style w:type="paragraph" w:customStyle="1" w:styleId="226">
    <w:name w:val="SB·表头"/>
    <w:basedOn w:val="71"/>
    <w:qFormat/>
    <w:uiPriority w:val="0"/>
    <w:pPr>
      <w:spacing w:before="120" w:beforeLines="50" w:after="120" w:afterLines="50" w:line="240" w:lineRule="auto"/>
      <w:ind w:firstLine="0" w:firstLineChars="0"/>
      <w:jc w:val="left"/>
    </w:pPr>
    <w:rPr>
      <w:b/>
      <w:sz w:val="21"/>
    </w:rPr>
  </w:style>
  <w:style w:type="paragraph" w:customStyle="1" w:styleId="227">
    <w:name w:val="表格文字格式"/>
    <w:basedOn w:val="1"/>
    <w:qFormat/>
    <w:uiPriority w:val="0"/>
    <w:pPr>
      <w:jc w:val="center"/>
    </w:pPr>
    <w:rPr>
      <w:szCs w:val="28"/>
    </w:rPr>
  </w:style>
  <w:style w:type="paragraph" w:customStyle="1" w:styleId="228">
    <w:name w:val="标题4"/>
    <w:basedOn w:val="24"/>
    <w:qFormat/>
    <w:uiPriority w:val="0"/>
    <w:pPr>
      <w:spacing w:before="60" w:after="60" w:line="324" w:lineRule="auto"/>
      <w:ind w:left="0" w:leftChars="0"/>
      <w:outlineLvl w:val="3"/>
    </w:pPr>
    <w:rPr>
      <w:rFonts w:eastAsia="黑体"/>
      <w:b/>
      <w:bCs/>
      <w:sz w:val="24"/>
    </w:rPr>
  </w:style>
  <w:style w:type="paragraph" w:customStyle="1" w:styleId="229">
    <w:name w:val="样式4"/>
    <w:basedOn w:val="1"/>
    <w:qFormat/>
    <w:uiPriority w:val="0"/>
    <w:pPr>
      <w:spacing w:line="400" w:lineRule="exact"/>
      <w:ind w:firstLine="200" w:firstLineChars="200"/>
    </w:pPr>
    <w:rPr>
      <w:rFonts w:ascii="宋体" w:hAnsi="宋体"/>
      <w:sz w:val="24"/>
    </w:rPr>
  </w:style>
  <w:style w:type="paragraph" w:styleId="230">
    <w:name w:val="No Spacing"/>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231">
    <w:name w:val="Char Char10 Char Char Char Char Char Char"/>
    <w:basedOn w:val="1"/>
    <w:qFormat/>
    <w:uiPriority w:val="0"/>
    <w:pPr>
      <w:spacing w:line="360" w:lineRule="auto"/>
      <w:ind w:firstLine="200" w:firstLineChars="200"/>
    </w:pPr>
    <w:rPr>
      <w:rFonts w:ascii="ˎ̥" w:hAnsi="ˎ̥" w:cs="宋体"/>
      <w:color w:val="51585D"/>
      <w:kern w:val="0"/>
      <w:szCs w:val="18"/>
    </w:rPr>
  </w:style>
  <w:style w:type="paragraph" w:customStyle="1" w:styleId="232">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233">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34">
    <w:name w:val="方案正文样式"/>
    <w:basedOn w:val="1"/>
    <w:qFormat/>
    <w:uiPriority w:val="0"/>
    <w:pPr>
      <w:adjustRightInd w:val="0"/>
      <w:snapToGrid w:val="0"/>
      <w:spacing w:line="360" w:lineRule="auto"/>
      <w:ind w:firstLine="200" w:firstLineChars="200"/>
      <w:textAlignment w:val="baseline"/>
    </w:pPr>
    <w:rPr>
      <w:snapToGrid w:val="0"/>
      <w:kern w:val="0"/>
      <w:sz w:val="24"/>
    </w:rPr>
  </w:style>
  <w:style w:type="paragraph" w:customStyle="1" w:styleId="235">
    <w:name w:val="表格题目"/>
    <w:basedOn w:val="1"/>
    <w:next w:val="1"/>
    <w:qFormat/>
    <w:uiPriority w:val="0"/>
    <w:pPr>
      <w:adjustRightInd w:val="0"/>
      <w:spacing w:before="156" w:beforeLines="50" w:line="360" w:lineRule="auto"/>
      <w:jc w:val="center"/>
      <w:textAlignment w:val="baseline"/>
    </w:pPr>
    <w:rPr>
      <w:bCs/>
      <w:sz w:val="24"/>
    </w:rPr>
  </w:style>
  <w:style w:type="paragraph" w:customStyle="1" w:styleId="236">
    <w:name w:val="Char Char Char Char1"/>
    <w:basedOn w:val="1"/>
    <w:qFormat/>
    <w:uiPriority w:val="0"/>
  </w:style>
  <w:style w:type="paragraph" w:customStyle="1" w:styleId="237">
    <w:name w:val="Char Char Char1 Char Char Char Char"/>
    <w:basedOn w:val="1"/>
    <w:qFormat/>
    <w:uiPriority w:val="0"/>
    <w:pPr>
      <w:spacing w:line="360" w:lineRule="auto"/>
      <w:ind w:firstLine="200" w:firstLineChars="200"/>
    </w:pPr>
    <w:rPr>
      <w:rFonts w:ascii="宋体" w:hAnsi="宋体" w:cs="宋体"/>
      <w:sz w:val="24"/>
      <w:szCs w:val="28"/>
    </w:rPr>
  </w:style>
  <w:style w:type="paragraph" w:customStyle="1" w:styleId="238">
    <w:name w:val="Char Char Char"/>
    <w:basedOn w:val="1"/>
    <w:qFormat/>
    <w:uiPriority w:val="0"/>
    <w:pPr>
      <w:spacing w:line="360" w:lineRule="auto"/>
      <w:ind w:firstLine="200" w:firstLineChars="200"/>
    </w:pPr>
    <w:rPr>
      <w:rFonts w:ascii="宋体" w:hAnsi="宋体"/>
      <w:sz w:val="24"/>
      <w:szCs w:val="20"/>
    </w:rPr>
  </w:style>
  <w:style w:type="paragraph" w:customStyle="1" w:styleId="239">
    <w:name w:val="默认段落字体 Para Char Char Char Char Char Char Char"/>
    <w:basedOn w:val="1"/>
    <w:qFormat/>
    <w:uiPriority w:val="0"/>
    <w:rPr>
      <w:rFonts w:ascii="Tahoma" w:hAnsi="Tahoma"/>
      <w:sz w:val="24"/>
      <w:szCs w:val="20"/>
    </w:rPr>
  </w:style>
  <w:style w:type="paragraph" w:customStyle="1" w:styleId="240">
    <w:name w:val="样式3"/>
    <w:basedOn w:val="22"/>
    <w:qFormat/>
    <w:uiPriority w:val="0"/>
    <w:pPr>
      <w:spacing w:before="312" w:beforeLines="100" w:after="312" w:afterLines="100" w:line="400" w:lineRule="exact"/>
      <w:ind w:left="0" w:leftChars="0"/>
    </w:pPr>
    <w:rPr>
      <w:rFonts w:ascii="楷体_GB2312" w:hAnsi="宋体" w:eastAsia="楷体_GB2312"/>
      <w:sz w:val="24"/>
    </w:rPr>
  </w:style>
  <w:style w:type="paragraph" w:customStyle="1" w:styleId="241">
    <w:name w:val="Char1 Char Char Char"/>
    <w:basedOn w:val="1"/>
    <w:qFormat/>
    <w:uiPriority w:val="0"/>
    <w:rPr>
      <w:szCs w:val="20"/>
    </w:rPr>
  </w:style>
  <w:style w:type="paragraph" w:customStyle="1" w:styleId="242">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正文文字2"/>
    <w:basedOn w:val="1"/>
    <w:qFormat/>
    <w:uiPriority w:val="0"/>
    <w:pPr>
      <w:adjustRightInd w:val="0"/>
      <w:snapToGrid w:val="0"/>
      <w:spacing w:line="360" w:lineRule="auto"/>
      <w:ind w:firstLine="480" w:firstLineChars="200"/>
    </w:pPr>
    <w:rPr>
      <w:color w:val="000000"/>
      <w:kern w:val="0"/>
      <w:sz w:val="24"/>
      <w:szCs w:val="20"/>
    </w:rPr>
  </w:style>
  <w:style w:type="paragraph" w:customStyle="1" w:styleId="244">
    <w:name w:val="样式5"/>
    <w:basedOn w:val="1"/>
    <w:qFormat/>
    <w:uiPriority w:val="0"/>
    <w:pPr>
      <w:spacing w:before="156" w:beforeLines="50"/>
    </w:pPr>
    <w:rPr>
      <w:rFonts w:ascii="宋体" w:hAnsi="宋体" w:eastAsia="黑体"/>
      <w:sz w:val="24"/>
    </w:rPr>
  </w:style>
  <w:style w:type="paragraph" w:customStyle="1" w:styleId="245">
    <w:name w:val="1.1.1"/>
    <w:basedOn w:val="1"/>
    <w:qFormat/>
    <w:uiPriority w:val="0"/>
    <w:pPr>
      <w:spacing w:before="240" w:after="240" w:line="400" w:lineRule="exact"/>
      <w:outlineLvl w:val="2"/>
    </w:pPr>
    <w:rPr>
      <w:rFonts w:eastAsia="黑体"/>
      <w:kern w:val="0"/>
      <w:sz w:val="28"/>
      <w:szCs w:val="28"/>
    </w:rPr>
  </w:style>
  <w:style w:type="paragraph" w:customStyle="1" w:styleId="246">
    <w:name w:val="正文（标准）"/>
    <w:basedOn w:val="1"/>
    <w:next w:val="1"/>
    <w:semiHidden/>
    <w:qFormat/>
    <w:uiPriority w:val="0"/>
    <w:pPr>
      <w:ind w:firstLine="525"/>
    </w:pPr>
    <w:rPr>
      <w:rFonts w:ascii="宋体" w:hAnsi="宋体"/>
    </w:rPr>
  </w:style>
  <w:style w:type="paragraph" w:customStyle="1" w:styleId="247">
    <w:name w:val="三号开篇"/>
    <w:basedOn w:val="1"/>
    <w:qFormat/>
    <w:uiPriority w:val="0"/>
    <w:pPr>
      <w:spacing w:line="480" w:lineRule="auto"/>
      <w:ind w:firstLine="200" w:firstLineChars="200"/>
    </w:pPr>
    <w:rPr>
      <w:sz w:val="32"/>
    </w:rPr>
  </w:style>
  <w:style w:type="paragraph" w:customStyle="1" w:styleId="24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49">
    <w:name w:val="WPSOffice手动目录 1"/>
    <w:qFormat/>
    <w:uiPriority w:val="0"/>
    <w:rPr>
      <w:rFonts w:ascii="Times New Roman" w:hAnsi="Times New Roman" w:eastAsia="宋体" w:cs="Times New Roman"/>
      <w:lang w:val="en-US" w:eastAsia="zh-CN" w:bidi="ar-SA"/>
    </w:rPr>
  </w:style>
  <w:style w:type="paragraph" w:customStyle="1" w:styleId="250">
    <w:name w:val="目录标题"/>
    <w:basedOn w:val="1"/>
    <w:next w:val="1"/>
    <w:qFormat/>
    <w:uiPriority w:val="0"/>
    <w:pPr>
      <w:spacing w:before="120" w:line="360" w:lineRule="auto"/>
      <w:jc w:val="left"/>
      <w:outlineLvl w:val="0"/>
    </w:pPr>
    <w:rPr>
      <w:rFonts w:ascii="Arial" w:hAnsi="Arial" w:eastAsia="黑体" w:cs="Arial"/>
      <w:b/>
      <w:bCs/>
      <w:sz w:val="28"/>
      <w:szCs w:val="32"/>
    </w:rPr>
  </w:style>
  <w:style w:type="paragraph" w:customStyle="1" w:styleId="251">
    <w:name w:val="CM58"/>
    <w:basedOn w:val="165"/>
    <w:next w:val="165"/>
    <w:qFormat/>
    <w:uiPriority w:val="0"/>
    <w:pPr>
      <w:spacing w:line="626" w:lineRule="atLeast"/>
    </w:pPr>
    <w:rPr>
      <w:rFonts w:cs="Times New Roman"/>
      <w:color w:val="auto"/>
    </w:rPr>
  </w:style>
  <w:style w:type="paragraph" w:customStyle="1" w:styleId="252">
    <w:name w:val="样式 样式2 + 段前: 1 行 段后: 1 行"/>
    <w:basedOn w:val="253"/>
    <w:qFormat/>
    <w:uiPriority w:val="0"/>
    <w:pPr>
      <w:keepNext/>
      <w:keepLines/>
      <w:tabs>
        <w:tab w:val="left" w:pos="900"/>
      </w:tabs>
    </w:pPr>
    <w:rPr>
      <w:rFonts w:cs="宋体"/>
      <w:szCs w:val="20"/>
    </w:rPr>
  </w:style>
  <w:style w:type="paragraph" w:customStyle="1" w:styleId="253">
    <w:name w:val="样式2"/>
    <w:basedOn w:val="217"/>
    <w:qFormat/>
    <w:uiPriority w:val="0"/>
    <w:pPr>
      <w:numPr>
        <w:numId w:val="0"/>
      </w:numPr>
      <w:outlineLvl w:val="1"/>
    </w:pPr>
    <w:rPr>
      <w:bCs/>
      <w:kern w:val="0"/>
      <w:sz w:val="28"/>
      <w:szCs w:val="28"/>
    </w:rPr>
  </w:style>
  <w:style w:type="paragraph" w:customStyle="1" w:styleId="254">
    <w:name w:val="Char1 Char Char Char Char Char Char Char Char Char Char Char Char"/>
    <w:basedOn w:val="1"/>
    <w:qFormat/>
    <w:uiPriority w:val="0"/>
  </w:style>
  <w:style w:type="paragraph" w:customStyle="1" w:styleId="255">
    <w:name w:val="aa正文"/>
    <w:basedOn w:val="1"/>
    <w:qFormat/>
    <w:uiPriority w:val="0"/>
    <w:pPr>
      <w:topLinePunct/>
      <w:spacing w:line="500" w:lineRule="exact"/>
      <w:ind w:firstLine="200" w:firstLineChars="200"/>
      <w:textAlignment w:val="baseline"/>
    </w:pPr>
    <w:rPr>
      <w:bCs/>
      <w:snapToGrid w:val="0"/>
      <w:color w:val="000000"/>
      <w:kern w:val="0"/>
      <w:sz w:val="24"/>
    </w:rPr>
  </w:style>
  <w:style w:type="paragraph" w:customStyle="1" w:styleId="256">
    <w:name w:val="表格1"/>
    <w:basedOn w:val="1"/>
    <w:qFormat/>
    <w:uiPriority w:val="0"/>
    <w:pPr>
      <w:adjustRightInd w:val="0"/>
      <w:spacing w:before="160" w:line="400" w:lineRule="exact"/>
      <w:textAlignment w:val="baseline"/>
    </w:pPr>
    <w:rPr>
      <w:rFonts w:ascii="仿宋_GB2312"/>
      <w:spacing w:val="20"/>
      <w:kern w:val="0"/>
      <w:sz w:val="24"/>
      <w:szCs w:val="20"/>
    </w:rPr>
  </w:style>
  <w:style w:type="paragraph" w:customStyle="1" w:styleId="257">
    <w:name w:val="正文一"/>
    <w:basedOn w:val="1"/>
    <w:qFormat/>
    <w:uiPriority w:val="0"/>
    <w:pPr>
      <w:adjustRightInd w:val="0"/>
      <w:spacing w:line="480" w:lineRule="atLeast"/>
      <w:ind w:firstLine="200" w:firstLineChars="200"/>
      <w:jc w:val="left"/>
    </w:pPr>
    <w:rPr>
      <w:rFonts w:ascii="宋体"/>
      <w:color w:val="000000"/>
      <w:kern w:val="0"/>
      <w:sz w:val="28"/>
      <w:szCs w:val="28"/>
    </w:rPr>
  </w:style>
  <w:style w:type="paragraph" w:customStyle="1" w:styleId="258">
    <w:name w:val="xl24"/>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24"/>
      <w:szCs w:val="20"/>
    </w:rPr>
  </w:style>
  <w:style w:type="paragraph" w:customStyle="1" w:styleId="259">
    <w:name w:val="CM59"/>
    <w:basedOn w:val="165"/>
    <w:next w:val="165"/>
    <w:qFormat/>
    <w:uiPriority w:val="0"/>
    <w:pPr>
      <w:spacing w:line="626" w:lineRule="atLeast"/>
    </w:pPr>
    <w:rPr>
      <w:rFonts w:cs="Times New Roman"/>
      <w:color w:val="auto"/>
    </w:rPr>
  </w:style>
  <w:style w:type="paragraph" w:customStyle="1" w:styleId="260">
    <w:name w:val="Char1"/>
    <w:basedOn w:val="1"/>
    <w:qFormat/>
    <w:uiPriority w:val="0"/>
    <w:pPr>
      <w:spacing w:line="360" w:lineRule="auto"/>
      <w:ind w:firstLine="200" w:firstLineChars="200"/>
    </w:pPr>
    <w:rPr>
      <w:rFonts w:ascii="宋体" w:hAnsi="宋体" w:cs="宋体"/>
      <w:sz w:val="24"/>
    </w:rPr>
  </w:style>
  <w:style w:type="paragraph" w:customStyle="1" w:styleId="261">
    <w:name w:val="Char"/>
    <w:basedOn w:val="1"/>
    <w:qFormat/>
    <w:uiPriority w:val="0"/>
    <w:pPr>
      <w:spacing w:line="360" w:lineRule="auto"/>
      <w:ind w:firstLine="200" w:firstLineChars="200"/>
    </w:pPr>
    <w:rPr>
      <w:rFonts w:ascii="宋体" w:hAnsi="宋体" w:cs="宋体"/>
      <w:sz w:val="24"/>
    </w:rPr>
  </w:style>
  <w:style w:type="paragraph" w:customStyle="1" w:styleId="262">
    <w:name w:val="表格正文"/>
    <w:basedOn w:val="6"/>
    <w:qFormat/>
    <w:uiPriority w:val="0"/>
    <w:pPr>
      <w:keepNext w:val="0"/>
      <w:keepLines w:val="0"/>
      <w:adjustRightInd w:val="0"/>
      <w:spacing w:before="0" w:after="0" w:line="240" w:lineRule="auto"/>
      <w:jc w:val="center"/>
      <w:textAlignment w:val="baseline"/>
    </w:pPr>
    <w:rPr>
      <w:b w:val="0"/>
      <w:bCs w:val="0"/>
      <w:kern w:val="0"/>
      <w:sz w:val="24"/>
      <w:szCs w:val="20"/>
    </w:rPr>
  </w:style>
  <w:style w:type="paragraph" w:customStyle="1" w:styleId="263">
    <w:name w:val="KD表格文字"/>
    <w:qFormat/>
    <w:uiPriority w:val="0"/>
    <w:pPr>
      <w:spacing w:before="40" w:after="40"/>
      <w:jc w:val="center"/>
    </w:pPr>
    <w:rPr>
      <w:rFonts w:ascii="Times New Roman" w:hAnsi="Times New Roman" w:eastAsia="宋体" w:cs="Times New Roman"/>
      <w:kern w:val="2"/>
      <w:sz w:val="21"/>
      <w:szCs w:val="22"/>
      <w:lang w:val="en-US" w:eastAsia="zh-CN" w:bidi="ar-SA"/>
    </w:rPr>
  </w:style>
  <w:style w:type="paragraph" w:customStyle="1" w:styleId="264">
    <w:name w:val="Char Char Char1 Char"/>
    <w:basedOn w:val="1"/>
    <w:qFormat/>
    <w:uiPriority w:val="0"/>
    <w:pPr>
      <w:pageBreakBefore/>
      <w:tabs>
        <w:tab w:val="left" w:pos="432"/>
      </w:tabs>
      <w:ind w:left="432" w:hanging="432"/>
    </w:pPr>
    <w:rPr>
      <w:rFonts w:ascii="Tahoma" w:hAnsi="Tahoma"/>
      <w:sz w:val="24"/>
      <w:szCs w:val="20"/>
    </w:rPr>
  </w:style>
  <w:style w:type="paragraph" w:customStyle="1" w:styleId="265">
    <w:name w:val="样式26"/>
    <w:basedOn w:val="1"/>
    <w:qFormat/>
    <w:uiPriority w:val="0"/>
    <w:pPr>
      <w:spacing w:line="360" w:lineRule="auto"/>
      <w:ind w:firstLine="200" w:firstLineChars="200"/>
    </w:pPr>
    <w:rPr>
      <w:color w:val="FF0000"/>
      <w:sz w:val="24"/>
      <w:szCs w:val="24"/>
    </w:rPr>
  </w:style>
  <w:style w:type="paragraph" w:customStyle="1" w:styleId="266">
    <w:name w:val="Char3"/>
    <w:basedOn w:val="1"/>
    <w:qFormat/>
    <w:uiPriority w:val="0"/>
    <w:rPr>
      <w:szCs w:val="20"/>
    </w:rPr>
  </w:style>
  <w:style w:type="paragraph" w:styleId="267">
    <w:name w:val="List Paragraph"/>
    <w:basedOn w:val="1"/>
    <w:qFormat/>
    <w:uiPriority w:val="34"/>
    <w:pPr>
      <w:autoSpaceDE w:val="0"/>
      <w:autoSpaceDN w:val="0"/>
      <w:adjustRightInd w:val="0"/>
      <w:ind w:left="1521" w:hanging="601"/>
      <w:jc w:val="left"/>
    </w:pPr>
    <w:rPr>
      <w:rFonts w:ascii="宋体" w:cs="宋体"/>
      <w:kern w:val="0"/>
      <w:sz w:val="24"/>
    </w:rPr>
  </w:style>
  <w:style w:type="paragraph" w:customStyle="1" w:styleId="26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69">
    <w:name w:val="CM116"/>
    <w:basedOn w:val="165"/>
    <w:next w:val="165"/>
    <w:qFormat/>
    <w:uiPriority w:val="0"/>
    <w:pPr>
      <w:spacing w:after="223"/>
    </w:pPr>
    <w:rPr>
      <w:rFonts w:cs="Times New Roman"/>
      <w:color w:val="auto"/>
    </w:rPr>
  </w:style>
  <w:style w:type="paragraph" w:customStyle="1" w:styleId="270">
    <w:name w:val="正文txl"/>
    <w:basedOn w:val="1"/>
    <w:qFormat/>
    <w:uiPriority w:val="0"/>
    <w:pPr>
      <w:adjustRightInd w:val="0"/>
      <w:snapToGrid w:val="0"/>
      <w:spacing w:line="360" w:lineRule="auto"/>
      <w:ind w:firstLine="200" w:firstLineChars="200"/>
    </w:pPr>
    <w:rPr>
      <w:sz w:val="24"/>
    </w:rPr>
  </w:style>
  <w:style w:type="paragraph" w:customStyle="1" w:styleId="271">
    <w:name w:val="CM15"/>
    <w:basedOn w:val="165"/>
    <w:next w:val="165"/>
    <w:qFormat/>
    <w:uiPriority w:val="0"/>
    <w:pPr>
      <w:spacing w:line="546" w:lineRule="atLeast"/>
    </w:pPr>
    <w:rPr>
      <w:rFonts w:cs="Times New Roman"/>
      <w:color w:val="auto"/>
    </w:rPr>
  </w:style>
  <w:style w:type="paragraph" w:customStyle="1" w:styleId="272">
    <w:name w:val="报告正文"/>
    <w:basedOn w:val="16"/>
    <w:qFormat/>
    <w:uiPriority w:val="0"/>
    <w:pPr>
      <w:spacing w:before="60" w:line="360" w:lineRule="auto"/>
      <w:ind w:firstLine="200"/>
    </w:pPr>
    <w:rPr>
      <w:color w:val="000000"/>
      <w:sz w:val="24"/>
    </w:rPr>
  </w:style>
  <w:style w:type="paragraph" w:customStyle="1" w:styleId="273">
    <w:name w:val="报告书的正文格式"/>
    <w:basedOn w:val="43"/>
    <w:qFormat/>
    <w:uiPriority w:val="0"/>
    <w:pPr>
      <w:spacing w:before="240" w:after="0" w:line="480" w:lineRule="exact"/>
      <w:ind w:firstLine="200" w:firstLineChars="200"/>
      <w:jc w:val="center"/>
      <w:outlineLvl w:val="0"/>
    </w:pPr>
    <w:rPr>
      <w:rFonts w:ascii="Arial" w:hAnsi="Arial" w:cs="Arial"/>
      <w:b/>
      <w:bCs/>
      <w:kern w:val="0"/>
      <w:sz w:val="24"/>
      <w:szCs w:val="32"/>
    </w:rPr>
  </w:style>
  <w:style w:type="paragraph" w:customStyle="1" w:styleId="274">
    <w:name w:val="1"/>
    <w:basedOn w:val="1"/>
    <w:next w:val="22"/>
    <w:qFormat/>
    <w:uiPriority w:val="0"/>
    <w:pPr>
      <w:spacing w:line="360" w:lineRule="auto"/>
      <w:ind w:firstLine="480"/>
    </w:pPr>
    <w:rPr>
      <w:rFonts w:ascii="宋体"/>
      <w:sz w:val="24"/>
      <w:szCs w:val="20"/>
    </w:rPr>
  </w:style>
  <w:style w:type="paragraph" w:customStyle="1" w:styleId="275">
    <w:name w:val="1_"/>
    <w:basedOn w:val="4"/>
    <w:qFormat/>
    <w:uiPriority w:val="0"/>
    <w:pPr>
      <w:keepLines/>
      <w:overflowPunct/>
      <w:snapToGrid/>
      <w:spacing w:before="600" w:after="600" w:line="400" w:lineRule="atLeast"/>
      <w:ind w:left="0" w:firstLine="0"/>
      <w:jc w:val="center"/>
    </w:pPr>
    <w:rPr>
      <w:color w:val="auto"/>
    </w:rPr>
  </w:style>
  <w:style w:type="paragraph" w:customStyle="1" w:styleId="276">
    <w:name w:val="TOC Heading"/>
    <w:basedOn w:val="4"/>
    <w:next w:val="1"/>
    <w:qFormat/>
    <w:uiPriority w:val="39"/>
    <w:pPr>
      <w:keepLines/>
      <w:widowControl/>
      <w:overflowPunct/>
      <w:snapToGrid/>
      <w:spacing w:before="240" w:after="0"/>
      <w:ind w:left="0" w:firstLine="0"/>
      <w:jc w:val="left"/>
      <w:outlineLvl w:val="9"/>
    </w:pPr>
    <w:rPr>
      <w:rFonts w:ascii="等线 Light" w:hAnsi="等线 Light" w:eastAsia="等线 Light"/>
      <w:b w:val="0"/>
      <w:bCs w:val="0"/>
      <w:color w:val="2E74B5"/>
      <w:kern w:val="0"/>
      <w:sz w:val="32"/>
      <w:szCs w:val="32"/>
    </w:rPr>
  </w:style>
  <w:style w:type="paragraph" w:customStyle="1" w:styleId="277">
    <w:name w:val="SB·正文"/>
    <w:basedOn w:val="1"/>
    <w:qFormat/>
    <w:uiPriority w:val="0"/>
    <w:pPr>
      <w:spacing w:line="360" w:lineRule="auto"/>
      <w:ind w:firstLine="480" w:firstLineChars="200"/>
    </w:pPr>
    <w:rPr>
      <w:rFonts w:eastAsia="仿宋_GB2312"/>
      <w:kern w:val="0"/>
      <w:sz w:val="24"/>
      <w:szCs w:val="20"/>
    </w:rPr>
  </w:style>
  <w:style w:type="paragraph" w:customStyle="1" w:styleId="278">
    <w:name w:val="Char Char3"/>
    <w:basedOn w:val="1"/>
    <w:qFormat/>
    <w:uiPriority w:val="0"/>
    <w:rPr>
      <w:sz w:val="24"/>
    </w:rPr>
  </w:style>
  <w:style w:type="table" w:customStyle="1" w:styleId="279">
    <w:name w:val="Table Normal"/>
    <w:unhideWhenUsed/>
    <w:qFormat/>
    <w:uiPriority w:val="0"/>
    <w:pPr>
      <w:widowControl w:val="0"/>
      <w:autoSpaceDE w:val="0"/>
      <w:autoSpaceDN w:val="0"/>
    </w:pPr>
    <w:rPr>
      <w:sz w:val="22"/>
      <w:lang w:eastAsia="en-US"/>
    </w:rPr>
    <w:tblPr>
      <w:tblCellMar>
        <w:top w:w="0" w:type="dxa"/>
        <w:left w:w="0" w:type="dxa"/>
        <w:bottom w:w="0" w:type="dxa"/>
        <w:right w:w="0" w:type="dxa"/>
      </w:tblCellMar>
    </w:tblPr>
  </w:style>
  <w:style w:type="table" w:customStyle="1" w:styleId="280">
    <w:name w:val="ld-表格主题11"/>
    <w:basedOn w:val="45"/>
    <w:qFormat/>
    <w:uiPriority w:val="0"/>
    <w:pPr>
      <w:widowControl w:val="0"/>
      <w:adjustRightInd w:val="0"/>
      <w:snapToGrid w:val="0"/>
      <w:spacing w:line="360" w:lineRule="auto"/>
      <w:ind w:firstLine="200" w:firstLineChars="200"/>
      <w:jc w:val="center"/>
    </w:pPr>
    <w:rPr>
      <w:szCs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table" w:customStyle="1" w:styleId="281">
    <w:name w:val="TableGrid"/>
    <w:qFormat/>
    <w:uiPriority w:val="0"/>
    <w:tblPr>
      <w:tblCellMar>
        <w:top w:w="0" w:type="dxa"/>
        <w:left w:w="0" w:type="dxa"/>
        <w:bottom w:w="0" w:type="dxa"/>
        <w:right w:w="0" w:type="dxa"/>
      </w:tblCellMar>
    </w:tblPr>
  </w:style>
  <w:style w:type="paragraph" w:customStyle="1" w:styleId="282">
    <w:name w:val="样式 小四 行距: 1.5 倍行距"/>
    <w:basedOn w:val="1"/>
    <w:qFormat/>
    <w:uiPriority w:val="0"/>
    <w:pPr>
      <w:ind w:firstLine="480" w:firstLineChars="200"/>
    </w:pPr>
    <w:rPr>
      <w:rFonts w:cs="宋体"/>
      <w:szCs w:val="24"/>
    </w:rPr>
  </w:style>
  <w:style w:type="paragraph" w:customStyle="1" w:styleId="283">
    <w:name w:val="Table Text"/>
    <w:basedOn w:val="1"/>
    <w:autoRedefine/>
    <w:semiHidden/>
    <w:qFormat/>
    <w:uiPriority w:val="0"/>
    <w:rPr>
      <w:rFonts w:ascii="宋体" w:hAnsi="宋体" w:cs="宋体"/>
      <w:sz w:val="24"/>
      <w:szCs w:val="24"/>
      <w:lang w:eastAsia="en-US"/>
    </w:rPr>
  </w:style>
  <w:style w:type="paragraph" w:customStyle="1" w:styleId="284">
    <w:name w:val="样式 样式1 + Times New Roman"/>
    <w:basedOn w:val="1"/>
    <w:qFormat/>
    <w:uiPriority w:val="0"/>
    <w:pPr>
      <w:tabs>
        <w:tab w:val="right" w:pos="180"/>
        <w:tab w:val="right" w:pos="540"/>
        <w:tab w:val="left" w:pos="2160"/>
      </w:tabs>
      <w:ind w:firstLine="480"/>
    </w:pPr>
    <w:rPr>
      <w:szCs w:val="32"/>
    </w:rPr>
  </w:style>
  <w:style w:type="paragraph" w:customStyle="1" w:styleId="285">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6">
    <w:name w:val="font5"/>
    <w:basedOn w:val="1"/>
    <w:qFormat/>
    <w:uiPriority w:val="0"/>
    <w:pPr>
      <w:widowControl/>
      <w:spacing w:before="100" w:beforeAutospacing="1" w:after="100" w:afterAutospacing="1"/>
      <w:jc w:val="left"/>
    </w:pPr>
    <w:rPr>
      <w:color w:val="000000"/>
      <w:kern w:val="0"/>
    </w:rPr>
  </w:style>
  <w:style w:type="paragraph" w:customStyle="1" w:styleId="287">
    <w:name w:val="font6"/>
    <w:basedOn w:val="1"/>
    <w:qFormat/>
    <w:uiPriority w:val="0"/>
    <w:pPr>
      <w:widowControl/>
      <w:spacing w:before="100" w:beforeAutospacing="1" w:after="100" w:afterAutospacing="1"/>
      <w:jc w:val="left"/>
    </w:pPr>
    <w:rPr>
      <w:rFonts w:ascii="宋体" w:hAnsi="宋体" w:cs="宋体"/>
      <w:color w:val="000000"/>
      <w:kern w:val="0"/>
    </w:rPr>
  </w:style>
  <w:style w:type="paragraph" w:customStyle="1" w:styleId="28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9">
    <w:name w:val="font8"/>
    <w:basedOn w:val="1"/>
    <w:qFormat/>
    <w:uiPriority w:val="0"/>
    <w:pPr>
      <w:widowControl/>
      <w:spacing w:before="100" w:beforeAutospacing="1" w:after="100" w:afterAutospacing="1"/>
      <w:jc w:val="left"/>
    </w:pPr>
    <w:rPr>
      <w:color w:val="000000"/>
      <w:kern w:val="0"/>
      <w:sz w:val="22"/>
      <w:szCs w:val="22"/>
    </w:rPr>
  </w:style>
  <w:style w:type="paragraph" w:customStyle="1" w:styleId="290">
    <w:name w:val="font9"/>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91">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rPr>
  </w:style>
  <w:style w:type="paragraph" w:customStyle="1" w:styleId="292">
    <w:name w:val="xl6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293">
    <w:name w:val="xl6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kern w:val="0"/>
      <w:sz w:val="24"/>
      <w:szCs w:val="24"/>
    </w:rPr>
  </w:style>
  <w:style w:type="paragraph" w:customStyle="1" w:styleId="294">
    <w:name w:val="xl6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kern w:val="0"/>
    </w:rPr>
  </w:style>
  <w:style w:type="paragraph" w:customStyle="1" w:styleId="295">
    <w:name w:val="xl6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rPr>
  </w:style>
  <w:style w:type="paragraph" w:customStyle="1" w:styleId="296">
    <w:name w:val="xl7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kern w:val="0"/>
      <w:sz w:val="24"/>
      <w:szCs w:val="24"/>
    </w:rPr>
  </w:style>
  <w:style w:type="paragraph" w:customStyle="1" w:styleId="297">
    <w:name w:val="xl71"/>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kern w:val="0"/>
      <w:sz w:val="24"/>
      <w:szCs w:val="24"/>
    </w:rPr>
  </w:style>
  <w:style w:type="paragraph" w:customStyle="1" w:styleId="298">
    <w:name w:val="xl72"/>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b/>
      <w:bCs/>
      <w:kern w:val="0"/>
      <w:sz w:val="24"/>
      <w:szCs w:val="24"/>
    </w:rPr>
  </w:style>
  <w:style w:type="paragraph" w:customStyle="1" w:styleId="299">
    <w:name w:val="xl73"/>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kern w:val="0"/>
    </w:rPr>
  </w:style>
  <w:style w:type="paragraph" w:customStyle="1" w:styleId="300">
    <w:name w:val="xl74"/>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rPr>
  </w:style>
  <w:style w:type="character" w:styleId="301">
    <w:name w:val="Placeholder Text"/>
    <w:basedOn w:val="49"/>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9" Type="http://schemas.openxmlformats.org/officeDocument/2006/relationships/fontTable" Target="fontTable.xml"/><Relationship Id="rId58" Type="http://schemas.openxmlformats.org/officeDocument/2006/relationships/customXml" Target="../customXml/item2.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39.png"/><Relationship Id="rId54" Type="http://schemas.openxmlformats.org/officeDocument/2006/relationships/image" Target="media/image38.png"/><Relationship Id="rId53" Type="http://schemas.openxmlformats.org/officeDocument/2006/relationships/image" Target="media/image37.png"/><Relationship Id="rId52" Type="http://schemas.openxmlformats.org/officeDocument/2006/relationships/image" Target="media/image36.wmf"/><Relationship Id="rId51" Type="http://schemas.openxmlformats.org/officeDocument/2006/relationships/image" Target="media/image35.wmf"/><Relationship Id="rId50" Type="http://schemas.openxmlformats.org/officeDocument/2006/relationships/image" Target="media/image34.wmf"/><Relationship Id="rId5" Type="http://schemas.openxmlformats.org/officeDocument/2006/relationships/footer" Target="footer2.xml"/><Relationship Id="rId49" Type="http://schemas.openxmlformats.org/officeDocument/2006/relationships/image" Target="media/image33.wmf"/><Relationship Id="rId48" Type="http://schemas.openxmlformats.org/officeDocument/2006/relationships/image" Target="media/image32.wmf"/><Relationship Id="rId47" Type="http://schemas.openxmlformats.org/officeDocument/2006/relationships/image" Target="media/image31.wmf"/><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media/image28.jpeg"/><Relationship Id="rId43" Type="http://schemas.openxmlformats.org/officeDocument/2006/relationships/image" Target="media/image27.png"/><Relationship Id="rId42" Type="http://schemas.openxmlformats.org/officeDocument/2006/relationships/image" Target="media/image26.png"/><Relationship Id="rId41" Type="http://schemas.openxmlformats.org/officeDocument/2006/relationships/image" Target="media/image25.wmf"/><Relationship Id="rId40" Type="http://schemas.openxmlformats.org/officeDocument/2006/relationships/oleObject" Target="embeddings/oleObject2.bin"/><Relationship Id="rId4" Type="http://schemas.openxmlformats.org/officeDocument/2006/relationships/footer" Target="footer1.xml"/><Relationship Id="rId39" Type="http://schemas.openxmlformats.org/officeDocument/2006/relationships/image" Target="media/image24.wmf"/><Relationship Id="rId38" Type="http://schemas.openxmlformats.org/officeDocument/2006/relationships/oleObject" Target="embeddings/oleObject1.bin"/><Relationship Id="rId37" Type="http://schemas.openxmlformats.org/officeDocument/2006/relationships/image" Target="media/image23.wmf"/><Relationship Id="rId36" Type="http://schemas.openxmlformats.org/officeDocument/2006/relationships/package" Target="embeddings/Microsoft_Visio___1.vsdx"/><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pn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34D749-FA76-4111-86CA-0715C2D2286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125</Pages>
  <Words>3262</Words>
  <Characters>3616</Characters>
  <Lines>621</Lines>
  <Paragraphs>175</Paragraphs>
  <TotalTime>8</TotalTime>
  <ScaleCrop>false</ScaleCrop>
  <LinksUpToDate>false</LinksUpToDate>
  <CharactersWithSpaces>3689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2026-07-10T05:49:00Z</dcterms:created>
  <dc:creator>lhj</dc:creator>
  <cp:lastModifiedBy>郭丽娜</cp:lastModifiedBy>
  <cp:lastPrinted>2021-11-28T07:41:00Z</cp:lastPrinted>
  <dcterms:modified xsi:type="dcterms:W3CDTF">2026-07-13T09:20:18Z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8C0E66CD87BA4968B9599F15052FED3C_13</vt:lpwstr>
  </property>
  <property fmtid="{D5CDD505-2E9C-101B-9397-08002B2CF9AE}" pid="4" name="KSOTemplateDocerSaveRecord">
    <vt:lpwstr>eyJoZGlkIjoiYTA0OTFiNTllN2E3YTc2MDc5ZTIwYTg0ZjFlZjFlMWQiLCJ1c2VySWQiOiIzNzMyMDUyODEifQ==</vt:lpwstr>
  </property>
</Properties>
</file>