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3"/>
        <w:tblW w:w="5773" w:type="pct"/>
        <w:tblInd w:w="-186" w:type="dxa"/>
        <w:tblLayout w:type="fixed"/>
        <w:tblCellMar>
          <w:top w:w="0" w:type="dxa"/>
          <w:left w:w="108" w:type="dxa"/>
          <w:bottom w:w="0" w:type="dxa"/>
          <w:right w:w="108" w:type="dxa"/>
        </w:tblCellMar>
      </w:tblPr>
      <w:tblGrid>
        <w:gridCol w:w="1698"/>
        <w:gridCol w:w="1950"/>
        <w:gridCol w:w="1272"/>
        <w:gridCol w:w="1755"/>
        <w:gridCol w:w="1470"/>
        <w:gridCol w:w="1695"/>
      </w:tblGrid>
      <w:tr w14:paraId="61CF76B1">
        <w:tblPrEx>
          <w:tblCellMar>
            <w:top w:w="0" w:type="dxa"/>
            <w:left w:w="108" w:type="dxa"/>
            <w:bottom w:w="0" w:type="dxa"/>
            <w:right w:w="108" w:type="dxa"/>
          </w:tblCellMar>
        </w:tblPrEx>
        <w:trPr>
          <w:trHeight w:val="571" w:hRule="atLeast"/>
        </w:trPr>
        <w:tc>
          <w:tcPr>
            <w:tcW w:w="862" w:type="pct"/>
            <w:tcBorders>
              <w:top w:val="single" w:color="auto" w:sz="4" w:space="0"/>
              <w:left w:val="single" w:color="auto" w:sz="4" w:space="0"/>
              <w:bottom w:val="single" w:color="auto" w:sz="4" w:space="0"/>
              <w:right w:val="single" w:color="auto" w:sz="4" w:space="0"/>
            </w:tcBorders>
            <w:shd w:val="clear" w:color="auto" w:fill="C0C0C0"/>
            <w:vAlign w:val="center"/>
          </w:tcPr>
          <w:p w14:paraId="4FDAA063">
            <w:pPr>
              <w:widowControl/>
              <w:spacing w:line="280" w:lineRule="exact"/>
              <w:jc w:val="left"/>
              <w:rPr>
                <w:rFonts w:ascii="宋体"/>
                <w:kern w:val="0"/>
                <w:sz w:val="24"/>
                <w:szCs w:val="24"/>
              </w:rPr>
            </w:pPr>
            <w:bookmarkStart w:id="1" w:name="_GoBack"/>
            <w:bookmarkEnd w:id="1"/>
            <w:r>
              <w:rPr>
                <w:rFonts w:hint="eastAsia" w:ascii="宋体"/>
                <w:sz w:val="24"/>
                <w:szCs w:val="24"/>
              </w:rPr>
              <w:t xml:space="preserve"> </w:t>
            </w:r>
            <w:r>
              <w:rPr>
                <w:rFonts w:hint="eastAsia" w:ascii="宋体" w:hAnsi="宋体"/>
                <w:kern w:val="0"/>
                <w:sz w:val="24"/>
                <w:szCs w:val="24"/>
              </w:rPr>
              <w:t>项目名称</w:t>
            </w:r>
          </w:p>
        </w:tc>
        <w:tc>
          <w:tcPr>
            <w:tcW w:w="990" w:type="pct"/>
            <w:tcBorders>
              <w:top w:val="single" w:color="auto" w:sz="4" w:space="0"/>
              <w:left w:val="nil"/>
              <w:bottom w:val="single" w:color="auto" w:sz="4" w:space="0"/>
              <w:right w:val="single" w:color="auto" w:sz="4" w:space="0"/>
            </w:tcBorders>
            <w:shd w:val="clear" w:color="auto" w:fill="auto"/>
            <w:vAlign w:val="center"/>
          </w:tcPr>
          <w:p w14:paraId="5D4932C9">
            <w:pPr>
              <w:widowControl/>
              <w:spacing w:line="280" w:lineRule="exact"/>
              <w:jc w:val="left"/>
              <w:rPr>
                <w:rFonts w:hint="eastAsia" w:ascii="Times New Roman" w:hAnsi="Times New Roman" w:eastAsia="方正仿宋_GBK"/>
                <w:sz w:val="24"/>
                <w:szCs w:val="24"/>
                <w:lang w:eastAsia="zh-CN"/>
              </w:rPr>
            </w:pPr>
            <w:r>
              <w:rPr>
                <w:rFonts w:hint="eastAsia" w:ascii="Times New Roman" w:hAnsi="Times New Roman"/>
                <w:sz w:val="24"/>
                <w:szCs w:val="24"/>
                <w:lang w:eastAsia="zh-CN"/>
              </w:rPr>
              <w:t>德方纳米锂电新材料一体化项目（一期、二期）</w:t>
            </w:r>
          </w:p>
        </w:tc>
        <w:tc>
          <w:tcPr>
            <w:tcW w:w="646" w:type="pct"/>
            <w:tcBorders>
              <w:top w:val="single" w:color="auto" w:sz="4" w:space="0"/>
              <w:left w:val="nil"/>
              <w:bottom w:val="single" w:color="auto" w:sz="4" w:space="0"/>
              <w:right w:val="single" w:color="auto" w:sz="4" w:space="0"/>
            </w:tcBorders>
            <w:shd w:val="clear" w:color="auto" w:fill="C0C0C0"/>
            <w:vAlign w:val="center"/>
          </w:tcPr>
          <w:p w14:paraId="63989ECC">
            <w:pPr>
              <w:widowControl/>
              <w:spacing w:line="280" w:lineRule="exact"/>
              <w:jc w:val="left"/>
              <w:rPr>
                <w:rFonts w:ascii="宋体"/>
                <w:kern w:val="0"/>
                <w:sz w:val="24"/>
                <w:szCs w:val="24"/>
              </w:rPr>
            </w:pPr>
            <w:r>
              <w:rPr>
                <w:rFonts w:hint="eastAsia" w:ascii="宋体" w:hAnsi="宋体"/>
                <w:kern w:val="0"/>
                <w:sz w:val="24"/>
                <w:szCs w:val="24"/>
              </w:rPr>
              <w:t>建设地点</w:t>
            </w:r>
          </w:p>
        </w:tc>
        <w:tc>
          <w:tcPr>
            <w:tcW w:w="891" w:type="pct"/>
            <w:tcBorders>
              <w:top w:val="single" w:color="auto" w:sz="4" w:space="0"/>
              <w:left w:val="nil"/>
              <w:bottom w:val="single" w:color="auto" w:sz="4" w:space="0"/>
              <w:right w:val="single" w:color="auto" w:sz="4" w:space="0"/>
            </w:tcBorders>
            <w:shd w:val="clear" w:color="auto" w:fill="auto"/>
            <w:vAlign w:val="center"/>
          </w:tcPr>
          <w:p w14:paraId="06A252E5">
            <w:pPr>
              <w:widowControl/>
              <w:spacing w:line="280" w:lineRule="exact"/>
              <w:jc w:val="left"/>
              <w:rPr>
                <w:rFonts w:hint="eastAsia" w:ascii="Times New Roman" w:hAnsi="Times New Roman"/>
                <w:sz w:val="24"/>
                <w:szCs w:val="24"/>
              </w:rPr>
            </w:pPr>
            <w:r>
              <w:rPr>
                <w:rFonts w:hint="eastAsia" w:ascii="宋体" w:hAnsi="宋体" w:cs="宋体"/>
                <w:bCs/>
                <w:color w:val="000000" w:themeColor="text1"/>
                <w:sz w:val="24"/>
                <w:szCs w:val="24"/>
                <w:lang w:eastAsia="zh-CN"/>
                <w14:textFill>
                  <w14:solidFill>
                    <w14:schemeClr w14:val="tx1"/>
                  </w14:solidFill>
                </w14:textFill>
              </w:rPr>
              <w:t>曲靖高新技术产业开发区花山片区</w:t>
            </w:r>
          </w:p>
        </w:tc>
        <w:tc>
          <w:tcPr>
            <w:tcW w:w="746" w:type="pct"/>
            <w:tcBorders>
              <w:top w:val="single" w:color="auto" w:sz="4" w:space="0"/>
              <w:left w:val="nil"/>
              <w:bottom w:val="single" w:color="auto" w:sz="4" w:space="0"/>
              <w:right w:val="single" w:color="auto" w:sz="4" w:space="0"/>
            </w:tcBorders>
            <w:shd w:val="clear" w:color="auto" w:fill="C0C0C0"/>
            <w:vAlign w:val="center"/>
          </w:tcPr>
          <w:p w14:paraId="7F7521E7">
            <w:pPr>
              <w:widowControl/>
              <w:spacing w:line="280" w:lineRule="exact"/>
              <w:jc w:val="left"/>
              <w:rPr>
                <w:rFonts w:ascii="宋体"/>
                <w:kern w:val="0"/>
                <w:sz w:val="24"/>
                <w:szCs w:val="24"/>
              </w:rPr>
            </w:pPr>
            <w:r>
              <w:rPr>
                <w:rFonts w:hint="eastAsia" w:ascii="宋体" w:hAnsi="宋体"/>
                <w:kern w:val="0"/>
                <w:sz w:val="24"/>
                <w:szCs w:val="24"/>
              </w:rPr>
              <w:t>建设单位</w:t>
            </w:r>
          </w:p>
        </w:tc>
        <w:tc>
          <w:tcPr>
            <w:tcW w:w="861" w:type="pct"/>
            <w:tcBorders>
              <w:top w:val="single" w:color="auto" w:sz="4" w:space="0"/>
              <w:left w:val="nil"/>
              <w:bottom w:val="single" w:color="auto" w:sz="4" w:space="0"/>
              <w:right w:val="single" w:color="auto" w:sz="4" w:space="0"/>
            </w:tcBorders>
            <w:vAlign w:val="center"/>
          </w:tcPr>
          <w:p w14:paraId="6A47727F">
            <w:pPr>
              <w:widowControl/>
              <w:spacing w:line="280" w:lineRule="exact"/>
              <w:jc w:val="center"/>
              <w:rPr>
                <w:rFonts w:hint="eastAsia" w:ascii="Times New Roman" w:hAnsi="Times New Roman"/>
                <w:sz w:val="24"/>
                <w:szCs w:val="24"/>
              </w:rPr>
            </w:pPr>
            <w:r>
              <w:rPr>
                <w:rFonts w:hint="eastAsia" w:ascii="Times New Roman" w:hAnsi="Times New Roman"/>
                <w:sz w:val="24"/>
                <w:szCs w:val="24"/>
              </w:rPr>
              <w:t>曲靖市沾益区德方纳米科技有限公司</w:t>
            </w:r>
          </w:p>
        </w:tc>
      </w:tr>
      <w:tr w14:paraId="7014473C">
        <w:tblPrEx>
          <w:tblCellMar>
            <w:top w:w="0" w:type="dxa"/>
            <w:left w:w="108" w:type="dxa"/>
            <w:bottom w:w="0" w:type="dxa"/>
            <w:right w:w="108" w:type="dxa"/>
          </w:tblCellMar>
        </w:tblPrEx>
        <w:trPr>
          <w:trHeight w:val="762" w:hRule="atLeast"/>
        </w:trPr>
        <w:tc>
          <w:tcPr>
            <w:tcW w:w="862" w:type="pct"/>
            <w:tcBorders>
              <w:top w:val="nil"/>
              <w:left w:val="single" w:color="auto" w:sz="4" w:space="0"/>
              <w:bottom w:val="single" w:color="auto" w:sz="4" w:space="0"/>
              <w:right w:val="single" w:color="auto" w:sz="4" w:space="0"/>
            </w:tcBorders>
            <w:shd w:val="clear" w:color="auto" w:fill="C0C0C0"/>
            <w:vAlign w:val="center"/>
          </w:tcPr>
          <w:p w14:paraId="6B7356AA">
            <w:pPr>
              <w:widowControl/>
              <w:spacing w:line="280" w:lineRule="exact"/>
              <w:jc w:val="left"/>
              <w:rPr>
                <w:rFonts w:ascii="宋体"/>
                <w:kern w:val="0"/>
                <w:sz w:val="24"/>
                <w:szCs w:val="24"/>
              </w:rPr>
            </w:pPr>
            <w:r>
              <w:rPr>
                <w:rFonts w:hint="eastAsia" w:ascii="宋体" w:hAnsi="宋体"/>
                <w:kern w:val="0"/>
                <w:sz w:val="24"/>
                <w:szCs w:val="24"/>
              </w:rPr>
              <w:t>环评文件类型</w:t>
            </w:r>
          </w:p>
        </w:tc>
        <w:tc>
          <w:tcPr>
            <w:tcW w:w="990" w:type="pct"/>
            <w:tcBorders>
              <w:top w:val="nil"/>
              <w:left w:val="nil"/>
              <w:bottom w:val="single" w:color="auto" w:sz="4" w:space="0"/>
              <w:right w:val="single" w:color="auto" w:sz="4" w:space="0"/>
            </w:tcBorders>
            <w:shd w:val="clear" w:color="auto" w:fill="auto"/>
            <w:vAlign w:val="center"/>
          </w:tcPr>
          <w:p w14:paraId="75CB4F0E">
            <w:pPr>
              <w:widowControl/>
              <w:spacing w:line="280" w:lineRule="exact"/>
              <w:jc w:val="center"/>
              <w:rPr>
                <w:rFonts w:hint="default" w:ascii="宋体" w:hAnsi="宋体" w:eastAsia="宋体" w:cs="华文仿宋"/>
                <w:kern w:val="0"/>
                <w:sz w:val="24"/>
                <w:szCs w:val="24"/>
                <w:lang w:val="en-US" w:eastAsia="zh-CN"/>
              </w:rPr>
            </w:pPr>
            <w:r>
              <w:rPr>
                <w:rFonts w:hint="eastAsia" w:ascii="宋体" w:cs="Times New Roman"/>
                <w:kern w:val="0"/>
                <w:sz w:val="24"/>
                <w:szCs w:val="24"/>
                <w:lang w:val="en-US" w:eastAsia="zh-CN"/>
              </w:rPr>
              <w:t>报告书</w:t>
            </w:r>
          </w:p>
        </w:tc>
        <w:tc>
          <w:tcPr>
            <w:tcW w:w="646" w:type="pct"/>
            <w:tcBorders>
              <w:top w:val="nil"/>
              <w:left w:val="nil"/>
              <w:bottom w:val="single" w:color="auto" w:sz="4" w:space="0"/>
              <w:right w:val="single" w:color="auto" w:sz="4" w:space="0"/>
            </w:tcBorders>
            <w:shd w:val="clear" w:color="auto" w:fill="C0C0C0"/>
            <w:vAlign w:val="center"/>
          </w:tcPr>
          <w:p w14:paraId="0B62B48D">
            <w:pPr>
              <w:widowControl/>
              <w:spacing w:line="280" w:lineRule="exact"/>
              <w:jc w:val="left"/>
              <w:rPr>
                <w:rFonts w:ascii="宋体"/>
                <w:kern w:val="0"/>
                <w:sz w:val="24"/>
                <w:szCs w:val="24"/>
              </w:rPr>
            </w:pPr>
            <w:r>
              <w:rPr>
                <w:rFonts w:hint="eastAsia" w:ascii="宋体" w:hAnsi="宋体"/>
                <w:kern w:val="0"/>
                <w:sz w:val="24"/>
                <w:szCs w:val="24"/>
              </w:rPr>
              <w:t>环境影响评价机构</w:t>
            </w:r>
          </w:p>
        </w:tc>
        <w:tc>
          <w:tcPr>
            <w:tcW w:w="2500" w:type="pct"/>
            <w:gridSpan w:val="3"/>
            <w:tcBorders>
              <w:top w:val="single" w:color="auto" w:sz="4" w:space="0"/>
              <w:left w:val="nil"/>
              <w:bottom w:val="single" w:color="auto" w:sz="4" w:space="0"/>
              <w:right w:val="single" w:color="000000" w:sz="4" w:space="0"/>
            </w:tcBorders>
            <w:vAlign w:val="center"/>
          </w:tcPr>
          <w:p w14:paraId="6D289352">
            <w:pPr>
              <w:widowControl/>
              <w:spacing w:line="280" w:lineRule="exact"/>
              <w:jc w:val="center"/>
              <w:rPr>
                <w:rFonts w:hint="default" w:ascii="宋体" w:eastAsia="方正仿宋_GBK"/>
                <w:kern w:val="0"/>
                <w:sz w:val="24"/>
                <w:szCs w:val="24"/>
                <w:lang w:val="en-US" w:eastAsia="zh-CN"/>
              </w:rPr>
            </w:pPr>
            <w:r>
              <w:rPr>
                <w:rFonts w:hint="eastAsia" w:ascii="宋体"/>
                <w:kern w:val="0"/>
                <w:sz w:val="24"/>
                <w:szCs w:val="24"/>
                <w:lang w:val="en-US" w:eastAsia="zh-CN"/>
              </w:rPr>
              <w:t>云南涔霖环保科技有限公司</w:t>
            </w:r>
          </w:p>
        </w:tc>
      </w:tr>
      <w:tr w14:paraId="7244A66B">
        <w:tblPrEx>
          <w:tblCellMar>
            <w:top w:w="0" w:type="dxa"/>
            <w:left w:w="108" w:type="dxa"/>
            <w:bottom w:w="0" w:type="dxa"/>
            <w:right w:w="108" w:type="dxa"/>
          </w:tblCellMar>
        </w:tblPrEx>
        <w:trPr>
          <w:trHeight w:val="461"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234F0DBA">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066F5FFB">
        <w:tblPrEx>
          <w:tblCellMar>
            <w:top w:w="0" w:type="dxa"/>
            <w:left w:w="108" w:type="dxa"/>
            <w:bottom w:w="0" w:type="dxa"/>
            <w:right w:w="108" w:type="dxa"/>
          </w:tblCellMar>
        </w:tblPrEx>
        <w:trPr>
          <w:trHeight w:val="606"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0E572C16">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eastAsia="方正仿宋_GBK"/>
                <w:lang w:eastAsia="zh-CN"/>
              </w:rPr>
            </w:pP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项目占地面积约为382.64亩，255090.44m</w:t>
            </w:r>
            <w:r>
              <w:rPr>
                <w:rFonts w:hint="default" w:ascii="Times New Roman" w:hAnsi="Times New Roman" w:eastAsia="方正仿宋_GB2312" w:cs="Times New Roman"/>
                <w:snapToGrid/>
                <w:color w:val="000000" w:themeColor="text1"/>
                <w:kern w:val="0"/>
                <w:sz w:val="24"/>
                <w:szCs w:val="24"/>
                <w:vertAlign w:val="superscript"/>
                <w:lang w:val="en-US" w:eastAsia="zh-CN" w:bidi="ar"/>
                <w14:textFill>
                  <w14:solidFill>
                    <w14:schemeClr w14:val="tx1"/>
                  </w14:solidFill>
                </w14:textFill>
              </w:rPr>
              <w:t>2</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设计年生产能力为20万吨磷酸铁锂。工程内容主要包括：硝酸铁/硝酸锂车间、配料车间、烧结车间等，并配套建设制氮站、配电站、空压站、循环水站等辅助工程及尾气处理系统、危废贮存间、生产废水处理站等环保设施</w:t>
            </w:r>
            <w:r>
              <w:rPr>
                <w:rFonts w:hint="eastAsia" w:ascii="方正仿宋_GB2312" w:hAnsi="方正仿宋_GB2312" w:eastAsia="方正仿宋_GB2312" w:cs="方正仿宋_GB2312"/>
                <w:snapToGrid/>
                <w:color w:val="000000" w:themeColor="text1"/>
                <w:kern w:val="0"/>
                <w:sz w:val="24"/>
                <w:szCs w:val="24"/>
                <w:lang w:val="en-US" w:eastAsia="zh-CN" w:bidi="ar"/>
                <w14:textFill>
                  <w14:solidFill>
                    <w14:schemeClr w14:val="tx1"/>
                  </w14:solidFill>
                </w14:textFill>
              </w:rPr>
              <w:t>。</w:t>
            </w:r>
          </w:p>
        </w:tc>
      </w:tr>
      <w:tr w14:paraId="5DFD84C0">
        <w:tblPrEx>
          <w:tblCellMar>
            <w:top w:w="0" w:type="dxa"/>
            <w:left w:w="108" w:type="dxa"/>
            <w:bottom w:w="0" w:type="dxa"/>
            <w:right w:w="108" w:type="dxa"/>
          </w:tblCellMar>
        </w:tblPrEx>
        <w:trPr>
          <w:trHeight w:val="448"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78C4F907">
            <w:pPr>
              <w:widowControl/>
              <w:spacing w:line="280" w:lineRule="exact"/>
              <w:jc w:val="center"/>
              <w:rPr>
                <w:rFonts w:ascii="宋体"/>
                <w:kern w:val="0"/>
                <w:sz w:val="24"/>
                <w:szCs w:val="24"/>
              </w:rPr>
            </w:pPr>
            <w:r>
              <w:rPr>
                <w:rFonts w:hint="eastAsia" w:ascii="宋体" w:hAnsi="宋体"/>
                <w:kern w:val="0"/>
                <w:sz w:val="24"/>
                <w:szCs w:val="24"/>
              </w:rPr>
              <w:t>项目主要环境影响</w:t>
            </w:r>
          </w:p>
        </w:tc>
      </w:tr>
      <w:tr w14:paraId="4E36594D">
        <w:tblPrEx>
          <w:tblCellMar>
            <w:top w:w="0" w:type="dxa"/>
            <w:left w:w="108" w:type="dxa"/>
            <w:bottom w:w="0" w:type="dxa"/>
            <w:right w:w="108" w:type="dxa"/>
          </w:tblCellMar>
        </w:tblPrEx>
        <w:trPr>
          <w:trHeight w:val="90"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E46DE40">
            <w:pPr>
              <w:pStyle w:val="2"/>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一、施工期</w:t>
            </w:r>
          </w:p>
          <w:p w14:paraId="4D342241">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施工期环境影响主要包括施工期扬尘、施工机械废气及运输车辆尾气影响；</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施工废水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和</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施工人员</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生活污水的影响；施工机械噪声及</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过程</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噪声</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的影响；</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施工期建筑垃圾</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生活垃圾</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影响。</w:t>
            </w:r>
          </w:p>
          <w:p w14:paraId="23AE062C">
            <w:pPr>
              <w:pStyle w:val="2"/>
              <w:keepNext w:val="0"/>
              <w:keepLines w:val="0"/>
              <w:pageBreakBefore w:val="0"/>
              <w:widowControl w:val="0"/>
              <w:numPr>
                <w:ilvl w:val="0"/>
                <w:numId w:val="1"/>
              </w:numPr>
              <w:kinsoku/>
              <w:wordWrap/>
              <w:overflowPunct/>
              <w:topLinePunct w:val="0"/>
              <w:bidi w:val="0"/>
              <w:snapToGrid/>
              <w:spacing w:line="360" w:lineRule="exact"/>
              <w:textAlignment w:val="auto"/>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pPr>
            <w:r>
              <w:rPr>
                <w:rFonts w:hint="eastAsia" w:ascii="Times New Roman" w:hAnsi="Times New Roman" w:eastAsia="宋体" w:cs="Times New Roman"/>
                <w:b/>
                <w:bCs/>
                <w:color w:val="000000" w:themeColor="text1"/>
                <w:kern w:val="0"/>
                <w:sz w:val="24"/>
                <w:szCs w:val="24"/>
                <w:lang w:val="en-US" w:eastAsia="zh-CN" w:bidi="ar"/>
                <w14:textFill>
                  <w14:solidFill>
                    <w14:schemeClr w14:val="tx1"/>
                  </w14:solidFill>
                </w14:textFill>
              </w:rPr>
              <w:t>运营期</w:t>
            </w:r>
          </w:p>
          <w:p w14:paraId="559BB856">
            <w:pPr>
              <w:keepNext w:val="0"/>
              <w:keepLines w:val="0"/>
              <w:pageBreakBefore w:val="0"/>
              <w:widowControl w:val="0"/>
              <w:kinsoku/>
              <w:wordWrap/>
              <w:overflowPunct/>
              <w:topLinePunct w:val="0"/>
              <w:bidi w:val="0"/>
              <w:snapToGrid/>
              <w:spacing w:line="360" w:lineRule="exact"/>
              <w:ind w:firstLine="480" w:firstLineChars="200"/>
              <w:textAlignment w:val="auto"/>
              <w:rPr>
                <w:rFonts w:hint="default"/>
                <w:lang w:val="en-US"/>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主要包括硝酸铁/硝酸锂车间、配料车间、烧结车间和废水处理站产生的废气环境影响；蒸发冷凝废水、冷却循环系统排水、烧结废水、设备及车间地面清洗废水、污水站/检测中心废气喷淋废水、检测中心废水、蒸汽冷凝水、余热锅炉排水、生活污水等产生的影响；生产设备、</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泵类、风机等</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产生的噪声影响；化铁残渣、硝酸锂反应残渣、含铁杂质、废包装袋、废矿物油、SCR脱硝系统废催化剂、冷凝酸过滤渣、配料间旋风、布袋收尘灰、一次烧结布袋收尘灰、二次烧结布袋收尘灰、硝酸锂废过滤膜组件、生产废水处理站污泥、生产清洗废水处理系统蒸发盐、废气处理废布袋、有机废液处理系统蒸发浓缩液、废油漆桶、废涂料桶、废液、废试剂、废活性炭等产生的影响；项目运行过程地下水环境的影响。</w:t>
            </w:r>
          </w:p>
        </w:tc>
      </w:tr>
      <w:tr w14:paraId="6711E530">
        <w:tblPrEx>
          <w:tblCellMar>
            <w:top w:w="0" w:type="dxa"/>
            <w:left w:w="108" w:type="dxa"/>
            <w:bottom w:w="0" w:type="dxa"/>
            <w:right w:w="108" w:type="dxa"/>
          </w:tblCellMar>
        </w:tblPrEx>
        <w:trPr>
          <w:trHeight w:val="381"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5C253AB">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20603231">
        <w:tblPrEx>
          <w:tblCellMar>
            <w:top w:w="0" w:type="dxa"/>
            <w:left w:w="108" w:type="dxa"/>
            <w:bottom w:w="0" w:type="dxa"/>
            <w:right w:w="108" w:type="dxa"/>
          </w:tblCellMar>
        </w:tblPrEx>
        <w:trPr>
          <w:trHeight w:val="43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4C640AA5">
            <w:pPr>
              <w:pStyle w:val="3"/>
              <w:keepNext w:val="0"/>
              <w:keepLines w:val="0"/>
              <w:pageBreakBefore w:val="0"/>
              <w:widowControl w:val="0"/>
              <w:kinsoku/>
              <w:wordWrap/>
              <w:overflowPunct/>
              <w:topLinePunct w:val="0"/>
              <w:bidi w:val="0"/>
              <w:snapToGrid/>
              <w:spacing w:line="360" w:lineRule="exact"/>
              <w:textAlignment w:val="auto"/>
              <w:rPr>
                <w:rFonts w:hint="eastAsia"/>
                <w:b/>
                <w:bCs/>
                <w:lang w:val="en-US" w:eastAsia="zh-CN"/>
              </w:rPr>
            </w:pPr>
            <w:r>
              <w:rPr>
                <w:rFonts w:hint="eastAsia"/>
                <w:b/>
                <w:bCs/>
                <w:lang w:val="en-US" w:eastAsia="zh-CN"/>
              </w:rPr>
              <w:t>一、施工期污染物治理措施</w:t>
            </w:r>
          </w:p>
          <w:p w14:paraId="57BA778F">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1、施工期废气治理措施</w:t>
            </w:r>
          </w:p>
          <w:p w14:paraId="4C0802E4">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施工期间实行围挡封闭施工，尽量避免在大风天气下进行施工作业；对施工场地洒水；车辆进出装卸场地时应用水将轮胎冲洗并限速行驶。</w:t>
            </w:r>
          </w:p>
          <w:p w14:paraId="24AC7AEB">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2、施工期废水治理措施</w:t>
            </w:r>
          </w:p>
          <w:p w14:paraId="5E2A0141">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生活污水主要为施工人员洗手等清洁废水，和施工废水一同进入施工现场设置临时沉淀池处理后用于施工场地用水，在施工区修建临时水冲厕，粪便经化粪池预处理后委托环卫部门清运处置，不外排；施工区域地表径流经临时沉沙池沉淀后回用于施工及场地洒水。</w:t>
            </w:r>
          </w:p>
          <w:p w14:paraId="1233BC45">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3、施工期噪声治理措施</w:t>
            </w:r>
          </w:p>
          <w:p w14:paraId="228F1D67">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施工期间，施工单位应选用低噪声的施工设备，从源头上控制噪声排放；并合理布置施工作业面和安排施工时间；施工运输车辆保持良好车况，合理调度，尽可能匀速慢行；科学合理地安排施工步骤，合理安排施工工序，优化施工方式，避免在同一时间集中使用大量的施工机械设备。</w:t>
            </w:r>
          </w:p>
          <w:p w14:paraId="3784F03C">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4、施工期固废治理措施</w:t>
            </w:r>
          </w:p>
          <w:p w14:paraId="2ACC6258">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项目基础土方开挖过程产生的土石方全部回填；建筑垃圾经分类收集后可回收利用部分回收利用，不能回收利用部分委托专业建筑垃圾运输单位及时运送至政府指定的建筑垃圾收纳场处置；施工人员生活垃圾统一收集后委托当地环卫部门清运处置。</w:t>
            </w:r>
          </w:p>
          <w:p w14:paraId="73D3203D">
            <w:pPr>
              <w:pStyle w:val="3"/>
              <w:keepNext w:val="0"/>
              <w:keepLines w:val="0"/>
              <w:pageBreakBefore w:val="0"/>
              <w:widowControl w:val="0"/>
              <w:kinsoku/>
              <w:wordWrap/>
              <w:overflowPunct/>
              <w:topLinePunct w:val="0"/>
              <w:bidi w:val="0"/>
              <w:snapToGrid/>
              <w:spacing w:line="360" w:lineRule="exact"/>
              <w:textAlignment w:val="auto"/>
              <w:rPr>
                <w:rFonts w:hint="eastAsia"/>
                <w:b/>
                <w:bCs/>
                <w:lang w:val="en-US" w:eastAsia="zh-CN"/>
              </w:rPr>
            </w:pPr>
            <w:r>
              <w:rPr>
                <w:rFonts w:hint="eastAsia"/>
                <w:b/>
                <w:bCs/>
                <w:lang w:val="en-US" w:eastAsia="zh-CN"/>
              </w:rPr>
              <w:t>二、运营期污染物治理措施</w:t>
            </w:r>
          </w:p>
          <w:p w14:paraId="097BECF8">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outlineLvl w:val="3"/>
              <w:rPr>
                <w:rFonts w:hint="eastAsia" w:ascii="Times New Roman" w:hAnsi="Times New Roman" w:eastAsia="宋体" w:cs="Times New Roman"/>
                <w:b/>
                <w:bCs/>
                <w:color w:val="000000" w:themeColor="text1"/>
                <w:kern w:val="2"/>
                <w:sz w:val="24"/>
                <w:szCs w:val="24"/>
                <w:lang w:val="zh-CN" w:eastAsia="zh-CN"/>
                <w14:textFill>
                  <w14:solidFill>
                    <w14:schemeClr w14:val="tx1"/>
                  </w14:solidFill>
                </w14:textFill>
              </w:rPr>
            </w:pPr>
            <w:r>
              <w:rPr>
                <w:rFonts w:hint="eastAsia" w:ascii="Times New Roman" w:hAnsi="Times New Roman" w:eastAsia="宋体" w:cs="Times New Roman"/>
                <w:b/>
                <w:bCs/>
                <w:color w:val="000000" w:themeColor="text1"/>
                <w:kern w:val="2"/>
                <w:sz w:val="24"/>
                <w:szCs w:val="24"/>
                <w:lang w:val="en-US" w:eastAsia="zh-CN"/>
                <w14:textFill>
                  <w14:solidFill>
                    <w14:schemeClr w14:val="tx1"/>
                  </w14:solidFill>
                </w14:textFill>
              </w:rPr>
              <w:t>1、</w:t>
            </w:r>
            <w:r>
              <w:rPr>
                <w:rFonts w:hint="eastAsia" w:ascii="Times New Roman" w:hAnsi="Times New Roman" w:eastAsia="宋体" w:cs="Times New Roman"/>
                <w:b/>
                <w:bCs/>
                <w:color w:val="000000" w:themeColor="text1"/>
                <w:kern w:val="2"/>
                <w:sz w:val="24"/>
                <w:szCs w:val="24"/>
                <w:lang w:val="zh-CN" w:eastAsia="zh-CN"/>
                <w14:textFill>
                  <w14:solidFill>
                    <w14:schemeClr w14:val="tx1"/>
                  </w14:solidFill>
                </w14:textFill>
              </w:rPr>
              <w:t>大气污染防治措施</w:t>
            </w:r>
          </w:p>
          <w:p w14:paraId="21F47D2A">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（1）有组织废气采取的措施</w:t>
            </w:r>
          </w:p>
          <w:p w14:paraId="4B98E5ED">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配酸、化铁、多效蒸发（硝酸铁溶液制备）、硝酸锂溶液制备、硝酸储罐大小呼吸等工段产生的含NOx废气经冷凝+酸回收+SCR脱硝后经DA001排气筒（高50m）排放。</w:t>
            </w:r>
          </w:p>
          <w:p w14:paraId="29B14986">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前驱体配料、1-5#发料设备发料废气经冷凝+酸回收+SCR脱硝后经DA002排气筒（高50m）外排。</w:t>
            </w:r>
          </w:p>
          <w:p w14:paraId="0E8D6136">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前驱体输送、破碎、焖料上下料等工段产生的粉尘一起经旋风+布袋除尘器处理后与6-10#发料设备发料废气、焖料废气经冷凝+酸回收+SCR脱硝后经DA003排气筒（高50m）外排。</w:t>
            </w:r>
          </w:p>
          <w:p w14:paraId="6A4CBEC6">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草酸由计量仓投加至溶解罐内粉尘，10628合成、冷却草酸挥发性有机物，收集进入喷淋洗涤塔后由DA004排气筒（高20m）排放。</w:t>
            </w:r>
          </w:p>
          <w:p w14:paraId="6541753C">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一次烧结前物料转运、辊压、筛分、装钵、混料、破碎、包装（半成品）等工段粉尘收集进入中央除尘设施处理后由DA005、DA006排气筒排放。</w:t>
            </w:r>
          </w:p>
          <w:p w14:paraId="0D24DB09">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一次烧结炉窑废气进入TO炉+SCR处理后由DA007、DA008排气筒排放。</w:t>
            </w:r>
          </w:p>
          <w:p w14:paraId="73E1EF45">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一烧后喷雾干燥设备粉尘通过布袋除尘器处理后由DA009~DA012排气筒排放。</w:t>
            </w:r>
          </w:p>
          <w:p w14:paraId="32F96CC4">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二次烧结物料转运、混料、辊压、筛分、装钵、包装粉尘经中央除尘设施处理后由DA013、DA014排气筒排放。</w:t>
            </w:r>
          </w:p>
          <w:p w14:paraId="2359F56D">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二次烧结炉窑废气进入TO炉+SCR处理后由DA015、DA021排气筒排放。</w:t>
            </w:r>
          </w:p>
          <w:p w14:paraId="209E5C08">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二次烧结后混料、气流磨等工序粉尘经布袋除尘后由DA016、DA017排气筒排放。</w:t>
            </w:r>
          </w:p>
          <w:p w14:paraId="7686BE3B">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配料间热风炉燃烧废气与被加热的空气经换热后一同通过DA018排气筒（高40m）排放。</w:t>
            </w:r>
          </w:p>
          <w:p w14:paraId="59CAB683">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喷雾干燥</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热风炉燃烧废气与被加热的空气经换热后一同通过DA019（高40m）排气筒排放</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p>
          <w:p w14:paraId="37D74FE0">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污水处理站</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废气</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经喷淋+活性炭处理后通过DA020排气筒（高30m）排放</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p>
          <w:p w14:paraId="4F081E33">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检测实验室</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喷淋塔+活性炭吸附处理后的废气通过一根高于楼顶的排气筒（总高度25m）排放</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p>
          <w:p w14:paraId="7CDE4C31">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（2）无组织废气采取的治理措施</w:t>
            </w:r>
          </w:p>
          <w:p w14:paraId="5B271FF2">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项目无组织废气包括配料车间无组织废气（NOx、颗粒物</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非甲烷总烃）、烧结车间</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10628车间无组织废气（颗粒物）、检测实验室无组织废气（NOx、</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NH3、</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非甲烷总烃）</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储罐区物料大小呼吸废气（甲醇、NOx）。</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通过</w:t>
            </w: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生产车间封闭，配料车间采用封闭配料罐和封闭输送通道、烧结车间采用封闭输送通道、储罐区和管道设置密闭装置</w:t>
            </w: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w:t>
            </w:r>
          </w:p>
          <w:p w14:paraId="13D023B1">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2、废水污染防治措施</w:t>
            </w:r>
          </w:p>
          <w:p w14:paraId="45642938">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本项目厂区实行雨污分流，对生产废水进行分质分类处理。循环水排水处理系统处理规模800m3/d，处理工艺“混凝+沉淀”；生产清洗废水处理系统处理规模150m3/d，处理工艺“调节池+一级物化反应+沉淀+二级物化反应+沉淀+pH调节+三效蒸发（6t/h）”；10628废水处理系统处理规模35m3/d，处理工艺“调节池+一级物化反应+沉淀+二级物化反应+沉淀+pH调节”；有机废水处理系统处理规模10m3/d，处理工艺“调节池+物化反应+沉淀+低温蒸发”；检测中心废水处理系统处理规模35m3/d，处理工艺“调节池+絮凝沉淀+压滤+物化反应+沉淀+pH调节”；综合废水处理系统处理规模400m3/d，处理工艺“生化处理”。</w:t>
            </w:r>
          </w:p>
          <w:p w14:paraId="0E8F5A90">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bookmarkStart w:id="0" w:name="_Toc5828"/>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3、地下水污染防治措施</w:t>
            </w:r>
            <w:bookmarkEnd w:id="0"/>
          </w:p>
          <w:p w14:paraId="69271057">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本项目严格按照防渗要求分区进行防渗。项目区防渗施工过程中，企业应确保重点污染防渗区的防渗工程措施到位和环保监理及记录，录像相关影像资料存档备查。在项目区地下水流向下游新建污染监测井（跟踪监测井）作为项目地下水水质跟踪监测点。</w:t>
            </w:r>
          </w:p>
          <w:p w14:paraId="33507695">
            <w:pPr>
              <w:pStyle w:val="3"/>
              <w:keepNext w:val="0"/>
              <w:keepLines w:val="0"/>
              <w:pageBreakBefore w:val="0"/>
              <w:widowControl w:val="0"/>
              <w:kinsoku/>
              <w:wordWrap/>
              <w:overflowPunct/>
              <w:topLinePunct w:val="0"/>
              <w:bidi w:val="0"/>
              <w:snapToGrid/>
              <w:spacing w:line="360" w:lineRule="exact"/>
              <w:textAlignment w:val="auto"/>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4、噪声污染防治措施</w:t>
            </w:r>
          </w:p>
          <w:p w14:paraId="463CBD27">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运营期噪声主要来自设备噪声，包括风机、研磨机、破碎机、气流磨、输送泵等，采取基础减振、建筑隔声。</w:t>
            </w:r>
          </w:p>
          <w:p w14:paraId="2D586C47">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5、固废污染防治措施</w:t>
            </w:r>
          </w:p>
          <w:p w14:paraId="123F39CF">
            <w:pPr>
              <w:pStyle w:val="3"/>
              <w:keepNext w:val="0"/>
              <w:keepLines w:val="0"/>
              <w:pageBreakBefore w:val="0"/>
              <w:widowControl w:val="0"/>
              <w:kinsoku/>
              <w:wordWrap/>
              <w:overflowPunct/>
              <w:topLinePunct w:val="0"/>
              <w:bidi w:val="0"/>
              <w:snapToGrid/>
              <w:spacing w:line="360" w:lineRule="exact"/>
              <w:ind w:firstLine="480" w:firstLineChars="200"/>
              <w:textAlignment w:val="auto"/>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default"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固体废物应分类收集、贮存、处理处置。化铁残渣、硝酸锂反应残渣、废矿物油、SCR脱硝系统废催化剂、有机废液处理系统蒸发浓缩液、废油漆桶、废涂料桶、实验室废液、废试剂、废活性炭等危险废物经分类收集后暂存于危废暂存间，定期委托云南大地丰源环保有限公司处置。生产清洗废水处理系统蒸发结晶盐收集暂存于危废间内，项目建成后进行属性鉴别，根据鉴别后固废属性合法处置。烧结含铁杂质经收集后暂存于固废暂存库，委托昆明良益环保工程有限公司处置。原辅材料及产品废包装袋经固废暂存库暂存后委托云南依粒米塑料贸易有限公司处置。配料间旋风、布袋收尘灰收集后返回生产线。硝酸锂废过滤膜组件、布袋除尘器废布袋交由厂家更换回收处理。生产废水处理站污泥委托昆明良益环保工程有限公司处置。生活垃圾经统一收集后委托当地环卫部门进行清运处置。</w:t>
            </w:r>
          </w:p>
          <w:p w14:paraId="5D190BBE">
            <w:pPr>
              <w:pStyle w:val="3"/>
              <w:keepNext w:val="0"/>
              <w:keepLines w:val="0"/>
              <w:pageBreakBefore w:val="0"/>
              <w:widowControl w:val="0"/>
              <w:kinsoku/>
              <w:wordWrap/>
              <w:overflowPunct/>
              <w:topLinePunct w:val="0"/>
              <w:bidi w:val="0"/>
              <w:snapToGrid/>
              <w:spacing w:line="360" w:lineRule="exact"/>
              <w:textAlignment w:val="auto"/>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6、风险防范措施</w:t>
            </w:r>
          </w:p>
          <w:p w14:paraId="57FEE62D">
            <w:pPr>
              <w:pStyle w:val="3"/>
              <w:keepNext w:val="0"/>
              <w:keepLines w:val="0"/>
              <w:pageBreakBefore w:val="0"/>
              <w:widowControl w:val="0"/>
              <w:kinsoku/>
              <w:wordWrap/>
              <w:overflowPunct/>
              <w:topLinePunct w:val="0"/>
              <w:bidi w:val="0"/>
              <w:snapToGrid/>
              <w:spacing w:line="360" w:lineRule="exact"/>
              <w:ind w:firstLine="480" w:firstLineChars="200"/>
              <w:textAlignment w:val="auto"/>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按照环境风险“三级”防控要求建立厂区的环境风险防控体系，一级防控：储罐区建设围堰并进行防腐防渗处理，硝酸罐组围堰容积1403m3；磷酸罐组围堰容积1019m3；氨水储罐围堰容积307m3，罐区内泄漏的物料首先经围堰及围堰内的收集沟收集后进入围堰内的收集池内；二级防控：项目在厂区拟建设1个容积800m3的事故应急池；三级防控依托化工园区三级防控体系。发生事故时关闭厂区对外的排水口阀门，将泄漏物料、消防废水、受污染雨水等均控制在项目设计的一级、二级防控措施范围内；最不利条件下事故废水可以依托园区事故池进行收集。因此，在建设单位完善厂区各风险防范措施情况下，从地表水环境风险角度分析，项目环境风险可控。地下水环境风险防范措施按照“源头控制、分区防治、污染监控、应急响应”相结合的原则，正常情况下不会对地下水造成污染影响，非正常情况下及时采取补救措施，定期监测，对地下水环境影响较小。在设计、设备选材、生产、安全管理等方面应加强管理，防止泄漏事故的发生。生产过程中做好对设备的维护、检修，切实杜绝“跑、冒、滴、漏”现象发生。加强危险化学品运输、储存、使用过程环境风险防范措施。严格按可研和设计要求建设储罐，落实设计工程措施、风险防范措施，制定环境风险管理制度、应急预案，落实应急措施，有效防范环境风险。</w:t>
            </w:r>
          </w:p>
        </w:tc>
      </w:tr>
      <w:tr w14:paraId="7BD9A900">
        <w:tblPrEx>
          <w:tblCellMar>
            <w:top w:w="0" w:type="dxa"/>
            <w:left w:w="108" w:type="dxa"/>
            <w:bottom w:w="0" w:type="dxa"/>
            <w:right w:w="108" w:type="dxa"/>
          </w:tblCellMar>
        </w:tblPrEx>
        <w:trPr>
          <w:trHeight w:val="386"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55DB3FA">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2C380371">
        <w:tblPrEx>
          <w:tblCellMar>
            <w:top w:w="0" w:type="dxa"/>
            <w:left w:w="108" w:type="dxa"/>
            <w:bottom w:w="0" w:type="dxa"/>
            <w:right w:w="108" w:type="dxa"/>
          </w:tblCellMar>
        </w:tblPrEx>
        <w:trPr>
          <w:trHeight w:val="449"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067CD31C">
            <w:pPr>
              <w:pStyle w:val="3"/>
              <w:keepNext w:val="0"/>
              <w:keepLines w:val="0"/>
              <w:pageBreakBefore w:val="0"/>
              <w:widowControl w:val="0"/>
              <w:kinsoku/>
              <w:wordWrap/>
              <w:overflowPunct/>
              <w:topLinePunct w:val="0"/>
              <w:autoSpaceDE w:val="0"/>
              <w:autoSpaceDN w:val="0"/>
              <w:bidi w:val="0"/>
              <w:adjustRightInd w:val="0"/>
              <w:snapToGrid/>
              <w:spacing w:line="360" w:lineRule="exact"/>
              <w:ind w:firstLine="480" w:firstLineChars="200"/>
              <w:textAlignment w:val="auto"/>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建设单位于2026年5月25日~2026年6月5日通过“曲靖论坛”进行了首次信息公示，公示时间为10个工作日。2026年6月10日~2026年6月24日在“曲靖论坛”进行了征求意见稿公示，公示时间为10个工作日。同时在云南信息报进行了两次报纸公示。2026年6月10日~2026年6月24日在松林社区公示栏进行了现场张贴公示，发放并收回了35份公众参与调查表（个人30份，单位团体5份），公示期间未收到任何反对信息，均同意项目建设。2026年6月26日，建设单位在“曲靖论坛”进行了报批前公示。</w:t>
            </w:r>
          </w:p>
        </w:tc>
      </w:tr>
      <w:tr w14:paraId="003C14C1">
        <w:tblPrEx>
          <w:tblCellMar>
            <w:top w:w="0" w:type="dxa"/>
            <w:left w:w="108" w:type="dxa"/>
            <w:bottom w:w="0" w:type="dxa"/>
            <w:right w:w="108" w:type="dxa"/>
          </w:tblCellMar>
        </w:tblPrEx>
        <w:trPr>
          <w:trHeight w:val="90" w:hRule="atLeast"/>
        </w:trPr>
        <w:tc>
          <w:tcPr>
            <w:tcW w:w="1853" w:type="pct"/>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7F61ECAC">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3146" w:type="pct"/>
            <w:gridSpan w:val="4"/>
            <w:tcBorders>
              <w:top w:val="single" w:color="auto" w:sz="4" w:space="0"/>
              <w:left w:val="nil"/>
              <w:bottom w:val="single" w:color="auto" w:sz="4" w:space="0"/>
              <w:right w:val="single" w:color="auto" w:sz="4" w:space="0"/>
            </w:tcBorders>
            <w:vAlign w:val="center"/>
          </w:tcPr>
          <w:p w14:paraId="053C54D8">
            <w:pPr>
              <w:pStyle w:val="2"/>
              <w:rPr>
                <w:rFonts w:hint="eastAsia" w:eastAsia="方正仿宋_GBK"/>
                <w:lang w:val="en-US" w:eastAsia="zh-CN"/>
              </w:rPr>
            </w:pPr>
            <w:r>
              <w:rPr>
                <w:rFonts w:hint="eastAsia" w:ascii="Times New Roman" w:hAnsi="Times New Roman" w:eastAsia="方正仿宋_GB2312" w:cs="Times New Roman"/>
                <w:snapToGrid/>
                <w:color w:val="000000" w:themeColor="text1"/>
                <w:kern w:val="0"/>
                <w:sz w:val="24"/>
                <w:szCs w:val="24"/>
                <w:lang w:val="en-US" w:eastAsia="zh-CN" w:bidi="ar"/>
                <w14:textFill>
                  <w14:solidFill>
                    <w14:schemeClr w14:val="tx1"/>
                  </w14:solidFill>
                </w14:textFill>
              </w:rPr>
              <w:t>同意公开的情况说明。</w:t>
            </w:r>
          </w:p>
        </w:tc>
      </w:tr>
      <w:tr w14:paraId="78C37E09">
        <w:tblPrEx>
          <w:tblCellMar>
            <w:top w:w="0" w:type="dxa"/>
            <w:left w:w="108" w:type="dxa"/>
            <w:bottom w:w="0" w:type="dxa"/>
            <w:right w:w="108" w:type="dxa"/>
          </w:tblCellMar>
        </w:tblPrEx>
        <w:trPr>
          <w:trHeight w:val="570" w:hRule="atLeast"/>
        </w:trPr>
        <w:tc>
          <w:tcPr>
            <w:tcW w:w="5000" w:type="pct"/>
            <w:gridSpan w:val="6"/>
            <w:tcBorders>
              <w:top w:val="single" w:color="auto" w:sz="4" w:space="0"/>
              <w:left w:val="nil"/>
              <w:bottom w:val="nil"/>
              <w:right w:val="nil"/>
            </w:tcBorders>
            <w:vAlign w:val="center"/>
          </w:tcPr>
          <w:p w14:paraId="5526FBD2">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0F24D762">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2BDCA4F9-5F9C-442D-9705-0B8C647A9024}"/>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embedRegular r:id="rId2" w:fontKey="{05495771-4899-4A39-8927-B7A786D57604}"/>
  </w:font>
  <w:font w:name="方正仿宋_GB2312">
    <w:panose1 w:val="02000000000000000000"/>
    <w:charset w:val="86"/>
    <w:family w:val="auto"/>
    <w:pitch w:val="default"/>
    <w:sig w:usb0="A00002BF" w:usb1="184F6CFA" w:usb2="00000012" w:usb3="00000000" w:csb0="00040001" w:csb1="00000000"/>
    <w:embedRegular r:id="rId3" w:fontKey="{6B0AD1E3-04FF-4DFD-ADBF-52269A9DFDFC}"/>
  </w:font>
  <w:font w:name="WPSEMBED2">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 w:name="WPSEMBED3">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3B5A00"/>
    <w:multiLevelType w:val="singleLevel"/>
    <w:tmpl w:val="933B5A0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2F4218D"/>
    <w:rsid w:val="03344A05"/>
    <w:rsid w:val="05275651"/>
    <w:rsid w:val="05B86C53"/>
    <w:rsid w:val="081E3E37"/>
    <w:rsid w:val="0870623F"/>
    <w:rsid w:val="0E7539A2"/>
    <w:rsid w:val="13B34670"/>
    <w:rsid w:val="17FC2877"/>
    <w:rsid w:val="1A3C46BC"/>
    <w:rsid w:val="1B020E5E"/>
    <w:rsid w:val="1C8733A0"/>
    <w:rsid w:val="201D4921"/>
    <w:rsid w:val="20547DB6"/>
    <w:rsid w:val="21602F6F"/>
    <w:rsid w:val="22862C6A"/>
    <w:rsid w:val="245D4345"/>
    <w:rsid w:val="24694EB2"/>
    <w:rsid w:val="25502092"/>
    <w:rsid w:val="292F5527"/>
    <w:rsid w:val="2B002CE4"/>
    <w:rsid w:val="2CA10B4F"/>
    <w:rsid w:val="2CAD1D69"/>
    <w:rsid w:val="2EE11733"/>
    <w:rsid w:val="2F923676"/>
    <w:rsid w:val="2FC57EA9"/>
    <w:rsid w:val="301D5EC7"/>
    <w:rsid w:val="33682ACB"/>
    <w:rsid w:val="34185686"/>
    <w:rsid w:val="35313D1A"/>
    <w:rsid w:val="38002C65"/>
    <w:rsid w:val="392E2078"/>
    <w:rsid w:val="39984AC7"/>
    <w:rsid w:val="3B020811"/>
    <w:rsid w:val="3B2E26FF"/>
    <w:rsid w:val="3C272C37"/>
    <w:rsid w:val="3EDD372A"/>
    <w:rsid w:val="4155672C"/>
    <w:rsid w:val="42045BDC"/>
    <w:rsid w:val="426C2071"/>
    <w:rsid w:val="43BD5ED1"/>
    <w:rsid w:val="449625B7"/>
    <w:rsid w:val="45BD33BC"/>
    <w:rsid w:val="47F24AD5"/>
    <w:rsid w:val="4866291F"/>
    <w:rsid w:val="4B402719"/>
    <w:rsid w:val="4B9C7ABA"/>
    <w:rsid w:val="4C985FBF"/>
    <w:rsid w:val="4D2F5EED"/>
    <w:rsid w:val="4DC60339"/>
    <w:rsid w:val="4E3A4B0F"/>
    <w:rsid w:val="4EC40453"/>
    <w:rsid w:val="4F7B2ACC"/>
    <w:rsid w:val="50153BC8"/>
    <w:rsid w:val="51E81108"/>
    <w:rsid w:val="52385E17"/>
    <w:rsid w:val="54752240"/>
    <w:rsid w:val="555D267C"/>
    <w:rsid w:val="5653575C"/>
    <w:rsid w:val="577942AD"/>
    <w:rsid w:val="58FF0EBE"/>
    <w:rsid w:val="596A084F"/>
    <w:rsid w:val="5998453C"/>
    <w:rsid w:val="5A834766"/>
    <w:rsid w:val="5BED57C7"/>
    <w:rsid w:val="5D2E69AB"/>
    <w:rsid w:val="5DCC4393"/>
    <w:rsid w:val="5E951367"/>
    <w:rsid w:val="5F257633"/>
    <w:rsid w:val="60EA0DC0"/>
    <w:rsid w:val="614E3CA3"/>
    <w:rsid w:val="64CE0A00"/>
    <w:rsid w:val="66336F03"/>
    <w:rsid w:val="66B00A67"/>
    <w:rsid w:val="6AB93F9D"/>
    <w:rsid w:val="6C8A7DA4"/>
    <w:rsid w:val="714078D6"/>
    <w:rsid w:val="715F713D"/>
    <w:rsid w:val="747E39E9"/>
    <w:rsid w:val="74857523"/>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32"/>
      <w:sz w:val="32"/>
      <w:szCs w:val="32"/>
      <w:lang w:val="en-US" w:eastAsia="zh-CN" w:bidi="ar-SA"/>
    </w:rPr>
  </w:style>
  <w:style w:type="paragraph" w:styleId="5">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6">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7">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Plain Text"/>
    <w:basedOn w:val="1"/>
    <w:next w:val="3"/>
    <w:qFormat/>
    <w:uiPriority w:val="0"/>
    <w:rPr>
      <w:rFonts w:ascii="宋体"/>
      <w:snapToGrid w:val="0"/>
      <w:kern w:val="0"/>
      <w:szCs w:val="20"/>
    </w:rPr>
  </w:style>
  <w:style w:type="paragraph" w:customStyle="1" w:styleId="3">
    <w:name w:val="Default"/>
    <w:basedOn w:val="4"/>
    <w:next w:val="1"/>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4">
    <w:name w:val="纯文本1"/>
    <w:basedOn w:val="1"/>
    <w:qFormat/>
    <w:uiPriority w:val="0"/>
    <w:pPr>
      <w:suppressAutoHyphens/>
    </w:pPr>
    <w:rPr>
      <w:rFonts w:ascii="宋体" w:hAnsi="宋体" w:eastAsia="宋体" w:cs="Times New Roman"/>
      <w:kern w:val="1"/>
      <w:sz w:val="28"/>
      <w:lang w:eastAsia="ar-SA"/>
    </w:rPr>
  </w:style>
  <w:style w:type="paragraph" w:styleId="8">
    <w:name w:val="Body Text"/>
    <w:basedOn w:val="9"/>
    <w:next w:val="9"/>
    <w:qFormat/>
    <w:uiPriority w:val="1"/>
    <w:rPr>
      <w:sz w:val="24"/>
      <w:szCs w:val="24"/>
    </w:rPr>
  </w:style>
  <w:style w:type="paragraph" w:styleId="9">
    <w:name w:val="Title"/>
    <w:basedOn w:val="1"/>
    <w:next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10">
    <w:name w:val="footer"/>
    <w:basedOn w:val="1"/>
    <w:link w:val="23"/>
    <w:qFormat/>
    <w:uiPriority w:val="0"/>
    <w:pPr>
      <w:tabs>
        <w:tab w:val="center" w:pos="4153"/>
        <w:tab w:val="right" w:pos="8306"/>
      </w:tabs>
      <w:snapToGrid w:val="0"/>
      <w:jc w:val="left"/>
    </w:pPr>
    <w:rPr>
      <w:sz w:val="18"/>
      <w:szCs w:val="18"/>
    </w:rPr>
  </w:style>
  <w:style w:type="paragraph" w:styleId="11">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jc w:val="left"/>
    </w:pPr>
    <w:rPr>
      <w:rFonts w:eastAsia="宋体"/>
      <w:kern w:val="0"/>
      <w:sz w:val="24"/>
    </w:rPr>
  </w:style>
  <w:style w:type="character" w:styleId="15">
    <w:name w:val="Strong"/>
    <w:basedOn w:val="14"/>
    <w:qFormat/>
    <w:uiPriority w:val="0"/>
    <w:rPr>
      <w:b/>
    </w:rPr>
  </w:style>
  <w:style w:type="character" w:styleId="16">
    <w:name w:val="annotation reference"/>
    <w:basedOn w:val="14"/>
    <w:qFormat/>
    <w:uiPriority w:val="0"/>
    <w:rPr>
      <w:sz w:val="21"/>
      <w:szCs w:val="21"/>
    </w:rPr>
  </w:style>
  <w:style w:type="paragraph" w:customStyle="1" w:styleId="17">
    <w:name w:val="Normal Indent1"/>
    <w:basedOn w:val="1"/>
    <w:next w:val="1"/>
    <w:qFormat/>
    <w:uiPriority w:val="99"/>
    <w:pPr>
      <w:ind w:firstLine="420"/>
    </w:p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6"/>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11"/>
    <w:qFormat/>
    <w:uiPriority w:val="0"/>
    <w:rPr>
      <w:rFonts w:ascii="Calibri" w:hAnsi="Calibri" w:eastAsia="方正仿宋_GBK"/>
      <w:kern w:val="32"/>
      <w:sz w:val="18"/>
      <w:szCs w:val="18"/>
    </w:rPr>
  </w:style>
  <w:style w:type="character" w:customStyle="1" w:styleId="22">
    <w:name w:val="标题 4 字符"/>
    <w:link w:val="7"/>
    <w:qFormat/>
    <w:uiPriority w:val="0"/>
    <w:rPr>
      <w:rFonts w:ascii="Arial" w:hAnsi="Arial" w:eastAsia="黑体"/>
      <w:b/>
      <w:bCs/>
      <w:kern w:val="2"/>
      <w:sz w:val="28"/>
      <w:szCs w:val="28"/>
    </w:rPr>
  </w:style>
  <w:style w:type="character" w:customStyle="1" w:styleId="23">
    <w:name w:val="页脚 字符"/>
    <w:link w:val="10"/>
    <w:qFormat/>
    <w:uiPriority w:val="0"/>
    <w:rPr>
      <w:rFonts w:ascii="Calibri" w:hAnsi="Calibri" w:eastAsia="方正仿宋_GBK"/>
      <w:kern w:val="32"/>
      <w:sz w:val="18"/>
      <w:szCs w:val="18"/>
    </w:rPr>
  </w:style>
  <w:style w:type="character" w:customStyle="1" w:styleId="24">
    <w:name w:val="标题 2 字符"/>
    <w:link w:val="5"/>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 w:type="paragraph" w:customStyle="1" w:styleId="32">
    <w:name w:val="正缩1"/>
    <w:basedOn w:val="1"/>
    <w:qFormat/>
    <w:uiPriority w:val="0"/>
    <w:pPr>
      <w:adjustRightInd w:val="0"/>
      <w:snapToGrid w:val="0"/>
      <w:spacing w:line="500" w:lineRule="exact"/>
      <w:ind w:firstLine="567"/>
    </w:pPr>
    <w:rPr>
      <w:rFonts w:ascii="Times New Roman" w:eastAsia="仿宋_GB2312"/>
      <w:color w:val="000000"/>
      <w:kern w:val="2"/>
      <w:sz w:val="28"/>
    </w:rPr>
  </w:style>
  <w:style w:type="paragraph" w:customStyle="1" w:styleId="33">
    <w:name w:val="【正文】"/>
    <w:basedOn w:val="1"/>
    <w:qFormat/>
    <w:uiPriority w:val="0"/>
    <w:rPr>
      <w:rFonts w:cs="宋体"/>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3845</Words>
  <Characters>4129</Characters>
  <Lines>97</Lines>
  <Paragraphs>85</Paragraphs>
  <TotalTime>4</TotalTime>
  <ScaleCrop>false</ScaleCrop>
  <LinksUpToDate>false</LinksUpToDate>
  <CharactersWithSpaces>4131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2026-07-10T08:06:00Z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59AB1FB5A3AE4CED8EB7D3C3B31CAB8C_13</vt:lpwstr>
  </property>
  <property fmtid="{D5CDD505-2E9C-101B-9397-08002B2CF9AE}" pid="4" name="KSOTemplateDocerSaveRecord">
    <vt:lpwstr>eyJoZGlkIjoiYTA0OTFiNTllN2E3YTc2MDc5ZTIwYTg0ZjFlZjFlMWQiLCJ1c2VySWQiOiIzNzMyMDUyODEifQ==</vt:lpwstr>
  </property>
</Properties>
</file>