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07E4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sz w:val="28"/>
          <w:szCs w:val="22"/>
        </w:rPr>
      </w:pPr>
      <w:r>
        <w:rPr>
          <w:rFonts w:hint="eastAsia" w:ascii="方正小标宋_GBK" w:hAnsi="仿宋" w:eastAsia="方正小标宋_GBK"/>
          <w:color w:val="auto"/>
          <w:sz w:val="40"/>
          <w:szCs w:val="40"/>
        </w:rPr>
        <w:t>曲靖市生态环境局关</w:t>
      </w:r>
      <w:r>
        <w:rPr>
          <w:rFonts w:hint="eastAsia" w:ascii="方正小标宋_GBK" w:hAnsi="仿宋" w:eastAsia="方正小标宋_GBK" w:cs="Times New Roman"/>
          <w:color w:val="auto"/>
          <w:sz w:val="40"/>
          <w:szCs w:val="40"/>
        </w:rPr>
        <w:t>于</w:t>
      </w:r>
      <w:r>
        <w:rPr>
          <w:rFonts w:hint="eastAsia" w:ascii="方正小标宋_GBK" w:hAnsi="仿宋" w:eastAsia="方正小标宋_GBK"/>
          <w:color w:val="auto"/>
          <w:sz w:val="40"/>
          <w:szCs w:val="40"/>
          <w:lang w:eastAsia="zh-CN"/>
        </w:rPr>
        <w:t>富源后所云魔坊农产品加工厂</w:t>
      </w:r>
      <w:r>
        <w:rPr>
          <w:rFonts w:hint="eastAsia" w:ascii="方正小标宋_GBK" w:hAnsi="仿宋" w:eastAsia="方正小标宋_GBK"/>
          <w:color w:val="auto"/>
          <w:sz w:val="40"/>
          <w:szCs w:val="40"/>
        </w:rPr>
        <w:t>环境影响报告表的批复</w:t>
      </w:r>
    </w:p>
    <w:p w14:paraId="1CC0BF09">
      <w:pPr>
        <w:keepNext w:val="0"/>
        <w:keepLines w:val="0"/>
        <w:pageBreakBefore w:val="0"/>
        <w:widowControl w:val="0"/>
        <w:kinsoku/>
        <w:overflowPunct/>
        <w:topLinePunct w:val="0"/>
        <w:autoSpaceDE/>
        <w:autoSpaceDN/>
        <w:bidi w:val="0"/>
        <w:adjustRightInd/>
        <w:snapToGrid/>
        <w:spacing w:line="520" w:lineRule="exact"/>
        <w:textAlignment w:val="auto"/>
        <w:rPr>
          <w:rFonts w:hint="eastAsia"/>
          <w:sz w:val="28"/>
          <w:szCs w:val="22"/>
        </w:rPr>
      </w:pPr>
    </w:p>
    <w:p w14:paraId="24138D4D">
      <w:pPr>
        <w:keepNext w:val="0"/>
        <w:keepLines w:val="0"/>
        <w:pageBreakBefore w:val="0"/>
        <w:widowControl w:val="0"/>
        <w:pBdr>
          <w:top w:val="none" w:color="auto" w:sz="0" w:space="1"/>
          <w:left w:val="none" w:color="auto" w:sz="0" w:space="4"/>
          <w:bottom w:val="none" w:color="FF0000" w:sz="0" w:space="1"/>
          <w:right w:val="none" w:color="auto" w:sz="0" w:space="4"/>
          <w:between w:val="none" w:color="auto" w:sz="0" w:space="0"/>
        </w:pBdr>
        <w:kinsoku/>
        <w:overflowPunct/>
        <w:topLinePunct w:val="0"/>
        <w:autoSpaceDE/>
        <w:autoSpaceDN/>
        <w:bidi w:val="0"/>
        <w:adjustRightInd/>
        <w:snapToGrid/>
        <w:spacing w:line="520" w:lineRule="exact"/>
        <w:jc w:val="center"/>
        <w:textAlignment w:val="auto"/>
        <w:rPr>
          <w:rFonts w:hint="eastAsia"/>
          <w:sz w:val="28"/>
          <w:szCs w:val="22"/>
          <w:lang w:val="en-US" w:eastAsia="zh-CN"/>
        </w:rPr>
      </w:pPr>
      <w:r>
        <w:rPr>
          <w:rFonts w:hint="eastAsia"/>
          <w:sz w:val="28"/>
          <w:szCs w:val="22"/>
        </w:rPr>
        <w:t>曲环审</w:t>
      </w:r>
      <w:r>
        <w:rPr>
          <w:rFonts w:hint="default"/>
          <w:sz w:val="28"/>
          <w:szCs w:val="22"/>
        </w:rPr>
        <w:t>〔</w:t>
      </w:r>
      <w:r>
        <w:rPr>
          <w:rFonts w:hint="eastAsia"/>
          <w:sz w:val="28"/>
          <w:szCs w:val="22"/>
          <w:lang w:val="en-US" w:eastAsia="zh-CN"/>
        </w:rPr>
        <w:t>2026</w:t>
      </w:r>
      <w:r>
        <w:rPr>
          <w:rFonts w:hint="default"/>
          <w:sz w:val="28"/>
          <w:szCs w:val="22"/>
        </w:rPr>
        <w:t>〕</w:t>
      </w:r>
      <w:r>
        <w:rPr>
          <w:rFonts w:hint="eastAsia"/>
          <w:sz w:val="28"/>
          <w:szCs w:val="22"/>
          <w:lang w:val="en-US" w:eastAsia="zh-CN"/>
        </w:rPr>
        <w:t>8-11号</w:t>
      </w:r>
    </w:p>
    <w:p w14:paraId="2F2DA61D">
      <w:pPr>
        <w:keepNext w:val="0"/>
        <w:keepLines w:val="0"/>
        <w:pageBreakBefore w:val="0"/>
        <w:widowControl w:val="0"/>
        <w:suppressLineNumbers w:val="0"/>
        <w:kinsoku/>
        <w:wordWrap w:val="0"/>
        <w:overflowPunct/>
        <w:topLinePunct w:val="0"/>
        <w:autoSpaceDE/>
        <w:autoSpaceDN/>
        <w:bidi w:val="0"/>
        <w:adjustRightInd/>
        <w:snapToGrid/>
        <w:spacing w:line="520" w:lineRule="exact"/>
        <w:jc w:val="both"/>
        <w:textAlignment w:val="auto"/>
        <w:rPr>
          <w:rFonts w:hint="eastAsia" w:ascii="Times New Roman" w:hAnsi="Times New Roman" w:eastAsia="方正仿宋_GBK" w:cs="Times New Roman"/>
          <w:color w:val="auto"/>
          <w:sz w:val="28"/>
          <w:szCs w:val="22"/>
          <w:lang w:val="en-US" w:eastAsia="zh-CN"/>
        </w:rPr>
      </w:pPr>
    </w:p>
    <w:p w14:paraId="6CDE3126">
      <w:pPr>
        <w:keepNext w:val="0"/>
        <w:keepLines w:val="0"/>
        <w:pageBreakBefore w:val="0"/>
        <w:widowControl w:val="0"/>
        <w:suppressLineNumbers w:val="0"/>
        <w:kinsoku/>
        <w:wordWrap w:val="0"/>
        <w:overflowPunct/>
        <w:topLinePunct w:val="0"/>
        <w:autoSpaceDE/>
        <w:autoSpaceDN/>
        <w:bidi w:val="0"/>
        <w:adjustRightInd/>
        <w:snapToGrid/>
        <w:spacing w:line="520" w:lineRule="exact"/>
        <w:jc w:val="both"/>
        <w:textAlignment w:val="auto"/>
        <w:rPr>
          <w:rFonts w:hint="default" w:ascii="Times New Roman" w:hAnsi="Times New Roman" w:eastAsia="方正仿宋_GBK" w:cs="Times New Roman"/>
          <w:color w:val="auto"/>
          <w:kern w:val="21"/>
          <w:sz w:val="28"/>
          <w:szCs w:val="22"/>
          <w:lang w:val="en-US" w:eastAsia="zh-CN"/>
        </w:rPr>
      </w:pPr>
      <w:r>
        <w:rPr>
          <w:rFonts w:hint="eastAsia" w:cs="Times New Roman"/>
          <w:color w:val="auto"/>
          <w:kern w:val="21"/>
          <w:sz w:val="28"/>
          <w:szCs w:val="22"/>
          <w:lang w:val="en-US" w:eastAsia="zh-CN"/>
        </w:rPr>
        <w:t>云南云魔坊农业科技有限公司</w:t>
      </w:r>
      <w:r>
        <w:rPr>
          <w:rFonts w:hint="default" w:ascii="Times New Roman" w:hAnsi="Times New Roman" w:eastAsia="方正仿宋_GBK" w:cs="Times New Roman"/>
          <w:color w:val="auto"/>
          <w:kern w:val="21"/>
          <w:sz w:val="28"/>
          <w:szCs w:val="22"/>
          <w:lang w:val="en-US" w:eastAsia="zh-CN"/>
        </w:rPr>
        <w:t>：</w:t>
      </w:r>
    </w:p>
    <w:p w14:paraId="3892C19A">
      <w:pPr>
        <w:keepNext w:val="0"/>
        <w:keepLines w:val="0"/>
        <w:pageBreakBefore w:val="0"/>
        <w:widowControl w:val="0"/>
        <w:suppressLineNumbers w:val="0"/>
        <w:kinsoku/>
        <w:wordWrap w:val="0"/>
        <w:overflowPunct/>
        <w:topLinePunct w:val="0"/>
        <w:autoSpaceDE/>
        <w:autoSpaceDN/>
        <w:bidi w:val="0"/>
        <w:adjustRightInd/>
        <w:snapToGrid/>
        <w:spacing w:line="520" w:lineRule="exact"/>
        <w:ind w:firstLine="552" w:firstLineChars="200"/>
        <w:jc w:val="both"/>
        <w:textAlignment w:val="auto"/>
        <w:rPr>
          <w:rFonts w:hint="default" w:ascii="Times New Roman" w:hAnsi="Times New Roman" w:eastAsia="方正仿宋_GBK" w:cs="Times New Roman"/>
          <w:color w:val="auto"/>
          <w:kern w:val="21"/>
          <w:sz w:val="28"/>
          <w:szCs w:val="22"/>
          <w:lang w:val="en-US" w:eastAsia="zh-CN"/>
        </w:rPr>
      </w:pPr>
      <w:r>
        <w:rPr>
          <w:rFonts w:hint="default" w:ascii="Times New Roman" w:hAnsi="Times New Roman" w:eastAsia="方正仿宋_GBK" w:cs="Times New Roman"/>
          <w:color w:val="auto"/>
          <w:kern w:val="21"/>
          <w:sz w:val="28"/>
          <w:szCs w:val="22"/>
          <w:lang w:val="en-US" w:eastAsia="zh-CN"/>
        </w:rPr>
        <w:t>你公司申请审批的《</w:t>
      </w:r>
      <w:r>
        <w:rPr>
          <w:rFonts w:hint="eastAsia" w:cs="Times New Roman"/>
          <w:color w:val="auto"/>
          <w:sz w:val="28"/>
          <w:szCs w:val="22"/>
          <w:lang w:val="en-US" w:eastAsia="zh-CN"/>
        </w:rPr>
        <w:t>富源后所云魔坊农产品加工厂环境影响报告表（报批稿）</w:t>
      </w:r>
      <w:r>
        <w:rPr>
          <w:rFonts w:hint="default" w:ascii="Times New Roman" w:hAnsi="Times New Roman" w:eastAsia="方正仿宋_GBK" w:cs="Times New Roman"/>
          <w:color w:val="auto"/>
          <w:kern w:val="21"/>
          <w:sz w:val="28"/>
          <w:szCs w:val="22"/>
          <w:lang w:val="en-US" w:eastAsia="zh-CN"/>
        </w:rPr>
        <w:t>》（以下简称《报告表》）及相关附件材料收悉。经研究，批复如下：</w:t>
      </w:r>
    </w:p>
    <w:p w14:paraId="74E262F0">
      <w:pPr>
        <w:keepNext w:val="0"/>
        <w:keepLines w:val="0"/>
        <w:pageBreakBefore w:val="0"/>
        <w:widowControl w:val="0"/>
        <w:suppressLineNumbers w:val="0"/>
        <w:kinsoku/>
        <w:wordWrap w:val="0"/>
        <w:overflowPunct/>
        <w:topLinePunct w:val="0"/>
        <w:autoSpaceDE/>
        <w:autoSpaceDN/>
        <w:bidi w:val="0"/>
        <w:adjustRightInd/>
        <w:snapToGrid/>
        <w:spacing w:line="520" w:lineRule="exact"/>
        <w:ind w:firstLine="552" w:firstLineChars="200"/>
        <w:jc w:val="both"/>
        <w:textAlignment w:val="auto"/>
        <w:rPr>
          <w:rFonts w:hint="eastAsia" w:ascii="Times New Roman" w:hAnsi="Times New Roman" w:eastAsia="方正仿宋_GBK" w:cs="Times New Roman"/>
          <w:color w:val="auto"/>
          <w:kern w:val="21"/>
          <w:sz w:val="28"/>
          <w:szCs w:val="22"/>
          <w:lang w:val="en-US" w:eastAsia="zh-CN"/>
        </w:rPr>
      </w:pPr>
      <w:r>
        <w:rPr>
          <w:rFonts w:hint="eastAsia" w:ascii="Times New Roman" w:hAnsi="Times New Roman" w:eastAsia="方正仿宋_GBK" w:cs="Times New Roman"/>
          <w:color w:val="auto"/>
          <w:kern w:val="21"/>
          <w:sz w:val="28"/>
          <w:szCs w:val="22"/>
          <w:lang w:val="en-US" w:eastAsia="zh-CN"/>
        </w:rPr>
        <w:t>一、</w:t>
      </w:r>
      <w:r>
        <w:rPr>
          <w:rFonts w:hint="eastAsia" w:cs="Times New Roman"/>
          <w:color w:val="auto"/>
          <w:kern w:val="21"/>
          <w:sz w:val="28"/>
          <w:szCs w:val="22"/>
          <w:lang w:val="en-US" w:eastAsia="zh-CN"/>
        </w:rPr>
        <w:t>该项目位于曲靖市富源县后所镇迤后所居委会，地理坐标：东经104度17分19.846秒，北纬25度47分10.106秒。建设内容及规模为：项目占地面积约3205m</w:t>
      </w:r>
      <w:r>
        <w:rPr>
          <w:rFonts w:hint="eastAsia" w:cs="Times New Roman"/>
          <w:color w:val="auto"/>
          <w:kern w:val="21"/>
          <w:sz w:val="28"/>
          <w:szCs w:val="22"/>
          <w:vertAlign w:val="superscript"/>
          <w:lang w:val="en-US" w:eastAsia="zh-CN"/>
        </w:rPr>
        <w:t>2</w:t>
      </w:r>
      <w:r>
        <w:rPr>
          <w:rFonts w:hint="eastAsia" w:cs="Times New Roman"/>
          <w:color w:val="auto"/>
          <w:kern w:val="21"/>
          <w:sz w:val="28"/>
          <w:szCs w:val="22"/>
          <w:lang w:val="en-US" w:eastAsia="zh-CN"/>
        </w:rPr>
        <w:t>，依托使用816m</w:t>
      </w:r>
      <w:r>
        <w:rPr>
          <w:rFonts w:hint="eastAsia" w:cs="Times New Roman"/>
          <w:color w:val="auto"/>
          <w:kern w:val="21"/>
          <w:sz w:val="28"/>
          <w:szCs w:val="22"/>
          <w:vertAlign w:val="superscript"/>
          <w:lang w:val="en-US" w:eastAsia="zh-CN"/>
        </w:rPr>
        <w:t>2</w:t>
      </w:r>
      <w:r>
        <w:rPr>
          <w:rFonts w:hint="eastAsia" w:cs="Times New Roman"/>
          <w:color w:val="auto"/>
          <w:kern w:val="21"/>
          <w:sz w:val="28"/>
          <w:szCs w:val="22"/>
          <w:lang w:val="en-US" w:eastAsia="zh-CN"/>
        </w:rPr>
        <w:t>生产车间，其中生产车间内设置192m</w:t>
      </w:r>
      <w:r>
        <w:rPr>
          <w:rFonts w:hint="eastAsia" w:cs="Times New Roman"/>
          <w:color w:val="auto"/>
          <w:kern w:val="21"/>
          <w:sz w:val="28"/>
          <w:szCs w:val="22"/>
          <w:vertAlign w:val="superscript"/>
          <w:lang w:val="en-US" w:eastAsia="zh-CN"/>
        </w:rPr>
        <w:t>2</w:t>
      </w:r>
      <w:r>
        <w:rPr>
          <w:rFonts w:hint="eastAsia" w:cs="Times New Roman"/>
          <w:color w:val="auto"/>
          <w:kern w:val="21"/>
          <w:sz w:val="28"/>
          <w:szCs w:val="22"/>
          <w:lang w:val="en-US" w:eastAsia="zh-CN"/>
        </w:rPr>
        <w:t>原辅料库、300m</w:t>
      </w:r>
      <w:r>
        <w:rPr>
          <w:rFonts w:hint="eastAsia" w:cs="Times New Roman"/>
          <w:color w:val="auto"/>
          <w:kern w:val="21"/>
          <w:sz w:val="28"/>
          <w:szCs w:val="22"/>
          <w:vertAlign w:val="superscript"/>
          <w:lang w:val="en-US" w:eastAsia="zh-CN"/>
        </w:rPr>
        <w:t>2</w:t>
      </w:r>
      <w:r>
        <w:rPr>
          <w:rFonts w:hint="eastAsia" w:cs="Times New Roman"/>
          <w:color w:val="auto"/>
          <w:kern w:val="21"/>
          <w:sz w:val="28"/>
          <w:szCs w:val="22"/>
          <w:lang w:val="en-US" w:eastAsia="zh-CN"/>
        </w:rPr>
        <w:t>豆腐加工间、70m</w:t>
      </w:r>
      <w:r>
        <w:rPr>
          <w:rFonts w:hint="eastAsia" w:cs="Times New Roman"/>
          <w:color w:val="auto"/>
          <w:kern w:val="21"/>
          <w:sz w:val="28"/>
          <w:szCs w:val="22"/>
          <w:vertAlign w:val="superscript"/>
          <w:lang w:val="en-US" w:eastAsia="zh-CN"/>
        </w:rPr>
        <w:t>2</w:t>
      </w:r>
      <w:r>
        <w:rPr>
          <w:rFonts w:hint="eastAsia" w:cs="Times New Roman"/>
          <w:color w:val="auto"/>
          <w:kern w:val="21"/>
          <w:sz w:val="28"/>
          <w:szCs w:val="22"/>
          <w:lang w:val="en-US" w:eastAsia="zh-CN"/>
        </w:rPr>
        <w:t>包装间、250m</w:t>
      </w:r>
      <w:r>
        <w:rPr>
          <w:rFonts w:hint="eastAsia" w:cs="Times New Roman"/>
          <w:color w:val="auto"/>
          <w:kern w:val="21"/>
          <w:sz w:val="28"/>
          <w:szCs w:val="22"/>
          <w:vertAlign w:val="superscript"/>
          <w:lang w:val="en-US" w:eastAsia="zh-CN"/>
        </w:rPr>
        <w:t>2</w:t>
      </w:r>
      <w:r>
        <w:rPr>
          <w:rFonts w:hint="eastAsia" w:cs="Times New Roman"/>
          <w:color w:val="auto"/>
          <w:kern w:val="21"/>
          <w:sz w:val="28"/>
          <w:szCs w:val="22"/>
          <w:lang w:val="en-US" w:eastAsia="zh-CN"/>
        </w:rPr>
        <w:t>冷库，建设一条豆腐生产线及相关配套措施，建成后年产1000吨豆腐（水豆腐和豆腐干）。项目总投资380万元，其中环保投资26.5万元。</w:t>
      </w:r>
    </w:p>
    <w:p w14:paraId="17A23015">
      <w:pPr>
        <w:pStyle w:val="7"/>
        <w:keepNext w:val="0"/>
        <w:keepLines w:val="0"/>
        <w:pageBreakBefore w:val="0"/>
        <w:widowControl w:val="0"/>
        <w:numPr>
          <w:ilvl w:val="0"/>
          <w:numId w:val="0"/>
        </w:numPr>
        <w:kinsoku/>
        <w:wordWrap w:val="0"/>
        <w:overflowPunct/>
        <w:topLinePunct w:val="0"/>
        <w:autoSpaceDE/>
        <w:autoSpaceDN/>
        <w:bidi w:val="0"/>
        <w:adjustRightInd/>
        <w:snapToGrid/>
        <w:spacing w:after="0" w:line="520" w:lineRule="exact"/>
        <w:ind w:leftChars="0" w:firstLine="552" w:firstLineChars="200"/>
        <w:jc w:val="both"/>
        <w:textAlignment w:val="auto"/>
        <w:outlineLvl w:val="9"/>
        <w:rPr>
          <w:rFonts w:hint="default" w:ascii="Times New Roman" w:hAnsi="Times New Roman" w:eastAsia="方正仿宋_GBK" w:cs="Times New Roman"/>
          <w:color w:val="auto"/>
          <w:kern w:val="21"/>
          <w:sz w:val="28"/>
          <w:szCs w:val="28"/>
          <w:lang w:eastAsia="zh-CN"/>
        </w:rPr>
      </w:pPr>
      <w:r>
        <w:rPr>
          <w:rFonts w:hint="default" w:ascii="Times New Roman" w:hAnsi="Times New Roman" w:eastAsia="方正仿宋_GBK" w:cs="Times New Roman"/>
          <w:color w:val="auto"/>
          <w:kern w:val="21"/>
          <w:sz w:val="28"/>
          <w:szCs w:val="28"/>
        </w:rPr>
        <w:t>根据《报告</w:t>
      </w:r>
      <w:r>
        <w:rPr>
          <w:rFonts w:hint="default" w:ascii="Times New Roman" w:hAnsi="Times New Roman" w:eastAsia="方正仿宋_GBK" w:cs="Times New Roman"/>
          <w:color w:val="auto"/>
          <w:kern w:val="21"/>
          <w:sz w:val="28"/>
          <w:szCs w:val="28"/>
          <w:lang w:eastAsia="zh-CN"/>
        </w:rPr>
        <w:t>表</w:t>
      </w:r>
      <w:r>
        <w:rPr>
          <w:rFonts w:hint="default" w:ascii="Times New Roman" w:hAnsi="Times New Roman" w:eastAsia="方正仿宋_GBK" w:cs="Times New Roman"/>
          <w:color w:val="auto"/>
          <w:kern w:val="21"/>
          <w:sz w:val="28"/>
          <w:szCs w:val="28"/>
        </w:rPr>
        <w:t>》评价结论，项目不涉及</w:t>
      </w:r>
      <w:r>
        <w:rPr>
          <w:rFonts w:hint="default" w:ascii="Times New Roman" w:hAnsi="Times New Roman" w:eastAsia="方正仿宋_GBK" w:cs="Times New Roman"/>
          <w:color w:val="auto"/>
          <w:kern w:val="21"/>
          <w:sz w:val="28"/>
          <w:szCs w:val="28"/>
          <w:lang w:eastAsia="zh-CN"/>
        </w:rPr>
        <w:t>占用</w:t>
      </w:r>
      <w:r>
        <w:rPr>
          <w:rFonts w:hint="default" w:ascii="Times New Roman" w:hAnsi="Times New Roman" w:eastAsia="方正仿宋_GBK" w:cs="Times New Roman"/>
          <w:color w:val="auto"/>
          <w:kern w:val="21"/>
          <w:sz w:val="28"/>
          <w:szCs w:val="28"/>
        </w:rPr>
        <w:t>依法设立的自然保护区、风景名胜区、</w:t>
      </w:r>
      <w:r>
        <w:rPr>
          <w:rFonts w:hint="default" w:ascii="Times New Roman" w:hAnsi="Times New Roman" w:eastAsia="方正仿宋_GBK" w:cs="Times New Roman"/>
          <w:color w:val="auto"/>
          <w:kern w:val="21"/>
          <w:sz w:val="28"/>
          <w:szCs w:val="28"/>
          <w:lang w:eastAsia="zh-CN"/>
        </w:rPr>
        <w:t>国家公园、</w:t>
      </w:r>
      <w:r>
        <w:rPr>
          <w:rFonts w:hint="default" w:ascii="Times New Roman" w:hAnsi="Times New Roman" w:eastAsia="方正仿宋_GBK" w:cs="Times New Roman"/>
          <w:b w:val="0"/>
          <w:bCs w:val="0"/>
          <w:color w:val="auto"/>
          <w:kern w:val="21"/>
          <w:sz w:val="28"/>
          <w:szCs w:val="28"/>
        </w:rPr>
        <w:t>饮用水水源保护区</w:t>
      </w:r>
      <w:r>
        <w:rPr>
          <w:rFonts w:hint="eastAsia" w:eastAsia="方正仿宋_GBK" w:cs="Times New Roman"/>
          <w:b w:val="0"/>
          <w:bCs w:val="0"/>
          <w:color w:val="auto"/>
          <w:kern w:val="21"/>
          <w:sz w:val="28"/>
          <w:szCs w:val="28"/>
          <w:lang w:eastAsia="zh-CN"/>
        </w:rPr>
        <w:t>、生态保护红线</w:t>
      </w:r>
      <w:r>
        <w:rPr>
          <w:rFonts w:hint="default" w:ascii="Times New Roman" w:hAnsi="Times New Roman" w:eastAsia="方正仿宋_GBK" w:cs="Times New Roman"/>
          <w:color w:val="auto"/>
          <w:kern w:val="21"/>
          <w:sz w:val="28"/>
          <w:szCs w:val="28"/>
          <w:lang w:val="en-US" w:eastAsia="zh-CN"/>
        </w:rPr>
        <w:t>等环境敏感区</w:t>
      </w:r>
      <w:r>
        <w:rPr>
          <w:rFonts w:hint="eastAsia" w:cs="Times New Roman"/>
          <w:color w:val="auto"/>
          <w:kern w:val="21"/>
          <w:sz w:val="28"/>
          <w:szCs w:val="28"/>
          <w:lang w:val="en-US" w:eastAsia="zh-CN"/>
        </w:rPr>
        <w:t>，</w:t>
      </w:r>
      <w:r>
        <w:rPr>
          <w:rFonts w:hint="default" w:ascii="Times New Roman" w:hAnsi="Times New Roman" w:eastAsia="方正仿宋_GBK" w:cs="Times New Roman"/>
          <w:color w:val="auto"/>
          <w:kern w:val="21"/>
          <w:sz w:val="28"/>
          <w:szCs w:val="28"/>
        </w:rPr>
        <w:t>符合国家产业政策</w:t>
      </w:r>
      <w:r>
        <w:rPr>
          <w:rFonts w:hint="default" w:ascii="Times New Roman" w:hAnsi="Times New Roman" w:eastAsia="方正仿宋_GBK" w:cs="Times New Roman"/>
          <w:b w:val="0"/>
          <w:bCs/>
          <w:color w:val="auto"/>
          <w:kern w:val="21"/>
          <w:sz w:val="28"/>
          <w:szCs w:val="28"/>
          <w:lang w:eastAsia="zh-CN"/>
        </w:rPr>
        <w:t>及生态环境分区管控要求</w:t>
      </w:r>
      <w:r>
        <w:rPr>
          <w:rFonts w:hint="default" w:ascii="Times New Roman" w:hAnsi="Times New Roman" w:eastAsia="方正仿宋_GBK" w:cs="Times New Roman"/>
          <w:color w:val="auto"/>
          <w:kern w:val="21"/>
          <w:sz w:val="28"/>
          <w:szCs w:val="28"/>
          <w:highlight w:val="none"/>
          <w:lang w:eastAsia="zh-CN"/>
        </w:rPr>
        <w:t>。</w:t>
      </w:r>
      <w:r>
        <w:rPr>
          <w:rFonts w:hint="default" w:ascii="Times New Roman" w:hAnsi="Times New Roman" w:eastAsia="方正仿宋_GBK" w:cs="Times New Roman"/>
          <w:color w:val="auto"/>
          <w:kern w:val="21"/>
          <w:sz w:val="28"/>
          <w:szCs w:val="28"/>
        </w:rPr>
        <w:t>在全面落实《报告</w:t>
      </w:r>
      <w:r>
        <w:rPr>
          <w:rFonts w:hint="default" w:ascii="Times New Roman" w:hAnsi="Times New Roman" w:eastAsia="方正仿宋_GBK" w:cs="Times New Roman"/>
          <w:color w:val="auto"/>
          <w:kern w:val="21"/>
          <w:sz w:val="28"/>
          <w:szCs w:val="28"/>
          <w:lang w:eastAsia="zh-CN"/>
        </w:rPr>
        <w:t>表</w:t>
      </w:r>
      <w:r>
        <w:rPr>
          <w:rFonts w:hint="default" w:ascii="Times New Roman" w:hAnsi="Times New Roman" w:eastAsia="方正仿宋_GBK" w:cs="Times New Roman"/>
          <w:color w:val="auto"/>
          <w:kern w:val="21"/>
          <w:sz w:val="28"/>
          <w:szCs w:val="28"/>
        </w:rPr>
        <w:t>》提出的各项生态保护和污染防治措施的前提下，项目建设对环境的不利影响可以降低或得到有效控制，</w:t>
      </w:r>
      <w:r>
        <w:rPr>
          <w:rFonts w:hint="eastAsia" w:eastAsia="方正仿宋_GBK" w:cs="Times New Roman"/>
          <w:color w:val="auto"/>
          <w:kern w:val="21"/>
          <w:sz w:val="28"/>
          <w:szCs w:val="28"/>
          <w:lang w:val="en-US" w:eastAsia="zh-CN"/>
        </w:rPr>
        <w:t>我局</w:t>
      </w:r>
      <w:r>
        <w:rPr>
          <w:rFonts w:hint="default" w:ascii="Times New Roman" w:hAnsi="Times New Roman" w:eastAsia="方正仿宋_GBK" w:cs="Times New Roman"/>
          <w:color w:val="auto"/>
          <w:kern w:val="21"/>
          <w:sz w:val="28"/>
          <w:szCs w:val="28"/>
        </w:rPr>
        <w:t>原则同意你</w:t>
      </w:r>
      <w:r>
        <w:rPr>
          <w:rFonts w:hint="default" w:ascii="Times New Roman" w:hAnsi="Times New Roman" w:eastAsia="方正仿宋_GBK" w:cs="Times New Roman"/>
          <w:bCs/>
          <w:color w:val="auto"/>
          <w:kern w:val="21"/>
          <w:sz w:val="28"/>
          <w:szCs w:val="28"/>
          <w:lang w:eastAsia="zh-CN"/>
        </w:rPr>
        <w:t>公司</w:t>
      </w:r>
      <w:r>
        <w:rPr>
          <w:rFonts w:hint="default" w:ascii="Times New Roman" w:hAnsi="Times New Roman" w:eastAsia="方正仿宋_GBK" w:cs="Times New Roman"/>
          <w:color w:val="auto"/>
          <w:kern w:val="21"/>
          <w:sz w:val="28"/>
          <w:szCs w:val="28"/>
        </w:rPr>
        <w:t>按《报告</w:t>
      </w:r>
      <w:r>
        <w:rPr>
          <w:rFonts w:hint="default" w:ascii="Times New Roman" w:hAnsi="Times New Roman" w:eastAsia="方正仿宋_GBK" w:cs="Times New Roman"/>
          <w:color w:val="auto"/>
          <w:kern w:val="21"/>
          <w:sz w:val="28"/>
          <w:szCs w:val="28"/>
          <w:lang w:eastAsia="zh-CN"/>
        </w:rPr>
        <w:t>表</w:t>
      </w:r>
      <w:r>
        <w:rPr>
          <w:rFonts w:hint="default" w:ascii="Times New Roman" w:hAnsi="Times New Roman" w:eastAsia="方正仿宋_GBK" w:cs="Times New Roman"/>
          <w:color w:val="auto"/>
          <w:kern w:val="21"/>
          <w:sz w:val="28"/>
          <w:szCs w:val="28"/>
        </w:rPr>
        <w:t>》中所列建设项目的地点、性质、规模</w:t>
      </w:r>
      <w:r>
        <w:rPr>
          <w:rFonts w:hint="eastAsia" w:eastAsia="方正仿宋_GBK" w:cs="Times New Roman"/>
          <w:color w:val="auto"/>
          <w:kern w:val="21"/>
          <w:sz w:val="28"/>
          <w:szCs w:val="28"/>
          <w:lang w:eastAsia="zh-CN"/>
        </w:rPr>
        <w:t>、生产工艺</w:t>
      </w:r>
      <w:r>
        <w:rPr>
          <w:rFonts w:hint="default" w:ascii="Times New Roman" w:hAnsi="Times New Roman" w:eastAsia="方正仿宋_GBK" w:cs="Times New Roman"/>
          <w:color w:val="auto"/>
          <w:kern w:val="21"/>
          <w:sz w:val="28"/>
          <w:szCs w:val="28"/>
        </w:rPr>
        <w:t>和拟采取的环境保护措施建设</w:t>
      </w:r>
      <w:r>
        <w:rPr>
          <w:rFonts w:hint="default" w:ascii="Times New Roman" w:hAnsi="Times New Roman" w:eastAsia="方正仿宋_GBK" w:cs="Times New Roman"/>
          <w:color w:val="auto"/>
          <w:kern w:val="21"/>
          <w:sz w:val="28"/>
          <w:szCs w:val="28"/>
          <w:lang w:eastAsia="zh-CN"/>
        </w:rPr>
        <w:t>。</w:t>
      </w:r>
    </w:p>
    <w:p w14:paraId="6BA36DD4">
      <w:pPr>
        <w:keepNext w:val="0"/>
        <w:keepLines w:val="0"/>
        <w:pageBreakBefore w:val="0"/>
        <w:widowControl w:val="0"/>
        <w:kinsoku/>
        <w:wordWrap w:val="0"/>
        <w:overflowPunct/>
        <w:topLinePunct w:val="0"/>
        <w:autoSpaceDE/>
        <w:autoSpaceDN/>
        <w:bidi w:val="0"/>
        <w:adjustRightInd/>
        <w:snapToGrid/>
        <w:spacing w:line="520" w:lineRule="exact"/>
        <w:ind w:firstLine="552" w:firstLineChars="200"/>
        <w:jc w:val="both"/>
        <w:textAlignment w:val="auto"/>
        <w:rPr>
          <w:rFonts w:hint="eastAsia" w:ascii="Times New Roman" w:hAnsi="Times New Roman" w:eastAsia="方正仿宋_GBK" w:cs="Times New Roman"/>
          <w:color w:val="auto"/>
          <w:kern w:val="21"/>
          <w:sz w:val="28"/>
          <w:szCs w:val="28"/>
          <w:lang w:eastAsia="zh-CN"/>
        </w:rPr>
      </w:pPr>
      <w:r>
        <w:rPr>
          <w:rFonts w:hint="default" w:ascii="Times New Roman" w:hAnsi="Times New Roman" w:eastAsia="方正仿宋_GBK" w:cs="Times New Roman"/>
          <w:color w:val="auto"/>
          <w:kern w:val="21"/>
          <w:sz w:val="28"/>
          <w:szCs w:val="28"/>
          <w:lang w:eastAsia="zh-CN"/>
        </w:rPr>
        <w:t>二</w:t>
      </w:r>
      <w:r>
        <w:rPr>
          <w:rFonts w:hint="default" w:ascii="Times New Roman" w:hAnsi="Times New Roman" w:eastAsia="方正仿宋_GBK" w:cs="Times New Roman"/>
          <w:color w:val="auto"/>
          <w:kern w:val="21"/>
          <w:sz w:val="28"/>
          <w:szCs w:val="28"/>
        </w:rPr>
        <w:t>、项目建设</w:t>
      </w:r>
      <w:r>
        <w:rPr>
          <w:rFonts w:hint="default" w:ascii="Times New Roman" w:hAnsi="Times New Roman" w:eastAsia="方正仿宋_GBK" w:cs="Times New Roman"/>
          <w:color w:val="auto"/>
          <w:kern w:val="21"/>
          <w:sz w:val="28"/>
          <w:szCs w:val="28"/>
          <w:lang w:val="en-US" w:eastAsia="zh-CN"/>
        </w:rPr>
        <w:t>和运营</w:t>
      </w:r>
      <w:r>
        <w:rPr>
          <w:rFonts w:hint="default" w:ascii="Times New Roman" w:hAnsi="Times New Roman" w:eastAsia="方正仿宋_GBK" w:cs="Times New Roman"/>
          <w:color w:val="auto"/>
          <w:kern w:val="21"/>
          <w:sz w:val="28"/>
          <w:szCs w:val="28"/>
        </w:rPr>
        <w:t>过程中须严格按照《报告表》的要求落实各项污染防治措施，同时应重点做好以下工作</w:t>
      </w:r>
      <w:r>
        <w:rPr>
          <w:rFonts w:hint="eastAsia" w:cs="Times New Roman"/>
          <w:color w:val="auto"/>
          <w:kern w:val="21"/>
          <w:sz w:val="28"/>
          <w:szCs w:val="28"/>
          <w:lang w:eastAsia="zh-CN"/>
        </w:rPr>
        <w:t>。</w:t>
      </w:r>
    </w:p>
    <w:p w14:paraId="109B5CE6">
      <w:pPr>
        <w:keepNext w:val="0"/>
        <w:keepLines w:val="0"/>
        <w:pageBreakBefore w:val="0"/>
        <w:widowControl w:val="0"/>
        <w:suppressLineNumbers w:val="0"/>
        <w:kinsoku/>
        <w:wordWrap w:val="0"/>
        <w:overflowPunct/>
        <w:topLinePunct w:val="0"/>
        <w:autoSpaceDE/>
        <w:autoSpaceDN/>
        <w:bidi w:val="0"/>
        <w:adjustRightInd/>
        <w:snapToGrid/>
        <w:spacing w:line="520" w:lineRule="exact"/>
        <w:ind w:firstLine="552" w:firstLineChars="200"/>
        <w:jc w:val="both"/>
        <w:textAlignment w:val="auto"/>
        <w:rPr>
          <w:rFonts w:hint="default" w:ascii="Times New Roman" w:hAnsi="Times New Roman" w:eastAsia="方正仿宋_GBK" w:cs="Times New Roman"/>
          <w:color w:val="auto"/>
          <w:kern w:val="21"/>
          <w:sz w:val="28"/>
          <w:szCs w:val="22"/>
          <w:lang w:val="en-US" w:eastAsia="zh-CN"/>
        </w:rPr>
      </w:pPr>
      <w:r>
        <w:rPr>
          <w:rFonts w:hint="eastAsia" w:ascii="Times New Roman" w:hAnsi="Times New Roman" w:eastAsia="方正仿宋_GBK" w:cs="Times New Roman"/>
          <w:color w:val="auto"/>
          <w:kern w:val="21"/>
          <w:sz w:val="28"/>
          <w:szCs w:val="22"/>
          <w:lang w:val="en-US" w:eastAsia="zh-CN"/>
        </w:rPr>
        <w:t>（一）加强施工期环境管理。</w:t>
      </w:r>
      <w:r>
        <w:rPr>
          <w:rFonts w:hint="default" w:ascii="Times New Roman" w:hAnsi="Times New Roman" w:eastAsia="方正仿宋_GBK" w:cs="Times New Roman"/>
          <w:color w:val="auto"/>
          <w:kern w:val="21"/>
          <w:sz w:val="28"/>
          <w:szCs w:val="22"/>
          <w:lang w:val="en-US" w:eastAsia="zh-CN"/>
        </w:rPr>
        <w:t>采用洒水抑尘、物料遮盖、施工场地四周设置围挡、车辆密闭运输、运输车辆冲洗后出场等防尘措施，减少扬尘对周围环境的污染。施工期生活污水收集至临时沉淀池沉淀处理后，回用于施工用水，不外排；施工废水用桶收集至临时沉淀池沉淀处理后，用于施工场地洒水抑尘。加强施工管理、规范操作、合理布置施工现场及施工时间，对施工动力机械设备定期进行维修和养护，确保施工场界噪声排放达到《建筑施工噪声排放标准》（GB12523-2025）。项目施工过程开挖土石方用于场地平整，可实现土石方平衡；建筑垃圾由建设单位统一收集后，可回收部分回收利用，不可回收部分及时清运至当地政府部门指定建筑垃圾堆放点；生活垃圾经垃圾收集桶收集后定期清运至后所镇垃圾集中收集点，由环卫部门统一清运处置。</w:t>
      </w:r>
    </w:p>
    <w:p w14:paraId="32333A92">
      <w:pPr>
        <w:keepNext w:val="0"/>
        <w:keepLines w:val="0"/>
        <w:pageBreakBefore w:val="0"/>
        <w:widowControl w:val="0"/>
        <w:kinsoku/>
        <w:wordWrap/>
        <w:overflowPunct/>
        <w:topLinePunct w:val="0"/>
        <w:autoSpaceDE/>
        <w:autoSpaceDN/>
        <w:bidi w:val="0"/>
        <w:adjustRightInd/>
        <w:snapToGrid/>
        <w:spacing w:line="520" w:lineRule="exact"/>
        <w:ind w:firstLine="552" w:firstLineChars="200"/>
        <w:jc w:val="both"/>
        <w:textAlignment w:val="auto"/>
        <w:rPr>
          <w:rFonts w:hint="default" w:ascii="Times New Roman" w:hAnsi="Times New Roman" w:eastAsia="方正仿宋_GBK" w:cs="Times New Roman"/>
          <w:color w:val="auto"/>
          <w:kern w:val="21"/>
          <w:sz w:val="28"/>
          <w:szCs w:val="22"/>
          <w:lang w:val="en-US" w:eastAsia="zh-CN"/>
        </w:rPr>
      </w:pPr>
      <w:r>
        <w:rPr>
          <w:rFonts w:hint="eastAsia" w:ascii="Times New Roman" w:hAnsi="Times New Roman" w:eastAsia="方正仿宋_GBK" w:cs="Times New Roman"/>
          <w:color w:val="auto"/>
          <w:kern w:val="21"/>
          <w:sz w:val="28"/>
          <w:szCs w:val="22"/>
          <w:lang w:val="en-US" w:eastAsia="zh-CN"/>
        </w:rPr>
        <w:t>（二）严格落实水环境保护措施。</w:t>
      </w:r>
      <w:r>
        <w:rPr>
          <w:rFonts w:hint="default" w:ascii="Times New Roman" w:hAnsi="Times New Roman" w:eastAsia="方正仿宋_GBK" w:cs="Times New Roman"/>
          <w:color w:val="auto"/>
          <w:kern w:val="21"/>
          <w:sz w:val="28"/>
          <w:szCs w:val="22"/>
          <w:lang w:val="en-US" w:eastAsia="zh-CN"/>
        </w:rPr>
        <w:t>项目实行雨污分流排水体制，雨水经雨水管网收集排出项目区外。设置一座20m</w:t>
      </w:r>
      <w:r>
        <w:rPr>
          <w:rFonts w:hint="default" w:ascii="Times New Roman" w:hAnsi="Times New Roman" w:eastAsia="方正仿宋_GBK" w:cs="Times New Roman"/>
          <w:color w:val="auto"/>
          <w:kern w:val="21"/>
          <w:sz w:val="28"/>
          <w:szCs w:val="22"/>
          <w:vertAlign w:val="superscript"/>
          <w:lang w:val="en-US" w:eastAsia="zh-CN"/>
        </w:rPr>
        <w:t>3</w:t>
      </w:r>
      <w:r>
        <w:rPr>
          <w:rFonts w:hint="default" w:ascii="Times New Roman" w:hAnsi="Times New Roman" w:eastAsia="方正仿宋_GBK" w:cs="Times New Roman"/>
          <w:color w:val="auto"/>
          <w:kern w:val="21"/>
          <w:sz w:val="28"/>
          <w:szCs w:val="22"/>
          <w:lang w:val="en-US" w:eastAsia="zh-CN"/>
        </w:rPr>
        <w:t>/d的一体化污水处理设备，生产废水中的黄浆水提供给养殖厂综合利用，其余生产废水进入一体化污水处理设备进行处理。生活污水经20m</w:t>
      </w:r>
      <w:r>
        <w:rPr>
          <w:rFonts w:hint="default" w:ascii="Times New Roman" w:hAnsi="Times New Roman" w:eastAsia="方正仿宋_GBK" w:cs="Times New Roman"/>
          <w:color w:val="auto"/>
          <w:kern w:val="21"/>
          <w:sz w:val="28"/>
          <w:szCs w:val="22"/>
          <w:vertAlign w:val="superscript"/>
          <w:lang w:val="en-US" w:eastAsia="zh-CN"/>
        </w:rPr>
        <w:t>3</w:t>
      </w:r>
      <w:r>
        <w:rPr>
          <w:rFonts w:hint="default" w:ascii="Times New Roman" w:hAnsi="Times New Roman" w:eastAsia="方正仿宋_GBK" w:cs="Times New Roman"/>
          <w:color w:val="auto"/>
          <w:kern w:val="21"/>
          <w:sz w:val="28"/>
          <w:szCs w:val="22"/>
          <w:lang w:val="en-US" w:eastAsia="zh-CN"/>
        </w:rPr>
        <w:t>化粪池预处理后进入一体化污水处理设备进行处理。生产废水和生活废水处理达到《食品加工制造业水污染物排放标准》（GB 46817-2025）间接排放标准后排入集镇生活污水处理厂进一步处理。设置容积为42m</w:t>
      </w:r>
      <w:r>
        <w:rPr>
          <w:rFonts w:hint="default" w:ascii="Times New Roman" w:hAnsi="Times New Roman" w:eastAsia="方正仿宋_GBK" w:cs="Times New Roman"/>
          <w:color w:val="auto"/>
          <w:kern w:val="21"/>
          <w:sz w:val="28"/>
          <w:szCs w:val="22"/>
          <w:vertAlign w:val="superscript"/>
          <w:lang w:val="en-US" w:eastAsia="zh-CN"/>
        </w:rPr>
        <w:t>3</w:t>
      </w:r>
      <w:r>
        <w:rPr>
          <w:rFonts w:hint="default" w:ascii="Times New Roman" w:hAnsi="Times New Roman" w:eastAsia="方正仿宋_GBK" w:cs="Times New Roman"/>
          <w:color w:val="auto"/>
          <w:kern w:val="21"/>
          <w:sz w:val="28"/>
          <w:szCs w:val="22"/>
          <w:lang w:val="en-US" w:eastAsia="zh-CN"/>
        </w:rPr>
        <w:t>的应急事故池，用于事故状态下生产废水的收集和暂存。</w:t>
      </w:r>
    </w:p>
    <w:p w14:paraId="66859A0D">
      <w:pPr>
        <w:keepNext w:val="0"/>
        <w:keepLines w:val="0"/>
        <w:pageBreakBefore w:val="0"/>
        <w:widowControl w:val="0"/>
        <w:kinsoku/>
        <w:wordWrap/>
        <w:overflowPunct/>
        <w:topLinePunct w:val="0"/>
        <w:autoSpaceDE/>
        <w:autoSpaceDN/>
        <w:bidi w:val="0"/>
        <w:adjustRightInd/>
        <w:snapToGrid/>
        <w:spacing w:line="520" w:lineRule="exact"/>
        <w:ind w:firstLine="552" w:firstLineChars="200"/>
        <w:jc w:val="both"/>
        <w:textAlignment w:val="auto"/>
        <w:rPr>
          <w:rFonts w:hint="default" w:ascii="Times New Roman" w:hAnsi="Times New Roman" w:eastAsia="方正仿宋_GBK" w:cs="Times New Roman"/>
          <w:color w:val="auto"/>
          <w:kern w:val="21"/>
          <w:sz w:val="28"/>
          <w:szCs w:val="22"/>
          <w:lang w:val="en-US" w:eastAsia="zh-CN"/>
        </w:rPr>
      </w:pPr>
      <w:r>
        <w:rPr>
          <w:rFonts w:hint="eastAsia" w:eastAsia="方正仿宋_GBK" w:cs="Times New Roman"/>
          <w:color w:val="auto"/>
          <w:kern w:val="21"/>
          <w:sz w:val="28"/>
          <w:szCs w:val="22"/>
          <w:lang w:val="en-US" w:eastAsia="zh-CN"/>
        </w:rPr>
        <w:t>（三）</w:t>
      </w:r>
      <w:r>
        <w:rPr>
          <w:rFonts w:hint="eastAsia" w:ascii="Times New Roman" w:hAnsi="Times New Roman" w:eastAsia="方正仿宋_GBK" w:cs="Times New Roman"/>
          <w:color w:val="auto"/>
          <w:kern w:val="21"/>
          <w:sz w:val="28"/>
          <w:szCs w:val="22"/>
          <w:lang w:val="en-US" w:eastAsia="zh-CN"/>
        </w:rPr>
        <w:t>认真</w:t>
      </w:r>
      <w:r>
        <w:rPr>
          <w:rFonts w:hint="default" w:ascii="Times New Roman" w:hAnsi="Times New Roman" w:eastAsia="方正仿宋_GBK" w:cs="Times New Roman"/>
          <w:color w:val="auto"/>
          <w:kern w:val="21"/>
          <w:sz w:val="28"/>
          <w:szCs w:val="22"/>
          <w:lang w:val="zh-CN" w:eastAsia="zh-CN"/>
        </w:rPr>
        <w:t>落实分区防控措施。</w:t>
      </w:r>
      <w:r>
        <w:rPr>
          <w:rFonts w:hint="default" w:ascii="Times New Roman" w:hAnsi="Times New Roman" w:eastAsia="方正仿宋_GBK" w:cs="Times New Roman"/>
          <w:color w:val="auto"/>
          <w:kern w:val="21"/>
          <w:sz w:val="28"/>
          <w:szCs w:val="22"/>
          <w:lang w:val="en-US" w:eastAsia="zh-CN"/>
        </w:rPr>
        <w:t>危废暂存间为重点防渗区，防渗层的防渗性能应等效于厚度≥6m，渗透系数≤1.0×10</w:t>
      </w:r>
      <w:r>
        <w:rPr>
          <w:rFonts w:hint="default" w:ascii="Times New Roman" w:hAnsi="Times New Roman" w:eastAsia="方正仿宋_GBK" w:cs="Times New Roman"/>
          <w:color w:val="auto"/>
          <w:kern w:val="21"/>
          <w:sz w:val="28"/>
          <w:szCs w:val="22"/>
          <w:vertAlign w:val="superscript"/>
          <w:lang w:val="en-US" w:eastAsia="zh-CN"/>
        </w:rPr>
        <w:t>-7</w:t>
      </w:r>
      <w:r>
        <w:rPr>
          <w:rFonts w:hint="default" w:ascii="Times New Roman" w:hAnsi="Times New Roman" w:eastAsia="方正仿宋_GBK" w:cs="Times New Roman"/>
          <w:color w:val="auto"/>
          <w:kern w:val="21"/>
          <w:sz w:val="28"/>
          <w:szCs w:val="22"/>
          <w:lang w:val="en-US" w:eastAsia="zh-CN"/>
        </w:rPr>
        <w:t>cm/s的黏土层的防渗性能，或参照《危险废物贮存污染控制标准》（GB18597-2023）执行；一体化污水处理设备、应急事故池、一般固废暂存间、化粪池等区域为一般防渗区，防渗层按等效黏土防渗层厚度≥1.5m，渗透系数≤1×10</w:t>
      </w:r>
      <w:r>
        <w:rPr>
          <w:rFonts w:hint="default" w:ascii="Times New Roman" w:hAnsi="Times New Roman" w:eastAsia="方正仿宋_GBK" w:cs="Times New Roman"/>
          <w:color w:val="auto"/>
          <w:kern w:val="21"/>
          <w:sz w:val="28"/>
          <w:szCs w:val="22"/>
          <w:vertAlign w:val="superscript"/>
          <w:lang w:val="en-US" w:eastAsia="zh-CN"/>
        </w:rPr>
        <w:t>-7</w:t>
      </w:r>
      <w:r>
        <w:rPr>
          <w:rFonts w:hint="default" w:ascii="Times New Roman" w:hAnsi="Times New Roman" w:eastAsia="方正仿宋_GBK" w:cs="Times New Roman"/>
          <w:color w:val="auto"/>
          <w:kern w:val="21"/>
          <w:sz w:val="28"/>
          <w:szCs w:val="22"/>
          <w:lang w:val="en-US" w:eastAsia="zh-CN"/>
        </w:rPr>
        <w:t>cm/s或参照《生活垃圾填埋场污染控制标准》（GB16889-2024）要求执行；其他区域为简单防渗区，进行一般地面硬化防渗。</w:t>
      </w:r>
    </w:p>
    <w:p w14:paraId="439005E1">
      <w:pPr>
        <w:keepNext w:val="0"/>
        <w:keepLines w:val="0"/>
        <w:pageBreakBefore w:val="0"/>
        <w:widowControl w:val="0"/>
        <w:kinsoku/>
        <w:wordWrap w:val="0"/>
        <w:overflowPunct/>
        <w:topLinePunct w:val="0"/>
        <w:autoSpaceDE/>
        <w:autoSpaceDN/>
        <w:bidi w:val="0"/>
        <w:adjustRightInd/>
        <w:snapToGrid/>
        <w:spacing w:line="520" w:lineRule="exact"/>
        <w:ind w:firstLine="552" w:firstLineChars="200"/>
        <w:jc w:val="both"/>
        <w:textAlignment w:val="auto"/>
        <w:rPr>
          <w:rFonts w:hint="eastAsia" w:eastAsia="方正仿宋_GBK" w:cs="Times New Roman"/>
          <w:color w:val="auto"/>
          <w:kern w:val="21"/>
          <w:sz w:val="28"/>
          <w:szCs w:val="28"/>
          <w:highlight w:val="none"/>
          <w:lang w:val="en-US" w:eastAsia="zh-CN"/>
        </w:rPr>
      </w:pPr>
      <w:r>
        <w:rPr>
          <w:rFonts w:hint="eastAsia" w:ascii="Times New Roman" w:hAnsi="Times New Roman" w:eastAsia="方正仿宋_GBK" w:cs="Times New Roman"/>
          <w:color w:val="auto"/>
          <w:kern w:val="21"/>
          <w:sz w:val="28"/>
          <w:szCs w:val="28"/>
          <w:highlight w:val="none"/>
          <w:lang w:eastAsia="zh-CN"/>
        </w:rPr>
        <w:t>（</w:t>
      </w:r>
      <w:r>
        <w:rPr>
          <w:rFonts w:hint="eastAsia" w:ascii="Times New Roman" w:hAnsi="Times New Roman" w:eastAsia="方正仿宋_GBK" w:cs="Times New Roman"/>
          <w:color w:val="auto"/>
          <w:kern w:val="21"/>
          <w:sz w:val="28"/>
          <w:szCs w:val="28"/>
          <w:highlight w:val="none"/>
          <w:lang w:val="en-US" w:eastAsia="zh-CN"/>
        </w:rPr>
        <w:t>四</w:t>
      </w:r>
      <w:r>
        <w:rPr>
          <w:rFonts w:hint="eastAsia" w:ascii="Times New Roman" w:hAnsi="Times New Roman" w:eastAsia="方正仿宋_GBK" w:cs="Times New Roman"/>
          <w:color w:val="auto"/>
          <w:kern w:val="21"/>
          <w:sz w:val="28"/>
          <w:szCs w:val="28"/>
          <w:highlight w:val="none"/>
          <w:lang w:eastAsia="zh-CN"/>
        </w:rPr>
        <w:t>）</w:t>
      </w:r>
      <w:r>
        <w:rPr>
          <w:rFonts w:hint="eastAsia" w:ascii="Times New Roman" w:hAnsi="Times New Roman" w:eastAsia="方正仿宋_GBK" w:cs="Times New Roman"/>
          <w:color w:val="auto"/>
          <w:kern w:val="21"/>
          <w:sz w:val="28"/>
          <w:szCs w:val="28"/>
          <w:highlight w:val="none"/>
        </w:rPr>
        <w:t>落实大气污染防治措施。</w:t>
      </w:r>
      <w:r>
        <w:rPr>
          <w:rFonts w:hint="eastAsia" w:eastAsia="方正仿宋_GBK" w:cs="Times New Roman"/>
          <w:color w:val="auto"/>
          <w:kern w:val="21"/>
          <w:sz w:val="28"/>
          <w:szCs w:val="28"/>
          <w:highlight w:val="none"/>
          <w:lang w:val="en-US" w:eastAsia="zh-CN"/>
        </w:rPr>
        <w:t>生产车间采用加强通风、厂区及时清扫、豆渣及时清运等措施减少异味产生。采取格栅处喷洒除臭剂、加强污水处理设备的维护保养、定期清运污泥等措施，减少一体化污水处理设备臭气产生。厂界无组织恶臭满足《恶臭污染物排放标准》（GB14554-93）表1中的标准要求。</w:t>
      </w:r>
    </w:p>
    <w:p w14:paraId="631C2DC7">
      <w:pPr>
        <w:keepNext w:val="0"/>
        <w:keepLines w:val="0"/>
        <w:pageBreakBefore w:val="0"/>
        <w:widowControl w:val="0"/>
        <w:kinsoku/>
        <w:wordWrap w:val="0"/>
        <w:overflowPunct/>
        <w:topLinePunct w:val="0"/>
        <w:autoSpaceDE/>
        <w:autoSpaceDN/>
        <w:bidi w:val="0"/>
        <w:adjustRightInd/>
        <w:snapToGrid/>
        <w:spacing w:line="520" w:lineRule="exact"/>
        <w:ind w:firstLine="552" w:firstLineChars="200"/>
        <w:jc w:val="both"/>
        <w:textAlignment w:val="auto"/>
        <w:rPr>
          <w:rFonts w:hint="default" w:ascii="Times New Roman" w:hAnsi="Times New Roman" w:eastAsia="方正仿宋_GBK" w:cs="Times New Roman"/>
          <w:color w:val="auto"/>
          <w:kern w:val="21"/>
          <w:sz w:val="28"/>
          <w:szCs w:val="22"/>
        </w:rPr>
      </w:pPr>
      <w:r>
        <w:rPr>
          <w:rFonts w:hint="eastAsia" w:ascii="Times New Roman" w:hAnsi="Times New Roman" w:eastAsia="方正仿宋_GBK" w:cs="Times New Roman"/>
          <w:color w:val="auto"/>
          <w:kern w:val="21"/>
          <w:sz w:val="28"/>
          <w:szCs w:val="22"/>
        </w:rPr>
        <w:t>（</w:t>
      </w:r>
      <w:r>
        <w:rPr>
          <w:rFonts w:hint="eastAsia" w:ascii="Times New Roman" w:hAnsi="Times New Roman" w:eastAsia="方正仿宋_GBK" w:cs="Times New Roman"/>
          <w:color w:val="auto"/>
          <w:kern w:val="21"/>
          <w:sz w:val="28"/>
          <w:szCs w:val="22"/>
          <w:lang w:val="en-US" w:eastAsia="zh-CN"/>
        </w:rPr>
        <w:t>五</w:t>
      </w:r>
      <w:r>
        <w:rPr>
          <w:rFonts w:hint="eastAsia" w:ascii="Times New Roman" w:hAnsi="Times New Roman" w:eastAsia="方正仿宋_GBK" w:cs="Times New Roman"/>
          <w:color w:val="auto"/>
          <w:kern w:val="21"/>
          <w:sz w:val="28"/>
          <w:szCs w:val="22"/>
        </w:rPr>
        <w:t>）落实固体废物的贮存、处理和处置措施。</w:t>
      </w:r>
      <w:r>
        <w:rPr>
          <w:rFonts w:hint="default" w:ascii="Times New Roman" w:hAnsi="Times New Roman" w:eastAsia="方正仿宋_GBK" w:cs="Times New Roman"/>
          <w:color w:val="auto"/>
          <w:kern w:val="21"/>
          <w:sz w:val="28"/>
          <w:szCs w:val="22"/>
        </w:rPr>
        <w:t>一体化污水处理设备污泥定期清掏后委托周边农户清运堆肥；软水制备废弃离子交换树脂由厂商直接回收处理；化粪池污泥定期清掏委托周边村民清运做农肥；生活垃圾经统一收集后置于带盖垃圾桶中，定期清运至当地环卫部门指定暂存地点暂存。设置一个20m</w:t>
      </w:r>
      <w:r>
        <w:rPr>
          <w:rFonts w:hint="default" w:ascii="Times New Roman" w:hAnsi="Times New Roman" w:eastAsia="方正仿宋_GBK" w:cs="Times New Roman"/>
          <w:color w:val="auto"/>
          <w:kern w:val="21"/>
          <w:sz w:val="28"/>
          <w:szCs w:val="22"/>
          <w:vertAlign w:val="superscript"/>
        </w:rPr>
        <w:t>2</w:t>
      </w:r>
      <w:r>
        <w:rPr>
          <w:rFonts w:hint="default" w:ascii="Times New Roman" w:hAnsi="Times New Roman" w:eastAsia="方正仿宋_GBK" w:cs="Times New Roman"/>
          <w:color w:val="auto"/>
          <w:kern w:val="21"/>
          <w:sz w:val="28"/>
          <w:szCs w:val="22"/>
        </w:rPr>
        <w:t>的一般固废暂存间，坏豆、杂物、豆壳、豆渣等设置专用容器收集后封闭处理，暂存于一般固废暂存间内（极端天气或转运不及时需暂存于冷库中防止变质），提供给周边养殖场回收</w:t>
      </w:r>
      <w:bookmarkStart w:id="0" w:name="_GoBack"/>
      <w:bookmarkEnd w:id="0"/>
      <w:r>
        <w:rPr>
          <w:rFonts w:hint="default" w:ascii="Times New Roman" w:hAnsi="Times New Roman" w:eastAsia="方正仿宋_GBK" w:cs="Times New Roman"/>
          <w:color w:val="auto"/>
          <w:kern w:val="21"/>
          <w:sz w:val="28"/>
          <w:szCs w:val="22"/>
        </w:rPr>
        <w:t>利用，日产日清。规范设置10m</w:t>
      </w:r>
      <w:r>
        <w:rPr>
          <w:rFonts w:hint="default" w:ascii="Times New Roman" w:hAnsi="Times New Roman" w:eastAsia="方正仿宋_GBK" w:cs="Times New Roman"/>
          <w:color w:val="auto"/>
          <w:kern w:val="21"/>
          <w:sz w:val="28"/>
          <w:szCs w:val="22"/>
          <w:vertAlign w:val="superscript"/>
        </w:rPr>
        <w:t>2</w:t>
      </w:r>
      <w:r>
        <w:rPr>
          <w:rFonts w:hint="default" w:ascii="Times New Roman" w:hAnsi="Times New Roman" w:eastAsia="方正仿宋_GBK" w:cs="Times New Roman"/>
          <w:color w:val="auto"/>
          <w:kern w:val="21"/>
          <w:sz w:val="28"/>
          <w:szCs w:val="22"/>
        </w:rPr>
        <w:t>的危废暂存间，设置标识标牌，维修设备产生的废机油利用专用容器收集后暂存于危险废物暂存间内，委托有资质的单位定期清运处置，收集、暂存及转运过程中的管理应严格按照《危险废物贮存污染控制标准》（GB18597-2023）和《危险废物转移管理办法》（部令第23号）等规定执行，并做好台账记录。</w:t>
      </w:r>
    </w:p>
    <w:p w14:paraId="7D380ADA">
      <w:pPr>
        <w:keepNext w:val="0"/>
        <w:keepLines w:val="0"/>
        <w:pageBreakBefore w:val="0"/>
        <w:widowControl w:val="0"/>
        <w:kinsoku/>
        <w:wordWrap w:val="0"/>
        <w:overflowPunct/>
        <w:topLinePunct w:val="0"/>
        <w:autoSpaceDE/>
        <w:autoSpaceDN/>
        <w:bidi w:val="0"/>
        <w:adjustRightInd/>
        <w:snapToGrid/>
        <w:spacing w:line="520" w:lineRule="exact"/>
        <w:ind w:firstLine="552" w:firstLineChars="200"/>
        <w:jc w:val="both"/>
        <w:textAlignment w:val="auto"/>
        <w:rPr>
          <w:rFonts w:hint="default" w:ascii="Times New Roman" w:hAnsi="Times New Roman" w:eastAsia="方正仿宋_GBK" w:cs="Times New Roman"/>
          <w:color w:val="auto"/>
          <w:kern w:val="21"/>
          <w:sz w:val="28"/>
          <w:szCs w:val="22"/>
          <w:lang w:val="en-US" w:eastAsia="zh-CN"/>
        </w:rPr>
      </w:pPr>
      <w:r>
        <w:rPr>
          <w:rFonts w:hint="eastAsia" w:ascii="Times New Roman" w:hAnsi="Times New Roman" w:eastAsia="方正仿宋_GBK" w:cs="Times New Roman"/>
          <w:color w:val="auto"/>
          <w:kern w:val="21"/>
          <w:sz w:val="28"/>
          <w:szCs w:val="22"/>
          <w:lang w:val="en-US" w:eastAsia="zh-CN" w:bidi="ar-SA"/>
        </w:rPr>
        <w:t>（六）落实噪声污染防治</w:t>
      </w:r>
      <w:r>
        <w:rPr>
          <w:rFonts w:hint="eastAsia" w:ascii="Times New Roman" w:hAnsi="Times New Roman" w:eastAsia="方正仿宋_GBK" w:cs="Times New Roman"/>
          <w:color w:val="auto"/>
          <w:kern w:val="21"/>
          <w:sz w:val="28"/>
          <w:szCs w:val="22"/>
          <w:lang w:val="en-US" w:eastAsia="zh-CN"/>
        </w:rPr>
        <w:t>措施。选用低噪声设备，将各产噪设备设置在生产车间及设备房内；采取隔声、定期检修、紧固设备基础等措施，确保厂界噪声达到《工业企业厂界环境噪声排放标准》（GB12348-2008）2类标准，确保区域声环境质量达到《声环境质量标准》（GB3096-2008）2类</w:t>
      </w:r>
      <w:r>
        <w:rPr>
          <w:rFonts w:hint="eastAsia" w:cs="Times New Roman"/>
          <w:color w:val="auto"/>
          <w:kern w:val="21"/>
          <w:sz w:val="28"/>
          <w:szCs w:val="22"/>
          <w:lang w:val="en-US" w:eastAsia="zh-CN"/>
        </w:rPr>
        <w:t>区</w:t>
      </w:r>
      <w:r>
        <w:rPr>
          <w:rFonts w:hint="eastAsia" w:ascii="Times New Roman" w:hAnsi="Times New Roman" w:eastAsia="方正仿宋_GBK" w:cs="Times New Roman"/>
          <w:color w:val="auto"/>
          <w:kern w:val="21"/>
          <w:sz w:val="28"/>
          <w:szCs w:val="22"/>
          <w:lang w:val="en-US" w:eastAsia="zh-CN"/>
        </w:rPr>
        <w:t>标准要求。</w:t>
      </w:r>
    </w:p>
    <w:p w14:paraId="763FC080">
      <w:pPr>
        <w:keepNext w:val="0"/>
        <w:keepLines w:val="0"/>
        <w:pageBreakBefore w:val="0"/>
        <w:widowControl w:val="0"/>
        <w:kinsoku/>
        <w:wordWrap w:val="0"/>
        <w:overflowPunct/>
        <w:topLinePunct w:val="0"/>
        <w:autoSpaceDE/>
        <w:autoSpaceDN/>
        <w:bidi w:val="0"/>
        <w:adjustRightInd/>
        <w:snapToGrid/>
        <w:spacing w:line="520" w:lineRule="exact"/>
        <w:ind w:firstLine="552" w:firstLineChars="200"/>
        <w:jc w:val="both"/>
        <w:textAlignment w:val="auto"/>
        <w:rPr>
          <w:rFonts w:hint="default" w:ascii="Times New Roman" w:hAnsi="Times New Roman" w:eastAsia="方正仿宋_GBK" w:cs="Times New Roman"/>
          <w:color w:val="auto"/>
          <w:kern w:val="21"/>
          <w:sz w:val="28"/>
          <w:szCs w:val="28"/>
        </w:rPr>
      </w:pPr>
      <w:r>
        <w:rPr>
          <w:rFonts w:hint="eastAsia" w:ascii="Times New Roman" w:hAnsi="Times New Roman" w:eastAsia="方正仿宋_GBK" w:cs="Times New Roman"/>
          <w:color w:val="auto"/>
          <w:kern w:val="21"/>
          <w:sz w:val="28"/>
          <w:szCs w:val="28"/>
        </w:rPr>
        <w:t>（</w:t>
      </w:r>
      <w:r>
        <w:rPr>
          <w:rFonts w:hint="eastAsia" w:ascii="Times New Roman" w:hAnsi="Times New Roman" w:eastAsia="方正仿宋_GBK" w:cs="Times New Roman"/>
          <w:color w:val="auto"/>
          <w:kern w:val="21"/>
          <w:sz w:val="28"/>
          <w:szCs w:val="28"/>
          <w:lang w:val="en-US" w:eastAsia="zh-CN"/>
        </w:rPr>
        <w:t>七</w:t>
      </w:r>
      <w:r>
        <w:rPr>
          <w:rFonts w:hint="eastAsia" w:ascii="Times New Roman" w:hAnsi="Times New Roman" w:eastAsia="方正仿宋_GBK" w:cs="Times New Roman"/>
          <w:color w:val="auto"/>
          <w:kern w:val="21"/>
          <w:sz w:val="28"/>
          <w:szCs w:val="28"/>
        </w:rPr>
        <w:t>）加强应急处置。</w:t>
      </w:r>
      <w:r>
        <w:rPr>
          <w:rFonts w:hint="default" w:ascii="Times New Roman" w:hAnsi="Times New Roman" w:eastAsia="方正仿宋_GBK" w:cs="Times New Roman"/>
          <w:color w:val="auto"/>
          <w:kern w:val="21"/>
          <w:sz w:val="28"/>
          <w:szCs w:val="28"/>
        </w:rPr>
        <w:t>制定和完善环境风险及突发环境事件应急预案，并报市生态环境局富源分局备案。按照“预防为主”的原则，做好日常环境管理工作，认真落实环境风险事故防范措施及应急措施。</w:t>
      </w:r>
    </w:p>
    <w:p w14:paraId="3BC76D3E">
      <w:pPr>
        <w:pStyle w:val="7"/>
        <w:keepNext w:val="0"/>
        <w:keepLines w:val="0"/>
        <w:pageBreakBefore w:val="0"/>
        <w:widowControl w:val="0"/>
        <w:kinsoku/>
        <w:wordWrap w:val="0"/>
        <w:overflowPunct/>
        <w:topLinePunct w:val="0"/>
        <w:autoSpaceDE/>
        <w:autoSpaceDN/>
        <w:bidi w:val="0"/>
        <w:adjustRightInd/>
        <w:snapToGrid/>
        <w:spacing w:after="0" w:line="520" w:lineRule="exact"/>
        <w:ind w:left="0" w:leftChars="0" w:firstLine="552" w:firstLineChars="200"/>
        <w:jc w:val="both"/>
        <w:textAlignment w:val="auto"/>
        <w:rPr>
          <w:rFonts w:hint="default" w:ascii="Times New Roman" w:hAnsi="Times New Roman" w:eastAsia="方正仿宋_GBK" w:cs="Times New Roman"/>
          <w:color w:val="auto"/>
          <w:kern w:val="21"/>
          <w:sz w:val="28"/>
          <w:szCs w:val="28"/>
        </w:rPr>
      </w:pPr>
      <w:r>
        <w:rPr>
          <w:rFonts w:hint="eastAsia" w:cs="Times New Roman"/>
          <w:color w:val="auto"/>
          <w:kern w:val="21"/>
          <w:sz w:val="28"/>
          <w:szCs w:val="28"/>
          <w:lang w:eastAsia="zh-CN"/>
        </w:rPr>
        <w:t>三</w:t>
      </w:r>
      <w:r>
        <w:rPr>
          <w:rFonts w:hint="default" w:ascii="Times New Roman" w:hAnsi="Times New Roman" w:eastAsia="方正仿宋_GBK" w:cs="Times New Roman"/>
          <w:color w:val="auto"/>
          <w:kern w:val="21"/>
          <w:sz w:val="28"/>
          <w:szCs w:val="28"/>
        </w:rPr>
        <w:t>、严格按照《报告</w:t>
      </w:r>
      <w:r>
        <w:rPr>
          <w:rFonts w:hint="default" w:ascii="Times New Roman" w:hAnsi="Times New Roman" w:eastAsia="方正仿宋_GBK" w:cs="Times New Roman"/>
          <w:color w:val="auto"/>
          <w:kern w:val="21"/>
          <w:sz w:val="28"/>
          <w:szCs w:val="28"/>
          <w:lang w:eastAsia="zh-CN"/>
        </w:rPr>
        <w:t>表</w:t>
      </w:r>
      <w:r>
        <w:rPr>
          <w:rFonts w:hint="default" w:ascii="Times New Roman" w:hAnsi="Times New Roman" w:eastAsia="方正仿宋_GBK" w:cs="Times New Roman"/>
          <w:color w:val="auto"/>
          <w:kern w:val="21"/>
          <w:sz w:val="28"/>
          <w:szCs w:val="28"/>
        </w:rPr>
        <w:t>》确定的监测点位、监测项目及监测频次开展监测工作</w:t>
      </w:r>
      <w:r>
        <w:rPr>
          <w:rFonts w:hint="default" w:ascii="Times New Roman" w:hAnsi="Times New Roman" w:eastAsia="方正仿宋_GBK" w:cs="Times New Roman"/>
          <w:color w:val="auto"/>
          <w:kern w:val="21"/>
          <w:sz w:val="28"/>
          <w:szCs w:val="28"/>
          <w:lang w:eastAsia="zh-CN"/>
        </w:rPr>
        <w:t>。</w:t>
      </w:r>
    </w:p>
    <w:p w14:paraId="27D3C3BB">
      <w:pPr>
        <w:pStyle w:val="7"/>
        <w:keepNext w:val="0"/>
        <w:keepLines w:val="0"/>
        <w:pageBreakBefore w:val="0"/>
        <w:widowControl w:val="0"/>
        <w:kinsoku/>
        <w:wordWrap w:val="0"/>
        <w:overflowPunct/>
        <w:topLinePunct w:val="0"/>
        <w:autoSpaceDE/>
        <w:autoSpaceDN/>
        <w:bidi w:val="0"/>
        <w:adjustRightInd/>
        <w:snapToGrid/>
        <w:spacing w:after="0" w:line="520" w:lineRule="exact"/>
        <w:ind w:left="0" w:leftChars="0" w:firstLine="552" w:firstLineChars="200"/>
        <w:jc w:val="both"/>
        <w:textAlignment w:val="auto"/>
        <w:rPr>
          <w:rFonts w:hint="default" w:ascii="Times New Roman" w:hAnsi="Times New Roman" w:eastAsia="方正仿宋_GBK" w:cs="Times New Roman"/>
          <w:color w:val="auto"/>
          <w:kern w:val="21"/>
          <w:sz w:val="28"/>
          <w:szCs w:val="28"/>
        </w:rPr>
      </w:pPr>
      <w:r>
        <w:rPr>
          <w:rFonts w:hint="eastAsia" w:cs="Times New Roman"/>
          <w:color w:val="auto"/>
          <w:kern w:val="21"/>
          <w:sz w:val="28"/>
          <w:szCs w:val="28"/>
          <w:lang w:eastAsia="zh-CN"/>
        </w:rPr>
        <w:t>四</w:t>
      </w:r>
      <w:r>
        <w:rPr>
          <w:rFonts w:hint="default" w:ascii="Times New Roman" w:hAnsi="Times New Roman" w:eastAsia="方正仿宋_GBK" w:cs="Times New Roman"/>
          <w:color w:val="auto"/>
          <w:kern w:val="21"/>
          <w:sz w:val="28"/>
          <w:szCs w:val="28"/>
          <w:lang w:eastAsia="zh-CN"/>
        </w:rPr>
        <w:t>、</w:t>
      </w:r>
      <w:r>
        <w:rPr>
          <w:rFonts w:hint="default" w:ascii="Times New Roman" w:hAnsi="Times New Roman" w:eastAsia="方正仿宋_GBK" w:cs="Times New Roman"/>
          <w:color w:val="auto"/>
          <w:kern w:val="21"/>
          <w:sz w:val="28"/>
          <w:szCs w:val="28"/>
          <w:lang w:val="en-US" w:eastAsia="zh-CN"/>
        </w:rPr>
        <w:t>项目建设必须严格执行配套的环境保护设施与主体工程同时设计、同时施工、同时投产使用的</w:t>
      </w:r>
      <w:r>
        <w:rPr>
          <w:rFonts w:hint="eastAsia" w:cs="Times New Roman"/>
          <w:color w:val="auto"/>
          <w:kern w:val="21"/>
          <w:sz w:val="28"/>
          <w:szCs w:val="28"/>
          <w:lang w:val="en-US" w:eastAsia="zh-CN"/>
        </w:rPr>
        <w:t>“</w:t>
      </w:r>
      <w:r>
        <w:rPr>
          <w:rFonts w:hint="default" w:ascii="Times New Roman" w:hAnsi="Times New Roman" w:eastAsia="方正仿宋_GBK" w:cs="Times New Roman"/>
          <w:color w:val="auto"/>
          <w:kern w:val="21"/>
          <w:sz w:val="28"/>
          <w:szCs w:val="28"/>
          <w:lang w:val="en-US" w:eastAsia="zh-CN"/>
        </w:rPr>
        <w:t>三同时</w:t>
      </w:r>
      <w:r>
        <w:rPr>
          <w:rFonts w:hint="eastAsia" w:cs="Times New Roman"/>
          <w:color w:val="auto"/>
          <w:kern w:val="21"/>
          <w:sz w:val="28"/>
          <w:szCs w:val="28"/>
          <w:lang w:val="en-US" w:eastAsia="zh-CN"/>
        </w:rPr>
        <w:t>”</w:t>
      </w:r>
      <w:r>
        <w:rPr>
          <w:rFonts w:hint="default" w:ascii="Times New Roman" w:hAnsi="Times New Roman" w:eastAsia="方正仿宋_GBK" w:cs="Times New Roman"/>
          <w:color w:val="auto"/>
          <w:kern w:val="21"/>
          <w:sz w:val="28"/>
          <w:szCs w:val="28"/>
          <w:lang w:val="en-US" w:eastAsia="zh-CN"/>
        </w:rPr>
        <w:t>制度。施工招标文件和施工合同应明确环保条款和责任，认真落实施工期环境保护工作。</w:t>
      </w:r>
      <w:r>
        <w:rPr>
          <w:rFonts w:hint="default" w:ascii="Times New Roman" w:hAnsi="Times New Roman" w:eastAsia="方正仿宋_GBK" w:cs="Times New Roman"/>
          <w:color w:val="auto"/>
          <w:kern w:val="21"/>
          <w:sz w:val="28"/>
          <w:szCs w:val="28"/>
          <w:lang w:eastAsia="zh-CN"/>
        </w:rPr>
        <w:t>项目建成后，</w:t>
      </w:r>
      <w:r>
        <w:rPr>
          <w:rFonts w:hint="default" w:ascii="Times New Roman" w:hAnsi="Times New Roman" w:eastAsia="方正仿宋_GBK" w:cs="Times New Roman"/>
          <w:color w:val="auto"/>
          <w:kern w:val="21"/>
          <w:sz w:val="28"/>
          <w:szCs w:val="28"/>
        </w:rPr>
        <w:t>你</w:t>
      </w:r>
      <w:r>
        <w:rPr>
          <w:rFonts w:hint="default" w:ascii="Times New Roman" w:hAnsi="Times New Roman" w:eastAsia="方正仿宋_GBK" w:cs="Times New Roman"/>
          <w:color w:val="auto"/>
          <w:kern w:val="21"/>
          <w:sz w:val="28"/>
          <w:szCs w:val="28"/>
          <w:lang w:eastAsia="zh-CN"/>
        </w:rPr>
        <w:t>公司</w:t>
      </w:r>
      <w:r>
        <w:rPr>
          <w:rFonts w:hint="default" w:ascii="Times New Roman" w:hAnsi="Times New Roman" w:eastAsia="方正仿宋_GBK" w:cs="Times New Roman"/>
          <w:color w:val="auto"/>
          <w:kern w:val="21"/>
          <w:sz w:val="28"/>
          <w:szCs w:val="28"/>
        </w:rPr>
        <w:t>应按照《建设项目竣工环境保护验收暂行办法》</w:t>
      </w:r>
      <w:r>
        <w:rPr>
          <w:rFonts w:hint="default" w:ascii="Times New Roman" w:hAnsi="Times New Roman" w:eastAsia="方正仿宋_GBK" w:cs="Times New Roman"/>
          <w:color w:val="auto"/>
          <w:kern w:val="21"/>
          <w:sz w:val="28"/>
          <w:szCs w:val="28"/>
          <w:lang w:eastAsia="zh-CN"/>
        </w:rPr>
        <w:t>（</w:t>
      </w:r>
      <w:r>
        <w:rPr>
          <w:rFonts w:hint="default" w:ascii="Times New Roman" w:hAnsi="Times New Roman" w:eastAsia="方正仿宋_GBK" w:cs="Times New Roman"/>
          <w:color w:val="auto"/>
          <w:kern w:val="21"/>
          <w:sz w:val="28"/>
          <w:szCs w:val="28"/>
        </w:rPr>
        <w:t>国环规环评〔2017〕4号</w:t>
      </w:r>
      <w:r>
        <w:rPr>
          <w:rFonts w:hint="default" w:ascii="Times New Roman" w:hAnsi="Times New Roman" w:eastAsia="方正仿宋_GBK" w:cs="Times New Roman"/>
          <w:color w:val="auto"/>
          <w:kern w:val="21"/>
          <w:sz w:val="28"/>
          <w:szCs w:val="28"/>
          <w:lang w:eastAsia="zh-CN"/>
        </w:rPr>
        <w:t>）</w:t>
      </w:r>
      <w:r>
        <w:rPr>
          <w:rFonts w:hint="default" w:ascii="Times New Roman" w:hAnsi="Times New Roman" w:eastAsia="方正仿宋_GBK" w:cs="Times New Roman"/>
          <w:color w:val="auto"/>
          <w:kern w:val="21"/>
          <w:sz w:val="28"/>
          <w:szCs w:val="28"/>
        </w:rPr>
        <w:t>相关要求完成竣工</w:t>
      </w:r>
      <w:r>
        <w:rPr>
          <w:rFonts w:hint="default" w:ascii="Times New Roman" w:hAnsi="Times New Roman" w:eastAsia="方正仿宋_GBK" w:cs="Times New Roman"/>
          <w:color w:val="auto"/>
          <w:kern w:val="21"/>
          <w:sz w:val="28"/>
          <w:szCs w:val="28"/>
          <w:lang w:eastAsia="zh-CN"/>
        </w:rPr>
        <w:t>环境保护</w:t>
      </w:r>
      <w:r>
        <w:rPr>
          <w:rFonts w:hint="default" w:ascii="Times New Roman" w:hAnsi="Times New Roman" w:eastAsia="方正仿宋_GBK" w:cs="Times New Roman"/>
          <w:color w:val="auto"/>
          <w:kern w:val="21"/>
          <w:sz w:val="28"/>
          <w:szCs w:val="28"/>
        </w:rPr>
        <w:t>自主验收</w:t>
      </w:r>
      <w:r>
        <w:rPr>
          <w:rFonts w:hint="default" w:ascii="Times New Roman" w:hAnsi="Times New Roman" w:eastAsia="方正仿宋_GBK" w:cs="Times New Roman"/>
          <w:color w:val="000000"/>
          <w:kern w:val="21"/>
          <w:sz w:val="28"/>
          <w:szCs w:val="28"/>
          <w:lang w:val="en-US" w:eastAsia="zh-CN" w:bidi="ar"/>
        </w:rPr>
        <w:t>，</w:t>
      </w:r>
      <w:r>
        <w:rPr>
          <w:rFonts w:hint="default" w:ascii="Times New Roman" w:hAnsi="Times New Roman" w:eastAsia="方正仿宋_GBK" w:cs="Times New Roman"/>
          <w:kern w:val="21"/>
          <w:sz w:val="28"/>
          <w:szCs w:val="28"/>
          <w:lang w:eastAsia="zh-CN"/>
        </w:rPr>
        <w:t>并按《排污许可管理条例》《排污许可管理办法》要求，在项目建成投产前办理</w:t>
      </w:r>
      <w:r>
        <w:rPr>
          <w:rFonts w:hint="default" w:ascii="Times New Roman" w:hAnsi="Times New Roman" w:eastAsia="方正仿宋_GBK" w:cs="Times New Roman"/>
          <w:color w:val="000000"/>
          <w:kern w:val="21"/>
          <w:sz w:val="28"/>
          <w:szCs w:val="28"/>
          <w:highlight w:val="none"/>
          <w:lang w:eastAsia="zh-CN"/>
        </w:rPr>
        <w:t>排污许可</w:t>
      </w:r>
      <w:r>
        <w:rPr>
          <w:rFonts w:hint="default" w:ascii="Times New Roman" w:hAnsi="Times New Roman" w:eastAsia="方正仿宋_GBK" w:cs="Times New Roman"/>
          <w:kern w:val="21"/>
          <w:sz w:val="28"/>
          <w:szCs w:val="28"/>
          <w:lang w:eastAsia="zh-CN"/>
        </w:rPr>
        <w:t>相关手续</w:t>
      </w:r>
      <w:r>
        <w:rPr>
          <w:rFonts w:hint="default" w:ascii="Times New Roman" w:hAnsi="Times New Roman" w:eastAsia="方正仿宋_GBK" w:cs="Times New Roman"/>
          <w:color w:val="auto"/>
          <w:kern w:val="21"/>
          <w:sz w:val="28"/>
          <w:szCs w:val="28"/>
        </w:rPr>
        <w:t>。</w:t>
      </w:r>
    </w:p>
    <w:p w14:paraId="6CBCA45A">
      <w:pPr>
        <w:keepNext w:val="0"/>
        <w:keepLines w:val="0"/>
        <w:pageBreakBefore w:val="0"/>
        <w:widowControl w:val="0"/>
        <w:kinsoku/>
        <w:wordWrap w:val="0"/>
        <w:overflowPunct/>
        <w:topLinePunct w:val="0"/>
        <w:autoSpaceDE/>
        <w:autoSpaceDN/>
        <w:bidi w:val="0"/>
        <w:adjustRightInd/>
        <w:snapToGrid/>
        <w:spacing w:line="520" w:lineRule="exact"/>
        <w:ind w:left="0" w:firstLine="552" w:firstLineChars="200"/>
        <w:jc w:val="both"/>
        <w:textAlignment w:val="auto"/>
        <w:rPr>
          <w:rFonts w:hint="default" w:ascii="Times New Roman" w:hAnsi="Times New Roman" w:eastAsia="方正仿宋_GBK" w:cs="Times New Roman"/>
          <w:color w:val="auto"/>
          <w:kern w:val="21"/>
          <w:sz w:val="28"/>
          <w:szCs w:val="28"/>
        </w:rPr>
      </w:pPr>
      <w:r>
        <w:rPr>
          <w:rFonts w:hint="eastAsia" w:cs="Times New Roman"/>
          <w:color w:val="auto"/>
          <w:kern w:val="21"/>
          <w:sz w:val="28"/>
          <w:szCs w:val="28"/>
          <w:lang w:eastAsia="zh-CN"/>
        </w:rPr>
        <w:t>五</w:t>
      </w:r>
      <w:r>
        <w:rPr>
          <w:rFonts w:hint="default" w:ascii="Times New Roman" w:hAnsi="Times New Roman" w:eastAsia="方正仿宋_GBK" w:cs="Times New Roman"/>
          <w:color w:val="auto"/>
          <w:kern w:val="21"/>
          <w:sz w:val="28"/>
          <w:szCs w:val="28"/>
          <w:lang w:eastAsia="zh-CN"/>
        </w:rPr>
        <w:t>、</w:t>
      </w:r>
      <w:r>
        <w:rPr>
          <w:rFonts w:hint="default" w:ascii="Times New Roman" w:hAnsi="Times New Roman" w:eastAsia="方正仿宋_GBK" w:cs="Times New Roman"/>
          <w:color w:val="auto"/>
          <w:kern w:val="21"/>
          <w:sz w:val="28"/>
          <w:szCs w:val="28"/>
        </w:rPr>
        <w:t>如项目的性质、规模、地点、生产工艺或者防治污染、防止生态破坏的措施等发生重大变动，</w:t>
      </w:r>
      <w:r>
        <w:rPr>
          <w:rFonts w:hint="default" w:ascii="Times New Roman" w:hAnsi="Times New Roman" w:eastAsia="方正仿宋_GBK" w:cs="Times New Roman"/>
          <w:b w:val="0"/>
          <w:bCs w:val="0"/>
          <w:color w:val="auto"/>
          <w:kern w:val="21"/>
          <w:sz w:val="28"/>
          <w:szCs w:val="28"/>
          <w:lang w:eastAsia="zh-CN"/>
        </w:rPr>
        <w:t>应向有审批权限的生态环境部门报告并按要求办理相关手续</w:t>
      </w:r>
      <w:r>
        <w:rPr>
          <w:rFonts w:hint="default" w:ascii="Times New Roman" w:hAnsi="Times New Roman" w:eastAsia="方正仿宋_GBK" w:cs="Times New Roman"/>
          <w:color w:val="auto"/>
          <w:kern w:val="21"/>
          <w:sz w:val="28"/>
          <w:szCs w:val="28"/>
        </w:rPr>
        <w:t>。项目环境影响评价文件自批准之日起超过5年，方决定开工建设的，其环境影响评价文件应报</w:t>
      </w:r>
      <w:r>
        <w:rPr>
          <w:rFonts w:hint="eastAsia" w:eastAsia="方正仿宋_GBK" w:cs="Times New Roman"/>
          <w:color w:val="auto"/>
          <w:kern w:val="21"/>
          <w:sz w:val="28"/>
          <w:szCs w:val="28"/>
          <w:lang w:val="en-US" w:eastAsia="zh-CN"/>
        </w:rPr>
        <w:t>我</w:t>
      </w:r>
      <w:r>
        <w:rPr>
          <w:rFonts w:hint="default" w:ascii="Times New Roman" w:hAnsi="Times New Roman" w:eastAsia="方正仿宋_GBK" w:cs="Times New Roman"/>
          <w:color w:val="auto"/>
          <w:kern w:val="21"/>
          <w:sz w:val="28"/>
          <w:szCs w:val="28"/>
          <w:lang w:val="en-US" w:eastAsia="zh-CN"/>
        </w:rPr>
        <w:t>局</w:t>
      </w:r>
      <w:r>
        <w:rPr>
          <w:rFonts w:hint="default" w:ascii="Times New Roman" w:hAnsi="Times New Roman" w:eastAsia="方正仿宋_GBK" w:cs="Times New Roman"/>
          <w:color w:val="auto"/>
          <w:kern w:val="21"/>
          <w:sz w:val="28"/>
          <w:szCs w:val="28"/>
        </w:rPr>
        <w:t>重新审核。</w:t>
      </w:r>
    </w:p>
    <w:p w14:paraId="133FD252">
      <w:pPr>
        <w:pStyle w:val="6"/>
        <w:keepNext w:val="0"/>
        <w:keepLines w:val="0"/>
        <w:pageBreakBefore w:val="0"/>
        <w:widowControl w:val="0"/>
        <w:kinsoku/>
        <w:wordWrap w:val="0"/>
        <w:overflowPunct/>
        <w:topLinePunct w:val="0"/>
        <w:autoSpaceDE/>
        <w:autoSpaceDN/>
        <w:bidi w:val="0"/>
        <w:adjustRightInd/>
        <w:snapToGrid/>
        <w:spacing w:line="520" w:lineRule="exact"/>
        <w:ind w:left="0" w:leftChars="0" w:firstLine="552" w:firstLineChars="200"/>
        <w:textAlignment w:val="auto"/>
        <w:rPr>
          <w:rFonts w:hint="default" w:ascii="Times New Roman" w:hAnsi="Times New Roman" w:eastAsia="方正仿宋_GBK" w:cs="Times New Roman"/>
          <w:color w:val="auto"/>
          <w:kern w:val="21"/>
          <w:sz w:val="28"/>
          <w:szCs w:val="28"/>
        </w:rPr>
      </w:pPr>
      <w:r>
        <w:rPr>
          <w:rFonts w:hint="eastAsia" w:eastAsia="仿宋" w:cs="Times New Roman"/>
          <w:kern w:val="21"/>
          <w:sz w:val="28"/>
          <w:szCs w:val="28"/>
          <w:lang w:eastAsia="zh-CN"/>
        </w:rPr>
        <w:t>六</w:t>
      </w:r>
      <w:r>
        <w:rPr>
          <w:rFonts w:hint="default" w:ascii="Times New Roman" w:hAnsi="Times New Roman" w:eastAsia="仿宋" w:cs="Times New Roman"/>
          <w:kern w:val="21"/>
          <w:sz w:val="28"/>
          <w:szCs w:val="28"/>
        </w:rPr>
        <w:t>、</w:t>
      </w:r>
      <w:r>
        <w:rPr>
          <w:rFonts w:hint="default" w:ascii="Times New Roman" w:hAnsi="Times New Roman" w:eastAsia="方正仿宋_GBK" w:cs="Times New Roman"/>
          <w:kern w:val="21"/>
          <w:sz w:val="28"/>
          <w:szCs w:val="28"/>
          <w:lang w:eastAsia="zh-CN"/>
        </w:rPr>
        <w:t>请市</w:t>
      </w:r>
      <w:r>
        <w:rPr>
          <w:rFonts w:hint="default" w:ascii="Times New Roman" w:hAnsi="Times New Roman" w:eastAsia="方正仿宋_GBK" w:cs="Times New Roman"/>
          <w:color w:val="auto"/>
          <w:kern w:val="21"/>
          <w:sz w:val="28"/>
          <w:szCs w:val="28"/>
          <w:lang w:eastAsia="zh-CN"/>
        </w:rPr>
        <w:t>生态环境局</w:t>
      </w:r>
      <w:r>
        <w:rPr>
          <w:rFonts w:hint="eastAsia" w:ascii="Times New Roman" w:hAnsi="Times New Roman" w:eastAsia="方正仿宋_GBK" w:cs="Times New Roman"/>
          <w:color w:val="auto"/>
          <w:kern w:val="21"/>
          <w:sz w:val="28"/>
          <w:szCs w:val="28"/>
          <w:lang w:eastAsia="zh-CN"/>
        </w:rPr>
        <w:t>富源</w:t>
      </w:r>
      <w:r>
        <w:rPr>
          <w:rFonts w:hint="default" w:ascii="Times New Roman" w:hAnsi="Times New Roman" w:eastAsia="方正仿宋_GBK" w:cs="Times New Roman"/>
          <w:color w:val="auto"/>
          <w:kern w:val="21"/>
          <w:sz w:val="28"/>
          <w:szCs w:val="28"/>
          <w:lang w:eastAsia="zh-CN"/>
        </w:rPr>
        <w:t>分局负责该项目的环境执法监察和监督管理，请市生态环境保护综合行政执法支队加强监督检查。</w:t>
      </w:r>
    </w:p>
    <w:p w14:paraId="10DED572">
      <w:pPr>
        <w:pStyle w:val="6"/>
        <w:keepNext w:val="0"/>
        <w:keepLines w:val="0"/>
        <w:pageBreakBefore w:val="0"/>
        <w:widowControl w:val="0"/>
        <w:kinsoku/>
        <w:wordWrap w:val="0"/>
        <w:overflowPunct/>
        <w:topLinePunct w:val="0"/>
        <w:autoSpaceDE/>
        <w:autoSpaceDN/>
        <w:bidi w:val="0"/>
        <w:adjustRightInd/>
        <w:snapToGrid/>
        <w:spacing w:line="520" w:lineRule="exact"/>
        <w:ind w:leftChars="0" w:firstLine="3864" w:firstLineChars="1400"/>
        <w:textAlignment w:val="auto"/>
        <w:rPr>
          <w:rFonts w:hint="default" w:ascii="Times New Roman" w:hAnsi="Times New Roman" w:eastAsia="方正仿宋_GBK" w:cs="Times New Roman"/>
          <w:color w:val="auto"/>
          <w:kern w:val="21"/>
          <w:sz w:val="28"/>
          <w:szCs w:val="28"/>
        </w:rPr>
      </w:pPr>
    </w:p>
    <w:p w14:paraId="01EE2256">
      <w:pPr>
        <w:pStyle w:val="6"/>
        <w:keepNext w:val="0"/>
        <w:keepLines w:val="0"/>
        <w:pageBreakBefore w:val="0"/>
        <w:widowControl w:val="0"/>
        <w:kinsoku/>
        <w:wordWrap w:val="0"/>
        <w:overflowPunct/>
        <w:topLinePunct w:val="0"/>
        <w:autoSpaceDE/>
        <w:autoSpaceDN/>
        <w:bidi w:val="0"/>
        <w:adjustRightInd/>
        <w:snapToGrid/>
        <w:spacing w:line="520" w:lineRule="exact"/>
        <w:ind w:leftChars="0" w:firstLine="3864" w:firstLineChars="1400"/>
        <w:textAlignment w:val="auto"/>
        <w:rPr>
          <w:rFonts w:hint="default" w:ascii="Times New Roman" w:hAnsi="Times New Roman" w:eastAsia="方正仿宋_GBK" w:cs="Times New Roman"/>
          <w:color w:val="auto"/>
          <w:kern w:val="21"/>
          <w:sz w:val="28"/>
          <w:szCs w:val="28"/>
        </w:rPr>
      </w:pPr>
    </w:p>
    <w:p w14:paraId="3F3C09C1">
      <w:pPr>
        <w:keepNext w:val="0"/>
        <w:keepLines w:val="0"/>
        <w:pageBreakBefore w:val="0"/>
        <w:widowControl w:val="0"/>
        <w:kinsoku/>
        <w:wordWrap w:val="0"/>
        <w:overflowPunct/>
        <w:topLinePunct w:val="0"/>
        <w:autoSpaceDE/>
        <w:autoSpaceDN/>
        <w:bidi w:val="0"/>
        <w:adjustRightInd/>
        <w:snapToGrid/>
        <w:spacing w:line="520" w:lineRule="exact"/>
        <w:ind w:leftChars="1700"/>
        <w:jc w:val="center"/>
        <w:textAlignment w:val="auto"/>
        <w:rPr>
          <w:rFonts w:hint="default"/>
          <w:kern w:val="21"/>
          <w:sz w:val="28"/>
          <w:szCs w:val="22"/>
        </w:rPr>
      </w:pPr>
      <w:r>
        <w:rPr>
          <w:rFonts w:hint="default"/>
          <w:kern w:val="21"/>
          <w:sz w:val="28"/>
          <w:szCs w:val="22"/>
        </w:rPr>
        <w:t>曲靖市生态环境局</w:t>
      </w:r>
    </w:p>
    <w:p w14:paraId="76B15C9D">
      <w:pPr>
        <w:keepNext w:val="0"/>
        <w:keepLines w:val="0"/>
        <w:pageBreakBefore w:val="0"/>
        <w:widowControl w:val="0"/>
        <w:kinsoku/>
        <w:wordWrap w:val="0"/>
        <w:overflowPunct/>
        <w:topLinePunct w:val="0"/>
        <w:autoSpaceDE/>
        <w:autoSpaceDN/>
        <w:bidi w:val="0"/>
        <w:adjustRightInd/>
        <w:snapToGrid/>
        <w:spacing w:line="520" w:lineRule="exact"/>
        <w:ind w:leftChars="1700"/>
        <w:jc w:val="center"/>
        <w:textAlignment w:val="auto"/>
        <w:rPr>
          <w:rFonts w:hint="default"/>
          <w:kern w:val="21"/>
          <w:sz w:val="28"/>
          <w:szCs w:val="22"/>
        </w:rPr>
      </w:pPr>
      <w:r>
        <w:rPr>
          <w:rFonts w:hint="default"/>
          <w:kern w:val="21"/>
          <w:sz w:val="28"/>
          <w:szCs w:val="22"/>
        </w:rPr>
        <w:t>202</w:t>
      </w:r>
      <w:r>
        <w:rPr>
          <w:rFonts w:hint="eastAsia"/>
          <w:kern w:val="21"/>
          <w:sz w:val="28"/>
          <w:szCs w:val="22"/>
          <w:lang w:val="en-US" w:eastAsia="zh-CN"/>
        </w:rPr>
        <w:t>6</w:t>
      </w:r>
      <w:r>
        <w:rPr>
          <w:rFonts w:hint="default"/>
          <w:kern w:val="21"/>
          <w:sz w:val="28"/>
          <w:szCs w:val="22"/>
        </w:rPr>
        <w:t>年</w:t>
      </w:r>
      <w:r>
        <w:rPr>
          <w:rFonts w:hint="eastAsia"/>
          <w:kern w:val="21"/>
          <w:sz w:val="28"/>
          <w:szCs w:val="22"/>
          <w:lang w:val="en-US" w:eastAsia="zh-CN"/>
        </w:rPr>
        <w:t>7</w:t>
      </w:r>
      <w:r>
        <w:rPr>
          <w:rFonts w:hint="default"/>
          <w:kern w:val="21"/>
          <w:sz w:val="28"/>
          <w:szCs w:val="22"/>
        </w:rPr>
        <w:t>月</w:t>
      </w:r>
      <w:r>
        <w:rPr>
          <w:rFonts w:hint="eastAsia"/>
          <w:kern w:val="21"/>
          <w:sz w:val="28"/>
          <w:szCs w:val="22"/>
          <w:lang w:val="en-US" w:eastAsia="zh-CN"/>
        </w:rPr>
        <w:t>10</w:t>
      </w:r>
      <w:r>
        <w:rPr>
          <w:rFonts w:hint="default"/>
          <w:kern w:val="21"/>
          <w:sz w:val="28"/>
          <w:szCs w:val="22"/>
        </w:rPr>
        <w:t>日</w:t>
      </w:r>
    </w:p>
    <w:p w14:paraId="3E36DEF0">
      <w:pPr>
        <w:pStyle w:val="5"/>
        <w:keepNext w:val="0"/>
        <w:keepLines w:val="0"/>
        <w:pageBreakBefore w:val="0"/>
        <w:widowControl w:val="0"/>
        <w:kinsoku/>
        <w:wordWrap w:val="0"/>
        <w:overflowPunct/>
        <w:topLinePunct w:val="0"/>
        <w:autoSpaceDE/>
        <w:autoSpaceDN/>
        <w:bidi w:val="0"/>
        <w:adjustRightInd/>
        <w:snapToGrid/>
        <w:spacing w:line="520" w:lineRule="exact"/>
        <w:ind w:firstLine="552" w:firstLineChars="200"/>
        <w:textAlignment w:val="auto"/>
        <w:rPr>
          <w:rFonts w:hint="default" w:ascii="Times New Roman" w:hAnsi="Times New Roman" w:eastAsia="方正仿宋_GBK" w:cs="Times New Roman"/>
          <w:color w:val="auto"/>
          <w:kern w:val="21"/>
          <w:sz w:val="28"/>
          <w:szCs w:val="28"/>
          <w:lang w:eastAsia="zh-CN"/>
        </w:rPr>
      </w:pPr>
      <w:r>
        <w:rPr>
          <w:rFonts w:hint="default" w:ascii="Times New Roman" w:hAnsi="Times New Roman" w:eastAsia="方正仿宋_GBK" w:cs="Times New Roman"/>
          <w:color w:val="auto"/>
          <w:kern w:val="21"/>
          <w:sz w:val="28"/>
          <w:szCs w:val="28"/>
          <w:lang w:eastAsia="zh-CN"/>
        </w:rPr>
        <w:t>（此件公开发布）</w:t>
      </w:r>
    </w:p>
    <w:p w14:paraId="5A4A7A5C">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default"/>
          <w:sz w:val="28"/>
          <w:szCs w:val="22"/>
          <w:lang w:eastAsia="zh-CN"/>
        </w:rPr>
      </w:pPr>
    </w:p>
    <w:sectPr>
      <w:footerReference r:id="rId3" w:type="default"/>
      <w:pgSz w:w="11906" w:h="16838"/>
      <w:pgMar w:top="2098" w:right="1474" w:bottom="1984" w:left="1587" w:header="851" w:footer="1531" w:gutter="0"/>
      <w:pgBorders>
        <w:top w:val="none" w:sz="0" w:space="0"/>
        <w:left w:val="none" w:sz="0" w:space="0"/>
        <w:bottom w:val="none" w:sz="0" w:space="0"/>
        <w:right w:val="none" w:sz="0" w:space="0"/>
      </w:pgBorders>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2000000000000000000"/>
    <w:charset w:val="86"/>
    <w:family w:val="script"/>
    <w:pitch w:val="default"/>
    <w:sig w:usb0="00000000" w:usb1="00000000" w:usb2="00000000" w:usb3="00000000" w:csb0="00040000" w:csb1="00000000"/>
    <w:embedRegular r:id="rId1" w:fontKey="{D50DEDE0-1DE9-4AD0-BBD0-0FDC2A1AE2C4}"/>
  </w:font>
  <w:font w:name="仿宋_GB2312">
    <w:altName w:val="仿宋"/>
    <w:panose1 w:val="02010609030101010101"/>
    <w:charset w:val="86"/>
    <w:family w:val="modern"/>
    <w:pitch w:val="default"/>
    <w:sig w:usb0="00000000" w:usb1="0000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embedRegular r:id="rId2" w:fontKey="{8AF82144-4B1E-42C2-9E33-FF8A13FE59D3}"/>
  </w:font>
  <w:font w:name="仿宋">
    <w:panose1 w:val="02010609060101010101"/>
    <w:charset w:val="86"/>
    <w:family w:val="modern"/>
    <w:pitch w:val="default"/>
    <w:sig w:usb0="800002BF" w:usb1="38CF7CFA" w:usb2="00000016" w:usb3="00000000" w:csb0="00040001" w:csb1="00000000"/>
    <w:embedRegular r:id="rId3" w:fontKey="{371AF177-2A0A-4BF0-A288-2FCAA2F3BFD4}"/>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B1015">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997AB">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1997AB">
                    <w:pPr>
                      <w:pStyle w:val="11"/>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46A98">
                          <w:pPr>
                            <w:rPr>
                              <w:rFonts w:hint="default"/>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0646A98">
                    <w:pPr>
                      <w:rPr>
                        <w:rFonts w:hint="default"/>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00AE6248"/>
    <w:rsid w:val="00005623"/>
    <w:rsid w:val="00011698"/>
    <w:rsid w:val="00014443"/>
    <w:rsid w:val="0001484C"/>
    <w:rsid w:val="00014899"/>
    <w:rsid w:val="00027FB2"/>
    <w:rsid w:val="00036B2D"/>
    <w:rsid w:val="00040D94"/>
    <w:rsid w:val="00057D12"/>
    <w:rsid w:val="00057E59"/>
    <w:rsid w:val="000666D5"/>
    <w:rsid w:val="000732BD"/>
    <w:rsid w:val="0007431A"/>
    <w:rsid w:val="0007513E"/>
    <w:rsid w:val="0007563A"/>
    <w:rsid w:val="000818BD"/>
    <w:rsid w:val="00096FCA"/>
    <w:rsid w:val="000A24D6"/>
    <w:rsid w:val="000A7334"/>
    <w:rsid w:val="000A7B59"/>
    <w:rsid w:val="000B1828"/>
    <w:rsid w:val="000B62C8"/>
    <w:rsid w:val="000C7617"/>
    <w:rsid w:val="000D1339"/>
    <w:rsid w:val="000D17A5"/>
    <w:rsid w:val="000D3547"/>
    <w:rsid w:val="000D5AD1"/>
    <w:rsid w:val="000D5DD3"/>
    <w:rsid w:val="000E2D45"/>
    <w:rsid w:val="000E2D6F"/>
    <w:rsid w:val="000E5384"/>
    <w:rsid w:val="000F087D"/>
    <w:rsid w:val="000F2922"/>
    <w:rsid w:val="000F55ED"/>
    <w:rsid w:val="00100192"/>
    <w:rsid w:val="001002C8"/>
    <w:rsid w:val="00102F8C"/>
    <w:rsid w:val="00103147"/>
    <w:rsid w:val="0010733C"/>
    <w:rsid w:val="0011204A"/>
    <w:rsid w:val="001128E6"/>
    <w:rsid w:val="001129E1"/>
    <w:rsid w:val="0011731F"/>
    <w:rsid w:val="001202B0"/>
    <w:rsid w:val="00135F80"/>
    <w:rsid w:val="00146AF5"/>
    <w:rsid w:val="001579DF"/>
    <w:rsid w:val="0016022F"/>
    <w:rsid w:val="0018019D"/>
    <w:rsid w:val="001801B7"/>
    <w:rsid w:val="0018145A"/>
    <w:rsid w:val="0018446B"/>
    <w:rsid w:val="001911F3"/>
    <w:rsid w:val="001929BC"/>
    <w:rsid w:val="001A39BE"/>
    <w:rsid w:val="001B13AD"/>
    <w:rsid w:val="001B34AE"/>
    <w:rsid w:val="001C0932"/>
    <w:rsid w:val="001C2069"/>
    <w:rsid w:val="001C547B"/>
    <w:rsid w:val="001C5DA3"/>
    <w:rsid w:val="001D03D7"/>
    <w:rsid w:val="00206D37"/>
    <w:rsid w:val="002139EB"/>
    <w:rsid w:val="00222830"/>
    <w:rsid w:val="00222E94"/>
    <w:rsid w:val="00234180"/>
    <w:rsid w:val="002351F2"/>
    <w:rsid w:val="0025444D"/>
    <w:rsid w:val="0026118F"/>
    <w:rsid w:val="00275C3B"/>
    <w:rsid w:val="002825DF"/>
    <w:rsid w:val="00295240"/>
    <w:rsid w:val="00297C13"/>
    <w:rsid w:val="002A0F3D"/>
    <w:rsid w:val="002A56A9"/>
    <w:rsid w:val="002A73EF"/>
    <w:rsid w:val="002B6B05"/>
    <w:rsid w:val="002C706E"/>
    <w:rsid w:val="002D233B"/>
    <w:rsid w:val="002E2F13"/>
    <w:rsid w:val="002E33AB"/>
    <w:rsid w:val="002E5537"/>
    <w:rsid w:val="003061CC"/>
    <w:rsid w:val="00306C26"/>
    <w:rsid w:val="003102A9"/>
    <w:rsid w:val="00310709"/>
    <w:rsid w:val="00320506"/>
    <w:rsid w:val="00322190"/>
    <w:rsid w:val="0033531E"/>
    <w:rsid w:val="00344F0D"/>
    <w:rsid w:val="00360844"/>
    <w:rsid w:val="003673F3"/>
    <w:rsid w:val="00382E3A"/>
    <w:rsid w:val="00395FD6"/>
    <w:rsid w:val="003B3D5E"/>
    <w:rsid w:val="003B40DC"/>
    <w:rsid w:val="003B4A01"/>
    <w:rsid w:val="003B4A8F"/>
    <w:rsid w:val="003B7963"/>
    <w:rsid w:val="003D4E37"/>
    <w:rsid w:val="003E76EA"/>
    <w:rsid w:val="00401C31"/>
    <w:rsid w:val="00413C88"/>
    <w:rsid w:val="00416F81"/>
    <w:rsid w:val="00422102"/>
    <w:rsid w:val="00424D9B"/>
    <w:rsid w:val="004313CB"/>
    <w:rsid w:val="00440095"/>
    <w:rsid w:val="00443CB6"/>
    <w:rsid w:val="004568A0"/>
    <w:rsid w:val="004712D7"/>
    <w:rsid w:val="004736EC"/>
    <w:rsid w:val="00486B90"/>
    <w:rsid w:val="00487C94"/>
    <w:rsid w:val="004A432B"/>
    <w:rsid w:val="004E2B35"/>
    <w:rsid w:val="004F4DFA"/>
    <w:rsid w:val="004F5750"/>
    <w:rsid w:val="004F57E7"/>
    <w:rsid w:val="004F67C5"/>
    <w:rsid w:val="00500060"/>
    <w:rsid w:val="00501F04"/>
    <w:rsid w:val="00506CDD"/>
    <w:rsid w:val="005155AC"/>
    <w:rsid w:val="005156FE"/>
    <w:rsid w:val="005173CD"/>
    <w:rsid w:val="00520EF0"/>
    <w:rsid w:val="0052719A"/>
    <w:rsid w:val="00530C4C"/>
    <w:rsid w:val="00531039"/>
    <w:rsid w:val="00542C43"/>
    <w:rsid w:val="0054427C"/>
    <w:rsid w:val="005448D5"/>
    <w:rsid w:val="00544C13"/>
    <w:rsid w:val="00553402"/>
    <w:rsid w:val="005558C4"/>
    <w:rsid w:val="00556FA2"/>
    <w:rsid w:val="00560C1A"/>
    <w:rsid w:val="005613A2"/>
    <w:rsid w:val="005619F9"/>
    <w:rsid w:val="00567804"/>
    <w:rsid w:val="00595E4F"/>
    <w:rsid w:val="00597CA4"/>
    <w:rsid w:val="00597F55"/>
    <w:rsid w:val="005A44BA"/>
    <w:rsid w:val="005B0D5A"/>
    <w:rsid w:val="005B2989"/>
    <w:rsid w:val="005B3766"/>
    <w:rsid w:val="005B63C9"/>
    <w:rsid w:val="005C529A"/>
    <w:rsid w:val="005C7B2C"/>
    <w:rsid w:val="005F1B27"/>
    <w:rsid w:val="005F7AD9"/>
    <w:rsid w:val="00601289"/>
    <w:rsid w:val="0061364A"/>
    <w:rsid w:val="0063454C"/>
    <w:rsid w:val="00635FDE"/>
    <w:rsid w:val="0064553D"/>
    <w:rsid w:val="0064672C"/>
    <w:rsid w:val="00653EC0"/>
    <w:rsid w:val="00671517"/>
    <w:rsid w:val="00676EA6"/>
    <w:rsid w:val="0069646A"/>
    <w:rsid w:val="006A7AEE"/>
    <w:rsid w:val="006C5D9A"/>
    <w:rsid w:val="006D4681"/>
    <w:rsid w:val="006D4A36"/>
    <w:rsid w:val="006E2737"/>
    <w:rsid w:val="006E6556"/>
    <w:rsid w:val="006F2F8F"/>
    <w:rsid w:val="006F5D67"/>
    <w:rsid w:val="00700726"/>
    <w:rsid w:val="00700E4E"/>
    <w:rsid w:val="0070173A"/>
    <w:rsid w:val="00706452"/>
    <w:rsid w:val="00707B5D"/>
    <w:rsid w:val="00712460"/>
    <w:rsid w:val="00715AF1"/>
    <w:rsid w:val="007161B4"/>
    <w:rsid w:val="007256DC"/>
    <w:rsid w:val="007266A1"/>
    <w:rsid w:val="00730979"/>
    <w:rsid w:val="00730C98"/>
    <w:rsid w:val="00736C6F"/>
    <w:rsid w:val="00747077"/>
    <w:rsid w:val="00751269"/>
    <w:rsid w:val="00752BB0"/>
    <w:rsid w:val="00753D8E"/>
    <w:rsid w:val="0076095B"/>
    <w:rsid w:val="007804E9"/>
    <w:rsid w:val="00783084"/>
    <w:rsid w:val="00797B7A"/>
    <w:rsid w:val="007A003B"/>
    <w:rsid w:val="007A7CF4"/>
    <w:rsid w:val="007D12F5"/>
    <w:rsid w:val="007E108B"/>
    <w:rsid w:val="007E16CC"/>
    <w:rsid w:val="007E6B90"/>
    <w:rsid w:val="007F46CE"/>
    <w:rsid w:val="00803267"/>
    <w:rsid w:val="0080438C"/>
    <w:rsid w:val="00807DA8"/>
    <w:rsid w:val="008258ED"/>
    <w:rsid w:val="008268BA"/>
    <w:rsid w:val="008421E3"/>
    <w:rsid w:val="00854D31"/>
    <w:rsid w:val="00860DF7"/>
    <w:rsid w:val="00864C21"/>
    <w:rsid w:val="00873D07"/>
    <w:rsid w:val="008831B2"/>
    <w:rsid w:val="0089368F"/>
    <w:rsid w:val="0089607B"/>
    <w:rsid w:val="008A2290"/>
    <w:rsid w:val="008A5C89"/>
    <w:rsid w:val="008A7E9A"/>
    <w:rsid w:val="008B433B"/>
    <w:rsid w:val="008E2DB9"/>
    <w:rsid w:val="008E70E2"/>
    <w:rsid w:val="009021C0"/>
    <w:rsid w:val="00902282"/>
    <w:rsid w:val="0091178C"/>
    <w:rsid w:val="00926AAD"/>
    <w:rsid w:val="00930EDF"/>
    <w:rsid w:val="00932034"/>
    <w:rsid w:val="009347C5"/>
    <w:rsid w:val="00937528"/>
    <w:rsid w:val="009420F8"/>
    <w:rsid w:val="00961F14"/>
    <w:rsid w:val="00967460"/>
    <w:rsid w:val="00971FD0"/>
    <w:rsid w:val="00975BD6"/>
    <w:rsid w:val="0098131A"/>
    <w:rsid w:val="009849B9"/>
    <w:rsid w:val="00992E61"/>
    <w:rsid w:val="00993916"/>
    <w:rsid w:val="00995A56"/>
    <w:rsid w:val="009B0C4F"/>
    <w:rsid w:val="009C2802"/>
    <w:rsid w:val="009C6C4F"/>
    <w:rsid w:val="009D7185"/>
    <w:rsid w:val="009E4056"/>
    <w:rsid w:val="009E4411"/>
    <w:rsid w:val="009E4ED9"/>
    <w:rsid w:val="009E6882"/>
    <w:rsid w:val="009F6827"/>
    <w:rsid w:val="00A06175"/>
    <w:rsid w:val="00A155D0"/>
    <w:rsid w:val="00A1655F"/>
    <w:rsid w:val="00A231FA"/>
    <w:rsid w:val="00A34C3B"/>
    <w:rsid w:val="00A34F71"/>
    <w:rsid w:val="00A40815"/>
    <w:rsid w:val="00A40A05"/>
    <w:rsid w:val="00A4760E"/>
    <w:rsid w:val="00A5003B"/>
    <w:rsid w:val="00A620AF"/>
    <w:rsid w:val="00A64FB8"/>
    <w:rsid w:val="00A74A87"/>
    <w:rsid w:val="00A87523"/>
    <w:rsid w:val="00AA4577"/>
    <w:rsid w:val="00AB24D0"/>
    <w:rsid w:val="00AC2EF7"/>
    <w:rsid w:val="00AC5693"/>
    <w:rsid w:val="00AE06E3"/>
    <w:rsid w:val="00AE2E6F"/>
    <w:rsid w:val="00AE6248"/>
    <w:rsid w:val="00AE7672"/>
    <w:rsid w:val="00AF2604"/>
    <w:rsid w:val="00AF4735"/>
    <w:rsid w:val="00B01BC6"/>
    <w:rsid w:val="00B03FEF"/>
    <w:rsid w:val="00B07B39"/>
    <w:rsid w:val="00B07BD2"/>
    <w:rsid w:val="00B1328B"/>
    <w:rsid w:val="00B148C8"/>
    <w:rsid w:val="00B15DB8"/>
    <w:rsid w:val="00B170A1"/>
    <w:rsid w:val="00B20F38"/>
    <w:rsid w:val="00B26759"/>
    <w:rsid w:val="00B32078"/>
    <w:rsid w:val="00B36913"/>
    <w:rsid w:val="00B36D00"/>
    <w:rsid w:val="00B44CA8"/>
    <w:rsid w:val="00B52633"/>
    <w:rsid w:val="00B53381"/>
    <w:rsid w:val="00B55F1C"/>
    <w:rsid w:val="00B6054E"/>
    <w:rsid w:val="00B75FE7"/>
    <w:rsid w:val="00B77E24"/>
    <w:rsid w:val="00BA35BF"/>
    <w:rsid w:val="00BA7BAF"/>
    <w:rsid w:val="00BA7FA8"/>
    <w:rsid w:val="00BC6DBC"/>
    <w:rsid w:val="00BC7E80"/>
    <w:rsid w:val="00BD6506"/>
    <w:rsid w:val="00BE485F"/>
    <w:rsid w:val="00BE7D72"/>
    <w:rsid w:val="00BF06BA"/>
    <w:rsid w:val="00BF07B5"/>
    <w:rsid w:val="00BF47BB"/>
    <w:rsid w:val="00C03C25"/>
    <w:rsid w:val="00C12E1C"/>
    <w:rsid w:val="00C137E6"/>
    <w:rsid w:val="00C15D64"/>
    <w:rsid w:val="00C16AC5"/>
    <w:rsid w:val="00C20A9B"/>
    <w:rsid w:val="00C20EAF"/>
    <w:rsid w:val="00C221FB"/>
    <w:rsid w:val="00C25DFF"/>
    <w:rsid w:val="00C272D7"/>
    <w:rsid w:val="00C33165"/>
    <w:rsid w:val="00C333B2"/>
    <w:rsid w:val="00C34F64"/>
    <w:rsid w:val="00C36CF7"/>
    <w:rsid w:val="00C44517"/>
    <w:rsid w:val="00C66DC9"/>
    <w:rsid w:val="00C7741F"/>
    <w:rsid w:val="00C82C5D"/>
    <w:rsid w:val="00CA37D6"/>
    <w:rsid w:val="00CB5BED"/>
    <w:rsid w:val="00CB644F"/>
    <w:rsid w:val="00CC34F3"/>
    <w:rsid w:val="00CC505C"/>
    <w:rsid w:val="00CD4737"/>
    <w:rsid w:val="00CE0AD9"/>
    <w:rsid w:val="00CF035F"/>
    <w:rsid w:val="00CF1CA9"/>
    <w:rsid w:val="00CF3842"/>
    <w:rsid w:val="00CF7DB1"/>
    <w:rsid w:val="00D0137B"/>
    <w:rsid w:val="00D033D4"/>
    <w:rsid w:val="00D1005C"/>
    <w:rsid w:val="00D33C7B"/>
    <w:rsid w:val="00D34671"/>
    <w:rsid w:val="00D50D96"/>
    <w:rsid w:val="00D536EF"/>
    <w:rsid w:val="00D55051"/>
    <w:rsid w:val="00D600C8"/>
    <w:rsid w:val="00D63BC5"/>
    <w:rsid w:val="00D64E7F"/>
    <w:rsid w:val="00D73751"/>
    <w:rsid w:val="00D749E5"/>
    <w:rsid w:val="00D74E46"/>
    <w:rsid w:val="00D805C6"/>
    <w:rsid w:val="00D91899"/>
    <w:rsid w:val="00DA1485"/>
    <w:rsid w:val="00DC325C"/>
    <w:rsid w:val="00DC7124"/>
    <w:rsid w:val="00DE29FE"/>
    <w:rsid w:val="00DE4E89"/>
    <w:rsid w:val="00DE7EF8"/>
    <w:rsid w:val="00E13B5F"/>
    <w:rsid w:val="00E15877"/>
    <w:rsid w:val="00E16318"/>
    <w:rsid w:val="00E209E8"/>
    <w:rsid w:val="00E25196"/>
    <w:rsid w:val="00E30795"/>
    <w:rsid w:val="00E35998"/>
    <w:rsid w:val="00E42604"/>
    <w:rsid w:val="00E47B53"/>
    <w:rsid w:val="00E64440"/>
    <w:rsid w:val="00E732A5"/>
    <w:rsid w:val="00E86BF0"/>
    <w:rsid w:val="00E90BEB"/>
    <w:rsid w:val="00E940E2"/>
    <w:rsid w:val="00EA10F9"/>
    <w:rsid w:val="00EA311F"/>
    <w:rsid w:val="00EA372F"/>
    <w:rsid w:val="00EA5804"/>
    <w:rsid w:val="00EB66F9"/>
    <w:rsid w:val="00EC5046"/>
    <w:rsid w:val="00EC7C82"/>
    <w:rsid w:val="00EE26C6"/>
    <w:rsid w:val="00EE29E1"/>
    <w:rsid w:val="00EF1179"/>
    <w:rsid w:val="00EF2714"/>
    <w:rsid w:val="00F01335"/>
    <w:rsid w:val="00F043A1"/>
    <w:rsid w:val="00F1468B"/>
    <w:rsid w:val="00F24541"/>
    <w:rsid w:val="00F3648B"/>
    <w:rsid w:val="00F4793B"/>
    <w:rsid w:val="00F55676"/>
    <w:rsid w:val="00F64E11"/>
    <w:rsid w:val="00F66E5C"/>
    <w:rsid w:val="00F70207"/>
    <w:rsid w:val="00F709E6"/>
    <w:rsid w:val="00F74A58"/>
    <w:rsid w:val="00F76A80"/>
    <w:rsid w:val="00F76D57"/>
    <w:rsid w:val="00F80E57"/>
    <w:rsid w:val="00F92100"/>
    <w:rsid w:val="00F9640C"/>
    <w:rsid w:val="00FA12F3"/>
    <w:rsid w:val="00FA364A"/>
    <w:rsid w:val="00FA6006"/>
    <w:rsid w:val="00FC18EC"/>
    <w:rsid w:val="00FC500B"/>
    <w:rsid w:val="00FD39B8"/>
    <w:rsid w:val="00FD79AC"/>
    <w:rsid w:val="00FE287E"/>
    <w:rsid w:val="00FE4DE0"/>
    <w:rsid w:val="00FE5448"/>
    <w:rsid w:val="03A46A23"/>
    <w:rsid w:val="03D648D7"/>
    <w:rsid w:val="06DE46EF"/>
    <w:rsid w:val="075F22BC"/>
    <w:rsid w:val="078B358F"/>
    <w:rsid w:val="0ABB1D60"/>
    <w:rsid w:val="0C102777"/>
    <w:rsid w:val="0E5B0345"/>
    <w:rsid w:val="117E09BE"/>
    <w:rsid w:val="14AE78FC"/>
    <w:rsid w:val="16AC25F2"/>
    <w:rsid w:val="170532D4"/>
    <w:rsid w:val="17A35909"/>
    <w:rsid w:val="18EF4E45"/>
    <w:rsid w:val="1AB81E7E"/>
    <w:rsid w:val="1B355290"/>
    <w:rsid w:val="1BBB0703"/>
    <w:rsid w:val="1BDF298A"/>
    <w:rsid w:val="1DE22839"/>
    <w:rsid w:val="1EB11053"/>
    <w:rsid w:val="1F9D178F"/>
    <w:rsid w:val="20953DFA"/>
    <w:rsid w:val="20B269A7"/>
    <w:rsid w:val="21842486"/>
    <w:rsid w:val="22177DFE"/>
    <w:rsid w:val="22C3481D"/>
    <w:rsid w:val="23057D3D"/>
    <w:rsid w:val="23ED3D54"/>
    <w:rsid w:val="23F22B88"/>
    <w:rsid w:val="271550B9"/>
    <w:rsid w:val="29FB1FF0"/>
    <w:rsid w:val="29FB4325"/>
    <w:rsid w:val="2B295702"/>
    <w:rsid w:val="2B2A646F"/>
    <w:rsid w:val="2B65243A"/>
    <w:rsid w:val="2BEB4504"/>
    <w:rsid w:val="2C27783B"/>
    <w:rsid w:val="2CFA4E04"/>
    <w:rsid w:val="2E8823C8"/>
    <w:rsid w:val="307C26FF"/>
    <w:rsid w:val="308B654F"/>
    <w:rsid w:val="30E4374E"/>
    <w:rsid w:val="30F43287"/>
    <w:rsid w:val="31303F97"/>
    <w:rsid w:val="31D7675F"/>
    <w:rsid w:val="3227588C"/>
    <w:rsid w:val="339A10EE"/>
    <w:rsid w:val="350D601C"/>
    <w:rsid w:val="376663A8"/>
    <w:rsid w:val="391630B7"/>
    <w:rsid w:val="39F9444F"/>
    <w:rsid w:val="3AC51570"/>
    <w:rsid w:val="3B95274A"/>
    <w:rsid w:val="3D272681"/>
    <w:rsid w:val="3DD23301"/>
    <w:rsid w:val="3E1D056B"/>
    <w:rsid w:val="3E75253C"/>
    <w:rsid w:val="3F37753D"/>
    <w:rsid w:val="3FB62687"/>
    <w:rsid w:val="40505535"/>
    <w:rsid w:val="44951F8B"/>
    <w:rsid w:val="44E4341C"/>
    <w:rsid w:val="45A57C5C"/>
    <w:rsid w:val="47386E65"/>
    <w:rsid w:val="47F85F3C"/>
    <w:rsid w:val="48773A0D"/>
    <w:rsid w:val="48AC74A2"/>
    <w:rsid w:val="4AC5234C"/>
    <w:rsid w:val="4B6A5CD6"/>
    <w:rsid w:val="4BB52B12"/>
    <w:rsid w:val="4FBF5D0D"/>
    <w:rsid w:val="52163191"/>
    <w:rsid w:val="534D70DC"/>
    <w:rsid w:val="544D717E"/>
    <w:rsid w:val="55105C52"/>
    <w:rsid w:val="592119C7"/>
    <w:rsid w:val="59B54B90"/>
    <w:rsid w:val="5B9242D5"/>
    <w:rsid w:val="5DB86A42"/>
    <w:rsid w:val="617B4B44"/>
    <w:rsid w:val="618E661B"/>
    <w:rsid w:val="632C0B1A"/>
    <w:rsid w:val="649436F4"/>
    <w:rsid w:val="6551675D"/>
    <w:rsid w:val="671C704A"/>
    <w:rsid w:val="69BA27F4"/>
    <w:rsid w:val="6C597C70"/>
    <w:rsid w:val="6E437CF4"/>
    <w:rsid w:val="6F4F4560"/>
    <w:rsid w:val="6F54601A"/>
    <w:rsid w:val="71D96859"/>
    <w:rsid w:val="72977142"/>
    <w:rsid w:val="735A4016"/>
    <w:rsid w:val="75AD486B"/>
    <w:rsid w:val="76F971C0"/>
    <w:rsid w:val="785C1F6E"/>
    <w:rsid w:val="78BD1D12"/>
    <w:rsid w:val="7A820227"/>
    <w:rsid w:val="7AC06B13"/>
    <w:rsid w:val="7B1320FB"/>
    <w:rsid w:val="7B5E799F"/>
    <w:rsid w:val="7BCE0222"/>
    <w:rsid w:val="7CEA40E1"/>
    <w:rsid w:val="7D8349B7"/>
    <w:rsid w:val="7E1F1429"/>
    <w:rsid w:val="7E481FBB"/>
    <w:rsid w:val="7F7676A4"/>
    <w:rsid w:val="7FC424CD"/>
    <w:rsid w:val="7FD62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3">
    <w:name w:val="annotation text"/>
    <w:basedOn w:val="1"/>
    <w:link w:val="24"/>
    <w:semiHidden/>
    <w:unhideWhenUsed/>
    <w:qFormat/>
    <w:uiPriority w:val="99"/>
    <w:pPr>
      <w:jc w:val="left"/>
    </w:pPr>
  </w:style>
  <w:style w:type="paragraph" w:styleId="4">
    <w:name w:val="Body Text"/>
    <w:basedOn w:val="1"/>
    <w:next w:val="1"/>
    <w:link w:val="20"/>
    <w:qFormat/>
    <w:uiPriority w:val="0"/>
    <w:pPr>
      <w:jc w:val="center"/>
    </w:pPr>
    <w:rPr>
      <w:sz w:val="44"/>
    </w:rPr>
  </w:style>
  <w:style w:type="paragraph" w:styleId="5">
    <w:name w:val="Plain Text"/>
    <w:basedOn w:val="1"/>
    <w:next w:val="1"/>
    <w:qFormat/>
    <w:uiPriority w:val="0"/>
    <w:rPr>
      <w:rFonts w:ascii="宋体" w:hAnsi="Courier New"/>
      <w:szCs w:val="20"/>
    </w:rPr>
  </w:style>
  <w:style w:type="paragraph" w:styleId="6">
    <w:name w:val="Date"/>
    <w:basedOn w:val="1"/>
    <w:next w:val="1"/>
    <w:link w:val="22"/>
    <w:qFormat/>
    <w:uiPriority w:val="99"/>
    <w:pPr>
      <w:ind w:left="100" w:leftChars="2500"/>
    </w:pPr>
  </w:style>
  <w:style w:type="paragraph" w:styleId="7">
    <w:name w:val="Body Text Indent 2"/>
    <w:basedOn w:val="1"/>
    <w:next w:val="8"/>
    <w:link w:val="21"/>
    <w:unhideWhenUsed/>
    <w:qFormat/>
    <w:uiPriority w:val="0"/>
    <w:pPr>
      <w:spacing w:after="120" w:line="480" w:lineRule="auto"/>
      <w:ind w:left="420" w:leftChars="200"/>
    </w:pPr>
  </w:style>
  <w:style w:type="paragraph" w:customStyle="1" w:styleId="8">
    <w:name w:val="简单回函地址"/>
    <w:next w:val="9"/>
    <w:qFormat/>
    <w:uiPriority w:val="0"/>
    <w:pPr>
      <w:widowControl w:val="0"/>
      <w:jc w:val="both"/>
    </w:pPr>
    <w:rPr>
      <w:rFonts w:ascii="Calibri" w:hAnsi="Calibri" w:eastAsia="宋体" w:cs="Times New Roman"/>
      <w:kern w:val="2"/>
      <w:sz w:val="21"/>
      <w:szCs w:val="24"/>
      <w:lang w:val="en-US" w:eastAsia="zh-CN" w:bidi="ar-SA"/>
    </w:rPr>
  </w:style>
  <w:style w:type="paragraph" w:customStyle="1" w:styleId="9">
    <w:name w:val="正文2"/>
    <w:basedOn w:val="1"/>
    <w:qFormat/>
    <w:uiPriority w:val="0"/>
    <w:pPr>
      <w:spacing w:line="360" w:lineRule="auto"/>
      <w:ind w:firstLine="200" w:firstLineChars="200"/>
    </w:pPr>
    <w:rPr>
      <w:sz w:val="24"/>
    </w:rPr>
  </w:style>
  <w:style w:type="paragraph" w:styleId="10">
    <w:name w:val="Balloon Text"/>
    <w:basedOn w:val="1"/>
    <w:link w:val="26"/>
    <w:semiHidden/>
    <w:unhideWhenUsed/>
    <w:qFormat/>
    <w:uiPriority w:val="99"/>
    <w:rPr>
      <w:sz w:val="18"/>
      <w:szCs w:val="18"/>
    </w:rPr>
  </w:style>
  <w:style w:type="paragraph" w:styleId="11">
    <w:name w:val="footer"/>
    <w:basedOn w:val="1"/>
    <w:link w:val="1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Normal (Web)"/>
    <w:basedOn w:val="1"/>
    <w:unhideWhenUsed/>
    <w:qFormat/>
    <w:uiPriority w:val="99"/>
    <w:rPr>
      <w:sz w:val="24"/>
    </w:rPr>
  </w:style>
  <w:style w:type="paragraph" w:styleId="13">
    <w:name w:val="Title"/>
    <w:basedOn w:val="1"/>
    <w:qFormat/>
    <w:uiPriority w:val="0"/>
    <w:pPr>
      <w:spacing w:line="440" w:lineRule="atLeast"/>
      <w:jc w:val="left"/>
      <w:outlineLvl w:val="0"/>
    </w:pPr>
    <w:rPr>
      <w:rFonts w:ascii="宋体" w:hAnsi="Arial"/>
      <w:b/>
      <w:sz w:val="24"/>
      <w:szCs w:val="20"/>
    </w:rPr>
  </w:style>
  <w:style w:type="paragraph" w:styleId="14">
    <w:name w:val="annotation subject"/>
    <w:basedOn w:val="3"/>
    <w:next w:val="3"/>
    <w:link w:val="25"/>
    <w:semiHidden/>
    <w:unhideWhenUsed/>
    <w:qFormat/>
    <w:uiPriority w:val="99"/>
    <w:rPr>
      <w:b/>
      <w:bCs/>
    </w:rPr>
  </w:style>
  <w:style w:type="character" w:styleId="17">
    <w:name w:val="annotation reference"/>
    <w:basedOn w:val="16"/>
    <w:semiHidden/>
    <w:unhideWhenUsed/>
    <w:qFormat/>
    <w:uiPriority w:val="99"/>
    <w:rPr>
      <w:sz w:val="21"/>
      <w:szCs w:val="21"/>
    </w:rPr>
  </w:style>
  <w:style w:type="character" w:customStyle="1" w:styleId="18">
    <w:name w:val="页眉 Char"/>
    <w:basedOn w:val="16"/>
    <w:link w:val="2"/>
    <w:qFormat/>
    <w:uiPriority w:val="99"/>
    <w:rPr>
      <w:sz w:val="18"/>
      <w:szCs w:val="18"/>
    </w:rPr>
  </w:style>
  <w:style w:type="character" w:customStyle="1" w:styleId="19">
    <w:name w:val="页脚 Char"/>
    <w:basedOn w:val="16"/>
    <w:link w:val="11"/>
    <w:qFormat/>
    <w:uiPriority w:val="99"/>
    <w:rPr>
      <w:sz w:val="18"/>
      <w:szCs w:val="18"/>
    </w:rPr>
  </w:style>
  <w:style w:type="character" w:customStyle="1" w:styleId="20">
    <w:name w:val="正文文本 Char"/>
    <w:basedOn w:val="16"/>
    <w:link w:val="4"/>
    <w:qFormat/>
    <w:uiPriority w:val="0"/>
    <w:rPr>
      <w:rFonts w:ascii="Times New Roman" w:hAnsi="Times New Roman" w:eastAsia="仿宋_GB2312" w:cs="Times New Roman"/>
      <w:sz w:val="44"/>
      <w:szCs w:val="24"/>
    </w:rPr>
  </w:style>
  <w:style w:type="character" w:customStyle="1" w:styleId="21">
    <w:name w:val="正文文本缩进 2 Char"/>
    <w:basedOn w:val="16"/>
    <w:link w:val="7"/>
    <w:semiHidden/>
    <w:qFormat/>
    <w:uiPriority w:val="99"/>
    <w:rPr>
      <w:rFonts w:ascii="Times New Roman" w:hAnsi="Times New Roman" w:eastAsia="仿宋_GB2312" w:cs="Times New Roman"/>
      <w:sz w:val="32"/>
      <w:szCs w:val="24"/>
    </w:rPr>
  </w:style>
  <w:style w:type="character" w:customStyle="1" w:styleId="22">
    <w:name w:val="日期 Char"/>
    <w:basedOn w:val="16"/>
    <w:link w:val="6"/>
    <w:qFormat/>
    <w:uiPriority w:val="99"/>
    <w:rPr>
      <w:rFonts w:ascii="Times New Roman" w:hAnsi="Times New Roman" w:eastAsia="仿宋_GB2312" w:cs="Times New Roman"/>
      <w:sz w:val="32"/>
      <w:szCs w:val="24"/>
    </w:rPr>
  </w:style>
  <w:style w:type="paragraph" w:styleId="23">
    <w:name w:val="List Paragraph"/>
    <w:basedOn w:val="1"/>
    <w:qFormat/>
    <w:uiPriority w:val="34"/>
    <w:pPr>
      <w:ind w:firstLine="420" w:firstLineChars="200"/>
    </w:pPr>
  </w:style>
  <w:style w:type="character" w:customStyle="1" w:styleId="24">
    <w:name w:val="批注文字 Char"/>
    <w:basedOn w:val="16"/>
    <w:link w:val="3"/>
    <w:semiHidden/>
    <w:qFormat/>
    <w:uiPriority w:val="99"/>
    <w:rPr>
      <w:rFonts w:ascii="Times New Roman" w:hAnsi="Times New Roman" w:eastAsia="仿宋_GB2312" w:cs="Times New Roman"/>
      <w:sz w:val="32"/>
      <w:szCs w:val="24"/>
    </w:rPr>
  </w:style>
  <w:style w:type="character" w:customStyle="1" w:styleId="25">
    <w:name w:val="批注主题 Char"/>
    <w:basedOn w:val="24"/>
    <w:link w:val="14"/>
    <w:semiHidden/>
    <w:qFormat/>
    <w:uiPriority w:val="99"/>
    <w:rPr>
      <w:rFonts w:ascii="Times New Roman" w:hAnsi="Times New Roman" w:eastAsia="仿宋_GB2312" w:cs="Times New Roman"/>
      <w:b/>
      <w:bCs/>
      <w:sz w:val="32"/>
      <w:szCs w:val="24"/>
    </w:rPr>
  </w:style>
  <w:style w:type="character" w:customStyle="1" w:styleId="26">
    <w:name w:val="批注框文本 Char"/>
    <w:basedOn w:val="16"/>
    <w:link w:val="10"/>
    <w:semiHidden/>
    <w:qFormat/>
    <w:uiPriority w:val="99"/>
    <w:rPr>
      <w:rFonts w:ascii="Times New Roman" w:hAnsi="Times New Roman" w:eastAsia="仿宋_GB2312" w:cs="Times New Roman"/>
      <w:sz w:val="18"/>
      <w:szCs w:val="18"/>
    </w:rPr>
  </w:style>
  <w:style w:type="paragraph" w:customStyle="1" w:styleId="27">
    <w:name w:val="表格"/>
    <w:qFormat/>
    <w:uiPriority w:val="0"/>
    <w:pPr>
      <w:spacing w:line="240" w:lineRule="auto"/>
      <w:ind w:left="0" w:right="0" w:firstLine="0" w:firstLineChars="0"/>
      <w:jc w:val="center"/>
    </w:pPr>
    <w:rPr>
      <w:rFonts w:ascii="Times New Roman" w:hAnsi="Times New Roman" w:eastAsia="宋体" w:cs="宋体"/>
      <w:sz w:val="21"/>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43b3f741-7ec8-42ff-956e-7cd06ee47b27</errorID>
      <errorWord xmlns="http://schemas.wps.cn/vas-ai-hub/contract-review">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程中</item>
      </candidateList>
      <explain xmlns="http://schemas.wps.cn/vas-ai-hub/contract-review"/>
      <paraID xmlns="http://schemas.wps.cn/vas-ai-hub/contract-review">109B5CE6</paraID>
      <start xmlns="http://schemas.wps.cn/vas-ai-hub/contract-review">154</start>
      <end xmlns="http://schemas.wps.cn/vas-ai-hub/contract-review">156</end>
      <status xmlns="http://schemas.wps.cn/vas-ai-hub/contract-review">modified</status>
      <modifiedWord xmlns="http://schemas.wps.cn/vas-ai-hub/contract-review">程中</modifiedWord>
      <trackRevisions xmlns="http://schemas.wps.cn/vas-ai-hub/contract-review">false</trackRevisions>
    </reviewItem>
    <reviewItem xmlns="http://schemas.wps.cn/vas-ai-hub/contract-review">
      <errorID xmlns="http://schemas.wps.cn/vas-ai-hub/contract-review">b293657d-e031-4a2f-8985-9a7a959d3fc7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66859A0D</paraID>
      <start xmlns="http://schemas.wps.cn/vas-ai-hub/contract-review">55</start>
      <end xmlns="http://schemas.wps.cn/vas-ai-hub/contract-review">56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574e6ea6-a859-4794-8fa9-239b33d9cad2</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item>
      </candidateList>
      <explain xmlns="http://schemas.wps.cn/vas-ai-hub/contract-review"/>
      <paraID xmlns="http://schemas.wps.cn/vas-ai-hub/contract-review">3ABFDD06</paraID>
      <start xmlns="http://schemas.wps.cn/vas-ai-hub/contract-review">449</start>
      <end xmlns="http://schemas.wps.cn/vas-ai-hub/contract-review">451</end>
      <status xmlns="http://schemas.wps.cn/vas-ai-hub/contract-review">modified</status>
      <modifiedWord xmlns="http://schemas.wps.cn/vas-ai-hub/contract-review">）和</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8fc47e-34cb-4dee-9904-b392d2b037a6}">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2370</Words>
  <Characters>2560</Characters>
  <Lines>20</Lines>
  <Paragraphs>5</Paragraphs>
  <TotalTime>0</TotalTime>
  <ScaleCrop>false</ScaleCrop>
  <LinksUpToDate>false</LinksUpToDate>
  <CharactersWithSpaces>2561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2024-05-24T09:01:00Z</dcterms:created>
  <dc:creator>ASUS</dc:creator>
  <cp:lastModifiedBy>郭丽娜</cp:lastModifiedBy>
  <cp:lastPrinted>2026-07-09T09:46:00Z</cp:lastPrinted>
  <dcterms:modified xsi:type="dcterms:W3CDTF">2026-07-10T02:56:55Z</dcterms:modified>
  <cp:revision>618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eyJoZGlkIjoiYTA0OTFiNTllN2E3YTc2MDc5ZTIwYTg0ZjFlZjFlMWQiLCJ1c2VySWQiOiIzNzMyMDUyODEifQ==</vt:lpwstr>
  </property>
  <property fmtid="{D5CDD505-2E9C-101B-9397-08002B2CF9AE}" pid="4" name="ICV">
    <vt:lpwstr>9B8D16A7CEBA46DAA8B58D1EB5A3088D_13</vt:lpwstr>
  </property>
</Properties>
</file>