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FCC0C">
      <w:pPr>
        <w:spacing w:line="560" w:lineRule="exact"/>
        <w:rPr>
          <w:rFonts w:ascii="Times New Roman" w:hAnsi="Times New Roman" w:eastAsia="方正小标宋_GBK;微软雅黑" w:cs="宋体;SimSun"/>
          <w:color w:val="000000"/>
          <w:kern w:val="0"/>
          <w:sz w:val="36"/>
          <w:szCs w:val="36"/>
        </w:rPr>
      </w:pPr>
      <w:r>
        <w:rPr>
          <w:rFonts w:ascii="仿宋" w:hAnsi="仿宋" w:eastAsia="仿宋" w:cs="宋体;SimSun"/>
          <w:color w:val="000000"/>
          <w:kern w:val="0"/>
          <w:sz w:val="32"/>
          <w:szCs w:val="32"/>
        </w:rPr>
        <w:t>附件1：</w:t>
      </w:r>
    </w:p>
    <w:p w14:paraId="2C923031">
      <w:pPr>
        <w:spacing w:line="560" w:lineRule="exact"/>
        <w:jc w:val="center"/>
        <w:rPr>
          <w:rFonts w:cs="仿宋"/>
        </w:rPr>
      </w:pPr>
      <w:r>
        <w:rPr>
          <w:rFonts w:ascii="仿宋" w:hAnsi="仿宋" w:eastAsia="仿宋" w:cs="宋体;SimSun"/>
          <w:color w:val="000000"/>
          <w:kern w:val="0"/>
          <w:sz w:val="36"/>
          <w:szCs w:val="36"/>
        </w:rPr>
        <w:t>2016年中央环境保护督察反馈问题整改完成清单</w:t>
      </w:r>
    </w:p>
    <w:tbl>
      <w:tblPr>
        <w:tblStyle w:val="7"/>
        <w:tblW w:w="4950" w:type="pct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807"/>
        <w:gridCol w:w="797"/>
        <w:gridCol w:w="3285"/>
        <w:gridCol w:w="3083"/>
        <w:gridCol w:w="466"/>
      </w:tblGrid>
      <w:tr w14:paraId="7B7F1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1817CA">
            <w:pPr>
              <w:widowControl/>
              <w:spacing w:line="240" w:lineRule="atLeast"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266267E">
            <w:pPr>
              <w:widowControl/>
              <w:spacing w:line="240" w:lineRule="atLeast"/>
              <w:jc w:val="center"/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问题</w:t>
            </w:r>
          </w:p>
          <w:p w14:paraId="3DCB19B4">
            <w:pPr>
              <w:widowControl/>
              <w:spacing w:line="240" w:lineRule="atLeast"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5822F31">
            <w:pPr>
              <w:widowControl/>
              <w:spacing w:line="240" w:lineRule="atLeast"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问题</w:t>
            </w:r>
          </w:p>
          <w:p w14:paraId="5889EB28">
            <w:pPr>
              <w:widowControl/>
              <w:spacing w:line="240" w:lineRule="atLeast"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4985176">
            <w:pPr>
              <w:widowControl/>
              <w:spacing w:line="240" w:lineRule="atLeast"/>
              <w:jc w:val="center"/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整改措施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3E15F76D">
            <w:pPr>
              <w:widowControl/>
              <w:spacing w:line="240" w:lineRule="atLeast"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整改情况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D96B643">
            <w:pPr>
              <w:widowControl/>
              <w:spacing w:line="240" w:lineRule="atLeast"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整改完成情况</w:t>
            </w:r>
          </w:p>
        </w:tc>
      </w:tr>
      <w:tr w14:paraId="0448C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DE2CE05">
            <w:pPr>
              <w:widowControl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F639221">
            <w:pPr>
              <w:widowControl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  <w:t>29-11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59844A9">
            <w:pPr>
              <w:widowControl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关于城乡环境基础设施不配套的问题（行政村及以下）。</w:t>
            </w:r>
          </w:p>
        </w:tc>
        <w:tc>
          <w:tcPr>
            <w:tcW w:w="3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2DE2995E">
            <w:pPr>
              <w:widowControl/>
              <w:rPr>
                <w:rFonts w:ascii="仿宋_GB2312;微软雅黑" w:hAnsi="仿宋_GB2312;微软雅黑" w:eastAsia="仿宋_GB2312;微软雅黑" w:cs="黑体;SimHei"/>
                <w:szCs w:val="21"/>
              </w:rPr>
            </w:pPr>
            <w:r>
              <w:rPr>
                <w:rFonts w:ascii="仿宋_GB2312;微软雅黑" w:hAnsi="仿宋_GB2312;微软雅黑" w:eastAsia="仿宋_GB2312;微软雅黑" w:cs="仿宋_GB2312;微软雅黑"/>
                <w:szCs w:val="21"/>
              </w:rPr>
              <w:t xml:space="preserve">    </w:t>
            </w:r>
            <w:r>
              <w:rPr>
                <w:rFonts w:ascii="仿宋_GB2312;微软雅黑" w:hAnsi="仿宋_GB2312;微软雅黑" w:eastAsia="仿宋_GB2312;微软雅黑" w:cs="黑体;SimHei"/>
                <w:szCs w:val="21"/>
              </w:rPr>
              <w:t>落实《云南省进一步提升城乡人居环境五年行动计划（2016-2020年）》。在农村开展改路、改房、改水、改电、改圈、改厕、改灶和清洁水源、清洁田园、清洁家园的“七改三清”行动，着力改善城乡环境质量、承载功能、居住条件、特色风貌。对全市1273个建制村中大多数未开展环境综合整治的问题，以县级行政区域为单元，实行农村污水处理统一规划、统一建设、统一管理，积极推进有条件的地区城镇污水处理设施和服务向农村延伸。深化“以奖促治”政策，实施农村清洁工程，开展河道清淤疏浚，推进农村环境连片整治。</w:t>
            </w:r>
          </w:p>
          <w:p w14:paraId="005EC00B">
            <w:pPr>
              <w:widowControl/>
              <w:rPr>
                <w:rFonts w:ascii="仿宋_GB2312;微软雅黑" w:hAnsi="仿宋_GB2312;微软雅黑" w:eastAsia="仿宋_GB2312;微软雅黑" w:cs="黑体;SimHei"/>
                <w:szCs w:val="21"/>
              </w:rPr>
            </w:pPr>
            <w:r>
              <w:rPr>
                <w:rFonts w:ascii="仿宋_GB2312;微软雅黑" w:hAnsi="仿宋_GB2312;微软雅黑" w:eastAsia="仿宋_GB2312;微软雅黑" w:cs="仿宋_GB2312;微软雅黑"/>
                <w:szCs w:val="21"/>
              </w:rPr>
              <w:t xml:space="preserve">    </w:t>
            </w:r>
            <w:r>
              <w:rPr>
                <w:rFonts w:ascii="仿宋_GB2312;微软雅黑" w:hAnsi="仿宋_GB2312;微软雅黑" w:eastAsia="仿宋_GB2312;微软雅黑" w:cs="黑体;SimHei"/>
                <w:szCs w:val="21"/>
              </w:rPr>
              <w:t>对生活污水收集处理率低的问题，加快推进全市生活污水收集管网建设，到2020年，村庄污水处理项目103个，建设污水处理能力3150吨/日。对生活垃圾处理设施少的问题，“十三五”期间，建设村庄生活垃圾处理项目50个、处理规模252吨/日，到2019年，95％以上的村庄生活垃圾得到有效治理。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8712971">
            <w:pPr>
              <w:widowControl/>
              <w:rPr>
                <w:rFonts w:ascii="仿宋_GB2312;微软雅黑" w:hAnsi="仿宋_GB2312;微软雅黑" w:eastAsia="仿宋_GB2312;微软雅黑" w:cs="宋体;SimSun"/>
                <w:kern w:val="0"/>
                <w:szCs w:val="21"/>
              </w:rPr>
            </w:pPr>
            <w:r>
              <w:rPr>
                <w:rFonts w:ascii="仿宋_GB2312;微软雅黑" w:hAnsi="仿宋_GB2312;微软雅黑" w:eastAsia="仿宋_GB2312;微软雅黑" w:cs="仿宋_GB2312;微软雅黑"/>
                <w:szCs w:val="21"/>
              </w:rPr>
              <w:t xml:space="preserve">    </w:t>
            </w:r>
            <w:r>
              <w:rPr>
                <w:rFonts w:ascii="仿宋_GB2312;微软雅黑" w:hAnsi="仿宋_GB2312;微软雅黑" w:eastAsia="仿宋_GB2312;微软雅黑" w:cs="黑体;SimHei"/>
                <w:szCs w:val="21"/>
              </w:rPr>
              <w:t>1.开展农村环境综合整治。</w:t>
            </w:r>
            <w:r>
              <w:rPr>
                <w:rFonts w:hint="eastAsia" w:ascii="仿宋_GB2312;微软雅黑" w:hAnsi="仿宋_GB2312;微软雅黑" w:eastAsia="仿宋_GB2312;微软雅黑" w:cs="Times New Roman"/>
                <w:color w:val="000000"/>
                <w:kern w:val="2"/>
                <w:szCs w:val="21"/>
                <w:lang w:eastAsia="zh-CN"/>
              </w:rPr>
              <w:t>截至</w:t>
            </w:r>
            <w:r>
              <w:rPr>
                <w:rFonts w:ascii="仿宋_GB2312;微软雅黑" w:hAnsi="仿宋_GB2312;微软雅黑" w:eastAsia="仿宋_GB2312;微软雅黑" w:cs="Times New Roman"/>
                <w:color w:val="000000"/>
                <w:kern w:val="2"/>
                <w:szCs w:val="21"/>
              </w:rPr>
              <w:t>2020年9月底，全市完成农村环境综合整治行政村279个。</w:t>
            </w:r>
            <w:r>
              <w:rPr>
                <w:rFonts w:ascii="仿宋_GB2312;微软雅黑" w:hAnsi="仿宋_GB2312;微软雅黑" w:eastAsia="仿宋_GB2312;微软雅黑" w:cs="Times New Roman"/>
                <w:bCs/>
                <w:kern w:val="2"/>
                <w:szCs w:val="21"/>
              </w:rPr>
              <w:t>2019年争取到国家、省级农村环境综合整治专项资金4236万元；2.</w:t>
            </w:r>
            <w:r>
              <w:rPr>
                <w:rFonts w:ascii="仿宋_GB2312;微软雅黑" w:hAnsi="仿宋_GB2312;微软雅黑" w:eastAsia="仿宋_GB2312;微软雅黑" w:cs="Times New Roman"/>
                <w:color w:val="000000"/>
                <w:szCs w:val="21"/>
              </w:rPr>
              <w:t>深入开展农村生活垃圾治理。</w:t>
            </w:r>
            <w:r>
              <w:rPr>
                <w:rFonts w:ascii="仿宋_GB2312;微软雅黑" w:hAnsi="仿宋_GB2312;微软雅黑" w:eastAsia="仿宋_GB2312;微软雅黑" w:cs="Times New Roman"/>
                <w:kern w:val="0"/>
                <w:szCs w:val="21"/>
              </w:rPr>
              <w:t>加快农村生活垃圾收运处置设施配套，推进农</w:t>
            </w:r>
            <w:r>
              <w:rPr>
                <w:rFonts w:ascii="仿宋_GB2312;微软雅黑" w:hAnsi="仿宋_GB2312;微软雅黑" w:eastAsia="仿宋_GB2312;微软雅黑" w:cs="Times New Roman"/>
                <w:color w:val="000000"/>
                <w:kern w:val="2"/>
                <w:szCs w:val="21"/>
              </w:rPr>
              <w:t>村垃圾治理工作，全市村庄共放置31687个垃圾箱体,共建成垃圾处理设施209座,全市平均每个自然村都有2个以上垃圾箱体，村庄垃圾基本实现全收集全处理；3.不断提升农村污水处理能力。因地制宜，采用污染治理与资源利用相结合、工程措施与生态措施相结合、集中与分散相结合的建设模式和处理工艺处理污水，梯次推进农村生活污水治理；全市有分散式村庄生活污水处理设施（20吨/日以下）5457个，分散式村庄生活污水处理设施处理规模1820.56吨/日；有集中式村庄生活污水处理设施（20吨/日及以上）236个，集中式村庄生活污水处理设施处理规模25117.3吨/日。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54CBF6F">
            <w:pPr>
              <w:widowControl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完成</w:t>
            </w:r>
          </w:p>
        </w:tc>
      </w:tr>
      <w:tr w14:paraId="56B12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1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745602">
            <w:pPr>
              <w:widowControl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9415AEE">
            <w:pPr>
              <w:widowControl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  <w:t>29-22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0D2F81F">
            <w:pPr>
              <w:widowControl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关于牛栏江流域村庄未建设污水深度处理设施的问题。</w:t>
            </w:r>
          </w:p>
        </w:tc>
        <w:tc>
          <w:tcPr>
            <w:tcW w:w="3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35784A77">
            <w:pPr>
              <w:rPr>
                <w:rFonts w:ascii="仿宋_GB2312;微软雅黑" w:hAnsi="仿宋_GB2312;微软雅黑" w:eastAsia="仿宋_GB2312;微软雅黑" w:cs="黑体;SimHei"/>
                <w:bCs/>
                <w:kern w:val="2"/>
                <w:szCs w:val="32"/>
              </w:rPr>
            </w:pPr>
            <w:r>
              <w:rPr>
                <w:rFonts w:ascii="仿宋_GB2312;微软雅黑" w:hAnsi="仿宋_GB2312;微软雅黑" w:eastAsia="仿宋_GB2312;微软雅黑" w:cs="仿宋_GB2312;微软雅黑"/>
                <w:bCs/>
                <w:kern w:val="2"/>
                <w:szCs w:val="32"/>
              </w:rPr>
              <w:t xml:space="preserve">    </w:t>
            </w:r>
            <w:r>
              <w:rPr>
                <w:rFonts w:ascii="仿宋_GB2312;微软雅黑" w:hAnsi="仿宋_GB2312;微软雅黑" w:eastAsia="仿宋_GB2312;微软雅黑" w:cs="黑体;SimHei"/>
                <w:bCs/>
                <w:kern w:val="2"/>
                <w:szCs w:val="32"/>
              </w:rPr>
              <w:t>牛栏江滇池补水工程曲靖调水水源区共涉及沾益区、马龙县、会泽县9个乡镇。按照《牛栏江—滇池补水工程调水水源区（曲靖区域）水环境保护实施规划（2012—2030年）》，加快水源区村庄污水处理设施建设，靠近城镇周边的村庄，将污水纳入城镇污水集中处理，离城镇较远且人口较多的村庄，建设分散式小型化污水处理设施，人口较少的村庄建设户用污水处理设施。</w:t>
            </w:r>
          </w:p>
          <w:p w14:paraId="088E02EF">
            <w:pPr>
              <w:rPr>
                <w:rFonts w:ascii="仿宋_GB2312;微软雅黑" w:hAnsi="仿宋_GB2312;微软雅黑" w:eastAsia="仿宋_GB2312;微软雅黑" w:cs="黑体;SimHei"/>
                <w:bCs/>
                <w:kern w:val="2"/>
                <w:szCs w:val="32"/>
              </w:rPr>
            </w:pP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61B52793">
            <w:pPr>
              <w:rPr>
                <w:rFonts w:ascii="仿宋_GB2312;微软雅黑" w:hAnsi="仿宋_GB2312;微软雅黑" w:eastAsia="仿宋_GB2312;微软雅黑" w:cs="黑体;SimHei"/>
                <w:bCs/>
                <w:kern w:val="2"/>
                <w:szCs w:val="32"/>
              </w:rPr>
            </w:pPr>
            <w:r>
              <w:rPr>
                <w:rFonts w:ascii="仿宋_GB2312;微软雅黑" w:hAnsi="仿宋_GB2312;微软雅黑" w:eastAsia="仿宋_GB2312;微软雅黑" w:cs="仿宋_GB2312;微软雅黑"/>
                <w:bCs/>
                <w:kern w:val="2"/>
                <w:szCs w:val="32"/>
              </w:rPr>
              <w:t xml:space="preserve">    </w:t>
            </w:r>
            <w:r>
              <w:rPr>
                <w:rFonts w:ascii="仿宋_GB2312;微软雅黑" w:hAnsi="仿宋_GB2312;微软雅黑" w:eastAsia="仿宋_GB2312;微软雅黑" w:cs="黑体;SimHei"/>
                <w:bCs/>
                <w:kern w:val="2"/>
                <w:szCs w:val="32"/>
              </w:rPr>
              <w:t>1.组织开展县域农村生活污水治理专项规划。</w:t>
            </w:r>
            <w:r>
              <w:rPr>
                <w:rFonts w:ascii="仿宋_GB2312;微软雅黑" w:hAnsi="仿宋_GB2312;微软雅黑" w:eastAsia="仿宋_GB2312;微软雅黑" w:cs="Times New Roman"/>
                <w:bCs/>
                <w:kern w:val="2"/>
                <w:szCs w:val="32"/>
              </w:rPr>
              <w:t>按照“因地制宜、分类治理，先易后难、梯次推进，政府主导、社会参与，生态为本、绿色发展”的基本原则梯次推进农村生活污水治理工作，做到规划先行，补齐农村人居环境短板，加快建设美丽宜居乡村。</w:t>
            </w:r>
            <w:r>
              <w:rPr>
                <w:rFonts w:ascii="仿宋_GB2312;微软雅黑" w:hAnsi="仿宋_GB2312;微软雅黑" w:eastAsia="仿宋_GB2312;微软雅黑" w:cs="Times New Roman"/>
                <w:szCs w:val="32"/>
              </w:rPr>
              <w:t>沾益区、马龙区、会泽县的县域农村生活污水治理专项规划县级政府已批准实施，牛栏江流域农村生活污水治理已全部纳入规划；</w:t>
            </w:r>
            <w:r>
              <w:rPr>
                <w:rFonts w:ascii="仿宋_GB2312;微软雅黑" w:hAnsi="仿宋_GB2312;微软雅黑" w:eastAsia="仿宋_GB2312;微软雅黑" w:cs="黑体;SimHei"/>
                <w:bCs/>
                <w:kern w:val="2"/>
                <w:szCs w:val="32"/>
              </w:rPr>
              <w:t>2.持续推进村庄生活污水治理工作。</w:t>
            </w:r>
            <w:r>
              <w:rPr>
                <w:rFonts w:ascii="仿宋_GB2312;微软雅黑" w:hAnsi="仿宋_GB2312;微软雅黑" w:eastAsia="仿宋_GB2312;微软雅黑"/>
                <w:spacing w:val="8"/>
                <w:szCs w:val="32"/>
              </w:rPr>
              <w:t>牛栏江流域涉及曲靖市马龙区6个乡镇、沾益区3个乡镇、会泽县1个乡镇。</w:t>
            </w:r>
            <w:r>
              <w:rPr>
                <w:rFonts w:hint="eastAsia" w:ascii="仿宋_GB2312;微软雅黑" w:hAnsi="仿宋_GB2312;微软雅黑" w:eastAsia="仿宋_GB2312;微软雅黑"/>
                <w:spacing w:val="8"/>
                <w:szCs w:val="32"/>
                <w:lang w:val="en-US" w:eastAsia="zh-CN"/>
              </w:rPr>
              <w:t>截至</w:t>
            </w:r>
            <w:r>
              <w:rPr>
                <w:rFonts w:ascii="仿宋_GB2312;微软雅黑" w:hAnsi="仿宋_GB2312;微软雅黑" w:eastAsia="仿宋_GB2312;微软雅黑"/>
                <w:spacing w:val="8"/>
                <w:szCs w:val="32"/>
              </w:rPr>
              <w:t>2020年9月，上述区域已完成污水治理自然村84个，实现污水治理的自然村达8.4%。其中，马龙区完成污水治理自然村48个，沾益区完成污水治理自然村29个，会泽县完成污水治理自然村7个。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A7258D1">
            <w:pPr>
              <w:widowControl/>
              <w:jc w:val="center"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完成</w:t>
            </w:r>
          </w:p>
        </w:tc>
      </w:tr>
      <w:tr w14:paraId="56E56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C6008A8">
            <w:pPr>
              <w:widowControl/>
              <w:jc w:val="center"/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15448FF">
            <w:pPr>
              <w:widowControl/>
              <w:jc w:val="center"/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K;微软雅黑" w:hAnsi="方正仿宋_GBK;微软雅黑" w:eastAsia="方正仿宋_GBK;微软雅黑" w:cs="宋体;SimSun"/>
                <w:b/>
                <w:bCs/>
                <w:color w:val="000000"/>
                <w:kern w:val="0"/>
                <w:szCs w:val="21"/>
              </w:rPr>
              <w:t>29-29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39B6F310">
            <w:pPr>
              <w:widowControl/>
              <w:rPr>
                <w:rFonts w:ascii="宋体;SimSun" w:hAnsi="宋体;SimSun" w:cs="宋体;SimSu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关于曲靖市土壤重金属超标率较高的问题</w:t>
            </w:r>
          </w:p>
        </w:tc>
        <w:tc>
          <w:tcPr>
            <w:tcW w:w="3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8304515">
            <w:pPr>
              <w:rPr>
                <w:rFonts w:ascii="仿宋_GB2312;微软雅黑" w:hAnsi="仿宋_GB2312;微软雅黑" w:eastAsia="仿宋_GB2312;微软雅黑" w:cs="Arial"/>
                <w:kern w:val="0"/>
                <w:szCs w:val="32"/>
              </w:rPr>
            </w:pPr>
            <w:r>
              <w:rPr>
                <w:rFonts w:ascii="仿宋_GB2312;微软雅黑" w:hAnsi="仿宋_GB2312;微软雅黑" w:eastAsia="仿宋_GB2312;微软雅黑" w:cs="仿宋_GB2312;微软雅黑"/>
                <w:kern w:val="0"/>
                <w:szCs w:val="32"/>
              </w:rPr>
              <w:t xml:space="preserve">    </w:t>
            </w:r>
            <w:r>
              <w:rPr>
                <w:rFonts w:ascii="仿宋_GB2312;微软雅黑" w:hAnsi="仿宋_GB2312;微软雅黑" w:eastAsia="仿宋_GB2312;微软雅黑" w:cs="Arial"/>
                <w:kern w:val="0"/>
                <w:szCs w:val="32"/>
              </w:rPr>
              <w:t>加大土壤污染治理力度。以开展全国第二次污染源普查为契机，在开展土壤环境质量调查与评估的基础上，划分优先保护区域的土壤环境质量等级，对优先保护区域及周边污染源进行重点、详细排查。在全市划定农田重金属污染重点治理区，明确重点治理范围和面积，在重点治理区内以受污染基本农田、重污染工矿企业周边、集中污染治理设施周边、废弃物堆存场地、历史遗留重金属污染工矿场地、搬迁重污染工矿企业废弃场地为重点，实施土壤污染治理与修复试点示范项目。</w:t>
            </w:r>
          </w:p>
          <w:p w14:paraId="440ADC76">
            <w:pPr>
              <w:rPr>
                <w:rFonts w:ascii="仿宋_GB2312;微软雅黑" w:hAnsi="仿宋_GB2312;微软雅黑" w:eastAsia="仿宋_GB2312;微软雅黑" w:cs="Arial"/>
                <w:kern w:val="0"/>
                <w:szCs w:val="32"/>
              </w:rPr>
            </w:pP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D939ABB">
            <w:pPr>
              <w:rPr>
                <w:rFonts w:ascii="仿宋_GB2312;微软雅黑" w:hAnsi="仿宋_GB2312;微软雅黑" w:eastAsia="仿宋_GB2312;微软雅黑"/>
              </w:rPr>
            </w:pPr>
            <w:r>
              <w:rPr>
                <w:rFonts w:ascii="仿宋_GB2312;微软雅黑" w:hAnsi="仿宋_GB2312;微软雅黑" w:eastAsia="仿宋_GB2312;微软雅黑" w:cs="仿宋_GB2312;微软雅黑"/>
                <w:kern w:val="0"/>
                <w:szCs w:val="32"/>
              </w:rPr>
              <w:t xml:space="preserve">    </w:t>
            </w:r>
            <w:r>
              <w:rPr>
                <w:rFonts w:ascii="仿宋_GB2312;微软雅黑" w:hAnsi="仿宋_GB2312;微软雅黑" w:eastAsia="仿宋_GB2312;微软雅黑" w:cs="Arial"/>
                <w:kern w:val="0"/>
                <w:szCs w:val="32"/>
              </w:rPr>
              <w:t>1.</w:t>
            </w:r>
            <w:r>
              <w:rPr>
                <w:rFonts w:ascii="仿宋_GB2312;微软雅黑" w:hAnsi="仿宋_GB2312;微软雅黑" w:eastAsia="仿宋_GB2312;微软雅黑"/>
                <w:szCs w:val="32"/>
              </w:rPr>
              <w:t>制定曲靖受污染耕地安全利用工作方案。2019年6月，市农业农村局、市生态环境局、市自然资源和规划局及市林业和草原局联合印发《曲靖市受污染耕地安全利用方案（2019-2020）》。明确了各部门的工作职责、细化了工作内容、进度安排、时间节点等；2.开展全市耕地土壤质量类别划分。完成了我市9个县（市、区）耕地土壤环境质量类别划分工作；3.开展土壤--农产品协同监测。</w:t>
            </w:r>
            <w:r>
              <w:rPr>
                <w:rFonts w:ascii="仿宋_GB2312;微软雅黑" w:hAnsi="仿宋_GB2312;微软雅黑" w:eastAsia="仿宋_GB2312;微软雅黑"/>
              </w:rPr>
              <w:t>为有效管控曲靖市农用地土壤环境风险，保障农产品质量安全，在云南省土壤污染状况详查基础上，开展农用地分类管理及重金属污染重点区域土壤--农产品协同监测。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44CEB808">
            <w:pPr>
              <w:widowControl/>
              <w:jc w:val="center"/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</w:pPr>
            <w:r>
              <w:rPr>
                <w:rFonts w:ascii="方正仿宋_GBK;微软雅黑" w:hAnsi="方正仿宋_GBK;微软雅黑" w:eastAsia="方正仿宋_GBK;微软雅黑" w:cs="宋体;SimSun"/>
                <w:color w:val="000000"/>
                <w:kern w:val="0"/>
                <w:szCs w:val="21"/>
              </w:rPr>
              <w:t>完成</w:t>
            </w:r>
          </w:p>
        </w:tc>
      </w:tr>
    </w:tbl>
    <w:p w14:paraId="443BEAF0">
      <w:pPr>
        <w:spacing w:line="560" w:lineRule="exact"/>
        <w:jc w:val="left"/>
        <w:rPr>
          <w:rFonts w:cs="宋体;SimSun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    </w:t>
      </w:r>
    </w:p>
    <w:p w14:paraId="32B515F9">
      <w:pPr>
        <w:spacing w:line="560" w:lineRule="exact"/>
        <w:jc w:val="left"/>
        <w:rPr>
          <w:rFonts w:ascii="仿宋" w:hAnsi="仿宋" w:eastAsia="仿宋" w:cs="宋体;SimSun"/>
          <w:color w:val="000000"/>
          <w:kern w:val="0"/>
          <w:sz w:val="32"/>
          <w:szCs w:val="32"/>
        </w:rPr>
      </w:pPr>
    </w:p>
    <w:p w14:paraId="21A43363">
      <w:pPr>
        <w:spacing w:line="560" w:lineRule="exact"/>
        <w:jc w:val="left"/>
        <w:rPr>
          <w:rFonts w:ascii="仿宋" w:hAnsi="仿宋" w:eastAsia="仿宋" w:cs="宋体;SimSun"/>
          <w:color w:val="000000"/>
          <w:kern w:val="0"/>
          <w:sz w:val="32"/>
          <w:szCs w:val="32"/>
        </w:rPr>
      </w:pPr>
    </w:p>
    <w:p w14:paraId="1F1B4392">
      <w:pPr>
        <w:spacing w:line="560" w:lineRule="exact"/>
        <w:jc w:val="left"/>
        <w:rPr>
          <w:rFonts w:ascii="仿宋" w:hAnsi="仿宋" w:eastAsia="仿宋" w:cs="宋体;SimSun"/>
          <w:color w:val="000000"/>
          <w:kern w:val="0"/>
          <w:sz w:val="32"/>
          <w:szCs w:val="32"/>
        </w:rPr>
      </w:pPr>
    </w:p>
    <w:sectPr>
      <w:pgSz w:w="11906" w:h="16838"/>
      <w:pgMar w:top="2098" w:right="1474" w:bottom="1757" w:left="1587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;微软雅黑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;微软雅黑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;微软雅黑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;Sim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autoHyphenation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F278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;SimSun" w:cs="Times New Roman"/>
      <w:color w:val="auto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uiPriority w:val="0"/>
  </w:style>
  <w:style w:type="character" w:customStyle="1" w:styleId="9">
    <w:name w:val="WW8Num1z0"/>
    <w:qFormat/>
    <w:uiPriority w:val="0"/>
  </w:style>
  <w:style w:type="character" w:customStyle="1" w:styleId="10">
    <w:name w:val="WW8Num2z0"/>
    <w:qFormat/>
    <w:uiPriority w:val="0"/>
  </w:style>
  <w:style w:type="character" w:customStyle="1" w:styleId="11">
    <w:name w:val="WW8Num3z0"/>
    <w:qFormat/>
    <w:uiPriority w:val="0"/>
  </w:style>
  <w:style w:type="character" w:customStyle="1" w:styleId="12">
    <w:name w:val="WW8Num4z0"/>
    <w:qFormat/>
    <w:uiPriority w:val="0"/>
  </w:style>
  <w:style w:type="character" w:customStyle="1" w:styleId="13">
    <w:name w:val="WW8Num5z0"/>
    <w:qFormat/>
    <w:uiPriority w:val="0"/>
    <w:rPr>
      <w:rFonts w:ascii="Wingdings" w:hAnsi="Wingdings" w:cs="Wingdings"/>
    </w:rPr>
  </w:style>
  <w:style w:type="character" w:customStyle="1" w:styleId="14">
    <w:name w:val="WW8Num6z0"/>
    <w:qFormat/>
    <w:uiPriority w:val="0"/>
    <w:rPr>
      <w:rFonts w:ascii="Wingdings" w:hAnsi="Wingdings" w:cs="Wingdings"/>
    </w:rPr>
  </w:style>
  <w:style w:type="character" w:customStyle="1" w:styleId="15">
    <w:name w:val="WW8Num7z0"/>
    <w:qFormat/>
    <w:uiPriority w:val="0"/>
    <w:rPr>
      <w:rFonts w:ascii="Wingdings" w:hAnsi="Wingdings" w:cs="Wingdings"/>
    </w:rPr>
  </w:style>
  <w:style w:type="character" w:customStyle="1" w:styleId="16">
    <w:name w:val="WW8Num8z0"/>
    <w:qFormat/>
    <w:uiPriority w:val="0"/>
    <w:rPr>
      <w:rFonts w:ascii="Wingdings" w:hAnsi="Wingdings" w:cs="Wingdings"/>
    </w:rPr>
  </w:style>
  <w:style w:type="character" w:customStyle="1" w:styleId="17">
    <w:name w:val="WW8Num9z0"/>
    <w:qFormat/>
    <w:uiPriority w:val="0"/>
  </w:style>
  <w:style w:type="character" w:customStyle="1" w:styleId="18">
    <w:name w:val="WW8Num10z0"/>
    <w:qFormat/>
    <w:uiPriority w:val="0"/>
    <w:rPr>
      <w:rFonts w:ascii="Wingdings" w:hAnsi="Wingdings" w:cs="Wingdings"/>
    </w:rPr>
  </w:style>
  <w:style w:type="character" w:customStyle="1" w:styleId="19">
    <w:name w:val="默认段落字体1"/>
    <w:qFormat/>
    <w:uiPriority w:val="0"/>
  </w:style>
  <w:style w:type="character" w:customStyle="1" w:styleId="20">
    <w:name w:val="Header Char"/>
    <w:basedOn w:val="19"/>
    <w:qFormat/>
    <w:uiPriority w:val="0"/>
    <w:rPr>
      <w:rFonts w:cs="Times New Roman"/>
      <w:sz w:val="18"/>
      <w:szCs w:val="18"/>
    </w:rPr>
  </w:style>
  <w:style w:type="character" w:customStyle="1" w:styleId="21">
    <w:name w:val="Footer Char"/>
    <w:basedOn w:val="19"/>
    <w:qFormat/>
    <w:uiPriority w:val="0"/>
    <w:rPr>
      <w:rFonts w:cs="Times New Roman"/>
      <w:sz w:val="18"/>
      <w:szCs w:val="18"/>
    </w:rPr>
  </w:style>
  <w:style w:type="paragraph" w:customStyle="1" w:styleId="22">
    <w:name w:val="Heading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customStyle="1" w:styleId="23">
    <w:name w:val="Index"/>
    <w:basedOn w:val="1"/>
    <w:qFormat/>
    <w:uiPriority w:val="0"/>
    <w:pPr>
      <w:suppressLineNumbers/>
    </w:pPr>
  </w:style>
  <w:style w:type="paragraph" w:customStyle="1" w:styleId="24">
    <w:name w:val="Header and Footer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25">
    <w:name w:val="普通(网站)1"/>
    <w:basedOn w:val="1"/>
    <w:qFormat/>
    <w:uiPriority w:val="0"/>
    <w:pPr>
      <w:widowControl/>
      <w:spacing w:before="280" w:after="280"/>
      <w:jc w:val="left"/>
    </w:pPr>
    <w:rPr>
      <w:rFonts w:ascii="宋体;SimSun" w:hAnsi="宋体;SimSun" w:cs="宋体;SimSun"/>
      <w:kern w:val="0"/>
      <w:sz w:val="24"/>
      <w:szCs w:val="24"/>
    </w:rPr>
  </w:style>
  <w:style w:type="paragraph" w:customStyle="1" w:styleId="26">
    <w:name w:val="Table Contents"/>
    <w:basedOn w:val="1"/>
    <w:qFormat/>
    <w:uiPriority w:val="0"/>
    <w:pPr>
      <w:suppressLineNumbers/>
    </w:pPr>
  </w:style>
  <w:style w:type="paragraph" w:customStyle="1" w:styleId="27">
    <w:name w:val="Table Heading"/>
    <w:basedOn w:val="26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1754</Words>
  <Characters>1867</Characters>
  <TotalTime>10</TotalTime>
  <ScaleCrop>false</ScaleCrop>
  <LinksUpToDate>false</LinksUpToDate>
  <CharactersWithSpaces>1900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2020-09-25T18:15:00Z</dcterms:created>
  <dc:creator>未定义</dc:creator>
  <cp:lastModifiedBy>郭丽娜</cp:lastModifiedBy>
  <dcterms:modified xsi:type="dcterms:W3CDTF">2026-07-06T07:01:10Z</dcterms:modified>
  <dc:title>曲靖市农业农村局关于环保督察反馈问题整改完成情况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eyJoZGlkIjoiYTA0OTFiNTllN2E3YTc2MDc5ZTIwYTg0ZjFlZjFlMWQiLCJ1c2VySWQiOiIzNzMyMDUyODEifQ==</vt:lpwstr>
  </property>
  <property fmtid="{D5CDD505-2E9C-101B-9397-08002B2CF9AE}" pid="4" name="ICV">
    <vt:lpwstr>B90B0460EA2E400DBAAB82A2EE81B640_13</vt:lpwstr>
  </property>
</Properties>
</file>