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8D3F">
      <w:pPr>
        <w:keepNext w:val="0"/>
        <w:keepLines w:val="0"/>
        <w:pageBreakBefore w:val="0"/>
        <w:widowControl w:val="0"/>
        <w:kinsoku/>
        <w:wordWrap w:val="0"/>
        <w:overflowPunct/>
        <w:topLinePunct w:val="0"/>
        <w:autoSpaceDE/>
        <w:autoSpaceDN/>
        <w:bidi w:val="0"/>
        <w:adjustRightInd/>
        <w:snapToGrid/>
        <w:spacing w:line="640" w:lineRule="exact"/>
        <w:jc w:val="center"/>
        <w:textAlignment w:val="auto"/>
        <w:rPr>
          <w:rFonts w:hint="eastAsia" w:ascii="方正小标宋_GBK" w:hAnsi="仿宋" w:eastAsia="方正小标宋_GBK"/>
          <w:color w:val="auto"/>
          <w:sz w:val="44"/>
          <w:szCs w:val="44"/>
          <w:lang w:eastAsia="zh-CN"/>
        </w:rPr>
      </w:pPr>
      <w:r>
        <w:rPr>
          <w:rFonts w:hint="eastAsia" w:ascii="方正小标宋_GBK" w:hAnsi="仿宋" w:eastAsia="方正小标宋_GBK"/>
          <w:color w:val="auto"/>
          <w:sz w:val="44"/>
          <w:szCs w:val="44"/>
        </w:rPr>
        <w:t>曲靖市生态环境局关</w:t>
      </w:r>
      <w:r>
        <w:rPr>
          <w:rFonts w:hint="eastAsia" w:ascii="方正小标宋_GBK" w:hAnsi="仿宋" w:eastAsia="方正小标宋_GBK" w:cs="Times New Roman"/>
          <w:color w:val="auto"/>
          <w:sz w:val="44"/>
          <w:szCs w:val="44"/>
        </w:rPr>
        <w:t>于</w:t>
      </w:r>
      <w:r>
        <w:rPr>
          <w:rFonts w:hint="eastAsia" w:ascii="方正小标宋_GBK" w:hAnsi="仿宋" w:eastAsia="方正小标宋_GBK"/>
          <w:color w:val="auto"/>
          <w:sz w:val="44"/>
          <w:szCs w:val="44"/>
          <w:lang w:eastAsia="zh-CN"/>
        </w:rPr>
        <w:t>云南富源今飞轮毂制造有限公司铝合金汽车轮毂生产线技改项目</w:t>
      </w:r>
    </w:p>
    <w:p w14:paraId="24CAD9CF">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_GBK" w:hAnsi="仿宋" w:eastAsia="方正小标宋_GBK"/>
          <w:color w:val="auto"/>
          <w:sz w:val="44"/>
          <w:szCs w:val="44"/>
        </w:rPr>
        <w:t>环境影响报告表的批复</w:t>
      </w:r>
    </w:p>
    <w:p w14:paraId="1CC0BF09">
      <w:pPr>
        <w:keepNext w:val="0"/>
        <w:keepLines w:val="0"/>
        <w:pageBreakBefore w:val="0"/>
        <w:widowControl w:val="0"/>
        <w:kinsoku/>
        <w:overflowPunct/>
        <w:topLinePunct w:val="0"/>
        <w:autoSpaceDE/>
        <w:autoSpaceDN/>
        <w:bidi w:val="0"/>
        <w:adjustRightInd/>
        <w:snapToGrid/>
        <w:spacing w:line="360" w:lineRule="exact"/>
        <w:textAlignment w:val="auto"/>
        <w:rPr>
          <w:rFonts w:hint="eastAsia"/>
        </w:rPr>
      </w:pPr>
    </w:p>
    <w:p w14:paraId="24138D4D">
      <w:pPr>
        <w:keepNext w:val="0"/>
        <w:keepLines w:val="0"/>
        <w:pageBreakBefore w:val="0"/>
        <w:widowControl w:val="0"/>
        <w:pBdr>
          <w:top w:val="none" w:color="auto" w:sz="0" w:space="1"/>
          <w:left w:val="none" w:color="auto" w:sz="0" w:space="4"/>
          <w:bottom w:val="none" w:color="FF0000" w:sz="0" w:space="1"/>
          <w:right w:val="none" w:color="auto" w:sz="0" w:space="4"/>
          <w:between w:val="none" w:color="auto" w:sz="0" w:space="0"/>
        </w:pBdr>
        <w:kinsoku/>
        <w:overflowPunct/>
        <w:topLinePunct w:val="0"/>
        <w:autoSpaceDE/>
        <w:autoSpaceDN/>
        <w:bidi w:val="0"/>
        <w:adjustRightInd/>
        <w:snapToGrid/>
        <w:spacing w:line="360" w:lineRule="exact"/>
        <w:jc w:val="center"/>
        <w:textAlignment w:val="auto"/>
        <w:rPr>
          <w:rFonts w:hint="eastAsia"/>
          <w:lang w:val="en-US" w:eastAsia="zh-CN"/>
        </w:rPr>
      </w:pPr>
      <w:r>
        <w:rPr>
          <w:rFonts w:hint="eastAsia"/>
        </w:rPr>
        <w:t>曲环审</w:t>
      </w:r>
      <w:r>
        <w:rPr>
          <w:rFonts w:hint="default"/>
        </w:rPr>
        <w:t>〔</w:t>
      </w:r>
      <w:r>
        <w:rPr>
          <w:rFonts w:hint="eastAsia"/>
          <w:lang w:val="en-US" w:eastAsia="zh-CN"/>
        </w:rPr>
        <w:t>2026</w:t>
      </w:r>
      <w:r>
        <w:rPr>
          <w:rFonts w:hint="default"/>
        </w:rPr>
        <w:t>〕</w:t>
      </w:r>
      <w:r>
        <w:rPr>
          <w:rFonts w:hint="eastAsia"/>
          <w:lang w:val="en-US" w:eastAsia="zh-CN"/>
        </w:rPr>
        <w:t>8-10号</w:t>
      </w:r>
    </w:p>
    <w:p w14:paraId="58D9A2B3">
      <w:pPr>
        <w:keepNext w:val="0"/>
        <w:keepLines w:val="0"/>
        <w:pageBreakBefore w:val="0"/>
        <w:widowControl w:val="0"/>
        <w:suppressLineNumbers w:val="0"/>
        <w:kinsoku/>
        <w:wordWrap w:val="0"/>
        <w:overflowPunct/>
        <w:topLinePunct w:val="0"/>
        <w:autoSpaceDE/>
        <w:autoSpaceDN/>
        <w:bidi w:val="0"/>
        <w:adjustRightInd/>
        <w:snapToGrid/>
        <w:spacing w:line="360" w:lineRule="exact"/>
        <w:jc w:val="both"/>
        <w:textAlignment w:val="auto"/>
        <w:rPr>
          <w:rFonts w:hint="eastAsia" w:cs="Times New Roman"/>
          <w:color w:val="auto"/>
          <w:kern w:val="21"/>
          <w:sz w:val="32"/>
          <w:lang w:val="en-US" w:eastAsia="zh-CN"/>
        </w:rPr>
      </w:pPr>
    </w:p>
    <w:p w14:paraId="6CDE3126">
      <w:pPr>
        <w:keepNext w:val="0"/>
        <w:keepLines w:val="0"/>
        <w:pageBreakBefore w:val="0"/>
        <w:widowControl w:val="0"/>
        <w:suppressLineNumbers w:val="0"/>
        <w:kinsoku/>
        <w:wordWrap w:val="0"/>
        <w:overflowPunct/>
        <w:topLinePunct w:val="0"/>
        <w:autoSpaceDE/>
        <w:autoSpaceDN/>
        <w:bidi w:val="0"/>
        <w:adjustRightInd/>
        <w:snapToGrid/>
        <w:spacing w:line="550" w:lineRule="exact"/>
        <w:jc w:val="both"/>
        <w:textAlignment w:val="auto"/>
        <w:rPr>
          <w:rFonts w:hint="default" w:ascii="Times New Roman" w:hAnsi="Times New Roman" w:eastAsia="方正仿宋_GBK" w:cs="Times New Roman"/>
          <w:color w:val="auto"/>
          <w:kern w:val="21"/>
          <w:sz w:val="32"/>
          <w:lang w:val="en-US" w:eastAsia="zh-CN"/>
        </w:rPr>
      </w:pPr>
      <w:r>
        <w:rPr>
          <w:rFonts w:hint="eastAsia" w:cs="Times New Roman"/>
          <w:color w:val="auto"/>
          <w:kern w:val="21"/>
          <w:sz w:val="32"/>
          <w:lang w:val="en-US" w:eastAsia="zh-CN"/>
        </w:rPr>
        <w:t>云南富源今飞轮毂制造有限公司</w:t>
      </w:r>
      <w:r>
        <w:rPr>
          <w:rFonts w:hint="default" w:ascii="Times New Roman" w:hAnsi="Times New Roman" w:eastAsia="方正仿宋_GBK" w:cs="Times New Roman"/>
          <w:color w:val="auto"/>
          <w:kern w:val="21"/>
          <w:sz w:val="32"/>
          <w:lang w:val="en-US" w:eastAsia="zh-CN"/>
        </w:rPr>
        <w:t>：</w:t>
      </w:r>
    </w:p>
    <w:p w14:paraId="3892C19A">
      <w:pPr>
        <w:keepNext w:val="0"/>
        <w:keepLines w:val="0"/>
        <w:pageBreakBefore w:val="0"/>
        <w:widowControl w:val="0"/>
        <w:suppressLineNumbers w:val="0"/>
        <w:kinsoku/>
        <w:wordWrap w:val="0"/>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default" w:ascii="Times New Roman" w:hAnsi="Times New Roman" w:eastAsia="方正仿宋_GBK" w:cs="Times New Roman"/>
          <w:color w:val="auto"/>
          <w:kern w:val="21"/>
          <w:sz w:val="32"/>
          <w:lang w:val="en-US" w:eastAsia="zh-CN"/>
        </w:rPr>
        <w:t>你公司申请审批的《</w:t>
      </w:r>
      <w:r>
        <w:rPr>
          <w:rFonts w:hint="eastAsia" w:cs="Times New Roman"/>
          <w:color w:val="auto"/>
          <w:sz w:val="32"/>
          <w:lang w:val="en-US" w:eastAsia="zh-CN"/>
        </w:rPr>
        <w:t>云南富源今飞轮毂制造有限公司铝合金汽车轮毂生产线技改项目环境影响报告表（报批稿）</w:t>
      </w:r>
      <w:r>
        <w:rPr>
          <w:rFonts w:hint="default" w:ascii="Times New Roman" w:hAnsi="Times New Roman" w:eastAsia="方正仿宋_GBK" w:cs="Times New Roman"/>
          <w:color w:val="auto"/>
          <w:kern w:val="21"/>
          <w:sz w:val="32"/>
          <w:lang w:val="en-US" w:eastAsia="zh-CN"/>
        </w:rPr>
        <w:t>》（以下简称《报告表》）及相关附件材料收悉。经研究，批复如下：</w:t>
      </w:r>
    </w:p>
    <w:p w14:paraId="74E262F0">
      <w:pPr>
        <w:keepNext w:val="0"/>
        <w:keepLines w:val="0"/>
        <w:pageBreakBefore w:val="0"/>
        <w:widowControl w:val="0"/>
        <w:suppressLineNumbers w:val="0"/>
        <w:kinsoku/>
        <w:wordWrap w:val="0"/>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一、</w:t>
      </w:r>
      <w:r>
        <w:rPr>
          <w:rFonts w:hint="eastAsia" w:cs="Times New Roman"/>
          <w:color w:val="auto"/>
          <w:kern w:val="21"/>
          <w:sz w:val="32"/>
          <w:lang w:val="en-US" w:eastAsia="zh-CN"/>
        </w:rPr>
        <w:t>该项目位于曲靖市富源县胜境街道四屯社区（云南富源产业园区胜境片区），地理坐标：东经104度14分34.050秒，北纬25度44分15.046秒。建设内容及规模为：占地面积224966.51m</w:t>
      </w:r>
      <w:r>
        <w:rPr>
          <w:rFonts w:hint="eastAsia" w:cs="Times New Roman"/>
          <w:color w:val="auto"/>
          <w:kern w:val="21"/>
          <w:sz w:val="32"/>
          <w:vertAlign w:val="superscript"/>
          <w:lang w:val="en-US" w:eastAsia="zh-CN"/>
        </w:rPr>
        <w:t>2</w:t>
      </w:r>
      <w:r>
        <w:rPr>
          <w:rFonts w:hint="eastAsia" w:cs="Times New Roman"/>
          <w:color w:val="auto"/>
          <w:kern w:val="21"/>
          <w:sz w:val="32"/>
          <w:lang w:val="en-US" w:eastAsia="zh-CN"/>
        </w:rPr>
        <w:t>，项目在现有厂区内进行建设，不新增用地，依托现有标准化生产厂房，对相应的生产设施设备、环保工程等相关内容进行技改。其中，生产设施设备技改包括增加轮毂旋压工序、轮毂喷涂工序、废铸件重熔工序等，以及利用现有铝合金液配置设备增加铝合金锭铸造工序；环保工程技改包括铝合金液配置烟气治理措施升级、VOCs治理措施升级、同种产污设备排口合并等内容。新增生产设施设备购置安装包括1台熔保一体炉、1套铝灰渣炒灰设备、3套旋压铸造设备、2台燃气烤模炉、1台抛丸机、1台打砂机、1条塑粉（底粉）喷涂线（包括1台塑粉喷涂机、2台塑粉回收设备）、1条塑粉（透明粉）喷涂线（包括1台塑粉喷涂机、2台塑粉回收设备）、2条轮毂修补线及相关检测设施设备，对现有汽车铝合金轮毂生产线进行技术改造；购置安装铝合金锭铸造生产线2条（外购电解铝液）。项目实施完成后，保持汽车轮毂产能500万件/年不变，新增铝合金锭铸造2万吨/年，其中电解铝液由云南云铝泽鑫铝业有限公司提供，不得使用其他铝液、废杂铝等。铝灰渣炒灰工序仅用于项目自产铝灰渣炒灰，不得接收外来铝灰渣。废铸件重熔工序仅用于项目自产废铸件（不沾染切削液、油漆、塑粉等）重熔，不得接收项目以外的废铸件、废铝、废杂铝、废铝合金等。项目总投资4250万元，其中环保投资3122万元。</w:t>
      </w:r>
    </w:p>
    <w:p w14:paraId="17A23015">
      <w:pPr>
        <w:pStyle w:val="7"/>
        <w:keepNext w:val="0"/>
        <w:keepLines w:val="0"/>
        <w:pageBreakBefore w:val="0"/>
        <w:widowControl w:val="0"/>
        <w:numPr>
          <w:ilvl w:val="0"/>
          <w:numId w:val="0"/>
        </w:numPr>
        <w:kinsoku/>
        <w:wordWrap w:val="0"/>
        <w:overflowPunct/>
        <w:topLinePunct w:val="0"/>
        <w:autoSpaceDE/>
        <w:autoSpaceDN/>
        <w:bidi w:val="0"/>
        <w:adjustRightInd/>
        <w:snapToGrid/>
        <w:spacing w:after="0" w:line="550" w:lineRule="exact"/>
        <w:ind w:leftChars="0" w:firstLine="632" w:firstLineChars="200"/>
        <w:jc w:val="both"/>
        <w:textAlignment w:val="auto"/>
        <w:outlineLvl w:val="9"/>
        <w:rPr>
          <w:rFonts w:hint="default" w:ascii="Times New Roman" w:hAnsi="Times New Roman" w:eastAsia="方正仿宋_GBK" w:cs="Times New Roman"/>
          <w:color w:val="auto"/>
          <w:kern w:val="21"/>
          <w:sz w:val="32"/>
          <w:szCs w:val="32"/>
          <w:lang w:eastAsia="zh-CN"/>
        </w:rPr>
      </w:pPr>
      <w:r>
        <w:rPr>
          <w:rFonts w:hint="default" w:ascii="Times New Roman" w:hAnsi="Times New Roman" w:eastAsia="方正仿宋_GBK" w:cs="Times New Roman"/>
          <w:color w:val="auto"/>
          <w:kern w:val="21"/>
          <w:sz w:val="32"/>
          <w:szCs w:val="32"/>
        </w:rPr>
        <w:t>根据《报告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》评价结论，项目不涉及</w:t>
      </w:r>
      <w:r>
        <w:rPr>
          <w:rFonts w:hint="default" w:ascii="Times New Roman" w:hAnsi="Times New Roman" w:eastAsia="方正仿宋_GBK" w:cs="Times New Roman"/>
          <w:color w:val="auto"/>
          <w:kern w:val="21"/>
          <w:sz w:val="32"/>
          <w:szCs w:val="32"/>
          <w:lang w:eastAsia="zh-CN"/>
        </w:rPr>
        <w:t>占用</w:t>
      </w:r>
      <w:r>
        <w:rPr>
          <w:rFonts w:hint="default" w:ascii="Times New Roman" w:hAnsi="Times New Roman" w:eastAsia="方正仿宋_GBK" w:cs="Times New Roman"/>
          <w:color w:val="auto"/>
          <w:kern w:val="21"/>
          <w:sz w:val="32"/>
          <w:szCs w:val="32"/>
        </w:rPr>
        <w:t>依法设立的自然保护区、风景名胜区、</w:t>
      </w:r>
      <w:r>
        <w:rPr>
          <w:rFonts w:hint="default" w:ascii="Times New Roman" w:hAnsi="Times New Roman" w:eastAsia="方正仿宋_GBK" w:cs="Times New Roman"/>
          <w:color w:val="auto"/>
          <w:kern w:val="21"/>
          <w:sz w:val="32"/>
          <w:szCs w:val="32"/>
          <w:lang w:eastAsia="zh-CN"/>
        </w:rPr>
        <w:t>国家公园、</w:t>
      </w:r>
      <w:r>
        <w:rPr>
          <w:rFonts w:hint="default" w:ascii="Times New Roman" w:hAnsi="Times New Roman" w:eastAsia="方正仿宋_GBK" w:cs="Times New Roman"/>
          <w:b w:val="0"/>
          <w:bCs w:val="0"/>
          <w:color w:val="auto"/>
          <w:kern w:val="21"/>
          <w:sz w:val="32"/>
          <w:szCs w:val="32"/>
        </w:rPr>
        <w:t>饮用水水源保护区</w:t>
      </w:r>
      <w:r>
        <w:rPr>
          <w:rFonts w:hint="eastAsia" w:eastAsia="方正仿宋_GBK" w:cs="Times New Roman"/>
          <w:b w:val="0"/>
          <w:bCs w:val="0"/>
          <w:color w:val="auto"/>
          <w:kern w:val="21"/>
          <w:sz w:val="32"/>
          <w:szCs w:val="32"/>
          <w:lang w:eastAsia="zh-CN"/>
        </w:rPr>
        <w:t>、生态保护红线</w:t>
      </w:r>
      <w:r>
        <w:rPr>
          <w:rFonts w:hint="default" w:ascii="Times New Roman" w:hAnsi="Times New Roman" w:eastAsia="方正仿宋_GBK" w:cs="Times New Roman"/>
          <w:color w:val="auto"/>
          <w:kern w:val="21"/>
          <w:sz w:val="32"/>
          <w:szCs w:val="32"/>
          <w:lang w:val="en-US" w:eastAsia="zh-CN"/>
        </w:rPr>
        <w:t>等环境敏感区</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rPr>
        <w:t>符合国家产业政策</w:t>
      </w:r>
      <w:r>
        <w:rPr>
          <w:rFonts w:hint="default" w:ascii="Times New Roman" w:hAnsi="Times New Roman" w:eastAsia="方正仿宋_GBK" w:cs="Times New Roman"/>
          <w:b w:val="0"/>
          <w:bCs/>
          <w:color w:val="auto"/>
          <w:kern w:val="21"/>
          <w:sz w:val="32"/>
          <w:szCs w:val="32"/>
          <w:lang w:eastAsia="zh-CN"/>
        </w:rPr>
        <w:t>及生态环境分区管控要求</w:t>
      </w:r>
      <w:r>
        <w:rPr>
          <w:rFonts w:hint="default" w:ascii="Times New Roman" w:hAnsi="Times New Roman" w:eastAsia="方正仿宋_GBK" w:cs="Times New Roman"/>
          <w:color w:val="auto"/>
          <w:kern w:val="21"/>
          <w:sz w:val="32"/>
          <w:szCs w:val="32"/>
          <w:highlight w:val="none"/>
          <w:lang w:eastAsia="zh-CN"/>
        </w:rPr>
        <w:t>。</w:t>
      </w:r>
      <w:r>
        <w:rPr>
          <w:rFonts w:hint="default" w:ascii="Times New Roman" w:hAnsi="Times New Roman" w:eastAsia="方正仿宋_GBK" w:cs="Times New Roman"/>
          <w:color w:val="auto"/>
          <w:kern w:val="21"/>
          <w:sz w:val="32"/>
          <w:szCs w:val="32"/>
        </w:rPr>
        <w:t>在全面落实《报告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》提出的各项生态保护和污染防治措施的前提下，项目建设对环境的不利影响可以降低或得到有效控制，</w:t>
      </w:r>
      <w:r>
        <w:rPr>
          <w:rFonts w:hint="eastAsia" w:eastAsia="方正仿宋_GBK" w:cs="Times New Roman"/>
          <w:color w:val="auto"/>
          <w:kern w:val="21"/>
          <w:sz w:val="32"/>
          <w:szCs w:val="32"/>
          <w:lang w:val="en-US" w:eastAsia="zh-CN"/>
        </w:rPr>
        <w:t>我局</w:t>
      </w:r>
      <w:r>
        <w:rPr>
          <w:rFonts w:hint="default" w:ascii="Times New Roman" w:hAnsi="Times New Roman" w:eastAsia="方正仿宋_GBK" w:cs="Times New Roman"/>
          <w:color w:val="auto"/>
          <w:kern w:val="21"/>
          <w:sz w:val="32"/>
          <w:szCs w:val="32"/>
        </w:rPr>
        <w:t>原则同意你</w:t>
      </w:r>
      <w:r>
        <w:rPr>
          <w:rFonts w:hint="default" w:ascii="Times New Roman" w:hAnsi="Times New Roman" w:eastAsia="方正仿宋_GBK" w:cs="Times New Roman"/>
          <w:bCs/>
          <w:color w:val="auto"/>
          <w:kern w:val="21"/>
          <w:sz w:val="32"/>
          <w:szCs w:val="32"/>
          <w:lang w:eastAsia="zh-CN"/>
        </w:rPr>
        <w:t>公司</w:t>
      </w:r>
      <w:r>
        <w:rPr>
          <w:rFonts w:hint="default" w:ascii="Times New Roman" w:hAnsi="Times New Roman" w:eastAsia="方正仿宋_GBK" w:cs="Times New Roman"/>
          <w:color w:val="auto"/>
          <w:kern w:val="21"/>
          <w:sz w:val="32"/>
          <w:szCs w:val="32"/>
        </w:rPr>
        <w:t>按《报告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》中所列建设项目的地点、性质、规模</w:t>
      </w:r>
      <w:r>
        <w:rPr>
          <w:rFonts w:hint="eastAsia" w:eastAsia="方正仿宋_GBK" w:cs="Times New Roman"/>
          <w:color w:val="auto"/>
          <w:kern w:val="21"/>
          <w:sz w:val="32"/>
          <w:szCs w:val="32"/>
          <w:lang w:eastAsia="zh-CN"/>
        </w:rPr>
        <w:t>、生产工艺</w:t>
      </w:r>
      <w:r>
        <w:rPr>
          <w:rFonts w:hint="default" w:ascii="Times New Roman" w:hAnsi="Times New Roman" w:eastAsia="方正仿宋_GBK" w:cs="Times New Roman"/>
          <w:color w:val="auto"/>
          <w:kern w:val="21"/>
          <w:sz w:val="32"/>
          <w:szCs w:val="32"/>
        </w:rPr>
        <w:t>和拟采取的环境保护措施建设</w:t>
      </w:r>
      <w:r>
        <w:rPr>
          <w:rFonts w:hint="default" w:ascii="Times New Roman" w:hAnsi="Times New Roman" w:eastAsia="方正仿宋_GBK" w:cs="Times New Roman"/>
          <w:color w:val="auto"/>
          <w:kern w:val="21"/>
          <w:sz w:val="32"/>
          <w:szCs w:val="32"/>
          <w:lang w:eastAsia="zh-CN"/>
        </w:rPr>
        <w:t>。</w:t>
      </w:r>
    </w:p>
    <w:p w14:paraId="6BA36DD4">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方正仿宋_GBK" w:cs="Times New Roman"/>
          <w:color w:val="auto"/>
          <w:kern w:val="21"/>
          <w:sz w:val="32"/>
          <w:szCs w:val="32"/>
          <w:lang w:eastAsia="zh-CN"/>
        </w:rPr>
      </w:pPr>
      <w:r>
        <w:rPr>
          <w:rFonts w:hint="default" w:ascii="Times New Roman" w:hAnsi="Times New Roman" w:eastAsia="方正仿宋_GBK" w:cs="Times New Roman"/>
          <w:color w:val="auto"/>
          <w:kern w:val="21"/>
          <w:sz w:val="32"/>
          <w:szCs w:val="32"/>
          <w:lang w:eastAsia="zh-CN"/>
        </w:rPr>
        <w:t>二</w:t>
      </w:r>
      <w:r>
        <w:rPr>
          <w:rFonts w:hint="default" w:ascii="Times New Roman" w:hAnsi="Times New Roman" w:eastAsia="方正仿宋_GBK" w:cs="Times New Roman"/>
          <w:color w:val="auto"/>
          <w:kern w:val="21"/>
          <w:sz w:val="32"/>
          <w:szCs w:val="32"/>
        </w:rPr>
        <w:t>、项目建设</w:t>
      </w:r>
      <w:r>
        <w:rPr>
          <w:rFonts w:hint="default" w:ascii="Times New Roman" w:hAnsi="Times New Roman" w:eastAsia="方正仿宋_GBK" w:cs="Times New Roman"/>
          <w:color w:val="auto"/>
          <w:kern w:val="21"/>
          <w:sz w:val="32"/>
          <w:szCs w:val="32"/>
          <w:lang w:val="en-US" w:eastAsia="zh-CN"/>
        </w:rPr>
        <w:t>和运营</w:t>
      </w:r>
      <w:r>
        <w:rPr>
          <w:rFonts w:hint="default" w:ascii="Times New Roman" w:hAnsi="Times New Roman" w:eastAsia="方正仿宋_GBK" w:cs="Times New Roman"/>
          <w:color w:val="auto"/>
          <w:kern w:val="21"/>
          <w:sz w:val="32"/>
          <w:szCs w:val="32"/>
        </w:rPr>
        <w:t>过程中须严格按照《报告表》的要求落实各项污染防治措施，同时应重点做好以下工作</w:t>
      </w:r>
      <w:r>
        <w:rPr>
          <w:rFonts w:hint="eastAsia" w:cs="Times New Roman"/>
          <w:color w:val="auto"/>
          <w:kern w:val="21"/>
          <w:sz w:val="32"/>
          <w:szCs w:val="32"/>
          <w:lang w:eastAsia="zh-CN"/>
        </w:rPr>
        <w:t>。</w:t>
      </w:r>
    </w:p>
    <w:p w14:paraId="109B5CE6">
      <w:pPr>
        <w:keepNext w:val="0"/>
        <w:keepLines w:val="0"/>
        <w:pageBreakBefore w:val="0"/>
        <w:widowControl w:val="0"/>
        <w:suppressLineNumbers w:val="0"/>
        <w:kinsoku/>
        <w:wordWrap w:val="0"/>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（一）加强施工期环境管理。</w:t>
      </w:r>
      <w:r>
        <w:rPr>
          <w:rFonts w:hint="default" w:ascii="Times New Roman" w:hAnsi="Times New Roman" w:eastAsia="方正仿宋_GBK" w:cs="Times New Roman"/>
          <w:color w:val="auto"/>
          <w:kern w:val="21"/>
          <w:sz w:val="32"/>
          <w:lang w:val="en-US" w:eastAsia="zh-CN"/>
        </w:rPr>
        <w:t>施工人员少量生活污水依托厂内化粪池收集后排入园区第一污水处理厂处理。加强施工管理、规范操作、合理安排施工时间，确保施工场界噪声排放达到《建筑施工噪声排放标准》（GB12523-2025）。建筑垃圾由建设单位统一收集后，能回收利用的回收利用或外售，不能回收利用的按照当地政府部门要求处置；设备包装物等分类收集后外售废品收购站；生活垃圾由厂区内生活垃圾箱收集后委托环卫部门清运处置。</w:t>
      </w:r>
    </w:p>
    <w:p w14:paraId="08BECB3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（二）严格落实水环境保护措施。</w:t>
      </w:r>
      <w:r>
        <w:rPr>
          <w:rFonts w:hint="default" w:ascii="Times New Roman" w:hAnsi="Times New Roman" w:eastAsia="方正仿宋_GBK" w:cs="Times New Roman"/>
          <w:color w:val="auto"/>
          <w:kern w:val="21"/>
          <w:sz w:val="32"/>
          <w:lang w:val="en-US" w:eastAsia="zh-CN"/>
        </w:rPr>
        <w:t>项目实施雨污分流排水体制，依托现有1座480m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初期雨水池，配套设置雨水收集沟、弃流装置及雨水排放口，雨水经初期雨水池沉淀处理后排入厂外雨水管网。生产废水依托现有600m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d生产废水处理站处理，出水水质达到《污水排入城镇下水道水质标准》（GB/T31962-2015）A等级标准后排入园区第一污水处理厂。生活污水依托现有5座化粪池收集后排入园区第一污水处理厂，其中食堂废水依托现有1座10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隔油池处理后排入化粪池。</w:t>
      </w:r>
    </w:p>
    <w:p w14:paraId="66859A0D">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eastAsia" w:eastAsia="方正仿宋_GBK" w:cs="Times New Roman"/>
          <w:color w:val="auto"/>
          <w:kern w:val="21"/>
          <w:sz w:val="32"/>
          <w:lang w:val="en-US" w:eastAsia="zh-CN"/>
        </w:rPr>
        <w:t>（三）</w:t>
      </w:r>
      <w:r>
        <w:rPr>
          <w:rFonts w:hint="eastAsia" w:ascii="Times New Roman" w:hAnsi="Times New Roman" w:eastAsia="方正仿宋_GBK" w:cs="Times New Roman"/>
          <w:color w:val="auto"/>
          <w:kern w:val="21"/>
          <w:sz w:val="32"/>
          <w:lang w:val="en-US" w:eastAsia="zh-CN"/>
        </w:rPr>
        <w:t>认真</w:t>
      </w:r>
      <w:r>
        <w:rPr>
          <w:rFonts w:hint="default" w:ascii="Times New Roman" w:hAnsi="Times New Roman" w:eastAsia="方正仿宋_GBK" w:cs="Times New Roman"/>
          <w:color w:val="auto"/>
          <w:kern w:val="21"/>
          <w:sz w:val="32"/>
          <w:lang w:val="zh-CN" w:eastAsia="zh-CN"/>
        </w:rPr>
        <w:t>落实分区防控措施。</w:t>
      </w:r>
      <w:r>
        <w:rPr>
          <w:rFonts w:hint="default" w:ascii="Times New Roman" w:hAnsi="Times New Roman" w:eastAsia="方正仿宋_GBK" w:cs="Times New Roman"/>
          <w:color w:val="auto"/>
          <w:kern w:val="21"/>
          <w:sz w:val="32"/>
          <w:lang w:val="en-US" w:eastAsia="zh-CN"/>
        </w:rPr>
        <w:t>铝屑贮存区为重点防渗区，防渗按照《危险废物贮存污染控制标准》（GB18597-2023）执行。</w:t>
      </w:r>
    </w:p>
    <w:p w14:paraId="3A5EAF34">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eastAsia" w:eastAsia="方正仿宋_GBK" w:cs="Times New Roman"/>
          <w:color w:val="auto"/>
          <w:kern w:val="21"/>
          <w:sz w:val="32"/>
          <w:szCs w:val="32"/>
          <w:highlight w:val="none"/>
          <w:lang w:val="en-US" w:eastAsia="zh-CN"/>
        </w:rPr>
      </w:pPr>
      <w:r>
        <w:rPr>
          <w:rFonts w:hint="eastAsia" w:ascii="Times New Roman" w:hAnsi="Times New Roman" w:eastAsia="方正仿宋_GBK" w:cs="Times New Roman"/>
          <w:color w:val="auto"/>
          <w:kern w:val="21"/>
          <w:sz w:val="32"/>
          <w:szCs w:val="32"/>
          <w:highlight w:val="none"/>
          <w:lang w:eastAsia="zh-CN"/>
        </w:rPr>
        <w:t>（</w:t>
      </w:r>
      <w:r>
        <w:rPr>
          <w:rFonts w:hint="eastAsia" w:ascii="Times New Roman" w:hAnsi="Times New Roman" w:eastAsia="方正仿宋_GBK" w:cs="Times New Roman"/>
          <w:color w:val="auto"/>
          <w:kern w:val="21"/>
          <w:sz w:val="32"/>
          <w:szCs w:val="32"/>
          <w:highlight w:val="none"/>
          <w:lang w:val="en-US" w:eastAsia="zh-CN"/>
        </w:rPr>
        <w:t>四</w:t>
      </w:r>
      <w:r>
        <w:rPr>
          <w:rFonts w:hint="eastAsia" w:ascii="Times New Roman" w:hAnsi="Times New Roman" w:eastAsia="方正仿宋_GBK" w:cs="Times New Roman"/>
          <w:color w:val="auto"/>
          <w:kern w:val="21"/>
          <w:sz w:val="32"/>
          <w:szCs w:val="32"/>
          <w:highlight w:val="none"/>
          <w:lang w:eastAsia="zh-CN"/>
        </w:rPr>
        <w:t>）</w:t>
      </w:r>
      <w:r>
        <w:rPr>
          <w:rFonts w:hint="eastAsia" w:ascii="Times New Roman" w:hAnsi="Times New Roman" w:eastAsia="方正仿宋_GBK" w:cs="Times New Roman"/>
          <w:color w:val="auto"/>
          <w:kern w:val="21"/>
          <w:sz w:val="32"/>
          <w:szCs w:val="32"/>
          <w:highlight w:val="none"/>
        </w:rPr>
        <w:t>落实大气污染防治措施。</w:t>
      </w:r>
      <w:r>
        <w:rPr>
          <w:rFonts w:hint="eastAsia" w:eastAsia="方正仿宋_GBK" w:cs="Times New Roman"/>
          <w:color w:val="auto"/>
          <w:kern w:val="21"/>
          <w:sz w:val="32"/>
          <w:szCs w:val="32"/>
          <w:highlight w:val="none"/>
          <w:lang w:val="en-US" w:eastAsia="zh-CN"/>
        </w:rPr>
        <w:t>项目有组织废气排放口经改造后共计47个，分别为铝合金液配置排口2个、废铸件重熔排口1个、铝灰渣炒灰排口1个、旋压加热炉排口4个、重力铸造保温炉排口2个、烤模炉排口2个、打砂机排口3个、抛丸机排口1个、热处理炉排口8个、热洁炉排口1个、热水锅炉排口2个、燃烧机排口8个、热固性塑粉喷粉排口9个、有机废气（塑粉热固、喷漆、烤漆等）排口2个、危险废物贮存间废气排口1个。47个排口均为一般排口。</w:t>
      </w:r>
    </w:p>
    <w:p w14:paraId="5C67C080">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eastAsia" w:eastAsia="方正仿宋_GBK" w:cs="Times New Roman"/>
          <w:color w:val="auto"/>
          <w:kern w:val="21"/>
          <w:sz w:val="32"/>
          <w:szCs w:val="32"/>
          <w:highlight w:val="none"/>
          <w:lang w:val="en-US" w:eastAsia="zh-CN"/>
        </w:rPr>
      </w:pPr>
      <w:r>
        <w:rPr>
          <w:rFonts w:hint="eastAsia" w:eastAsia="方正仿宋_GBK" w:cs="Times New Roman"/>
          <w:color w:val="auto"/>
          <w:kern w:val="21"/>
          <w:sz w:val="32"/>
          <w:szCs w:val="32"/>
          <w:highlight w:val="none"/>
          <w:lang w:val="en-US" w:eastAsia="zh-CN"/>
        </w:rPr>
        <w:t>铝合金液配置废气经集气罩收集通过布袋除尘器处理后经15米高排气筒（DA001和DA002）排放，废气中二氧化硫、氮氧化物、颗粒物排放浓度需达到《铸造工业大气污染物排放标准》（GB39726-2020）表1中排放浓度限值要求，氟化物排放浓度、排放速率需达到《大气污染物综合排放标准》（GB16297-1996）表2中排放浓度限值要求。废铸件重熔废气经集气罩收集通过布袋除尘器处理后经15米高排气筒（DA003）排放，废气中二氧化硫、氮氧化物、颗粒物排放浓度需达到《铸造工业大气污染物排放标准》（GB39726-2020）表1中排放浓度限值要求，氟化物排放浓度、排放速率需达到《大气污染物综合排放标准》（GB16297-1996）表2中排放浓度限值要求。铝灰渣炒灰间采取密闭措施，废气经集气罩收集后通过布袋除尘器处理后经15米高排气筒（DA004）排放，废气中颗粒物排放浓度、排放速率需达到《大气污染物综合排放标准》（GB16297-1996）表2中排放浓度限值要求。旋压加热炉、烤模炉废气均通过15米高排气筒（DA005-DA008和DA011-DA012）排放，废气中烟尘排放浓度需达到《工业炉窑大气污染物排放标准》（GB9078-1996）表2中排放浓度限值要求，二氧化硫、氮氧化物排放浓度、排放速率需达到《大气污染物综合排放标准》（GB16297-1996）表2中排放浓度限值要求。重力铸造保温炉废气通过15米高排气筒（DA009-DA010）排放，废气中二氧化硫、氮氧化物、颗粒物排放浓度需达到《铸造工业大气污染物排放标准》（GB39726-2020）表1中排放浓度限值要求。打砂机、抛丸机废气通过脉冲滤芯除尘器处理后经15米高排气筒（DA013-DA014和DA015-DA016）排放，废气中颗粒物排放浓度需达到《铸造工业大气污染物排放标准》（GB39726-2020）表1中排放浓度限值要求。热处理炉废气经15米高排气筒（DA017-DA024）排放，废气中二氧化硫、氮氧化物、颗粒物排放浓度需达到《铸造工业大气污染物排放标准》（GB39726-2020）表1中排放浓度限值要求。热洁炉废气通过自带二次燃烧处理后经15m高排气筒（DA025）排放，废气中烟尘排放浓度需达到《工业炉窑大气污染物排放标准》（GB9078-1996）表2中排放浓度限值要求，二氧化硫、氮氧化物、非甲烷总烃排放浓度和排放速率需达到《大气污染物综合排放标准》（GB16297-1996）表2中排放浓度限值要求。热水锅炉废气经15m高排气筒（DA026-DA027）排放，废气中颗粒物、二氧化硫、氮氧化物、烟气黑度排放浓度需达到《锅炉大气污染物排放标准》（GB13271-2014）表2中燃气锅炉排放浓度限值要求。燃烧机废气经15米高排气筒（DA028-DA035）排放，废气中烟尘排放浓度需达到《工业炉窑大气污染物排放标准》（GB9078-1996）表2中排放浓度限值要求，二氧化硫、氮氧化物排放浓度、排放速率需达到《大气污染物综合排放标准》（GB16297-1996）表2中排放浓度限值要求。热固性塑粉喷粉废气通过“旋风+脉冲式滤芯除尘器”处理后经15米高排气筒（DA036-DA044）排放，废气中颗粒物排放浓度需达到《铸造工业大气污染物排放标准》（GB39726-2020）表1中排放浓度限值要求。有机废气（塑粉热固、调漆、喷漆、烤漆等）通过“沸石转轮+RTO装置”处理后经15米高排气筒（DA045-DA046）排放，废气中颗粒物、二氧化硫、氮氧化物、非甲烷总烃、苯、苯系物排放浓度需达到《铸造工业大气污染物排放标准》（GB39726-2020）表1中排放浓度限值要求。危险废物贮存库废气通过活性炭吸附处理后经15米高排气筒（DA047）排放，废气中非甲烷总烃排放浓度、排放速率需达到《大气污染物综合排放标准》（GB16297-1996）表2中排放浓度限值要求，臭气浓度排放需达到《恶臭污染物排放标准》（GB14554-93）表2中排放限值要求。</w:t>
      </w:r>
    </w:p>
    <w:p w14:paraId="0B69090B">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方正仿宋_GBK" w:cs="Times New Roman"/>
          <w:color w:val="auto"/>
          <w:kern w:val="21"/>
          <w:sz w:val="32"/>
          <w:szCs w:val="24"/>
          <w:lang w:val="en-US" w:eastAsia="zh-CN" w:bidi="ar-SA"/>
        </w:rPr>
      </w:pPr>
      <w:r>
        <w:rPr>
          <w:rFonts w:hint="eastAsia" w:ascii="Times New Roman" w:hAnsi="Times New Roman" w:eastAsia="方正仿宋_GBK" w:cs="Times New Roman"/>
          <w:color w:val="auto"/>
          <w:kern w:val="21"/>
          <w:sz w:val="32"/>
        </w:rPr>
        <w:t>（</w:t>
      </w:r>
      <w:r>
        <w:rPr>
          <w:rFonts w:hint="eastAsia" w:ascii="Times New Roman" w:hAnsi="Times New Roman" w:eastAsia="方正仿宋_GBK" w:cs="Times New Roman"/>
          <w:color w:val="auto"/>
          <w:kern w:val="21"/>
          <w:sz w:val="32"/>
          <w:lang w:val="en-US" w:eastAsia="zh-CN"/>
        </w:rPr>
        <w:t>五</w:t>
      </w:r>
      <w:r>
        <w:rPr>
          <w:rFonts w:hint="eastAsia" w:ascii="Times New Roman" w:hAnsi="Times New Roman" w:eastAsia="方正仿宋_GBK" w:cs="Times New Roman"/>
          <w:color w:val="auto"/>
          <w:kern w:val="21"/>
          <w:sz w:val="32"/>
        </w:rPr>
        <w:t>）落实固体废物的贮存、处理和处置措施。</w:t>
      </w:r>
      <w:r>
        <w:rPr>
          <w:rFonts w:hint="default" w:ascii="Times New Roman" w:hAnsi="Times New Roman" w:eastAsia="方正仿宋_GBK" w:cs="Times New Roman"/>
          <w:color w:val="auto"/>
          <w:kern w:val="21"/>
          <w:sz w:val="32"/>
        </w:rPr>
        <w:t>项目产生的废铸件（不沾染切削液、油漆、塑粉等）经重熔后返回生产；废模具由模具生产企业回收；废弃耐火砖经收集后外售废耐火砖回收利用单位；喷粉除尘器收尘经收集后返回生产；废包材经收集后外售废旧资源回收单位；化粪池污泥委托环卫部门清运处置；生活垃圾统一收集后委托环卫部门清运处理。铝灰渣（包括铝合金液配置设施布袋除尘收尘灰、熔保炉布袋除尘收尘灰、炒灰过程布袋除尘收尘灰、经炒灰后的剩余铝灰渣）依托现有220m</w:t>
      </w:r>
      <w:r>
        <w:rPr>
          <w:rFonts w:hint="default" w:ascii="Times New Roman" w:hAnsi="Times New Roman" w:eastAsia="方正仿宋_GBK" w:cs="Times New Roman"/>
          <w:color w:val="auto"/>
          <w:kern w:val="21"/>
          <w:sz w:val="32"/>
          <w:vertAlign w:val="superscript"/>
        </w:rPr>
        <w:t>2</w:t>
      </w:r>
      <w:r>
        <w:rPr>
          <w:rFonts w:hint="default" w:ascii="Times New Roman" w:hAnsi="Times New Roman" w:eastAsia="方正仿宋_GBK" w:cs="Times New Roman"/>
          <w:color w:val="auto"/>
          <w:kern w:val="21"/>
          <w:sz w:val="32"/>
        </w:rPr>
        <w:t>铝灰库贮存后委托具备危险废物处置资质的单位清运处置；涉及收集铝灰的废布袋由铝灰库暂存后定期委托有相应资质单位进行处置；铝屑静置堆放于铝屑贮存区并无切削液滴漏后外售综合利用；生产废水处理站污泥、废机油、漆渣、油漆桶、废活性炭等由专用容器盛装并收集至现有480m</w:t>
      </w:r>
      <w:r>
        <w:rPr>
          <w:rFonts w:hint="default" w:ascii="Times New Roman" w:hAnsi="Times New Roman" w:eastAsia="方正仿宋_GBK" w:cs="Times New Roman"/>
          <w:color w:val="auto"/>
          <w:kern w:val="21"/>
          <w:sz w:val="32"/>
          <w:vertAlign w:val="superscript"/>
        </w:rPr>
        <w:t>2</w:t>
      </w:r>
      <w:r>
        <w:rPr>
          <w:rFonts w:hint="default" w:ascii="Times New Roman" w:hAnsi="Times New Roman" w:eastAsia="方正仿宋_GBK" w:cs="Times New Roman"/>
          <w:color w:val="auto"/>
          <w:kern w:val="21"/>
          <w:sz w:val="32"/>
        </w:rPr>
        <w:t>危废库内贮存后委托资质单位清运处置，危险废物收集、暂存及转运过程中的管理应严格按照《危险废物贮存污染控制标准》（GB18597-2023）和《危险废物转移管理办法》（部令第23号）等规定执行，并做好台账记录。</w:t>
      </w:r>
    </w:p>
    <w:p w14:paraId="6F7B1AB5">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szCs w:val="24"/>
          <w:lang w:val="en-US" w:eastAsia="zh-CN" w:bidi="ar-SA"/>
        </w:rPr>
        <w:t>（六）落实噪声污染防治</w:t>
      </w:r>
      <w:r>
        <w:rPr>
          <w:rFonts w:hint="eastAsia" w:ascii="Times New Roman" w:hAnsi="Times New Roman" w:eastAsia="方正仿宋_GBK" w:cs="Times New Roman"/>
          <w:color w:val="auto"/>
          <w:kern w:val="21"/>
          <w:sz w:val="32"/>
          <w:lang w:val="en-US" w:eastAsia="zh-CN"/>
        </w:rPr>
        <w:t>措施。优先选用低噪声设备，合理布置高噪声设备，采取设备减振、隔声、绿化养护等措施，确保厂界噪声达到《工业企业厂界环境噪声排放标准》（GB12348-2008）3类标准要求，确保区</w:t>
      </w:r>
      <w:bookmarkStart w:id="0" w:name="_GoBack"/>
      <w:bookmarkEnd w:id="0"/>
      <w:r>
        <w:rPr>
          <w:rFonts w:hint="eastAsia" w:ascii="Times New Roman" w:hAnsi="Times New Roman" w:eastAsia="方正仿宋_GBK" w:cs="Times New Roman"/>
          <w:color w:val="auto"/>
          <w:kern w:val="21"/>
          <w:sz w:val="32"/>
          <w:lang w:val="en-US" w:eastAsia="zh-CN"/>
        </w:rPr>
        <w:t>域声环境保护目标满足《声环境质量标准》（GB3096-2008）2类标准要求。</w:t>
      </w:r>
    </w:p>
    <w:p w14:paraId="763FC080">
      <w:pPr>
        <w:keepNext w:val="0"/>
        <w:keepLines w:val="0"/>
        <w:pageBreakBefore w:val="0"/>
        <w:widowControl w:val="0"/>
        <w:kinsoku/>
        <w:wordWrap w:val="0"/>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ascii="Times New Roman" w:hAnsi="Times New Roman" w:eastAsia="方正仿宋_GBK" w:cs="Times New Roman"/>
          <w:color w:val="auto"/>
          <w:kern w:val="21"/>
          <w:sz w:val="32"/>
          <w:szCs w:val="32"/>
        </w:rPr>
        <w:t>（</w:t>
      </w:r>
      <w:r>
        <w:rPr>
          <w:rFonts w:hint="eastAsia" w:ascii="Times New Roman" w:hAnsi="Times New Roman" w:eastAsia="方正仿宋_GBK" w:cs="Times New Roman"/>
          <w:color w:val="auto"/>
          <w:kern w:val="21"/>
          <w:sz w:val="32"/>
          <w:szCs w:val="32"/>
          <w:lang w:val="en-US" w:eastAsia="zh-CN"/>
        </w:rPr>
        <w:t>七</w:t>
      </w:r>
      <w:r>
        <w:rPr>
          <w:rFonts w:hint="eastAsia" w:ascii="Times New Roman" w:hAnsi="Times New Roman" w:eastAsia="方正仿宋_GBK" w:cs="Times New Roman"/>
          <w:color w:val="auto"/>
          <w:kern w:val="21"/>
          <w:sz w:val="32"/>
          <w:szCs w:val="32"/>
        </w:rPr>
        <w:t>）加强应急处置。</w:t>
      </w:r>
      <w:r>
        <w:rPr>
          <w:rFonts w:hint="default" w:ascii="Times New Roman" w:hAnsi="Times New Roman" w:eastAsia="方正仿宋_GBK" w:cs="Times New Roman"/>
          <w:color w:val="auto"/>
          <w:kern w:val="21"/>
          <w:sz w:val="32"/>
          <w:szCs w:val="32"/>
        </w:rPr>
        <w:t>制定和完善环境风险及突发环境事件应急预案，并报市生态环境局富源分局备案。按照“预防为主”的原则，做好日常环境管理工作，认真落实环境风险事故防范措施及应急措施。</w:t>
      </w:r>
    </w:p>
    <w:p w14:paraId="4B9DE8F2">
      <w:pPr>
        <w:pStyle w:val="7"/>
        <w:keepNext w:val="0"/>
        <w:keepLines w:val="0"/>
        <w:pageBreakBefore w:val="0"/>
        <w:widowControl w:val="0"/>
        <w:kinsoku/>
        <w:wordWrap w:val="0"/>
        <w:overflowPunct/>
        <w:topLinePunct w:val="0"/>
        <w:autoSpaceDE/>
        <w:autoSpaceDN/>
        <w:bidi w:val="0"/>
        <w:adjustRightInd/>
        <w:snapToGrid/>
        <w:spacing w:after="0" w:line="550" w:lineRule="exact"/>
        <w:ind w:left="0" w:leftChars="0" w:firstLine="632" w:firstLineChars="200"/>
        <w:jc w:val="both"/>
        <w:textAlignment w:val="auto"/>
        <w:rPr>
          <w:rFonts w:hint="eastAsia" w:cs="Times New Roman"/>
          <w:color w:val="auto"/>
          <w:kern w:val="21"/>
          <w:sz w:val="32"/>
          <w:szCs w:val="32"/>
          <w:lang w:val="en-US" w:eastAsia="zh-CN"/>
        </w:rPr>
      </w:pPr>
      <w:r>
        <w:rPr>
          <w:rFonts w:hint="eastAsia" w:cs="Times New Roman"/>
          <w:color w:val="auto"/>
          <w:kern w:val="21"/>
          <w:sz w:val="32"/>
          <w:szCs w:val="32"/>
          <w:lang w:eastAsia="zh-CN"/>
        </w:rPr>
        <w:t>三、经《报告表》分析及核算结果，项目主要污染物排放总量初步核定为：氮氧化物</w:t>
      </w:r>
      <w:r>
        <w:rPr>
          <w:rFonts w:hint="eastAsia" w:cs="Times New Roman"/>
          <w:color w:val="auto"/>
          <w:kern w:val="21"/>
          <w:sz w:val="32"/>
          <w:szCs w:val="32"/>
          <w:lang w:val="en-US" w:eastAsia="zh-CN"/>
        </w:rPr>
        <w:t>18.739t/a，挥发性有机物38.39t/a，由市生态环境局富源分局纳入主要污染物排放总量控制管理。</w:t>
      </w:r>
    </w:p>
    <w:p w14:paraId="3BC76D3E">
      <w:pPr>
        <w:pStyle w:val="7"/>
        <w:keepNext w:val="0"/>
        <w:keepLines w:val="0"/>
        <w:pageBreakBefore w:val="0"/>
        <w:widowControl w:val="0"/>
        <w:kinsoku/>
        <w:wordWrap w:val="0"/>
        <w:overflowPunct/>
        <w:topLinePunct w:val="0"/>
        <w:autoSpaceDE/>
        <w:autoSpaceDN/>
        <w:bidi w:val="0"/>
        <w:adjustRightInd/>
        <w:snapToGrid/>
        <w:spacing w:after="0" w:line="550" w:lineRule="exact"/>
        <w:ind w:left="0" w:leftChars="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四</w:t>
      </w:r>
      <w:r>
        <w:rPr>
          <w:rFonts w:hint="default" w:ascii="Times New Roman" w:hAnsi="Times New Roman" w:eastAsia="方正仿宋_GBK" w:cs="Times New Roman"/>
          <w:color w:val="auto"/>
          <w:kern w:val="21"/>
          <w:sz w:val="32"/>
          <w:szCs w:val="32"/>
        </w:rPr>
        <w:t>、严格按照《报告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》确定的监测点位、监测项目及监测频次开展监测工作</w:t>
      </w:r>
      <w:r>
        <w:rPr>
          <w:rFonts w:hint="default" w:ascii="Times New Roman" w:hAnsi="Times New Roman" w:eastAsia="方正仿宋_GBK" w:cs="Times New Roman"/>
          <w:color w:val="auto"/>
          <w:kern w:val="21"/>
          <w:sz w:val="32"/>
          <w:szCs w:val="32"/>
          <w:lang w:eastAsia="zh-CN"/>
        </w:rPr>
        <w:t>。</w:t>
      </w:r>
    </w:p>
    <w:p w14:paraId="27D3C3BB">
      <w:pPr>
        <w:pStyle w:val="7"/>
        <w:keepNext w:val="0"/>
        <w:keepLines w:val="0"/>
        <w:pageBreakBefore w:val="0"/>
        <w:widowControl w:val="0"/>
        <w:kinsoku/>
        <w:wordWrap w:val="0"/>
        <w:overflowPunct/>
        <w:topLinePunct w:val="0"/>
        <w:autoSpaceDE/>
        <w:autoSpaceDN/>
        <w:bidi w:val="0"/>
        <w:adjustRightInd/>
        <w:snapToGrid/>
        <w:spacing w:after="0" w:line="550" w:lineRule="exact"/>
        <w:ind w:left="0" w:leftChars="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五</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lang w:val="en-US" w:eastAsia="zh-CN"/>
        </w:rPr>
        <w:t>项目建设必须严格执行配套的环境保护设施与主体工程同时设计、同时施工、同时投产使用的</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lang w:val="en-US" w:eastAsia="zh-CN"/>
        </w:rPr>
        <w:t>三同时</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lang w:val="en-US" w:eastAsia="zh-CN"/>
        </w:rPr>
        <w:t>制度。施工招标文件和施工合同应明确环保条款和责任，认真落实施工期环境保护工作。</w:t>
      </w:r>
      <w:r>
        <w:rPr>
          <w:rFonts w:hint="default" w:ascii="Times New Roman" w:hAnsi="Times New Roman" w:eastAsia="方正仿宋_GBK" w:cs="Times New Roman"/>
          <w:color w:val="auto"/>
          <w:kern w:val="21"/>
          <w:sz w:val="32"/>
          <w:szCs w:val="32"/>
          <w:lang w:eastAsia="zh-CN"/>
        </w:rPr>
        <w:t>项目建成后，</w:t>
      </w:r>
      <w:r>
        <w:rPr>
          <w:rFonts w:hint="default" w:ascii="Times New Roman" w:hAnsi="Times New Roman" w:eastAsia="方正仿宋_GBK" w:cs="Times New Roman"/>
          <w:color w:val="auto"/>
          <w:kern w:val="21"/>
          <w:sz w:val="32"/>
          <w:szCs w:val="32"/>
        </w:rPr>
        <w:t>你</w:t>
      </w:r>
      <w:r>
        <w:rPr>
          <w:rFonts w:hint="default" w:ascii="Times New Roman" w:hAnsi="Times New Roman" w:eastAsia="方正仿宋_GBK" w:cs="Times New Roman"/>
          <w:color w:val="auto"/>
          <w:kern w:val="21"/>
          <w:sz w:val="32"/>
          <w:szCs w:val="32"/>
          <w:lang w:eastAsia="zh-CN"/>
        </w:rPr>
        <w:t>公司</w:t>
      </w:r>
      <w:r>
        <w:rPr>
          <w:rFonts w:hint="default" w:ascii="Times New Roman" w:hAnsi="Times New Roman" w:eastAsia="方正仿宋_GBK" w:cs="Times New Roman"/>
          <w:color w:val="auto"/>
          <w:kern w:val="21"/>
          <w:sz w:val="32"/>
          <w:szCs w:val="32"/>
        </w:rPr>
        <w:t>应按照《建设项目竣工环境保护验收暂行办法》</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国环规环评〔2017〕4号</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相关要求完成竣工</w:t>
      </w:r>
      <w:r>
        <w:rPr>
          <w:rFonts w:hint="default" w:ascii="Times New Roman" w:hAnsi="Times New Roman" w:eastAsia="方正仿宋_GBK" w:cs="Times New Roman"/>
          <w:color w:val="auto"/>
          <w:kern w:val="21"/>
          <w:sz w:val="32"/>
          <w:szCs w:val="32"/>
          <w:lang w:eastAsia="zh-CN"/>
        </w:rPr>
        <w:t>环境保护</w:t>
      </w:r>
      <w:r>
        <w:rPr>
          <w:rFonts w:hint="default" w:ascii="Times New Roman" w:hAnsi="Times New Roman" w:eastAsia="方正仿宋_GBK" w:cs="Times New Roman"/>
          <w:color w:val="auto"/>
          <w:kern w:val="21"/>
          <w:sz w:val="32"/>
          <w:szCs w:val="32"/>
        </w:rPr>
        <w:t>自主验收。</w:t>
      </w:r>
    </w:p>
    <w:p w14:paraId="6CBCA45A">
      <w:pPr>
        <w:keepNext w:val="0"/>
        <w:keepLines w:val="0"/>
        <w:pageBreakBefore w:val="0"/>
        <w:widowControl w:val="0"/>
        <w:kinsoku/>
        <w:wordWrap w:val="0"/>
        <w:overflowPunct/>
        <w:topLinePunct w:val="0"/>
        <w:autoSpaceDE/>
        <w:autoSpaceDN/>
        <w:bidi w:val="0"/>
        <w:adjustRightInd/>
        <w:snapToGrid/>
        <w:spacing w:line="550" w:lineRule="exact"/>
        <w:ind w:left="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六</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kern w:val="21"/>
          <w:sz w:val="32"/>
          <w:szCs w:val="32"/>
          <w:lang w:eastAsia="zh-CN"/>
        </w:rPr>
        <w:t>应向有审批权限的生态环境部门报告并按要求办理相关手续</w:t>
      </w:r>
      <w:r>
        <w:rPr>
          <w:rFonts w:hint="default" w:ascii="Times New Roman" w:hAnsi="Times New Roman" w:eastAsia="方正仿宋_GBK" w:cs="Times New Roman"/>
          <w:color w:val="auto"/>
          <w:kern w:val="21"/>
          <w:sz w:val="32"/>
          <w:szCs w:val="32"/>
        </w:rPr>
        <w:t>。项目环境影响评价文件自批准之日起超过5年，方决定开工建设的，其环境影响评价文件应报</w:t>
      </w:r>
      <w:r>
        <w:rPr>
          <w:rFonts w:hint="eastAsia" w:eastAsia="方正仿宋_GBK" w:cs="Times New Roman"/>
          <w:color w:val="auto"/>
          <w:kern w:val="21"/>
          <w:sz w:val="32"/>
          <w:szCs w:val="32"/>
          <w:lang w:val="en-US" w:eastAsia="zh-CN"/>
        </w:rPr>
        <w:t>我</w:t>
      </w:r>
      <w:r>
        <w:rPr>
          <w:rFonts w:hint="default" w:ascii="Times New Roman" w:hAnsi="Times New Roman" w:eastAsia="方正仿宋_GBK" w:cs="Times New Roman"/>
          <w:color w:val="auto"/>
          <w:kern w:val="21"/>
          <w:sz w:val="32"/>
          <w:szCs w:val="32"/>
          <w:lang w:val="en-US" w:eastAsia="zh-CN"/>
        </w:rPr>
        <w:t>局</w:t>
      </w:r>
      <w:r>
        <w:rPr>
          <w:rFonts w:hint="default" w:ascii="Times New Roman" w:hAnsi="Times New Roman" w:eastAsia="方正仿宋_GBK" w:cs="Times New Roman"/>
          <w:color w:val="auto"/>
          <w:kern w:val="21"/>
          <w:sz w:val="32"/>
          <w:szCs w:val="32"/>
        </w:rPr>
        <w:t>重新审核。</w:t>
      </w:r>
    </w:p>
    <w:p w14:paraId="133FD252">
      <w:pPr>
        <w:pStyle w:val="6"/>
        <w:keepNext w:val="0"/>
        <w:keepLines w:val="0"/>
        <w:pageBreakBefore w:val="0"/>
        <w:widowControl w:val="0"/>
        <w:kinsoku/>
        <w:wordWrap w:val="0"/>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eastAsia="方正仿宋_GBK" w:cs="Times New Roman"/>
          <w:color w:val="auto"/>
          <w:kern w:val="21"/>
          <w:sz w:val="32"/>
          <w:szCs w:val="32"/>
        </w:rPr>
      </w:pPr>
      <w:r>
        <w:rPr>
          <w:rFonts w:hint="eastAsia" w:eastAsia="仿宋" w:cs="Times New Roman"/>
          <w:kern w:val="21"/>
          <w:sz w:val="32"/>
          <w:szCs w:val="32"/>
          <w:lang w:eastAsia="zh-CN"/>
        </w:rPr>
        <w:t>七</w:t>
      </w:r>
      <w:r>
        <w:rPr>
          <w:rFonts w:hint="default" w:ascii="Times New Roman" w:hAnsi="Times New Roman" w:eastAsia="仿宋" w:cs="Times New Roman"/>
          <w:kern w:val="21"/>
          <w:sz w:val="32"/>
          <w:szCs w:val="32"/>
        </w:rPr>
        <w:t>、</w:t>
      </w:r>
      <w:r>
        <w:rPr>
          <w:rFonts w:hint="default" w:ascii="Times New Roman" w:hAnsi="Times New Roman" w:eastAsia="方正仿宋_GBK" w:cs="Times New Roman"/>
          <w:kern w:val="21"/>
          <w:sz w:val="32"/>
          <w:szCs w:val="32"/>
          <w:lang w:eastAsia="zh-CN"/>
        </w:rPr>
        <w:t>请市</w:t>
      </w:r>
      <w:r>
        <w:rPr>
          <w:rFonts w:hint="default" w:ascii="Times New Roman" w:hAnsi="Times New Roman" w:eastAsia="方正仿宋_GBK" w:cs="Times New Roman"/>
          <w:color w:val="auto"/>
          <w:kern w:val="21"/>
          <w:sz w:val="32"/>
          <w:szCs w:val="32"/>
          <w:lang w:eastAsia="zh-CN"/>
        </w:rPr>
        <w:t>生态环境局</w:t>
      </w:r>
      <w:r>
        <w:rPr>
          <w:rFonts w:hint="eastAsia" w:ascii="Times New Roman" w:hAnsi="Times New Roman" w:eastAsia="方正仿宋_GBK" w:cs="Times New Roman"/>
          <w:color w:val="auto"/>
          <w:kern w:val="21"/>
          <w:sz w:val="32"/>
          <w:szCs w:val="32"/>
          <w:lang w:eastAsia="zh-CN"/>
        </w:rPr>
        <w:t>富源</w:t>
      </w:r>
      <w:r>
        <w:rPr>
          <w:rFonts w:hint="default" w:ascii="Times New Roman" w:hAnsi="Times New Roman" w:eastAsia="方正仿宋_GBK" w:cs="Times New Roman"/>
          <w:color w:val="auto"/>
          <w:kern w:val="21"/>
          <w:sz w:val="32"/>
          <w:szCs w:val="32"/>
          <w:lang w:eastAsia="zh-CN"/>
        </w:rPr>
        <w:t>分局负责该项目的环境执法监察和监督管理，请市生态环境保护综合行政执法支队加强监督检查。</w:t>
      </w:r>
    </w:p>
    <w:p w14:paraId="10DED572">
      <w:pPr>
        <w:pStyle w:val="6"/>
        <w:keepNext w:val="0"/>
        <w:keepLines w:val="0"/>
        <w:pageBreakBefore w:val="0"/>
        <w:widowControl w:val="0"/>
        <w:kinsoku/>
        <w:wordWrap w:val="0"/>
        <w:overflowPunct/>
        <w:topLinePunct w:val="0"/>
        <w:autoSpaceDE/>
        <w:autoSpaceDN/>
        <w:bidi w:val="0"/>
        <w:adjustRightInd/>
        <w:snapToGrid/>
        <w:spacing w:line="550" w:lineRule="exact"/>
        <w:ind w:leftChars="0" w:firstLine="4424" w:firstLineChars="1400"/>
        <w:textAlignment w:val="auto"/>
        <w:rPr>
          <w:rFonts w:hint="default" w:ascii="Times New Roman" w:hAnsi="Times New Roman" w:eastAsia="方正仿宋_GBK" w:cs="Times New Roman"/>
          <w:color w:val="auto"/>
          <w:kern w:val="21"/>
          <w:sz w:val="32"/>
          <w:szCs w:val="32"/>
        </w:rPr>
      </w:pPr>
    </w:p>
    <w:p w14:paraId="01EE2256">
      <w:pPr>
        <w:pStyle w:val="6"/>
        <w:keepNext w:val="0"/>
        <w:keepLines w:val="0"/>
        <w:pageBreakBefore w:val="0"/>
        <w:widowControl w:val="0"/>
        <w:kinsoku/>
        <w:wordWrap w:val="0"/>
        <w:overflowPunct/>
        <w:topLinePunct w:val="0"/>
        <w:autoSpaceDE/>
        <w:autoSpaceDN/>
        <w:bidi w:val="0"/>
        <w:adjustRightInd/>
        <w:snapToGrid/>
        <w:spacing w:line="550" w:lineRule="exact"/>
        <w:ind w:leftChars="0" w:firstLine="4424" w:firstLineChars="1400"/>
        <w:textAlignment w:val="auto"/>
        <w:rPr>
          <w:rFonts w:hint="default" w:ascii="Times New Roman" w:hAnsi="Times New Roman" w:eastAsia="方正仿宋_GBK" w:cs="Times New Roman"/>
          <w:color w:val="auto"/>
          <w:kern w:val="21"/>
          <w:sz w:val="32"/>
          <w:szCs w:val="32"/>
        </w:rPr>
      </w:pPr>
    </w:p>
    <w:p w14:paraId="65C66730">
      <w:pPr>
        <w:rPr>
          <w:rFonts w:hint="default"/>
        </w:rPr>
      </w:pPr>
    </w:p>
    <w:p w14:paraId="3F3C09C1">
      <w:pPr>
        <w:keepNext w:val="0"/>
        <w:keepLines w:val="0"/>
        <w:pageBreakBefore w:val="0"/>
        <w:widowControl w:val="0"/>
        <w:kinsoku/>
        <w:wordWrap w:val="0"/>
        <w:overflowPunct/>
        <w:topLinePunct w:val="0"/>
        <w:autoSpaceDE/>
        <w:autoSpaceDN/>
        <w:bidi w:val="0"/>
        <w:adjustRightInd/>
        <w:snapToGrid/>
        <w:spacing w:line="550" w:lineRule="exact"/>
        <w:ind w:leftChars="1700"/>
        <w:jc w:val="center"/>
        <w:textAlignment w:val="auto"/>
        <w:rPr>
          <w:rFonts w:hint="default"/>
          <w:kern w:val="21"/>
          <w:sz w:val="32"/>
        </w:rPr>
      </w:pPr>
      <w:r>
        <w:rPr>
          <w:rFonts w:hint="default"/>
          <w:kern w:val="21"/>
          <w:sz w:val="32"/>
        </w:rPr>
        <w:t>曲靖市生态环境局</w:t>
      </w:r>
    </w:p>
    <w:p w14:paraId="76B15C9D">
      <w:pPr>
        <w:keepNext w:val="0"/>
        <w:keepLines w:val="0"/>
        <w:pageBreakBefore w:val="0"/>
        <w:widowControl w:val="0"/>
        <w:kinsoku/>
        <w:wordWrap w:val="0"/>
        <w:overflowPunct/>
        <w:topLinePunct w:val="0"/>
        <w:autoSpaceDE/>
        <w:autoSpaceDN/>
        <w:bidi w:val="0"/>
        <w:adjustRightInd/>
        <w:snapToGrid/>
        <w:spacing w:line="550" w:lineRule="exact"/>
        <w:ind w:leftChars="1700"/>
        <w:jc w:val="center"/>
        <w:textAlignment w:val="auto"/>
        <w:rPr>
          <w:rFonts w:hint="default"/>
          <w:kern w:val="21"/>
          <w:sz w:val="32"/>
        </w:rPr>
      </w:pPr>
      <w:r>
        <w:rPr>
          <w:rFonts w:hint="default"/>
          <w:kern w:val="21"/>
          <w:sz w:val="32"/>
        </w:rPr>
        <w:t>202</w:t>
      </w:r>
      <w:r>
        <w:rPr>
          <w:rFonts w:hint="eastAsia"/>
          <w:kern w:val="21"/>
          <w:sz w:val="32"/>
          <w:lang w:val="en-US" w:eastAsia="zh-CN"/>
        </w:rPr>
        <w:t>6</w:t>
      </w:r>
      <w:r>
        <w:rPr>
          <w:rFonts w:hint="default"/>
          <w:kern w:val="21"/>
          <w:sz w:val="32"/>
        </w:rPr>
        <w:t>年</w:t>
      </w:r>
      <w:r>
        <w:rPr>
          <w:rFonts w:hint="eastAsia"/>
          <w:kern w:val="21"/>
          <w:sz w:val="32"/>
          <w:lang w:val="en-US" w:eastAsia="zh-CN"/>
        </w:rPr>
        <w:t>6</w:t>
      </w:r>
      <w:r>
        <w:rPr>
          <w:rFonts w:hint="default"/>
          <w:kern w:val="21"/>
          <w:sz w:val="32"/>
        </w:rPr>
        <w:t>月</w:t>
      </w:r>
      <w:r>
        <w:rPr>
          <w:rFonts w:hint="eastAsia"/>
          <w:kern w:val="21"/>
          <w:sz w:val="32"/>
          <w:lang w:val="en-US" w:eastAsia="zh-CN"/>
        </w:rPr>
        <w:t>30</w:t>
      </w:r>
      <w:r>
        <w:rPr>
          <w:rFonts w:hint="default"/>
          <w:kern w:val="21"/>
          <w:sz w:val="32"/>
        </w:rPr>
        <w:t>日</w:t>
      </w:r>
    </w:p>
    <w:p w14:paraId="5A4A7A5C">
      <w:pPr>
        <w:pStyle w:val="5"/>
        <w:keepNext w:val="0"/>
        <w:keepLines w:val="0"/>
        <w:pageBreakBefore w:val="0"/>
        <w:widowControl w:val="0"/>
        <w:kinsoku/>
        <w:wordWrap w:val="0"/>
        <w:overflowPunct/>
        <w:topLinePunct w:val="0"/>
        <w:autoSpaceDE/>
        <w:autoSpaceDN/>
        <w:bidi w:val="0"/>
        <w:adjustRightInd/>
        <w:snapToGrid/>
        <w:spacing w:line="55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21"/>
          <w:sz w:val="32"/>
          <w:szCs w:val="32"/>
          <w:lang w:eastAsia="zh-CN"/>
        </w:rPr>
        <w:t>（此件公开发布）</w:t>
      </w:r>
    </w:p>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1015">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B9966">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0B9966">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997AB">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1997AB">
                    <w:pPr>
                      <w:pStyle w:val="11"/>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6A98">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646A98">
                    <w:pPr>
                      <w:rPr>
                        <w:rFonts w:hint="default"/>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YzQ1NDY1YjQ0MjBjMWNmZDQyYjE1NzJjMWYwMDc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A46A23"/>
    <w:rsid w:val="03D648D7"/>
    <w:rsid w:val="06DE46EF"/>
    <w:rsid w:val="0728687E"/>
    <w:rsid w:val="075F22BC"/>
    <w:rsid w:val="078B358F"/>
    <w:rsid w:val="07C55543"/>
    <w:rsid w:val="0ABB1D60"/>
    <w:rsid w:val="0C102777"/>
    <w:rsid w:val="0E5B0345"/>
    <w:rsid w:val="117E09BE"/>
    <w:rsid w:val="14AE78FC"/>
    <w:rsid w:val="16AC25F2"/>
    <w:rsid w:val="170532D4"/>
    <w:rsid w:val="18EF4E45"/>
    <w:rsid w:val="1AB81E7E"/>
    <w:rsid w:val="1B355290"/>
    <w:rsid w:val="1BBB0703"/>
    <w:rsid w:val="1DE22839"/>
    <w:rsid w:val="1EB11053"/>
    <w:rsid w:val="1F9D178F"/>
    <w:rsid w:val="1FED4E68"/>
    <w:rsid w:val="20953DFA"/>
    <w:rsid w:val="20B269A7"/>
    <w:rsid w:val="21842486"/>
    <w:rsid w:val="22177DFE"/>
    <w:rsid w:val="22C3481D"/>
    <w:rsid w:val="23017B1C"/>
    <w:rsid w:val="23057D3D"/>
    <w:rsid w:val="23ED3D54"/>
    <w:rsid w:val="23F22B88"/>
    <w:rsid w:val="271550B9"/>
    <w:rsid w:val="29FB1FF0"/>
    <w:rsid w:val="29FB4325"/>
    <w:rsid w:val="2B295702"/>
    <w:rsid w:val="2B2A646F"/>
    <w:rsid w:val="2B65243A"/>
    <w:rsid w:val="2BEB4504"/>
    <w:rsid w:val="2C27783B"/>
    <w:rsid w:val="2CFA4E04"/>
    <w:rsid w:val="2E8823C8"/>
    <w:rsid w:val="2E9C426D"/>
    <w:rsid w:val="307C26FF"/>
    <w:rsid w:val="308B654F"/>
    <w:rsid w:val="30E4374E"/>
    <w:rsid w:val="31303F97"/>
    <w:rsid w:val="31D7675F"/>
    <w:rsid w:val="3227588C"/>
    <w:rsid w:val="339A10EE"/>
    <w:rsid w:val="350D601C"/>
    <w:rsid w:val="376663A8"/>
    <w:rsid w:val="391630B7"/>
    <w:rsid w:val="39F9444F"/>
    <w:rsid w:val="3AC51570"/>
    <w:rsid w:val="3B95274A"/>
    <w:rsid w:val="3D272681"/>
    <w:rsid w:val="3DD23301"/>
    <w:rsid w:val="3E1D056B"/>
    <w:rsid w:val="3E75253C"/>
    <w:rsid w:val="3FB62687"/>
    <w:rsid w:val="40505535"/>
    <w:rsid w:val="44951F8B"/>
    <w:rsid w:val="44E4341C"/>
    <w:rsid w:val="45A57C5C"/>
    <w:rsid w:val="47386E65"/>
    <w:rsid w:val="47F85F3C"/>
    <w:rsid w:val="48773A0D"/>
    <w:rsid w:val="48AC74A2"/>
    <w:rsid w:val="4AC5234C"/>
    <w:rsid w:val="4B6A5CD6"/>
    <w:rsid w:val="4BB52B12"/>
    <w:rsid w:val="4F9B559B"/>
    <w:rsid w:val="4FBF5D0D"/>
    <w:rsid w:val="52163191"/>
    <w:rsid w:val="534D70DC"/>
    <w:rsid w:val="544D717E"/>
    <w:rsid w:val="55105C52"/>
    <w:rsid w:val="592119C7"/>
    <w:rsid w:val="59B54B90"/>
    <w:rsid w:val="5B9242D5"/>
    <w:rsid w:val="5DB86A42"/>
    <w:rsid w:val="617B4B44"/>
    <w:rsid w:val="618E661B"/>
    <w:rsid w:val="632C0B1A"/>
    <w:rsid w:val="633D3C4F"/>
    <w:rsid w:val="649436F4"/>
    <w:rsid w:val="6551675D"/>
    <w:rsid w:val="671C704A"/>
    <w:rsid w:val="6C597C70"/>
    <w:rsid w:val="6E437CF4"/>
    <w:rsid w:val="6F4F4560"/>
    <w:rsid w:val="6F54601A"/>
    <w:rsid w:val="71D96859"/>
    <w:rsid w:val="72977142"/>
    <w:rsid w:val="735A4016"/>
    <w:rsid w:val="75AD486B"/>
    <w:rsid w:val="76F971C0"/>
    <w:rsid w:val="785C1F6E"/>
    <w:rsid w:val="78BD1D12"/>
    <w:rsid w:val="7A820227"/>
    <w:rsid w:val="7AC06B13"/>
    <w:rsid w:val="7B1320FB"/>
    <w:rsid w:val="7B5E799F"/>
    <w:rsid w:val="7BCE0222"/>
    <w:rsid w:val="7D8349B7"/>
    <w:rsid w:val="7E481FBB"/>
    <w:rsid w:val="7F7676A4"/>
    <w:rsid w:val="7FC424CD"/>
    <w:rsid w:val="7FD62D64"/>
    <w:rsid w:val="FFD5BD51"/>
    <w:rsid w:val="FFEEB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annotation text"/>
    <w:basedOn w:val="1"/>
    <w:link w:val="24"/>
    <w:semiHidden/>
    <w:unhideWhenUsed/>
    <w:qFormat/>
    <w:uiPriority w:val="99"/>
    <w:pPr>
      <w:jc w:val="left"/>
    </w:pPr>
  </w:style>
  <w:style w:type="paragraph" w:styleId="4">
    <w:name w:val="Body Text"/>
    <w:basedOn w:val="1"/>
    <w:next w:val="1"/>
    <w:link w:val="20"/>
    <w:qFormat/>
    <w:uiPriority w:val="0"/>
    <w:pPr>
      <w:jc w:val="center"/>
    </w:pPr>
    <w:rPr>
      <w:sz w:val="44"/>
    </w:rPr>
  </w:style>
  <w:style w:type="paragraph" w:styleId="5">
    <w:name w:val="Plain Text"/>
    <w:basedOn w:val="1"/>
    <w:next w:val="1"/>
    <w:qFormat/>
    <w:uiPriority w:val="0"/>
    <w:rPr>
      <w:rFonts w:ascii="宋体" w:hAnsi="Courier New"/>
      <w:szCs w:val="20"/>
    </w:rPr>
  </w:style>
  <w:style w:type="paragraph" w:styleId="6">
    <w:name w:val="Date"/>
    <w:basedOn w:val="1"/>
    <w:next w:val="1"/>
    <w:link w:val="22"/>
    <w:qFormat/>
    <w:uiPriority w:val="99"/>
    <w:pPr>
      <w:ind w:left="100" w:leftChars="2500"/>
    </w:pPr>
  </w:style>
  <w:style w:type="paragraph" w:styleId="7">
    <w:name w:val="Body Text Indent 2"/>
    <w:basedOn w:val="1"/>
    <w:next w:val="8"/>
    <w:link w:val="21"/>
    <w:unhideWhenUsed/>
    <w:qFormat/>
    <w:uiPriority w:val="0"/>
    <w:pPr>
      <w:spacing w:after="120" w:line="480" w:lineRule="auto"/>
      <w:ind w:left="420" w:leftChars="200"/>
    </w:pPr>
  </w:style>
  <w:style w:type="paragraph" w:customStyle="1" w:styleId="8">
    <w:name w:val="简单回函地址"/>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2"/>
    <w:basedOn w:val="1"/>
    <w:qFormat/>
    <w:uiPriority w:val="0"/>
    <w:pPr>
      <w:spacing w:line="360" w:lineRule="auto"/>
      <w:ind w:firstLine="200" w:firstLineChars="200"/>
    </w:pPr>
    <w:rPr>
      <w:sz w:val="24"/>
    </w:r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Normal (Web)"/>
    <w:basedOn w:val="1"/>
    <w:unhideWhenUsed/>
    <w:qFormat/>
    <w:uiPriority w:val="99"/>
    <w:rPr>
      <w:sz w:val="24"/>
    </w:rPr>
  </w:style>
  <w:style w:type="paragraph" w:styleId="13">
    <w:name w:val="Title"/>
    <w:basedOn w:val="1"/>
    <w:qFormat/>
    <w:uiPriority w:val="0"/>
    <w:pPr>
      <w:spacing w:line="440" w:lineRule="atLeast"/>
      <w:jc w:val="left"/>
      <w:outlineLvl w:val="0"/>
    </w:pPr>
    <w:rPr>
      <w:rFonts w:ascii="宋体" w:hAnsi="Arial"/>
      <w:b/>
      <w:sz w:val="24"/>
      <w:szCs w:val="20"/>
    </w:rPr>
  </w:style>
  <w:style w:type="paragraph" w:styleId="14">
    <w:name w:val="annotation subject"/>
    <w:basedOn w:val="3"/>
    <w:next w:val="3"/>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4"/>
    <w:qFormat/>
    <w:uiPriority w:val="0"/>
    <w:rPr>
      <w:rFonts w:ascii="Times New Roman" w:hAnsi="Times New Roman" w:eastAsia="仿宋_GB2312" w:cs="Times New Roman"/>
      <w:sz w:val="44"/>
      <w:szCs w:val="24"/>
    </w:rPr>
  </w:style>
  <w:style w:type="character" w:customStyle="1" w:styleId="21">
    <w:name w:val="正文文本缩进 2 Char"/>
    <w:basedOn w:val="16"/>
    <w:link w:val="7"/>
    <w:semiHidden/>
    <w:qFormat/>
    <w:uiPriority w:val="99"/>
    <w:rPr>
      <w:rFonts w:ascii="Times New Roman" w:hAnsi="Times New Roman" w:eastAsia="仿宋_GB2312" w:cs="Times New Roman"/>
      <w:sz w:val="32"/>
      <w:szCs w:val="24"/>
    </w:rPr>
  </w:style>
  <w:style w:type="character" w:customStyle="1" w:styleId="22">
    <w:name w:val="日期 Char"/>
    <w:basedOn w:val="16"/>
    <w:link w:val="6"/>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3"/>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43b3f741-7ec8-42ff-956e-7cd06ee47b27</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109B5CE6</paraID>
      <start xmlns="http://schemas.wps.cn/vas-ai-hub/contract-review">154</start>
      <end xmlns="http://schemas.wps.cn/vas-ai-hub/contract-review">156</end>
      <status xmlns="http://schemas.wps.cn/vas-ai-hub/contract-review">modified</status>
      <modifiedWord xmlns="http://schemas.wps.cn/vas-ai-hub/contract-review">程中</modifiedWord>
      <trackRevisions xmlns="http://schemas.wps.cn/vas-ai-hub/contract-review">false</trackRevisions>
    </reviewItem>
    <reviewItem xmlns="http://schemas.wps.cn/vas-ai-hub/contract-review">
      <errorID xmlns="http://schemas.wps.cn/vas-ai-hub/contract-review">b293657d-e031-4a2f-8985-9a7a959d3fc7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66859A0D</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574e6ea6-a859-4794-8fa9-239b33d9cad2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3ABFDD06</paraID>
      <start xmlns="http://schemas.wps.cn/vas-ai-hub/contract-review">449</start>
      <end xmlns="http://schemas.wps.cn/vas-ai-hub/contract-review">451</end>
      <status xmlns="http://schemas.wps.cn/vas-ai-hub/contract-review">modified</status>
      <modifiedWord xmlns="http://schemas.wps.cn/vas-ai-hub/contract-review">）和</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fc47e-34cb-4dee-9904-b392d2b037a6}">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4130</Words>
  <Characters>4635</Characters>
  <Lines>20</Lines>
  <Paragraphs>5</Paragraphs>
  <TotalTime>1</TotalTime>
  <ScaleCrop>false</ScaleCrop>
  <LinksUpToDate>false</LinksUpToDate>
  <CharactersWithSpaces>4652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2024-05-24T09:01:00Z</dcterms:created>
  <dc:creator>ASUS</dc:creator>
  <cp:lastModifiedBy>段葳</cp:lastModifiedBy>
  <cp:lastPrinted>2026-07-01T15:32:46Z</cp:lastPrinted>
  <dcterms:modified xsi:type="dcterms:W3CDTF">2026-07-01T15:32:55Z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eyJoZGlkIjoiZmViMTY2ZWNmOTM1OWMyMjg0YzVmZGUwOGUxZjJjYWMiLCJ1c2VySWQiOiIxNjIyMjcyMzkwIn0=</vt:lpwstr>
  </property>
  <property fmtid="{D5CDD505-2E9C-101B-9397-08002B2CF9AE}" pid="4" name="ICV">
    <vt:lpwstr>F237C4BAFBCA4EA3B514B661D616D147_13</vt:lpwstr>
  </property>
</Properties>
</file>