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B9680">
      <w:pPr>
        <w:snapToGrid w:val="0"/>
        <w:spacing w:line="600" w:lineRule="exact"/>
        <w:jc w:val="center"/>
        <w:rPr>
          <w:rFonts w:ascii="方正小标宋_GBK;Arial Unicode MS" w:hAnsi="方正小标宋_GBK;Arial Unicode MS" w:eastAsia="方正小标宋_GBK;Arial Unicode MS" w:cs="方正小标宋_GBK;Arial Unicode MS"/>
          <w:bCs/>
          <w:sz w:val="44"/>
          <w:szCs w:val="44"/>
        </w:rPr>
      </w:pPr>
      <w:r>
        <w:rPr>
          <w:rFonts w:ascii="方正小标宋_GBK;Arial Unicode MS" w:hAnsi="方正小标宋_GBK;Arial Unicode MS" w:eastAsia="方正小标宋_GBK;Arial Unicode MS" w:cs="方正小标宋_GBK;Arial Unicode MS"/>
          <w:bCs/>
          <w:sz w:val="44"/>
          <w:szCs w:val="44"/>
        </w:rPr>
        <w:t>民革曲靖市委关于我市畜禽屠宰加工</w:t>
      </w:r>
    </w:p>
    <w:p w14:paraId="31BA6892">
      <w:pPr>
        <w:snapToGrid w:val="0"/>
        <w:spacing w:line="600" w:lineRule="exact"/>
        <w:jc w:val="center"/>
        <w:rPr>
          <w:rFonts w:ascii="方正小标宋_GBK;Arial Unicode MS" w:hAnsi="方正小标宋_GBK;Arial Unicode MS" w:eastAsia="方正小标宋_GBK;Arial Unicode MS" w:cs="方正小标宋_GBK;Arial Unicode MS"/>
          <w:bCs/>
          <w:sz w:val="44"/>
          <w:szCs w:val="44"/>
        </w:rPr>
      </w:pPr>
      <w:r>
        <w:rPr>
          <w:rFonts w:ascii="方正小标宋_GBK;Arial Unicode MS" w:hAnsi="方正小标宋_GBK;Arial Unicode MS" w:eastAsia="方正小标宋_GBK;Arial Unicode MS" w:cs="方正小标宋_GBK;Arial Unicode MS"/>
          <w:bCs/>
          <w:sz w:val="44"/>
          <w:szCs w:val="44"/>
        </w:rPr>
        <w:t>产业发展情况的调研报告</w:t>
      </w:r>
    </w:p>
    <w:p w14:paraId="53918331">
      <w:pPr>
        <w:snapToGrid w:val="0"/>
        <w:spacing w:line="600" w:lineRule="exact"/>
        <w:ind w:firstLine="640"/>
        <w:rPr>
          <w:rFonts w:ascii="仿宋_GB2312;Arial Unicode MS" w:hAnsi="仿宋_GB2312;Arial Unicode MS" w:eastAsia="仿宋_GB2312;Arial Unicode MS" w:cs="仿宋_GB2312;Arial Unicode MS"/>
          <w:sz w:val="32"/>
          <w:szCs w:val="32"/>
        </w:rPr>
      </w:pPr>
      <w:r>
        <w:rPr>
          <w:rFonts w:ascii="仿宋_GB2312;Arial Unicode MS" w:hAnsi="仿宋_GB2312;Arial Unicode MS" w:eastAsia="仿宋_GB2312;Arial Unicode MS" w:cs="仿宋_GB2312;Arial Unicode MS"/>
          <w:sz w:val="32"/>
          <w:szCs w:val="32"/>
        </w:rPr>
        <w:t xml:space="preserve">    </w:t>
      </w:r>
    </w:p>
    <w:p w14:paraId="06B143EA">
      <w:pPr>
        <w:snapToGrid w:val="0"/>
        <w:spacing w:line="620" w:lineRule="exact"/>
        <w:ind w:firstLine="640"/>
        <w:rPr>
          <w:rFonts w:ascii="仿宋_GB2312;Arial Unicode MS" w:hAnsi="仿宋_GB2312;Arial Unicode MS" w:eastAsia="仿宋_GB2312;Arial Unicode MS" w:cs="仿宋_GB2312;Arial Unicode MS"/>
          <w:sz w:val="32"/>
          <w:szCs w:val="32"/>
        </w:rPr>
      </w:pPr>
      <w:r>
        <w:rPr>
          <w:rFonts w:ascii="仿宋_GB2312;Arial Unicode MS" w:hAnsi="仿宋_GB2312;Arial Unicode MS" w:eastAsia="仿宋_GB2312;Arial Unicode MS" w:cs="仿宋_GB2312;Arial Unicode MS"/>
          <w:sz w:val="32"/>
          <w:szCs w:val="32"/>
        </w:rPr>
        <w:t>为深入贯彻落实省委省政府曲靖现场办公会议精神，加快建成全国一流的肉食品加工基地，打造高端食品基地，根据《中共曲靖市委办公室 曲靖市人民政府办公室关于转发&lt;2021年各民主党派市委、无党派人士重点调研课题&gt;的通知》要求，民革曲靖市委对我市畜禽屠宰加工产业发展情况开展调研，现将调研情况汇报如下：</w:t>
      </w:r>
    </w:p>
    <w:p w14:paraId="7F9203C3">
      <w:pPr>
        <w:snapToGrid w:val="0"/>
        <w:spacing w:line="620" w:lineRule="exact"/>
        <w:ind w:firstLine="640"/>
        <w:rPr>
          <w:rFonts w:ascii="黑体;SimHei" w:hAnsi="黑体;SimHei" w:eastAsia="黑体;SimHei" w:cs="黑体;SimHei"/>
          <w:sz w:val="32"/>
          <w:szCs w:val="32"/>
        </w:rPr>
      </w:pPr>
      <w:r>
        <w:rPr>
          <w:rFonts w:ascii="黑体;SimHei" w:hAnsi="黑体;SimHei" w:eastAsia="黑体;SimHei" w:cs="黑体;SimHei"/>
          <w:sz w:val="32"/>
          <w:szCs w:val="32"/>
        </w:rPr>
        <w:t>一、基本情况</w:t>
      </w:r>
    </w:p>
    <w:p w14:paraId="4CA8C925">
      <w:pPr>
        <w:snapToGrid w:val="0"/>
        <w:spacing w:line="620" w:lineRule="exact"/>
        <w:ind w:firstLine="640"/>
        <w:rPr>
          <w:rFonts w:ascii="仿宋_GB2312;Arial Unicode MS" w:hAnsi="仿宋_GB2312;Arial Unicode MS" w:eastAsia="仿宋_GB2312;Arial Unicode MS" w:cs="仿宋_GB2312;Arial Unicode MS"/>
          <w:sz w:val="32"/>
          <w:szCs w:val="32"/>
        </w:rPr>
      </w:pPr>
      <w:r>
        <w:rPr>
          <w:rFonts w:ascii="仿宋_GB2312;Arial Unicode MS" w:hAnsi="仿宋_GB2312;Arial Unicode MS" w:eastAsia="仿宋_GB2312;Arial Unicode MS" w:cs="仿宋_GB2312;Arial Unicode MS"/>
          <w:sz w:val="32"/>
          <w:szCs w:val="32"/>
        </w:rPr>
        <w:t>我市是云南传统的生猪产业大市，全市9个县（市、区）（除马龙外）有8个是国家生猪调出大县。2020年，全市生猪存栏755万头、其中能繁母猪存栏73万头，生猪出栏877万头，猪肉产量75万吨，实现生猪产值365.8亿元。肉牛存栏121.6万头，出栏61.8万头，牛肉产量8.6万吨。实现肉牛产值76亿元。生猪存栏、出栏、猪肉产量常年占全省的四分之一强，以生猪为主的畜牧业支撑了农村经济的半壁江山。生猪和肉牛存栏、出栏、肉产量均稳居全省第一。这为我市打造全国一流肉食品生产加工基地，建成高端食品基地，打好世界一流“绿色食品牌”，推动曲靖由农业大市向农业强市转变奠定了坚实的基础。</w:t>
      </w:r>
    </w:p>
    <w:p w14:paraId="261A625D">
      <w:pPr>
        <w:snapToGrid w:val="0"/>
        <w:spacing w:line="620" w:lineRule="exact"/>
        <w:ind w:firstLine="640"/>
      </w:pPr>
      <w:r>
        <w:t>（一）生猪生产基本情况。一是生猪存栏快速增长。据农业农村部门行业统计，截至2021年7月底，全市生猪存栏760.17万头，同比增长14.93%，其中能繁殖母猪存栏76.17万头，同比增长14.81%。肥猪出栏786.49万头，同比增长31.20%。猪肉产量70.29万吨，同比增长30.6%；已依法备案的生猪规模养殖场2335家。二是新增产能投产达产提速。截至2021年7月31日，全市累计新增已建和在建种猪场115个（已建98个，在建17个，投产率98.98%），设计养殖规模55.77万头，实际养殖30.65万头，投产率70.27%；新增已建和在建生猪育肥场2188个（已建2037个，在建156个，投产率92.54%），设计年出栏规模968.61万头，已出栏444.95万头，达产率62.3%。三是生猪价格持续下跌。根据全国畜禽养殖直联直报系统价格分析，自2021年4月28日起至8月4日，仔猪价格降幅低于全国、全省平均水平，肥猪、猪肉价格降幅高于全国、全省平均水平。全国、全省、全市的仔猪价为40.88元/公斤、34.75元/公斤、35.36元/公斤，降50.95%、52.43%、48.03%。肥猪价为15.56元/公斤、14.76元/公斤、15.51元/公斤，降32.4%、36.7%、36.98%。猪肉价为25.77元/公斤、27.43元/公斤、26.64元/公斤，降30.95%、33.63%、35.21%。目前，粮猪比为5.21∶1，已低于6∶1的全国平均盈亏平衡点，养殖户处于亏损状态。</w:t>
      </w:r>
    </w:p>
    <w:p w14:paraId="08811D26">
      <w:pPr>
        <w:snapToGrid w:val="0"/>
        <w:spacing w:line="620" w:lineRule="exact"/>
        <w:ind w:firstLine="640"/>
      </w:pPr>
      <w:r>
        <w:rPr>
          <w:rFonts w:ascii="方正楷体_GBK;Arial Unicode MS" w:hAnsi="方正楷体_GBK;Arial Unicode MS" w:eastAsia="方正楷体_GBK;Arial Unicode MS" w:cs="楷体_GB2312;楷体"/>
          <w:sz w:val="32"/>
          <w:szCs w:val="32"/>
        </w:rPr>
        <w:t>（二）肉牛产业发展情况。</w:t>
      </w:r>
      <w:r>
        <w:rPr>
          <w:rFonts w:ascii="仿宋_GB2312;Arial Unicode MS" w:hAnsi="仿宋_GB2312;Arial Unicode MS" w:eastAsia="仿宋_GB2312;Arial Unicode MS"/>
          <w:sz w:val="32"/>
          <w:szCs w:val="32"/>
        </w:rPr>
        <w:t>按照“推进母牛扩繁解决产业瓶颈，培育专业合作组织创新利益联结机制，依托龙头加工企业延伸产业链”的肉牛产业发展思路，围绕“力争到2025年实现存出栏翻番、加工值倍增”的目标，通过大力发展饲养 10 头以上肉牛规模养殖场（户），新建10个年出栏万头以上优质肉牛规模化养殖小区，建设会泽、马龙、罗平“云岭牛”规模化养殖基地。</w:t>
      </w:r>
      <w:r>
        <w:rPr>
          <w:rFonts w:hint="eastAsia" w:ascii="仿宋_GB2312;Arial Unicode MS" w:hAnsi="仿宋_GB2312;Arial Unicode MS" w:eastAsia="仿宋_GB2312;Arial Unicode MS"/>
          <w:sz w:val="32"/>
          <w:szCs w:val="32"/>
          <w:lang w:val="en-US" w:eastAsia="zh-CN"/>
        </w:rPr>
        <w:t>截至</w:t>
      </w:r>
      <w:r>
        <w:rPr>
          <w:rFonts w:ascii="仿宋_GB2312;Arial Unicode MS" w:hAnsi="仿宋_GB2312;Arial Unicode MS" w:eastAsia="仿宋_GB2312;Arial Unicode MS"/>
          <w:sz w:val="32"/>
          <w:szCs w:val="32"/>
        </w:rPr>
        <w:t>2021年6月末，全市累计有已建和在建10</w:t>
      </w:r>
      <w:bookmarkStart w:id="0" w:name="_GoBack"/>
      <w:bookmarkEnd w:id="0"/>
      <w:r>
        <w:rPr>
          <w:rFonts w:ascii="仿宋_GB2312;Arial Unicode MS" w:hAnsi="仿宋_GB2312;Arial Unicode MS" w:eastAsia="仿宋_GB2312;Arial Unicode MS"/>
          <w:sz w:val="32"/>
          <w:szCs w:val="32"/>
        </w:rPr>
        <w:t>头及以上的肉牛规模养殖场4264个（其中已建成50-99头的328个，100-499头的144个，500头以上的23个；在建50-99头的20个，100-499头的31个，500头以上的5个），设计饲养肉牛19.83万头，期末存栏肉牛10.35万头，1-6月出栏肉牛3.34万头（与上年同期比新增出栏8052头）。</w:t>
      </w:r>
    </w:p>
    <w:p w14:paraId="19996535">
      <w:pPr>
        <w:snapToGrid w:val="0"/>
        <w:spacing w:line="620" w:lineRule="exact"/>
        <w:ind w:firstLine="640"/>
        <w:rPr>
          <w:rFonts w:ascii="方正楷体_GBK;Arial Unicode MS" w:hAnsi="方正楷体_GBK;Arial Unicode MS" w:eastAsia="方正楷体_GBK;Arial Unicode MS" w:cs="楷体_GB2312;楷体"/>
          <w:sz w:val="32"/>
          <w:szCs w:val="32"/>
        </w:rPr>
      </w:pPr>
      <w:r>
        <w:rPr>
          <w:rFonts w:ascii="方正楷体_GBK;Arial Unicode MS" w:hAnsi="方正楷体_GBK;Arial Unicode MS" w:eastAsia="方正楷体_GBK;Arial Unicode MS" w:cs="楷体_GB2312;楷体"/>
          <w:sz w:val="32"/>
          <w:szCs w:val="32"/>
        </w:rPr>
        <w:t>（三）全市畜禽屠宰加工产业发展基本情况</w:t>
      </w:r>
    </w:p>
    <w:p w14:paraId="53229EC8">
      <w:pPr>
        <w:snapToGrid w:val="0"/>
        <w:spacing w:line="620" w:lineRule="exact"/>
        <w:ind w:firstLine="640"/>
        <w:rPr>
          <w:rFonts w:ascii="仿宋_GB2312;Arial Unicode MS" w:hAnsi="仿宋_GB2312;Arial Unicode MS" w:eastAsia="仿宋_GB2312;Arial Unicode MS" w:cs="仿宋_GB2312;Arial Unicode MS"/>
          <w:sz w:val="32"/>
          <w:szCs w:val="32"/>
        </w:rPr>
      </w:pPr>
      <w:r>
        <w:rPr>
          <w:rFonts w:ascii="仿宋_GB2312;Arial Unicode MS" w:hAnsi="仿宋_GB2312;Arial Unicode MS" w:eastAsia="仿宋_GB2312;Arial Unicode MS" w:cs="仿宋_GB2312;Arial Unicode MS"/>
          <w:sz w:val="32"/>
          <w:szCs w:val="32"/>
        </w:rPr>
        <w:t>1.全市畜禽屠宰加工行业现状。全市现有生猪定点屠宰场34家（其中规模企业13家，小型企业21家），年设计屠宰量394万头，常年实际屠宰生猪80余万头，仅富源东恒、大河信发2家规模企业及几家小型屠宰场点为自营，其余均为代宰，主要满足本地市场鲜肉供应，仅富源县东恒有少量深加工产品外调；近两年来新建成牛羊集中屠宰场4家，其中麒麟区、马龙区、富源县、师宗县各1家，年设计屠宰量牛13.2万头、羊12.3万只，2020年实际屠宰牛14256头、羊7200只，其中云南双友现代农业股份公司肉牛食品加工产业园设计年屠宰肉牛10万头，可加工冷鲜牛肉制品2.5万吨、精深加工肉制品3万吨、生产熟食制品8000吨，公司现日屠宰加工肉牛约30头。今年7月底会泽县建成投产家禽集中屠宰场1家，设计年屠宰量60万羽。各县（市、区）主城区都设有规模生猪定点屠宰场，较大乡镇设有小型生猪屠宰场点。</w:t>
      </w:r>
    </w:p>
    <w:p w14:paraId="29FC390E">
      <w:pPr>
        <w:snapToGrid w:val="0"/>
        <w:spacing w:line="620" w:lineRule="exact"/>
        <w:ind w:firstLine="640"/>
      </w:pPr>
      <w:r>
        <w:rPr>
          <w:rFonts w:ascii="仿宋_GB2312;Arial Unicode MS" w:hAnsi="仿宋_GB2312;Arial Unicode MS" w:eastAsia="仿宋_GB2312;Arial Unicode MS" w:cs="仿宋_GB2312;Arial Unicode MS"/>
          <w:sz w:val="32"/>
          <w:szCs w:val="32"/>
        </w:rPr>
        <w:t>2.全市生猪屠宰加工优化布局推进情况。为适应“规模养殖、集中屠宰、冷链运输、冰鲜上市”的行业发展方向，市政府出台了《曲靖市人民政府办公室关于印发曲靖市生猪屠宰加工优化布局实施方案的通知》（曲政办发〔2020〕10号），积极推进沾益区、宣威市、会泽县、罗平县、师宗县、陆良县6个百万头生猪屠宰加工项目建设和麒麟、富源原有生猪屠宰场（厂）改造提升，到2025年全市设计生猪年屠宰加工能力达1000万头以上。目前，选址于沾益区西城工业园区的沾益温氏晶华百万头生猪定点屠宰加工项目项已投资1.089亿元，预计12月底试运行生产；选址于罗平县长青工业园的罗平华洋益民百万头生猪屠宰场加工项目用地已落实，正进行土地平整；会泽100万头屠宰场已确定建设主体为温氏集团云南养猪事业部；师宗、陆良、宣威3条百万头生猪屠宰加工项目正在招商中；麒麟神农50万头生猪屠宰</w:t>
      </w:r>
      <w:r>
        <w:rPr>
          <w:rFonts w:ascii="仿宋_GB2312;Arial Unicode MS" w:hAnsi="仿宋_GB2312;Arial Unicode MS" w:eastAsia="仿宋_GB2312;Arial Unicode MS"/>
          <w:sz w:val="32"/>
          <w:szCs w:val="32"/>
        </w:rPr>
        <w:t>场搬迁改造项目已投资0.5亿元，主体土建工程完成50%，预计2022年4月正式投</w:t>
      </w:r>
      <w:r>
        <w:rPr>
          <w:rFonts w:ascii="仿宋_GB2312;Arial Unicode MS" w:hAnsi="仿宋_GB2312;Arial Unicode MS" w:eastAsia="仿宋_GB2312;Arial Unicode MS" w:cs="Times New Roman"/>
          <w:sz w:val="32"/>
          <w:szCs w:val="32"/>
        </w:rPr>
        <w:t>产运营。</w:t>
      </w:r>
    </w:p>
    <w:p w14:paraId="5110D7E1">
      <w:pPr>
        <w:snapToGrid w:val="0"/>
        <w:spacing w:line="620" w:lineRule="exact"/>
        <w:ind w:firstLine="640"/>
        <w:rPr>
          <w:rFonts w:ascii="黑体;SimHei" w:hAnsi="黑体;SimHei" w:eastAsia="黑体;SimHei" w:cs="黑体;SimHei"/>
          <w:sz w:val="32"/>
          <w:szCs w:val="32"/>
        </w:rPr>
      </w:pPr>
      <w:r>
        <w:rPr>
          <w:rFonts w:ascii="黑体;SimHei" w:hAnsi="黑体;SimHei" w:eastAsia="黑体;SimHei" w:cs="黑体;SimHei"/>
          <w:sz w:val="32"/>
          <w:szCs w:val="32"/>
        </w:rPr>
        <w:t>二、主要成效</w:t>
      </w:r>
    </w:p>
    <w:p w14:paraId="42B1DE55">
      <w:pPr>
        <w:snapToGrid w:val="0"/>
        <w:spacing w:line="620" w:lineRule="exact"/>
        <w:ind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近年来，全市生猪产能得到持续快速恢复，生猪产业发展势头强劲，但在全国、全省生猪价格持续下跌的大环境下，全市生猪价格下跌趋势明显，市委、市政府紧紧围绕生猪产业转型升级、推进肉牛产业发展等重点工作及时研究部署对策措施，全市畜禽屠宰加工产业发展取得了显著的工作成效。</w:t>
      </w:r>
    </w:p>
    <w:p w14:paraId="5905570A">
      <w:pPr>
        <w:snapToGrid w:val="0"/>
        <w:spacing w:line="620" w:lineRule="exact"/>
        <w:ind w:firstLine="640"/>
        <w:rPr>
          <w:rFonts w:ascii="仿宋_GB2312;Arial Unicode MS" w:hAnsi="仿宋_GB2312;Arial Unicode MS" w:eastAsia="仿宋_GB2312;Arial Unicode MS"/>
          <w:sz w:val="32"/>
          <w:szCs w:val="32"/>
        </w:rPr>
      </w:pPr>
      <w:r>
        <w:rPr>
          <w:rFonts w:ascii="方正楷体_GBK;Arial Unicode MS" w:hAnsi="方正楷体_GBK;Arial Unicode MS" w:eastAsia="方正楷体_GBK;Arial Unicode MS" w:cs="楷体_GB2312;楷体"/>
          <w:sz w:val="32"/>
          <w:szCs w:val="32"/>
        </w:rPr>
        <w:t>（一）明确目标任务，全力推进生猪产业转型升级。一是紧盯目标，全力推进生猪规模化养殖。</w:t>
      </w:r>
      <w:r>
        <w:rPr>
          <w:rFonts w:ascii="仿宋_GB2312;Arial Unicode MS" w:hAnsi="仿宋_GB2312;Arial Unicode MS" w:eastAsia="仿宋_GB2312;Arial Unicode MS" w:cs="仿宋_GB2312;Arial Unicode MS"/>
          <w:sz w:val="32"/>
          <w:szCs w:val="32"/>
        </w:rPr>
        <w:t>2019年以来，相继出台了《曲靖市人民政府办公室关于印发曲靖市生猪规模化养殖实施方案（2019-2020）的通知》、《曲靖市人民政府办公室关于促进生猪生产保障市场供应的实施意见》，建立了按月召开联席会议推进调度工作机制，成立了产业工作专班，开辟项目建设审批绿色通道，扎实推动生猪规模化养殖项目落地见效。二是提质增效，不断延伸生猪产业发展链条。聚焦市场，顺应由调活猪向调肉品转变的发展趋势，积极对接国内大型生猪屠宰加工企业，大力培育东恒等本地屠宰及肉制品加工经营主体，推动屠宰行业优化布局和结构调整，大幅提升猪肉产品质量安全保障和生猪产业发展带动能力。按照《云南省农业农村厅关于印发云南省落实精准核实生猪等屠宰企业信息工作实施方案的通知》要求，推动屠宰企</w:t>
      </w:r>
      <w:r>
        <w:rPr>
          <w:rFonts w:ascii="仿宋_GB2312;Arial Unicode MS" w:hAnsi="仿宋_GB2312;Arial Unicode MS" w:eastAsia="仿宋_GB2312;Arial Unicode MS" w:cs="Times New Roman"/>
          <w:sz w:val="32"/>
          <w:szCs w:val="32"/>
        </w:rPr>
        <w:t>业进行环保处理设备及屠宰设备改造升级，全市取得排污许可的生猪定点屠宰企业由以前的11家上升至目前的32家，机械化半机械化屠宰的企业由以前的19家上升至32家，另有2家小型屠宰场点正进行整体搬迁改造，在进行资格审核时先后共取消9家生猪定点屠宰场资格。结合全国文明城市的创建，地方政府推动新建成了4家牛羊集中屠宰场、1家家禽集中屠宰场。6条白万头生猪屠宰线及云南神农曲靖食品有限公司整体搬迁改造项目正有序推进。</w:t>
      </w:r>
    </w:p>
    <w:p w14:paraId="455B74B8">
      <w:pPr>
        <w:snapToGrid w:val="0"/>
        <w:spacing w:line="620" w:lineRule="exact"/>
        <w:ind w:firstLine="640"/>
      </w:pPr>
      <w:r>
        <w:rPr>
          <w:rFonts w:ascii="方正楷体_GBK;Arial Unicode MS" w:hAnsi="方正楷体_GBK;Arial Unicode MS" w:eastAsia="方正楷体_GBK;Arial Unicode MS" w:cs="楷体_GB2312;楷体"/>
          <w:sz w:val="32"/>
          <w:szCs w:val="32"/>
        </w:rPr>
        <w:t>（二）强化科技支撑，加快推进肉牛产业发展。</w:t>
      </w:r>
      <w:r>
        <w:rPr>
          <w:rFonts w:ascii="仿宋_GB2312;Arial Unicode MS" w:hAnsi="仿宋_GB2312;Arial Unicode MS" w:eastAsia="仿宋_GB2312;Arial Unicode MS" w:cs="Times New Roman"/>
          <w:b/>
          <w:bCs/>
          <w:sz w:val="32"/>
          <w:szCs w:val="32"/>
        </w:rPr>
        <w:t>一是</w:t>
      </w:r>
      <w:r>
        <w:rPr>
          <w:rFonts w:ascii="仿宋_GB2312;Arial Unicode MS" w:hAnsi="仿宋_GB2312;Arial Unicode MS" w:eastAsia="仿宋_GB2312;Arial Unicode MS" w:cs="Times New Roman"/>
          <w:sz w:val="32"/>
          <w:szCs w:val="32"/>
        </w:rPr>
        <w:t>强化项目建设，大力培育肉牛产业发展经营主体。积极争取基础能繁母牛扩群、粮改饲试点、牛羊一体化等国家和省级发展项目，重点培育养殖龙头企业、规模养殖场等经营主体，不断提升肉牛规模养殖水平。</w:t>
      </w:r>
      <w:r>
        <w:rPr>
          <w:rFonts w:ascii="仿宋_GB2312;Arial Unicode MS" w:hAnsi="仿宋_GB2312;Arial Unicode MS" w:eastAsia="仿宋_GB2312;Arial Unicode MS" w:cs="Times New Roman"/>
          <w:b/>
          <w:bCs/>
          <w:sz w:val="32"/>
          <w:szCs w:val="32"/>
        </w:rPr>
        <w:t>二是</w:t>
      </w:r>
      <w:r>
        <w:rPr>
          <w:rFonts w:ascii="仿宋_GB2312;Arial Unicode MS" w:hAnsi="仿宋_GB2312;Arial Unicode MS" w:eastAsia="仿宋_GB2312;Arial Unicode MS" w:cs="Times New Roman"/>
          <w:sz w:val="32"/>
          <w:szCs w:val="32"/>
        </w:rPr>
        <w:t>强化科技支撑，不断夯实肉牛产业发展基础。建立了牛冻精改良站点，推广以云岭牛为主的优良肉牛品种，加大本地黄牛品种改良力度。重点在大型肉牛养殖场和肉牛饲养密集区，种植优质饲草饲料，强化饲料保障体系建设。</w:t>
      </w:r>
      <w:r>
        <w:rPr>
          <w:rFonts w:ascii="仿宋_GB2312;Arial Unicode MS" w:hAnsi="仿宋_GB2312;Arial Unicode MS" w:eastAsia="仿宋_GB2312;Arial Unicode MS" w:cs="Times New Roman"/>
          <w:b/>
          <w:bCs/>
          <w:sz w:val="32"/>
          <w:szCs w:val="32"/>
        </w:rPr>
        <w:t>三是</w:t>
      </w:r>
      <w:r>
        <w:rPr>
          <w:rFonts w:ascii="仿宋_GB2312;Arial Unicode MS" w:hAnsi="仿宋_GB2312;Arial Unicode MS" w:eastAsia="仿宋_GB2312;Arial Unicode MS" w:cs="Times New Roman"/>
          <w:sz w:val="32"/>
          <w:szCs w:val="32"/>
        </w:rPr>
        <w:t>依托龙头企业，加快推进肉牛产业链发展。依托双友现代农业股份有限公司投资3.8亿元，设计年屠宰规模10万头的肉牛食品加工厂，注册了“高原云牛”商标，建立直营门店30家，走出了一条从养殖到餐桌全产业链经营的路子。</w:t>
      </w:r>
    </w:p>
    <w:p w14:paraId="195D0412">
      <w:pPr>
        <w:snapToGrid w:val="0"/>
        <w:spacing w:line="620" w:lineRule="exact"/>
        <w:ind w:firstLine="640"/>
        <w:rPr>
          <w:rFonts w:ascii="仿宋_GB2312;Arial Unicode MS" w:hAnsi="仿宋_GB2312;Arial Unicode MS" w:eastAsia="仿宋_GB2312;Arial Unicode MS" w:cs="Times New Roman"/>
          <w:sz w:val="32"/>
          <w:szCs w:val="32"/>
        </w:rPr>
      </w:pPr>
      <w:r>
        <w:rPr>
          <w:rFonts w:ascii="方正楷体_GBK;Arial Unicode MS" w:hAnsi="方正楷体_GBK;Arial Unicode MS" w:eastAsia="方正楷体_GBK;Arial Unicode MS" w:cs="楷体_GB2312;楷体"/>
          <w:sz w:val="32"/>
          <w:szCs w:val="32"/>
        </w:rPr>
        <w:t>（三）坚持绿色发展，全面推进畜禽粪污资源化利用项目建设。</w:t>
      </w:r>
      <w:r>
        <w:rPr>
          <w:rFonts w:ascii="仿宋_GB2312;Arial Unicode MS" w:hAnsi="仿宋_GB2312;Arial Unicode MS" w:eastAsia="仿宋_GB2312;Arial Unicode MS" w:cs="Times New Roman"/>
          <w:sz w:val="32"/>
          <w:szCs w:val="32"/>
        </w:rPr>
        <w:t>成立曲靖市推进畜禽养殖废弃物资源化利用工作领导小组，出台推进畜禽粪污资源化利用的实施方案和考核办法，按照源头减量、过程控制、末端利用的治理思路，以规模养殖场为治理重点，加强制度体系建设，强化责任落实，完善扶持政策，全面推进畜禽粪污资源化利用工作迈上了新台阶。2020年末，全市畜禽粪污综合利用率达94.47%，规模养殖场粪污处理设施装备配套率达99.82%，大型规模养殖场配套率达100%。年度考核获全省优秀等次，名列第二。</w:t>
      </w:r>
    </w:p>
    <w:p w14:paraId="1A8267D8">
      <w:pPr>
        <w:snapToGrid w:val="0"/>
        <w:spacing w:line="620" w:lineRule="exact"/>
        <w:ind w:firstLine="640"/>
      </w:pPr>
      <w:r>
        <w:rPr>
          <w:rFonts w:ascii="方正楷体_GBK;Arial Unicode MS" w:hAnsi="方正楷体_GBK;Arial Unicode MS" w:eastAsia="方正楷体_GBK;Arial Unicode MS" w:cs="楷体_GB2312;楷体"/>
          <w:sz w:val="32"/>
          <w:szCs w:val="32"/>
        </w:rPr>
        <w:t>（四）坚决严防死守，扎实做好以非洲猪瘟为主的重大动物疫病防控工作。</w:t>
      </w:r>
      <w:r>
        <w:rPr>
          <w:rFonts w:ascii="仿宋_GB2312;Arial Unicode MS" w:hAnsi="仿宋_GB2312;Arial Unicode MS" w:eastAsia="仿宋_GB2312;Arial Unicode MS" w:cs="Times New Roman"/>
          <w:sz w:val="32"/>
          <w:szCs w:val="32"/>
        </w:rPr>
        <w:t>坚持确保全市不发生以非洲猪瘟为主的重大动物疫情目标不动摇，以外防输入、内防疫病发生为重点，按照加强统筹、群防群治、堵防结合、抓早抓小、防微杜渐的要求，压实各级党委政府和生产经营各环节防疫主体责任，抓实疫情监测预警，全面做好以非洲猪瘟为重点的动物疫病防控工作。2018年以来，全市未发生过非洲猪瘟等重大动物疫情，为推进畜牧业持续健康发展营造了良好环境。</w:t>
      </w:r>
    </w:p>
    <w:p w14:paraId="420D5A56">
      <w:pPr>
        <w:pStyle w:val="23"/>
        <w:snapToGrid w:val="0"/>
        <w:spacing w:line="620" w:lineRule="exact"/>
        <w:ind w:left="0" w:firstLine="640"/>
        <w:rPr>
          <w:rFonts w:ascii="黑体;SimHei" w:hAnsi="黑体;SimHei" w:eastAsia="黑体;SimHei" w:cs="黑体;SimHei"/>
          <w:sz w:val="32"/>
          <w:szCs w:val="32"/>
        </w:rPr>
      </w:pPr>
      <w:r>
        <w:rPr>
          <w:rFonts w:ascii="黑体;SimHei" w:hAnsi="黑体;SimHei" w:eastAsia="黑体;SimHei" w:cs="黑体;SimHei"/>
          <w:sz w:val="32"/>
          <w:szCs w:val="32"/>
        </w:rPr>
        <w:t>三、存在问题</w:t>
      </w:r>
    </w:p>
    <w:p w14:paraId="640007E7">
      <w:pPr>
        <w:pStyle w:val="23"/>
        <w:snapToGrid w:val="0"/>
        <w:spacing w:line="620" w:lineRule="exact"/>
        <w:ind w:left="0" w:firstLine="640"/>
        <w:rPr>
          <w:rFonts w:ascii="方正楷体_GBK;Arial Unicode MS" w:hAnsi="方正楷体_GBK;Arial Unicode MS" w:eastAsia="方正楷体_GBK;Arial Unicode MS" w:cs="楷体_GB2312;楷体"/>
          <w:sz w:val="32"/>
          <w:szCs w:val="32"/>
        </w:rPr>
      </w:pPr>
      <w:r>
        <w:rPr>
          <w:rFonts w:ascii="方正楷体_GBK;Arial Unicode MS" w:hAnsi="方正楷体_GBK;Arial Unicode MS" w:eastAsia="方正楷体_GBK;Arial Unicode MS" w:cs="楷体_GB2312;楷体"/>
          <w:sz w:val="32"/>
          <w:szCs w:val="32"/>
        </w:rPr>
        <w:t>（一）生猪肉牛生产方面存在的主要困难和问题</w:t>
      </w:r>
    </w:p>
    <w:p w14:paraId="5D2AEE21">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1.规模养殖投资大与融资难的矛盾突出。规模养殖建设的基础设施投资较大，资金缺口大，贷款手续繁琐，门槛高，养殖户贷款难、融资难。</w:t>
      </w:r>
    </w:p>
    <w:p w14:paraId="45C89C4F">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2.规模养殖厂与环保矛盾突出。养殖、屠宰企业粪污排污落后，企业自建小型污水处理系统，粪污处理成本高，科学处理技术有待改进和提高，粪污处理与环保矛盾突出，容易造成新建审批环评难以达标，形成用地难问题。</w:t>
      </w:r>
    </w:p>
    <w:p w14:paraId="1AA5DFC8">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3.养殖户及规模养殖产业小、散、弱现象突出，养殖饲料成本较高，肉牛养殖周期长，抗风险能力较弱，行业规范不到位，产业亟需转型升级。</w:t>
      </w:r>
    </w:p>
    <w:p w14:paraId="47E96A86">
      <w:pPr>
        <w:pStyle w:val="23"/>
        <w:snapToGrid w:val="0"/>
        <w:spacing w:line="620" w:lineRule="exact"/>
        <w:ind w:left="0" w:firstLine="640"/>
      </w:pPr>
      <w:r>
        <w:rPr>
          <w:rFonts w:ascii="仿宋_GB2312;Arial Unicode MS" w:hAnsi="仿宋_GB2312;Arial Unicode MS" w:eastAsia="仿宋_GB2312;Arial Unicode MS" w:cs="Times New Roman"/>
          <w:sz w:val="32"/>
          <w:szCs w:val="32"/>
        </w:rPr>
        <w:t>4.养殖生产和屠宰加工受市场价格波动、“猪周期”影响较大。生猪产能过剩加上储备肉投放市场，导致价格下降，养殖、加工企业营利空间减少甚至亏损。</w:t>
      </w:r>
    </w:p>
    <w:p w14:paraId="3EE46067">
      <w:pPr>
        <w:pStyle w:val="23"/>
        <w:snapToGrid w:val="0"/>
        <w:spacing w:line="620" w:lineRule="exact"/>
        <w:ind w:left="0" w:firstLine="640"/>
      </w:pPr>
      <w:r>
        <w:rPr>
          <w:rFonts w:ascii="仿宋_GB2312;Arial Unicode MS" w:hAnsi="仿宋_GB2312;Arial Unicode MS" w:eastAsia="仿宋_GB2312;Arial Unicode MS" w:cs="Times New Roman"/>
          <w:sz w:val="32"/>
          <w:szCs w:val="32"/>
        </w:rPr>
        <w:t>5.产业发展缺乏系统规划。“一产发展赶、拥堵在二产”，一产发展过快，生猪产能过剩，二产的食品加工轻工业缺乏系统发展规划，迟滞了养殖生产、屠宰加工等的发展。</w:t>
      </w:r>
    </w:p>
    <w:p w14:paraId="39A5A9DB">
      <w:pPr>
        <w:pStyle w:val="23"/>
        <w:snapToGrid w:val="0"/>
        <w:spacing w:line="620" w:lineRule="exact"/>
        <w:ind w:left="0" w:firstLine="640"/>
        <w:rPr>
          <w:rFonts w:ascii="方正楷体_GBK;Arial Unicode MS" w:hAnsi="方正楷体_GBK;Arial Unicode MS" w:eastAsia="方正楷体_GBK;Arial Unicode MS" w:cs="楷体_GB2312;楷体"/>
          <w:sz w:val="32"/>
          <w:szCs w:val="32"/>
        </w:rPr>
      </w:pPr>
      <w:r>
        <w:rPr>
          <w:rFonts w:ascii="方正楷体_GBK;Arial Unicode MS" w:hAnsi="方正楷体_GBK;Arial Unicode MS" w:eastAsia="方正楷体_GBK;Arial Unicode MS" w:cs="楷体_GB2312;楷体"/>
          <w:sz w:val="32"/>
          <w:szCs w:val="32"/>
        </w:rPr>
        <w:t>（二）畜禽屠宰加工产业发展存在的主要困难和问题</w:t>
      </w:r>
    </w:p>
    <w:p w14:paraId="35D42F4B">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1.生猪屠宰企业厂房和屠宰设备落后。代屠宰不规范、风险较高。部分规模化肉牛屠宰加工企业，因肉牛牛源供应不足，远远不能满足每天30头的设计屠宰能力，导致屠宰企业设备闲置。</w:t>
      </w:r>
    </w:p>
    <w:p w14:paraId="78A0025D">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2.产品深加工是弱项。生猪屠宰后主要以生鲜肉满足本地市场消费，缺乏肉制品精、深加工，产业链延伸困难，鲜肉及鲜肉类产品外销量极低。除宣威火腿、云岭牛等少数肉制品精深加工产品外，缺乏知名品牌。</w:t>
      </w:r>
    </w:p>
    <w:p w14:paraId="0F836991">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3.产销对接有问题，无长期稳定的产销渠道，猪肉主产区和主销区尚未建立良好的供求关系。</w:t>
      </w:r>
    </w:p>
    <w:p w14:paraId="13B615EB">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4.因南方居民的肉食习惯，大多习惯吃生鲜肉，不习惯吃冰冻肉或肉食加工品，在一定程度上影响屠宰加工产业链的发展。</w:t>
      </w:r>
    </w:p>
    <w:p w14:paraId="4AF1AD64">
      <w:pPr>
        <w:pStyle w:val="23"/>
        <w:snapToGrid w:val="0"/>
        <w:spacing w:line="620" w:lineRule="exact"/>
        <w:ind w:left="0" w:firstLine="640"/>
        <w:rPr>
          <w:rFonts w:ascii="方正楷体_GBK;Arial Unicode MS" w:hAnsi="方正楷体_GBK;Arial Unicode MS" w:eastAsia="方正楷体_GBK;Arial Unicode MS" w:cs="楷体_GB2312;楷体"/>
          <w:sz w:val="32"/>
          <w:szCs w:val="32"/>
        </w:rPr>
      </w:pPr>
      <w:r>
        <w:rPr>
          <w:rFonts w:ascii="方正楷体_GBK;Arial Unicode MS" w:hAnsi="方正楷体_GBK;Arial Unicode MS" w:eastAsia="方正楷体_GBK;Arial Unicode MS" w:cs="楷体_GB2312;楷体"/>
          <w:sz w:val="32"/>
          <w:szCs w:val="32"/>
        </w:rPr>
        <w:t>（三）体制机制方面存在的主要困难和问题</w:t>
      </w:r>
    </w:p>
    <w:p w14:paraId="5E89016C">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1.转变调活猪为调产品的机制尚未形成，导致原有产能难以释放，新建产能投资方存有顾虑。在非洲猪瘟疫情期间，国家出台了禁止违规调运生猪政策，但随着疫情的缓解和市场利益牵动，养殖企业仍采取不同渠道以调运活猪为主，新投资主体存在观望心理和投资顾虑，导致屠宰加工项目推进不理想。因没有法律依据支撑，无法全面禁止调运活猪，生猪养殖、屠宰、加工企业违法调运生猪现象突出，活猪外调，影响本地企业发展。</w:t>
      </w:r>
    </w:p>
    <w:p w14:paraId="3AE8C27D">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2.牛、羊、禽屠宰缺少上位法，除了昆明市出台过牛、羊屠宰管理办法之外，省、市级没有出台相关的管理办法。导致集中屠宰只能依靠创卫等工作的宣传引导，无强有力的执法依据。</w:t>
      </w:r>
    </w:p>
    <w:p w14:paraId="2402BD6A">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3.用地、融资、保险等产业政策支撑有待进一步完善。一是因养殖、屠宰、加工等粪污处理与环保矛盾突出，环保、水务、林业、土地等审批环节较多，养殖、屠宰、加工厂新建选址难。二是因养殖户缺少有效抵押物担保，融资贷款困难。三是养殖保险等风险化解机制不完善，目前仅有能繁母猪、生猪养殖保险，没有牛、羊、禽、能繁母牛等的保险险种，保险覆盖面较窄，养殖风险较大。</w:t>
      </w:r>
    </w:p>
    <w:p w14:paraId="41EC6027">
      <w:pPr>
        <w:pStyle w:val="23"/>
        <w:snapToGrid w:val="0"/>
        <w:spacing w:line="620" w:lineRule="exact"/>
        <w:ind w:left="0" w:firstLine="640"/>
      </w:pPr>
      <w:r>
        <w:rPr>
          <w:rFonts w:ascii="仿宋_GB2312;Arial Unicode MS" w:hAnsi="仿宋_GB2312;Arial Unicode MS" w:eastAsia="仿宋_GB2312;Arial Unicode MS" w:cs="Times New Roman"/>
          <w:sz w:val="32"/>
          <w:szCs w:val="32"/>
        </w:rPr>
        <w:t>4.检疫人员和执法队伍有待进一步加强。一是机构改革后，县级屠宰厂驻厂官方检疫年龄老化、人员不足，全年三班倒，休息时间少，检疫人员普遍存在1人承担多项职能，部分因职称待遇等问题影响工作积极性，检疫出证与屠宰企业容易形成一定矛盾。二是执法保障困难，乡镇基本无固定的执法队伍，在查处违规调运生猪、动物疫病防控、保障肉食品安全等方面，执法力量薄弱。</w:t>
      </w:r>
    </w:p>
    <w:p w14:paraId="654A5217">
      <w:pPr>
        <w:pStyle w:val="23"/>
        <w:snapToGrid w:val="0"/>
        <w:spacing w:line="620" w:lineRule="exact"/>
        <w:ind w:left="0" w:firstLine="640"/>
      </w:pPr>
      <w:r>
        <w:rPr>
          <w:rFonts w:ascii="仿宋_GB2312;Arial Unicode MS" w:hAnsi="仿宋_GB2312;Arial Unicode MS" w:eastAsia="仿宋_GB2312;Arial Unicode MS" w:cs="Times New Roman"/>
          <w:sz w:val="32"/>
          <w:szCs w:val="32"/>
        </w:rPr>
        <w:t>5.部门协作联动工作机制有待加强。在养殖、屠宰、加工、销售、流通整个产业链上，涉及的职能部门众多，现没有形成有效的部门工作联动机制，相互协作缺少制度和机制保障，仅仅靠农业部门单打独斗，难于形成工作合力，工作难度较大。</w:t>
      </w:r>
    </w:p>
    <w:p w14:paraId="3F62CF1D">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6.奖补资金作用尚未完全发挥。生猪调出奖励补助资金（现1.3亿），需要加大兑付工作力度，发挥资金效用。</w:t>
      </w:r>
    </w:p>
    <w:p w14:paraId="1362CFEA">
      <w:pPr>
        <w:pStyle w:val="23"/>
        <w:snapToGrid w:val="0"/>
        <w:spacing w:line="620" w:lineRule="exact"/>
        <w:ind w:left="0" w:firstLine="640"/>
        <w:rPr>
          <w:rFonts w:ascii="方正楷体_GBK;Arial Unicode MS" w:hAnsi="方正楷体_GBK;Arial Unicode MS" w:eastAsia="方正楷体_GBK;Arial Unicode MS" w:cs="楷体_GB2312;楷体"/>
          <w:sz w:val="32"/>
          <w:szCs w:val="32"/>
        </w:rPr>
      </w:pPr>
      <w:r>
        <w:rPr>
          <w:rFonts w:ascii="方正楷体_GBK;Arial Unicode MS" w:hAnsi="方正楷体_GBK;Arial Unicode MS" w:eastAsia="方正楷体_GBK;Arial Unicode MS" w:cs="楷体_GB2312;楷体"/>
          <w:sz w:val="32"/>
          <w:szCs w:val="32"/>
        </w:rPr>
        <w:t>（四）动物疫病防控方面存在的主要困难和问题</w:t>
      </w:r>
    </w:p>
    <w:p w14:paraId="27CE92A3">
      <w:pPr>
        <w:pStyle w:val="23"/>
        <w:snapToGrid w:val="0"/>
        <w:spacing w:line="620" w:lineRule="exact"/>
        <w:ind w:left="0" w:firstLine="640"/>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1.受曲靖周边非洲猪瘟疫情影响，生猪及其产品流通频繁，外来疫源传入风险大，导致非洲猪瘟防控压力大，防控形势依然严峻。大量散养存在，日常监管困难。</w:t>
      </w:r>
    </w:p>
    <w:p w14:paraId="10453A4B">
      <w:pPr>
        <w:pStyle w:val="23"/>
        <w:snapToGrid w:val="0"/>
        <w:spacing w:line="620" w:lineRule="exact"/>
        <w:ind w:left="0" w:firstLine="640"/>
      </w:pPr>
      <w:r>
        <w:rPr>
          <w:rFonts w:ascii="仿宋_GB2312;Arial Unicode MS" w:hAnsi="仿宋_GB2312;Arial Unicode MS" w:eastAsia="仿宋_GB2312;Arial Unicode MS" w:cs="Times New Roman"/>
          <w:sz w:val="32"/>
          <w:szCs w:val="32"/>
        </w:rPr>
        <w:t>2.病死猪无害化处理存有困难。一是补助资金不足。病死动物无害化处理是一项公益性环保事业，做好病死畜禽无害化处理工作，不仅要靠无害化处理企业自身的努力，更要靠政策引导支持。项目运行中，存在收集成本高、补贴到位慢且补贴不足、政策不清晰等突出问题，难予实现无害化处理工作的健康持续发展。二是执法监管难度大。畜禽养殖涉及千村万户，点多面广，受执法人员偏少、执法设备不足、执法经费短缺等因素制约，动物卫生执法监管难以全面覆盖全市所有养殖户，全社会共同参与畜禽无害化处理的氛围还难以形成。三是国家没有出台规范的畜禽养殖保险政策。目前仅有能繁母猪、育肥猪和奶牛参与政策保险，农户积极性较高，且能有效处置病死能繁母猪。但其他畜禽尚未建立政策性保障，养殖风险加大，一旦出现病死，无害化处理成本较高。四是国家补助政策不配套。2009年以来，中央对生猪规模养殖、屠宰环节进行补助，病死猪无害化处理积极性高，有效促进了病死猪无害化处理工作有序开展，既科学地处理了病死猪，扑灭了疫源，又切断了传播途径。但在散养的病死生猪、病死牛羊禽方面目前没有列入补助政策内，一定程度上也造成病死畜禽无害化处理工作不完善不彻底。</w:t>
      </w:r>
    </w:p>
    <w:p w14:paraId="6395512C">
      <w:pPr>
        <w:snapToGrid w:val="0"/>
        <w:spacing w:line="620" w:lineRule="exact"/>
        <w:ind w:firstLine="596"/>
        <w:rPr>
          <w:rFonts w:ascii="黑体;SimHei" w:hAnsi="黑体;SimHei" w:eastAsia="黑体;SimHei" w:cs="黑体;SimHei"/>
          <w:spacing w:val="-11"/>
          <w:sz w:val="32"/>
          <w:szCs w:val="32"/>
        </w:rPr>
      </w:pPr>
      <w:r>
        <w:rPr>
          <w:rFonts w:ascii="黑体;SimHei" w:hAnsi="黑体;SimHei" w:eastAsia="黑体;SimHei" w:cs="黑体;SimHei"/>
          <w:spacing w:val="-11"/>
          <w:sz w:val="32"/>
          <w:szCs w:val="32"/>
        </w:rPr>
        <w:t>四、对策建议</w:t>
      </w:r>
    </w:p>
    <w:p w14:paraId="599036C1">
      <w:pPr>
        <w:snapToGrid w:val="0"/>
        <w:spacing w:line="620" w:lineRule="exact"/>
        <w:ind w:firstLine="640"/>
      </w:pPr>
      <w:r>
        <w:rPr>
          <w:rFonts w:ascii="方正楷体_GBK;Arial Unicode MS" w:hAnsi="方正楷体_GBK;Arial Unicode MS" w:eastAsia="方正楷体_GBK;Arial Unicode MS" w:cs="楷体_GB2312;楷体"/>
          <w:sz w:val="32"/>
          <w:szCs w:val="32"/>
        </w:rPr>
        <w:t>（一）强化信息技术服务。</w:t>
      </w:r>
      <w:r>
        <w:rPr>
          <w:rFonts w:ascii="仿宋_GB2312;Arial Unicode MS" w:hAnsi="仿宋_GB2312;Arial Unicode MS" w:eastAsia="仿宋_GB2312;Arial Unicode MS" w:cs="Times New Roman"/>
          <w:sz w:val="32"/>
          <w:szCs w:val="32"/>
        </w:rPr>
        <w:t>一是加大对规模养殖场的技术服务指导，提高饲养管理水平，提升养殖效益。指导养殖场，特别是自繁自养户选留优质种猪和能繁母猪，有计划淘汰低劣产能，不断优化产能结构，防止产能大起大落，确保产能平稳过渡，从技术上科学指导和提高饲料转化率来增强市场竞争力，从扩量转到提质增效上来，实施“以质换量”。二是加大市场信息宣传力度。指导养殖场户密切关注市场形势变化，准确把握出栏时间节点，避免过度压栏或集中抛售。三是建议积极向上级业务部门汇报，争取恢复实施能繁母猪补贴政策，稳定能繁母猪存栏基础。</w:t>
      </w:r>
    </w:p>
    <w:p w14:paraId="7712EF67">
      <w:pPr>
        <w:pStyle w:val="23"/>
        <w:snapToGrid w:val="0"/>
        <w:spacing w:line="620" w:lineRule="exact"/>
        <w:ind w:left="0" w:firstLine="640"/>
      </w:pPr>
      <w:r>
        <w:rPr>
          <w:rFonts w:ascii="方正楷体_GBK;Arial Unicode MS" w:hAnsi="方正楷体_GBK;Arial Unicode MS" w:eastAsia="方正楷体_GBK;Arial Unicode MS" w:cs="楷体_GB2312;楷体"/>
          <w:sz w:val="32"/>
          <w:szCs w:val="32"/>
        </w:rPr>
        <w:t>（二）制订出台政策法规。</w:t>
      </w:r>
      <w:r>
        <w:rPr>
          <w:rFonts w:ascii="仿宋_GB2312;Arial Unicode MS" w:hAnsi="仿宋_GB2312;Arial Unicode MS" w:eastAsia="仿宋_GB2312;Arial Unicode MS" w:cs="Times New Roman"/>
          <w:sz w:val="32"/>
          <w:szCs w:val="32"/>
        </w:rPr>
        <w:t>建议国家层面出台和落实禁止调运生猪法律法规和政策，从法律层面推动屠宰加工及后继产业的发展。建议出台牛、羊、家禽集中屠宰管理办法，取缔农贸市场的活禽屠宰，规范管理私屠乱宰行为，为执法管理提供法律依据。</w:t>
      </w:r>
    </w:p>
    <w:p w14:paraId="45013D4D">
      <w:pPr>
        <w:snapToGrid w:val="0"/>
        <w:spacing w:line="620" w:lineRule="exact"/>
        <w:ind w:firstLine="640"/>
      </w:pPr>
      <w:r>
        <w:rPr>
          <w:rFonts w:ascii="方正楷体_GBK;Arial Unicode MS" w:hAnsi="方正楷体_GBK;Arial Unicode MS" w:eastAsia="方正楷体_GBK;Arial Unicode MS" w:cs="楷体_GB2312;楷体"/>
          <w:sz w:val="32"/>
          <w:szCs w:val="32"/>
        </w:rPr>
        <w:t>（三）紧抓重点项目推进。</w:t>
      </w:r>
      <w:r>
        <w:rPr>
          <w:rFonts w:ascii="仿宋_GB2312;Arial Unicode MS" w:hAnsi="仿宋_GB2312;Arial Unicode MS" w:eastAsia="仿宋_GB2312;Arial Unicode MS" w:cs="Times New Roman"/>
          <w:sz w:val="32"/>
          <w:szCs w:val="32"/>
        </w:rPr>
        <w:t>继续抓好生猪屠宰项目推进工作。做为养猪大市，随着规模化养殖快速推进，出栏生猪稳步增长，延伸产业链，走“养殖+屠宰加工+外销”的模式是必然趋势，要稳步推进6条百万头生猪屠宰加工线建设。抓住猪肉供应链由“调猪”向“调肉”转变的发展大趋势，加大招商引资力度，加快推进生猪屠宰加工项目落地建设。重点做好沾益温氏晶华和会泽百万头生猪定点屠宰场项目建设跟踪服务，积极协调市级有关部门，为企业解决项目推进中的困难和问题，确保在建项目按期建成投产。</w:t>
      </w:r>
    </w:p>
    <w:p w14:paraId="28617173">
      <w:pPr>
        <w:snapToGrid w:val="0"/>
        <w:spacing w:line="620" w:lineRule="exact"/>
        <w:ind w:firstLine="640"/>
        <w:rPr>
          <w:rFonts w:ascii="Times New Roman" w:hAnsi="Times New Roman" w:eastAsia="仿宋_GB2312;Arial Unicode MS" w:cs="Times New Roman"/>
          <w:spacing w:val="-11"/>
          <w:sz w:val="32"/>
          <w:szCs w:val="32"/>
        </w:rPr>
      </w:pPr>
      <w:r>
        <w:rPr>
          <w:rFonts w:ascii="方正楷体_GBK;Arial Unicode MS" w:hAnsi="方正楷体_GBK;Arial Unicode MS" w:eastAsia="方正楷体_GBK;Arial Unicode MS" w:cs="楷体_GB2312;楷体"/>
          <w:sz w:val="32"/>
          <w:szCs w:val="32"/>
        </w:rPr>
        <w:t>（四）不断加强规划引领。</w:t>
      </w:r>
      <w:r>
        <w:rPr>
          <w:rFonts w:ascii="仿宋_GB2312;Arial Unicode MS" w:hAnsi="仿宋_GB2312;Arial Unicode MS" w:eastAsia="仿宋_GB2312;Arial Unicode MS" w:cs="Times New Roman"/>
          <w:sz w:val="32"/>
          <w:szCs w:val="32"/>
        </w:rPr>
        <w:t>加大食品加工业的规划发展，加强肉制品精、深加工等第二产业发展，增加产品附加值，延伸产业链。推动大型生猪屠宰加工企业品牌创建，打响曲靖肉类品牌。</w:t>
      </w:r>
    </w:p>
    <w:p w14:paraId="2A205CD6">
      <w:pPr>
        <w:snapToGrid w:val="0"/>
        <w:spacing w:line="620" w:lineRule="exact"/>
        <w:ind w:firstLine="640"/>
      </w:pPr>
      <w:r>
        <w:rPr>
          <w:rFonts w:ascii="方正楷体_GBK;Arial Unicode MS" w:hAnsi="方正楷体_GBK;Arial Unicode MS" w:eastAsia="方正楷体_GBK;Arial Unicode MS" w:cs="楷体_GB2312;楷体"/>
          <w:sz w:val="32"/>
          <w:szCs w:val="32"/>
        </w:rPr>
        <w:t>（五）积极拓展外销市场。</w:t>
      </w:r>
      <w:r>
        <w:rPr>
          <w:rFonts w:ascii="仿宋_GB2312;Arial Unicode MS" w:hAnsi="仿宋_GB2312;Arial Unicode MS" w:eastAsia="仿宋_GB2312;Arial Unicode MS" w:cs="Times New Roman"/>
          <w:sz w:val="32"/>
          <w:szCs w:val="32"/>
        </w:rPr>
        <w:t>建议加大与省外招商引资力度，推动大型生猪屠宰加工企业与肉类主销区对接，形成稳定的供销关系，主打外销市场。建议增加冷链体系建设，畅通冻肉产品外销渠道，促进屠宰加工产业发展。</w:t>
      </w:r>
    </w:p>
    <w:p w14:paraId="7E832AB2">
      <w:pPr>
        <w:pStyle w:val="23"/>
        <w:snapToGrid w:val="0"/>
        <w:spacing w:line="620" w:lineRule="exact"/>
        <w:ind w:left="0" w:firstLine="640"/>
      </w:pPr>
      <w:r>
        <w:rPr>
          <w:rFonts w:ascii="方正楷体_GBK;Arial Unicode MS" w:hAnsi="方正楷体_GBK;Arial Unicode MS" w:eastAsia="方正楷体_GBK;Arial Unicode MS" w:cs="楷体_GB2312;楷体"/>
          <w:sz w:val="32"/>
          <w:szCs w:val="32"/>
        </w:rPr>
        <w:t>（六）做好协同配合工作。</w:t>
      </w:r>
      <w:r>
        <w:rPr>
          <w:rFonts w:ascii="仿宋_GB2312;Arial Unicode MS" w:hAnsi="仿宋_GB2312;Arial Unicode MS" w:eastAsia="仿宋_GB2312;Arial Unicode MS" w:cs="Times New Roman"/>
          <w:sz w:val="32"/>
          <w:szCs w:val="32"/>
        </w:rPr>
        <w:t>一是积极配合相关部门落实好国家发改委、商务部等有关部门出台的猪肉市场保供稳价、猪肉储备等有关调控政策，降低生猪养殖持续亏损带来的产业风险。二是工信、发改、商务、土地、财政齐抓共管，加强部门协作，研究长效协作机制，形成有效工作合力。</w:t>
      </w:r>
    </w:p>
    <w:p w14:paraId="7B207012">
      <w:pPr>
        <w:snapToGrid w:val="0"/>
        <w:spacing w:line="620" w:lineRule="exact"/>
        <w:ind w:firstLine="640"/>
      </w:pPr>
      <w:r>
        <w:rPr>
          <w:rFonts w:ascii="方正楷体_GBK;Arial Unicode MS" w:hAnsi="方正楷体_GBK;Arial Unicode MS" w:eastAsia="方正楷体_GBK;Arial Unicode MS" w:cs="楷体_GB2312;楷体"/>
          <w:sz w:val="32"/>
          <w:szCs w:val="32"/>
        </w:rPr>
        <w:t>（七）督促做好资金兑付。</w:t>
      </w:r>
      <w:r>
        <w:rPr>
          <w:rFonts w:ascii="仿宋_GB2312;Arial Unicode MS" w:hAnsi="仿宋_GB2312;Arial Unicode MS" w:eastAsia="仿宋_GB2312;Arial Unicode MS" w:cs="Times New Roman"/>
          <w:sz w:val="32"/>
          <w:szCs w:val="32"/>
        </w:rPr>
        <w:t>进一步抓好能繁母猪、育肥猪保险工作和生猪调出大县奖励资金的及时兑付和项目实施工作，确保产业扶持资金落到实处。</w:t>
      </w:r>
    </w:p>
    <w:p w14:paraId="3F45DE7E">
      <w:pPr>
        <w:snapToGrid w:val="0"/>
        <w:spacing w:line="620" w:lineRule="exact"/>
        <w:ind w:firstLine="640"/>
      </w:pPr>
      <w:r>
        <w:rPr>
          <w:rFonts w:ascii="方正楷体_GBK;Arial Unicode MS" w:hAnsi="方正楷体_GBK;Arial Unicode MS" w:eastAsia="方正楷体_GBK;Arial Unicode MS" w:cs="楷体_GB2312;楷体"/>
          <w:sz w:val="32"/>
          <w:szCs w:val="32"/>
        </w:rPr>
        <w:t>（八）做好金融协调服务。</w:t>
      </w:r>
      <w:r>
        <w:rPr>
          <w:rFonts w:ascii="仿宋_GB2312;Arial Unicode MS" w:hAnsi="仿宋_GB2312;Arial Unicode MS" w:eastAsia="仿宋_GB2312;Arial Unicode MS" w:cs="Times New Roman"/>
          <w:sz w:val="32"/>
          <w:szCs w:val="32"/>
        </w:rPr>
        <w:t>积极协调金融部门，简化贷款手续，创新经营方式，对符合授信条件但暂时遇到经营困难的生猪养殖场和屠宰加工企业，主动上门服务，了解生产经营情况，不盲目限贷、抽贷、断贷，破解生猪生产发展融资制约瓶颈。同时，进一步完善用地、融资、保险等政策支持。如探索设立能繁母牛保险，化解养殖风险。探索设立“活牛贷”、“乡村振兴贷”、“政府设立产业基金”，拓宽有效抵押物担保形式，多形式多渠道解决融资难问题。</w:t>
      </w:r>
    </w:p>
    <w:p w14:paraId="4499BA5E">
      <w:pPr>
        <w:pStyle w:val="23"/>
        <w:snapToGrid w:val="0"/>
        <w:spacing w:line="620" w:lineRule="exact"/>
        <w:ind w:left="0" w:firstLine="640"/>
      </w:pPr>
      <w:r>
        <w:rPr>
          <w:rFonts w:ascii="方正楷体_GBK;Arial Unicode MS" w:hAnsi="方正楷体_GBK;Arial Unicode MS" w:eastAsia="方正楷体_GBK;Arial Unicode MS" w:cs="楷体_GB2312;楷体"/>
          <w:sz w:val="32"/>
          <w:szCs w:val="32"/>
        </w:rPr>
        <w:t>（九）扎实做好疫病防控。</w:t>
      </w:r>
      <w:r>
        <w:rPr>
          <w:rFonts w:ascii="仿宋_GB2312;Arial Unicode MS" w:hAnsi="仿宋_GB2312;Arial Unicode MS" w:eastAsia="仿宋_GB2312;Arial Unicode MS" w:cs="Times New Roman"/>
          <w:sz w:val="32"/>
          <w:szCs w:val="32"/>
        </w:rPr>
        <w:t>加大重大动物疫病防控力度，一是坚持以确保全市不发生以非洲猪瘟为主的重大动物疫情为目标不动摇，以外防输入、内防疫病发生为重点，按照加强统筹、群防群治、堵防结合、抓早抓小、防微杜渐的要求，压实各级党委政府和生产经营各环节防疫主体责任，着力加强常规监测，抓实疫情监测预警，全面做好以非洲猪瘟为重点的动物疫病防控工作。二是加快推进全市病死畜禽无害化处理体系建设，提升现有曲靖百奥迈斯、陆良百奥迈斯、富源恒易公司病死畜禽无害化处理能力，及时足额拨付病死畜禽无害化处理补助资金。按照《云南省农业农村厅 云南省财政厅关于印发〈云南省病死畜禽无害化处理体系建设规划（2021-2025年）〉的通知》（云农牧〔2021〕13号）要求， 2024年底前，全市除马龙区的其他畜牧养殖大县，全面建成区域性专业无害化处理场覆盖的病死动物无害化处理体系；2025年底前，马龙区全面建成病死畜禽收集暂存站点覆盖的病死动物无害化处理体系。</w:t>
      </w:r>
    </w:p>
    <w:p w14:paraId="2880DE9F">
      <w:pPr>
        <w:pStyle w:val="23"/>
        <w:snapToGrid w:val="0"/>
        <w:spacing w:line="620" w:lineRule="exact"/>
        <w:ind w:left="0" w:firstLine="640"/>
      </w:pPr>
      <w:r>
        <w:rPr>
          <w:rFonts w:ascii="方正楷体_GBK;Arial Unicode MS" w:hAnsi="方正楷体_GBK;Arial Unicode MS" w:eastAsia="方正楷体_GBK;Arial Unicode MS" w:cs="楷体_GB2312;楷体"/>
          <w:sz w:val="32"/>
          <w:szCs w:val="32"/>
        </w:rPr>
        <w:t>（十）加强检疫队伍建设。</w:t>
      </w:r>
      <w:r>
        <w:rPr>
          <w:rFonts w:ascii="仿宋_GB2312;Arial Unicode MS" w:hAnsi="仿宋_GB2312;Arial Unicode MS" w:eastAsia="仿宋_GB2312;Arial Unicode MS" w:cs="Times New Roman"/>
          <w:sz w:val="32"/>
          <w:szCs w:val="32"/>
        </w:rPr>
        <w:t>建议：一是加强检疫人员的配备，</w:t>
      </w:r>
      <w:r>
        <w:rPr>
          <w:rFonts w:ascii="仿宋_GB2312;Arial Unicode MS" w:hAnsi="仿宋_GB2312;Arial Unicode MS" w:eastAsia="仿宋_GB2312;Arial Unicode MS" w:cs="黑体;SimHei"/>
          <w:sz w:val="32"/>
          <w:szCs w:val="32"/>
        </w:rPr>
        <w:t>县（市、区）畜牧兽医主管部门要按照农业农村部规定做好屠宰场官方兽医派驻工作，对年屠宰生猪15万头以上、年屠宰2—15万头、年屠宰2万头以下的屠宰规模，派驻官方兽医为不少于10人、5人、2人的要求，配备驻场检疫监管人员，</w:t>
      </w:r>
      <w:r>
        <w:rPr>
          <w:rFonts w:ascii="仿宋_GB2312;Arial Unicode MS" w:hAnsi="仿宋_GB2312;Arial Unicode MS" w:eastAsia="仿宋_GB2312;Arial Unicode MS" w:cs="Times New Roman"/>
          <w:sz w:val="32"/>
          <w:szCs w:val="32"/>
        </w:rPr>
        <w:t>能满足屠宰动物检疫工作需要。二是因检疫工作专业性强，要加强专业人才培养和使用，加强提升业务培训。三是对检疫执法队伍，要严管与厚爱相结合，既要重视解决其待遇问题，又要健全管理制度，严格规范管理队伍，提升服务能力和水平。</w:t>
      </w:r>
    </w:p>
    <w:p w14:paraId="58C33E99">
      <w:pPr>
        <w:pStyle w:val="23"/>
        <w:snapToGrid w:val="0"/>
        <w:spacing w:line="620" w:lineRule="exact"/>
        <w:ind w:left="0" w:firstLine="640"/>
        <w:rPr>
          <w:rFonts w:ascii="仿宋_GB2312;Arial Unicode MS" w:hAnsi="仿宋_GB2312;Arial Unicode MS" w:eastAsia="仿宋_GB2312;Arial Unicode MS" w:cs="Times New Roman"/>
          <w:sz w:val="32"/>
          <w:szCs w:val="32"/>
        </w:rPr>
      </w:pPr>
    </w:p>
    <w:p w14:paraId="642BF6EC">
      <w:pPr>
        <w:pStyle w:val="23"/>
        <w:snapToGrid w:val="0"/>
        <w:spacing w:line="620" w:lineRule="exact"/>
        <w:ind w:left="0" w:firstLine="640"/>
        <w:rPr>
          <w:rFonts w:ascii="仿宋_GB2312;Arial Unicode MS" w:hAnsi="仿宋_GB2312;Arial Unicode MS" w:eastAsia="仿宋_GB2312;Arial Unicode MS" w:cs="Times New Roman"/>
          <w:sz w:val="32"/>
          <w:szCs w:val="32"/>
        </w:rPr>
      </w:pPr>
    </w:p>
    <w:p w14:paraId="10D15782">
      <w:pPr>
        <w:pStyle w:val="23"/>
        <w:snapToGrid w:val="0"/>
        <w:spacing w:line="620" w:lineRule="exact"/>
        <w:ind w:left="0" w:firstLine="640"/>
        <w:rPr>
          <w:rFonts w:ascii="仿宋_GB2312;Arial Unicode MS" w:hAnsi="仿宋_GB2312;Arial Unicode MS" w:eastAsia="仿宋_GB2312;Arial Unicode MS" w:cs="Times New Roman"/>
          <w:sz w:val="32"/>
          <w:szCs w:val="32"/>
        </w:rPr>
      </w:pPr>
    </w:p>
    <w:p w14:paraId="0B7B5EA8">
      <w:pPr>
        <w:pStyle w:val="23"/>
        <w:snapToGrid w:val="0"/>
        <w:spacing w:line="620" w:lineRule="exact"/>
        <w:ind w:left="0" w:right="320" w:firstLine="640"/>
        <w:jc w:val="right"/>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民革曲靖市委</w:t>
      </w:r>
    </w:p>
    <w:p w14:paraId="57002A7A">
      <w:pPr>
        <w:pStyle w:val="23"/>
        <w:snapToGrid w:val="0"/>
        <w:spacing w:line="620" w:lineRule="exact"/>
        <w:ind w:left="0" w:firstLine="640"/>
        <w:jc w:val="right"/>
        <w:rPr>
          <w:rFonts w:ascii="仿宋_GB2312;Arial Unicode MS" w:hAnsi="仿宋_GB2312;Arial Unicode MS" w:eastAsia="仿宋_GB2312;Arial Unicode MS" w:cs="Times New Roman"/>
          <w:sz w:val="32"/>
          <w:szCs w:val="32"/>
        </w:rPr>
      </w:pPr>
      <w:r>
        <w:rPr>
          <w:rFonts w:ascii="仿宋_GB2312;Arial Unicode MS" w:hAnsi="仿宋_GB2312;Arial Unicode MS" w:eastAsia="仿宋_GB2312;Arial Unicode MS" w:cs="Times New Roman"/>
          <w:sz w:val="32"/>
          <w:szCs w:val="32"/>
        </w:rPr>
        <w:t>2021年11月9日</w:t>
      </w:r>
    </w:p>
    <w:p w14:paraId="47CDAFC2">
      <w:pPr>
        <w:snapToGrid w:val="0"/>
        <w:spacing w:line="600" w:lineRule="exact"/>
        <w:ind w:right="480" w:firstLine="640"/>
        <w:jc w:val="right"/>
        <w:rPr>
          <w:rFonts w:ascii="仿宋_GB2312;Arial Unicode MS" w:hAnsi="仿宋_GB2312;Arial Unicode MS" w:eastAsia="仿宋_GB2312;Arial Unicode MS" w:cs="宋体;SimSun"/>
          <w:sz w:val="32"/>
          <w:szCs w:val="32"/>
        </w:rPr>
      </w:pPr>
    </w:p>
    <w:sectPr>
      <w:headerReference r:id="rId3" w:type="default"/>
      <w:footerReference r:id="rId4" w:type="default"/>
      <w:pgSz w:w="11906" w:h="16838"/>
      <w:pgMar w:top="2098" w:right="1531" w:bottom="1871" w:left="1531" w:header="851" w:footer="1225"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宋体"/>
    <w:panose1 w:val="00000000000000000000"/>
    <w:charset w:val="86"/>
    <w:family w:val="auto"/>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00" w:usb3="00000000" w:csb0="00000000" w:csb1="00000000"/>
  </w:font>
  <w:font w:name="宋体;SimSun">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黑体;SimHei">
    <w:altName w:val="黑体"/>
    <w:panose1 w:val="00000000000000000000"/>
    <w:charset w:val="00"/>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仿宋_GB2312;Arial Unicode MS">
    <w:altName w:val="仿宋"/>
    <w:panose1 w:val="00000000000000000000"/>
    <w:charset w:val="00"/>
    <w:family w:val="auto"/>
    <w:pitch w:val="default"/>
    <w:sig w:usb0="00000000" w:usb1="00000000" w:usb2="00000000" w:usb3="00000000" w:csb0="00000000" w:csb1="00000000"/>
  </w:font>
  <w:font w:name="方正小标宋_GBK;Arial Unicode MS">
    <w:altName w:val="宋体"/>
    <w:panose1 w:val="00000000000000000000"/>
    <w:charset w:val="00"/>
    <w:family w:val="auto"/>
    <w:pitch w:val="default"/>
    <w:sig w:usb0="00000000" w:usb1="00000000" w:usb2="00000000" w:usb3="00000000" w:csb0="00000000" w:csb1="00000000"/>
  </w:font>
  <w:font w:name="方正楷体_GBK;Arial Unicode MS">
    <w:altName w:val="宋体"/>
    <w:panose1 w:val="00000000000000000000"/>
    <w:charset w:val="00"/>
    <w:family w:val="auto"/>
    <w:pitch w:val="default"/>
    <w:sig w:usb0="00000000" w:usb1="00000000" w:usb2="00000000" w:usb3="00000000" w:csb0="00000000" w:csb1="00000000"/>
  </w:font>
  <w:font w:name="楷体_GB2312;楷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64AD3">
    <w:pPr>
      <w:pStyle w:val="7"/>
      <w:ind w:right="360" w:firstLine="360"/>
      <w:rPr>
        <w:rFonts w:ascii="Times New Roman" w:hAnsi="Times New Roman" w:cs="Times New Roman"/>
        <w:sz w:val="28"/>
        <w:szCs w:val="28"/>
      </w:rPr>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1270</wp:posOffset>
              </wp:positionV>
              <wp:extent cx="474345" cy="20701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474345" cy="207010"/>
                      </a:xfrm>
                      <a:prstGeom prst="rect">
                        <a:avLst/>
                      </a:prstGeom>
                      <a:solidFill>
                        <a:srgbClr val="FFFFFF">
                          <a:alpha val="0"/>
                        </a:srgbClr>
                      </a:solidFill>
                    </wps:spPr>
                    <wps:txbx>
                      <w:txbxContent>
                        <w:p w14:paraId="6ACBFC45">
                          <w:pPr>
                            <w:pStyle w:val="7"/>
                            <w:rPr>
                              <w:rStyle w:val="14"/>
                              <w:rFonts w:ascii="Times New Roman" w:hAnsi="Times New Roman" w:cs="Times New Roman"/>
                              <w:sz w:val="28"/>
                              <w:szCs w:val="28"/>
                            </w:rPr>
                          </w:pPr>
                          <w:r>
                            <w:rPr>
                              <w:rStyle w:val="14"/>
                              <w:rFonts w:ascii="Times New Roman" w:hAnsi="Times New Roman" w:cs="宋体;SimSun"/>
                              <w:sz w:val="28"/>
                              <w:szCs w:val="28"/>
                            </w:rPr>
                            <w:t>－</w:t>
                          </w:r>
                          <w:r>
                            <w:rPr>
                              <w:rStyle w:val="14"/>
                              <w:rFonts w:ascii="Times New Roman" w:hAnsi="Times New Roman" w:eastAsia="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Style w:val="14"/>
                              <w:rFonts w:ascii="Times New Roman" w:hAnsi="Times New Roman" w:eastAsia="Times New Roman" w:cs="Times New Roman"/>
                              <w:sz w:val="28"/>
                              <w:szCs w:val="28"/>
                            </w:rPr>
                            <w:t xml:space="preserve"> </w:t>
                          </w:r>
                          <w:r>
                            <w:rPr>
                              <w:rStyle w:val="14"/>
                              <w:rFonts w:ascii="Times New Roman" w:hAnsi="Times New Roman" w:cs="宋体;SimSun"/>
                              <w:sz w:val="28"/>
                              <w:szCs w:val="28"/>
                            </w:rPr>
                            <w:t>－</w:t>
                          </w:r>
                        </w:p>
                      </w:txbxContent>
                    </wps:txbx>
                    <wps:bodyPr lIns="0" tIns="0" rIns="0" bIns="0" anchor="t">
                      <a:noAutofit/>
                    </wps:bodyPr>
                  </wps:wsp>
                </a:graphicData>
              </a:graphic>
            </wp:anchor>
          </w:drawing>
        </mc:Choice>
        <mc:Fallback>
          <w:pict>
            <v:shape id="Frame1" o:spid="_x0000_s1026" o:spt="202" type="#_x0000_t202" style="position:absolute;left:0pt;margin-top:0.1pt;height:16.3pt;width:37.35pt;mso-position-horizontal:right;mso-position-horizontal-relative:margin;mso-wrap-distance-bottom:0pt;mso-wrap-distance-left:0pt;mso-wrap-distance-right:0pt;mso-wrap-distance-top:0pt;z-index:251659264;mso-width-relative:page;mso-height-relative:page;" fillcolor="#FFFFFF" filled="t" stroked="f" coordsize="21600,21600" o:gfxdata="UEsDBAoAAAAAAIdO4kAAAAAAAAAAAAAAAAAEAAAAZHJzL1BLAwQUAAAACACHTuJAKUabLtIAAAAD&#10;AQAADwAAAGRycy9kb3ducmV2LnhtbE2Py07DMBBF90j9B2sqdUedBkRCGqdSi8oWkSJ168bTOEo8&#10;jmL3wd8zrGA5ulfnnik3dzeIK06h86RgtUxAIDXedNQq+DrsH3MQIWoyevCECr4xwKaaPZS6MP5G&#10;n3itYysYQqHQCmyMYyFlaCw6HZZ+ROLs7CenI59TK82kbwx3g0yT5EU63REvWD3izmLT1xen4Okj&#10;zY7hvX7bjUd87fOw7c9klVrMV8kaRMR7/CvDrz6rQ8VOJ38hE8SggB+JClIQnGXPGYgTc9McZFXK&#10;/+7VD1BLAwQUAAAACACHTuJAjGioOMcBAACzAwAADgAAAGRycy9lMm9Eb2MueG1srVPBjtsgEL1X&#10;6j8g7o2dNO1WVpxV2yhVpapdadsPwBhiJGAQkNj5+w5gZ1fbyx7qA8wMw5t5j/HufjKaXIQPCmxL&#10;16uaEmE59MqeWvrn9/HdJ0pCZLZnGqxo6VUEer9/+2Y3ukZsYADdC08QxIZmdC0dYnRNVQU+CMPC&#10;CpyweCjBGxbR9aeq92xEdKOrTV1/rEbwvfPARQgYPZRDOiP61wCClIqLA/CzETYWVC80i0gpDMoF&#10;us/dSil4/CVlEJHoliLTmFcsgnaX1mq/Y83JMzcoPrfAXtPCC06GKYtFb1AHFhk5e/UPlFHcQwAZ&#10;VxxMVYhkRZDFun6hzePAnMhcUOrgbqKH/wfLf14ePFE9TgIllhl88KPHbZ2UGV1oMOHRYUqcvsCU&#10;suZ4wGAiPElv0o5UCJ6jrtebrmKKhGNwe7d9v/1ACcejTX2HRBNK9XTZ+RC/CTAkGS31+GxZTXb5&#10;EWJJXVJSrQBa9UeldXb8qfuqPbkwfOJj/spd7QZWoku5UFJz6WcYVeJZ+CQrTt00k+ygvyJ3/d2i&#10;5Gl8FsMvRrcYzPIBcLBK4xY+nyNIlZtPoAUJKycH3zL3MM9dGpbnfs56+tf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pRpsu0gAAAAMBAAAPAAAAAAAAAAEAIAAAACIAAABkcnMvZG93bnJldi54&#10;bWxQSwECFAAUAAAACACHTuJAjGioOMcBAACzAwAADgAAAAAAAAABACAAAAAhAQAAZHJzL2Uyb0Rv&#10;Yy54bWxQSwUGAAAAAAYABgBZAQAAWgUAAAAA&#10;">
              <v:fill on="t" opacity="0f" focussize="0,0"/>
              <v:stroke on="f"/>
              <v:imagedata o:title=""/>
              <o:lock v:ext="edit" aspectratio="f"/>
              <v:textbox inset="0mm,0mm,0mm,0mm">
                <w:txbxContent>
                  <w:p w14:paraId="6ACBFC45">
                    <w:pPr>
                      <w:pStyle w:val="7"/>
                      <w:rPr>
                        <w:rStyle w:val="14"/>
                        <w:rFonts w:ascii="Times New Roman" w:hAnsi="Times New Roman" w:cs="Times New Roman"/>
                        <w:sz w:val="28"/>
                        <w:szCs w:val="28"/>
                      </w:rPr>
                    </w:pPr>
                    <w:r>
                      <w:rPr>
                        <w:rStyle w:val="14"/>
                        <w:rFonts w:ascii="Times New Roman" w:hAnsi="Times New Roman" w:cs="宋体;SimSun"/>
                        <w:sz w:val="28"/>
                        <w:szCs w:val="28"/>
                      </w:rPr>
                      <w:t>－</w:t>
                    </w:r>
                    <w:r>
                      <w:rPr>
                        <w:rStyle w:val="14"/>
                        <w:rFonts w:ascii="Times New Roman" w:hAnsi="Times New Roman" w:eastAsia="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Style w:val="14"/>
                        <w:rFonts w:ascii="Times New Roman" w:hAnsi="Times New Roman" w:eastAsia="Times New Roman" w:cs="Times New Roman"/>
                        <w:sz w:val="28"/>
                        <w:szCs w:val="28"/>
                      </w:rPr>
                      <w:t xml:space="preserve"> </w:t>
                    </w:r>
                    <w:r>
                      <w:rPr>
                        <w:rStyle w:val="14"/>
                        <w:rFonts w:ascii="Times New Roman" w:hAnsi="Times New Roman" w:cs="宋体;SimSun"/>
                        <w:sz w:val="28"/>
                        <w:szCs w:val="28"/>
                      </w:rPr>
                      <w:t>－</w:t>
                    </w:r>
                  </w:p>
                </w:txbxContent>
              </v:textbox>
              <w10:wrap type="square" side="largest"/>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6FC44">
    <w:pPr>
      <w:pStyle w:val="8"/>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documentProtection w:enforcement="0"/>
  <w:defaultTabStop w:val="420"/>
  <w:autoHyphenation/>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6591"/>
    <w:rsid w:val="143630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DejaVu Sans" w:cs="DejaVu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SimSun" w:cs="Calibri"/>
      <w:color w:val="auto"/>
      <w:kern w:val="2"/>
      <w:sz w:val="21"/>
      <w:szCs w:val="21"/>
      <w:lang w:val="en-US" w:eastAsia="zh-CN" w:bidi="ar-SA"/>
    </w:rPr>
  </w:style>
  <w:style w:type="paragraph" w:styleId="2">
    <w:name w:val="heading 1"/>
    <w:basedOn w:val="1"/>
    <w:next w:val="1"/>
    <w:qFormat/>
    <w:uiPriority w:val="0"/>
    <w:pPr>
      <w:numPr>
        <w:ilvl w:val="0"/>
        <w:numId w:val="1"/>
      </w:numPr>
      <w:spacing w:before="0" w:after="0" w:line="840" w:lineRule="atLeast"/>
      <w:ind w:left="0" w:right="0" w:firstLine="0"/>
      <w:jc w:val="center"/>
      <w:outlineLvl w:val="0"/>
    </w:pPr>
    <w:rPr>
      <w:rFonts w:ascii="微软雅黑" w:hAnsi="微软雅黑" w:eastAsia="微软雅黑" w:cs="微软雅黑"/>
      <w:kern w:val="2"/>
      <w:sz w:val="57"/>
      <w:szCs w:val="57"/>
      <w:lang w:val="en-US" w:eastAsia="zh-CN" w:bidi="ar"/>
    </w:rPr>
  </w:style>
  <w:style w:type="paragraph" w:styleId="3">
    <w:name w:val="heading 2"/>
    <w:basedOn w:val="1"/>
    <w:next w:val="1"/>
    <w:qFormat/>
    <w:uiPriority w:val="0"/>
    <w:pPr>
      <w:keepNext/>
      <w:keepLines/>
      <w:numPr>
        <w:ilvl w:val="1"/>
        <w:numId w:val="1"/>
      </w:numPr>
      <w:spacing w:line="560" w:lineRule="exact"/>
      <w:ind w:firstLine="640"/>
      <w:outlineLvl w:val="1"/>
    </w:pPr>
    <w:rPr>
      <w:rFonts w:eastAsia="黑体;SimHei"/>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4">
    <w:name w:val="caption"/>
    <w:basedOn w:val="1"/>
    <w:qFormat/>
    <w:uiPriority w:val="0"/>
    <w:pPr>
      <w:suppressLineNumbers/>
      <w:spacing w:before="120" w:after="120"/>
    </w:pPr>
    <w:rPr>
      <w:i/>
      <w:iCs/>
      <w:sz w:val="24"/>
      <w:szCs w:val="24"/>
    </w:rPr>
  </w:style>
  <w:style w:type="paragraph" w:styleId="5">
    <w:name w:val="Body Text"/>
    <w:basedOn w:val="1"/>
    <w:uiPriority w:val="0"/>
    <w:pPr>
      <w:spacing w:before="0" w:after="120"/>
    </w:pPr>
  </w:style>
  <w:style w:type="paragraph" w:styleId="6">
    <w:name w:val="Body Text Indent"/>
    <w:basedOn w:val="1"/>
    <w:uiPriority w:val="0"/>
    <w:pPr>
      <w:spacing w:before="0" w:after="120"/>
      <w:ind w:left="420" w:firstLine="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000000" w:sz="6" w:space="1"/>
      </w:pBdr>
      <w:tabs>
        <w:tab w:val="center" w:pos="4153"/>
        <w:tab w:val="right" w:pos="8306"/>
      </w:tabs>
      <w:snapToGrid w:val="0"/>
      <w:jc w:val="center"/>
    </w:pPr>
    <w:rPr>
      <w:sz w:val="18"/>
      <w:szCs w:val="18"/>
    </w:rPr>
  </w:style>
  <w:style w:type="paragraph" w:styleId="9">
    <w:name w:val="index heading"/>
    <w:basedOn w:val="1"/>
    <w:next w:val="10"/>
    <w:uiPriority w:val="0"/>
    <w:pPr>
      <w:spacing w:line="500" w:lineRule="exact"/>
    </w:pPr>
    <w:rPr>
      <w:rFonts w:ascii="仿宋_GB2312;Arial Unicode MS" w:hAnsi="仿宋_GB2312;Arial Unicode MS" w:eastAsia="仿宋_GB2312;Arial Unicode MS" w:cs="仿宋_GB2312;Arial Unicode MS"/>
      <w:sz w:val="28"/>
      <w:szCs w:val="28"/>
    </w:rPr>
  </w:style>
  <w:style w:type="paragraph" w:styleId="10">
    <w:name w:val="index 1"/>
    <w:basedOn w:val="1"/>
    <w:next w:val="1"/>
    <w:uiPriority w:val="0"/>
  </w:style>
  <w:style w:type="paragraph" w:styleId="11">
    <w:name w:val="List"/>
    <w:basedOn w:val="5"/>
    <w:uiPriority w:val="0"/>
  </w:style>
  <w:style w:type="character" w:styleId="14">
    <w:name w:val="page number"/>
    <w:basedOn w:val="15"/>
    <w:uiPriority w:val="0"/>
  </w:style>
  <w:style w:type="character" w:customStyle="1" w:styleId="15">
    <w:name w:val="默认段落字体1"/>
    <w:qFormat/>
    <w:uiPriority w:val="0"/>
  </w:style>
  <w:style w:type="character" w:styleId="16">
    <w:name w:val="Emphasis"/>
    <w:qFormat/>
    <w:uiPriority w:val="0"/>
    <w:rPr>
      <w:color w:val="000000"/>
    </w:rPr>
  </w:style>
  <w:style w:type="character" w:customStyle="1" w:styleId="17">
    <w:name w:val="正文文本 Char"/>
    <w:basedOn w:val="15"/>
    <w:qFormat/>
    <w:uiPriority w:val="0"/>
    <w:rPr>
      <w:rFonts w:cs="Calibri"/>
      <w:kern w:val="2"/>
      <w:sz w:val="21"/>
      <w:szCs w:val="21"/>
    </w:rPr>
  </w:style>
  <w:style w:type="character" w:customStyle="1" w:styleId="18">
    <w:name w:val="NormalCharacter"/>
    <w:qFormat/>
    <w:uiPriority w:val="0"/>
    <w:rPr>
      <w:kern w:val="2"/>
      <w:sz w:val="21"/>
      <w:lang w:val="en-US" w:eastAsia="zh-CN" w:bidi="ar-SA"/>
    </w:rPr>
  </w:style>
  <w:style w:type="character" w:customStyle="1" w:styleId="19">
    <w:name w:val="bjh-p"/>
    <w:basedOn w:val="15"/>
    <w:qFormat/>
    <w:uiPriority w:val="0"/>
  </w:style>
  <w:style w:type="paragraph" w:customStyle="1" w:styleId="20">
    <w:name w:val="Heading"/>
    <w:basedOn w:val="1"/>
    <w:next w:val="5"/>
    <w:qFormat/>
    <w:uiPriority w:val="0"/>
    <w:pPr>
      <w:keepNext/>
      <w:spacing w:before="240" w:after="120"/>
    </w:pPr>
    <w:rPr>
      <w:rFonts w:ascii="Liberation Sans" w:hAnsi="Liberation Sans" w:eastAsia="DejaVu Sans" w:cs="DejaVu Sans"/>
      <w:sz w:val="28"/>
      <w:szCs w:val="28"/>
    </w:rPr>
  </w:style>
  <w:style w:type="paragraph" w:customStyle="1" w:styleId="21">
    <w:name w:val="Index"/>
    <w:basedOn w:val="1"/>
    <w:qFormat/>
    <w:uiPriority w:val="0"/>
    <w:pPr>
      <w:suppressLineNumbers/>
    </w:pPr>
  </w:style>
  <w:style w:type="paragraph" w:customStyle="1" w:styleId="22">
    <w:name w:val="Header and Footer"/>
    <w:basedOn w:val="1"/>
    <w:qFormat/>
    <w:uiPriority w:val="0"/>
    <w:pPr>
      <w:suppressLineNumbers/>
      <w:tabs>
        <w:tab w:val="center" w:pos="4986"/>
        <w:tab w:val="right" w:pos="9972"/>
      </w:tabs>
    </w:pPr>
  </w:style>
  <w:style w:type="paragraph" w:customStyle="1" w:styleId="23">
    <w:name w:val="正文首行缩进 21"/>
    <w:basedOn w:val="6"/>
    <w:qFormat/>
    <w:uiPriority w:val="0"/>
    <w:pPr>
      <w:spacing w:before="0" w:after="0"/>
      <w:ind w:left="420" w:firstLine="420"/>
    </w:pPr>
  </w:style>
  <w:style w:type="paragraph" w:customStyle="1" w:styleId="24">
    <w:name w:val="_Style 1"/>
    <w:basedOn w:val="1"/>
    <w:qFormat/>
    <w:uiPriority w:val="0"/>
    <w:pPr>
      <w:ind w:firstLine="420"/>
    </w:pPr>
  </w:style>
  <w:style w:type="paragraph" w:customStyle="1" w:styleId="25">
    <w:name w:val="列出段落"/>
    <w:basedOn w:val="1"/>
    <w:qFormat/>
    <w:uiPriority w:val="0"/>
    <w:pPr>
      <w:ind w:firstLine="420"/>
    </w:pPr>
  </w:style>
  <w:style w:type="paragraph" w:customStyle="1" w:styleId="26">
    <w:name w:val="Frame Contents"/>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7272</Words>
  <Characters>7683</Characters>
  <TotalTime>3</TotalTime>
  <ScaleCrop>false</ScaleCrop>
  <LinksUpToDate>false</LinksUpToDate>
  <CharactersWithSpaces>7692</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2020-12-09T11:20:00Z</dcterms:created>
  <dc:creator>lenovo</dc:creator>
  <cp:lastModifiedBy>郭丽娜</cp:lastModifiedBy>
  <cp:lastPrinted>2022-01-13T16:37:00Z</cp:lastPrinted>
  <dcterms:modified xsi:type="dcterms:W3CDTF">2026-06-29T01:42:57Z</dcterms:modified>
  <dc:title>中共曲靖市委统战部文件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eyJoZGlkIjoiYTA0OTFiNTllN2E3YTc2MDc5ZTIwYTg0ZjFlZjFlMWQiLCJ1c2VySWQiOiIzNzMyMDUyODEifQ==</vt:lpwstr>
  </property>
  <property fmtid="{D5CDD505-2E9C-101B-9397-08002B2CF9AE}" pid="4" name="ICV">
    <vt:lpwstr>EC7C69DA49E3451F864F266B62F79E2A_13</vt:lpwstr>
  </property>
</Properties>
</file>